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85F" w:rsidRPr="000137DF" w:rsidRDefault="00AA63EE" w:rsidP="00F83A03">
      <w:pPr>
        <w:jc w:val="both"/>
        <w:rPr>
          <w:rFonts w:cs="Arial"/>
          <w:b/>
          <w:sz w:val="16"/>
          <w:szCs w:val="16"/>
        </w:rPr>
      </w:pPr>
      <w:r>
        <w:rPr>
          <w:rFonts w:cs="Arial"/>
          <w:b/>
          <w:sz w:val="16"/>
          <w:szCs w:val="16"/>
        </w:rPr>
        <w:t xml:space="preserve">                                                                       </w:t>
      </w:r>
      <w:r w:rsidR="0046785F" w:rsidRPr="000137DF">
        <w:rPr>
          <w:rFonts w:cs="Arial"/>
          <w:b/>
          <w:sz w:val="16"/>
          <w:szCs w:val="16"/>
        </w:rPr>
        <w:t>OBSERVATOIRE DE LA QUALITE DES SERVICES FINANCIERS</w:t>
      </w:r>
    </w:p>
    <w:p w:rsidR="00AA63EE" w:rsidRDefault="00AA63EE" w:rsidP="00F83A03">
      <w:pPr>
        <w:spacing w:after="0" w:line="240" w:lineRule="auto"/>
        <w:ind w:right="-1054"/>
        <w:contextualSpacing/>
        <w:jc w:val="both"/>
        <w:rPr>
          <w:rFonts w:eastAsia="Univers" w:cs="Arial"/>
          <w:i/>
          <w:sz w:val="18"/>
          <w:szCs w:val="18"/>
        </w:rPr>
      </w:pPr>
      <w:r>
        <w:rPr>
          <w:rFonts w:eastAsia="Univers" w:cs="Arial"/>
          <w:i/>
          <w:sz w:val="18"/>
          <w:szCs w:val="18"/>
        </w:rPr>
        <w:t xml:space="preserve">                                                                                  Un Peuple – Un But – Une Foi</w:t>
      </w:r>
    </w:p>
    <w:p w:rsidR="00AA63EE" w:rsidRDefault="00AA63EE" w:rsidP="00F83A03">
      <w:pPr>
        <w:spacing w:after="0" w:line="240" w:lineRule="auto"/>
        <w:ind w:right="-1054"/>
        <w:contextualSpacing/>
        <w:jc w:val="both"/>
        <w:rPr>
          <w:rFonts w:eastAsia="Univers" w:cs="Arial"/>
          <w:sz w:val="16"/>
          <w:szCs w:val="12"/>
        </w:rPr>
      </w:pPr>
      <w:r>
        <w:rPr>
          <w:rFonts w:eastAsia="Univers" w:cs="Arial"/>
          <w:sz w:val="16"/>
          <w:szCs w:val="12"/>
        </w:rPr>
        <w:t xml:space="preserve">                                                                                                           ------------------</w:t>
      </w:r>
    </w:p>
    <w:p w:rsidR="00AA63EE" w:rsidRDefault="00AA63EE" w:rsidP="00F83A03">
      <w:pPr>
        <w:spacing w:after="0" w:line="240" w:lineRule="auto"/>
        <w:ind w:right="-1054"/>
        <w:contextualSpacing/>
        <w:jc w:val="both"/>
        <w:rPr>
          <w:rFonts w:eastAsia="Univers" w:cs="Arial"/>
          <w:b/>
          <w:szCs w:val="24"/>
        </w:rPr>
      </w:pPr>
      <w:r>
        <w:rPr>
          <w:rFonts w:eastAsia="Univers" w:cs="Arial"/>
          <w:b/>
          <w:szCs w:val="24"/>
        </w:rPr>
        <w:t xml:space="preserve">                                                      MINISTERE DES FINANCES ET DU BUDGET</w:t>
      </w:r>
    </w:p>
    <w:p w:rsidR="00AA63EE" w:rsidRDefault="00AA63EE" w:rsidP="00F83A03">
      <w:pPr>
        <w:spacing w:after="0" w:line="240" w:lineRule="auto"/>
        <w:ind w:right="-1054"/>
        <w:contextualSpacing/>
        <w:jc w:val="both"/>
        <w:rPr>
          <w:rFonts w:eastAsia="Univers" w:cs="Arial"/>
          <w:sz w:val="16"/>
          <w:szCs w:val="12"/>
        </w:rPr>
      </w:pPr>
      <w:r>
        <w:rPr>
          <w:rFonts w:eastAsia="Univers" w:cs="Arial"/>
          <w:sz w:val="16"/>
          <w:szCs w:val="12"/>
        </w:rPr>
        <w:t xml:space="preserve">                                                                                                            ------------------</w:t>
      </w:r>
    </w:p>
    <w:p w:rsidR="00AA63EE" w:rsidRDefault="00AA63EE" w:rsidP="00F83A03">
      <w:pPr>
        <w:spacing w:after="0" w:line="240" w:lineRule="auto"/>
        <w:ind w:right="-1054"/>
        <w:contextualSpacing/>
        <w:jc w:val="both"/>
        <w:rPr>
          <w:rFonts w:eastAsia="Univers" w:cs="Arial"/>
          <w:b/>
          <w:szCs w:val="24"/>
        </w:rPr>
      </w:pPr>
      <w:r>
        <w:rPr>
          <w:rFonts w:eastAsia="Univers" w:cs="Arial"/>
          <w:b/>
          <w:szCs w:val="24"/>
        </w:rPr>
        <w:t xml:space="preserve">                                                            OBSERVATOIRE DE LA QUALITE</w:t>
      </w:r>
    </w:p>
    <w:p w:rsidR="00AA63EE" w:rsidRDefault="00AA63EE" w:rsidP="00F83A03">
      <w:pPr>
        <w:spacing w:after="0" w:line="240" w:lineRule="auto"/>
        <w:ind w:right="-1054"/>
        <w:contextualSpacing/>
        <w:jc w:val="both"/>
        <w:rPr>
          <w:rFonts w:eastAsia="Univers" w:cs="Arial"/>
          <w:b/>
          <w:szCs w:val="24"/>
        </w:rPr>
      </w:pPr>
      <w:r>
        <w:rPr>
          <w:rFonts w:eastAsia="Univers" w:cs="Arial"/>
          <w:b/>
          <w:szCs w:val="24"/>
        </w:rPr>
        <w:t xml:space="preserve">                                                                DES SERVICES FINANCIERS</w:t>
      </w:r>
    </w:p>
    <w:p w:rsidR="00AA63EE" w:rsidRDefault="00AA63EE" w:rsidP="00F83A03">
      <w:pPr>
        <w:spacing w:after="0" w:line="240" w:lineRule="auto"/>
        <w:ind w:right="-142"/>
        <w:contextualSpacing/>
        <w:jc w:val="both"/>
        <w:rPr>
          <w:rFonts w:eastAsia="Univers" w:cs="Arial"/>
          <w:b/>
          <w:sz w:val="28"/>
        </w:rPr>
      </w:pPr>
    </w:p>
    <w:p w:rsidR="0046785F" w:rsidRPr="00E32324" w:rsidRDefault="00AA63EE" w:rsidP="00121B5F">
      <w:pPr>
        <w:jc w:val="center"/>
        <w:rPr>
          <w:sz w:val="28"/>
          <w:szCs w:val="28"/>
        </w:rPr>
      </w:pPr>
      <w:r>
        <w:rPr>
          <w:b/>
          <w:noProof/>
          <w:lang w:eastAsia="fr-FR"/>
        </w:rPr>
        <w:drawing>
          <wp:inline distT="0" distB="0" distL="0" distR="0" wp14:anchorId="7FF5C509" wp14:editId="1294ECCC">
            <wp:extent cx="723900" cy="723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6785F" w:rsidRDefault="0046785F" w:rsidP="00F83A03">
      <w:pPr>
        <w:jc w:val="both"/>
        <w:rPr>
          <w:sz w:val="28"/>
          <w:szCs w:val="28"/>
        </w:rPr>
      </w:pPr>
    </w:p>
    <w:p w:rsidR="00B7661C" w:rsidRDefault="00B7661C" w:rsidP="00F83A03">
      <w:pPr>
        <w:jc w:val="both"/>
        <w:rPr>
          <w:sz w:val="28"/>
          <w:szCs w:val="28"/>
        </w:rPr>
      </w:pPr>
    </w:p>
    <w:p w:rsidR="00B7661C" w:rsidRDefault="00AA63EE" w:rsidP="00F83A03">
      <w:pPr>
        <w:jc w:val="both"/>
        <w:rPr>
          <w:sz w:val="28"/>
          <w:szCs w:val="28"/>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307975</wp:posOffset>
                </wp:positionH>
                <wp:positionV relativeFrom="paragraph">
                  <wp:posOffset>98425</wp:posOffset>
                </wp:positionV>
                <wp:extent cx="5365750" cy="931545"/>
                <wp:effectExtent l="0" t="0" r="25400" b="400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0" cy="931545"/>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2844A3" w:rsidRPr="005A7144" w:rsidRDefault="002844A3" w:rsidP="00B7661C">
                            <w:pPr>
                              <w:tabs>
                                <w:tab w:val="left" w:pos="-720"/>
                              </w:tabs>
                              <w:suppressAutoHyphens/>
                              <w:jc w:val="center"/>
                              <w:rPr>
                                <w:rFonts w:ascii="Book Antiqua" w:hAnsi="Book Antiqua" w:cs="Arial"/>
                                <w:b/>
                                <w:bCs/>
                                <w:sz w:val="32"/>
                                <w:szCs w:val="32"/>
                              </w:rPr>
                            </w:pPr>
                            <w:r>
                              <w:rPr>
                                <w:rFonts w:ascii="Book Antiqua" w:hAnsi="Book Antiqua" w:cs="Arial"/>
                                <w:b/>
                                <w:bCs/>
                                <w:sz w:val="48"/>
                                <w:szCs w:val="48"/>
                              </w:rPr>
                              <w:t>R</w:t>
                            </w:r>
                            <w:r>
                              <w:rPr>
                                <w:rFonts w:ascii="Book Antiqua" w:hAnsi="Book Antiqua" w:cs="Arial"/>
                                <w:b/>
                                <w:bCs/>
                                <w:sz w:val="32"/>
                                <w:szCs w:val="32"/>
                              </w:rPr>
                              <w:t xml:space="preserve">APPORT </w:t>
                            </w:r>
                            <w:r>
                              <w:rPr>
                                <w:rFonts w:ascii="Book Antiqua" w:hAnsi="Book Antiqua" w:cs="Arial"/>
                                <w:b/>
                                <w:bCs/>
                                <w:sz w:val="48"/>
                                <w:szCs w:val="48"/>
                              </w:rPr>
                              <w:t>A</w:t>
                            </w:r>
                            <w:r>
                              <w:rPr>
                                <w:rFonts w:ascii="Book Antiqua" w:hAnsi="Book Antiqua" w:cs="Arial"/>
                                <w:b/>
                                <w:bCs/>
                                <w:sz w:val="32"/>
                                <w:szCs w:val="32"/>
                              </w:rPr>
                              <w:t xml:space="preserve">NNUEL DU </w:t>
                            </w:r>
                            <w:r w:rsidRPr="00B7661C">
                              <w:rPr>
                                <w:rFonts w:ascii="Book Antiqua" w:hAnsi="Book Antiqua" w:cs="Arial"/>
                                <w:b/>
                                <w:bCs/>
                                <w:sz w:val="48"/>
                                <w:szCs w:val="48"/>
                              </w:rPr>
                              <w:t>M</w:t>
                            </w:r>
                            <w:r w:rsidRPr="00B7661C">
                              <w:rPr>
                                <w:rFonts w:ascii="Book Antiqua" w:hAnsi="Book Antiqua" w:cs="Arial"/>
                                <w:b/>
                                <w:bCs/>
                                <w:sz w:val="32"/>
                                <w:szCs w:val="32"/>
                              </w:rPr>
                              <w:t>EDIATEUR</w:t>
                            </w:r>
                            <w:r>
                              <w:rPr>
                                <w:rFonts w:ascii="Book Antiqua" w:hAnsi="Book Antiqua" w:cs="Arial"/>
                                <w:b/>
                                <w:bCs/>
                                <w:sz w:val="32"/>
                                <w:szCs w:val="32"/>
                              </w:rPr>
                              <w:t xml:space="preserve"> DES</w:t>
                            </w:r>
                            <w:r w:rsidRPr="00B7661C">
                              <w:rPr>
                                <w:rFonts w:ascii="Book Antiqua" w:hAnsi="Book Antiqua" w:cs="Arial"/>
                                <w:b/>
                                <w:bCs/>
                                <w:sz w:val="48"/>
                                <w:szCs w:val="48"/>
                              </w:rPr>
                              <w:t xml:space="preserve"> A</w:t>
                            </w:r>
                            <w:r w:rsidRPr="00B7661C">
                              <w:rPr>
                                <w:rFonts w:ascii="Book Antiqua" w:hAnsi="Book Antiqua" w:cs="Arial"/>
                                <w:b/>
                                <w:bCs/>
                                <w:sz w:val="32"/>
                                <w:szCs w:val="32"/>
                              </w:rPr>
                              <w:t>SSURANCES</w:t>
                            </w:r>
                          </w:p>
                          <w:p w:rsidR="002844A3" w:rsidRPr="0023330C" w:rsidRDefault="002844A3" w:rsidP="00B7661C">
                            <w:pPr>
                              <w:jc w:val="center"/>
                              <w:rPr>
                                <w:rFonts w:ascii="Book Antiqua" w:hAnsi="Book Antiqua"/>
                                <w:b/>
                                <w:sz w:val="40"/>
                              </w:rPr>
                            </w:pPr>
                            <w:r w:rsidRPr="0023330C">
                              <w:rPr>
                                <w:rFonts w:ascii="Book Antiqua" w:hAnsi="Book Antiqua"/>
                                <w:b/>
                                <w:sz w:val="32"/>
                              </w:rPr>
                              <w:t>(ESUB - 2015)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24.25pt;margin-top:7.75pt;width:422.5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" fillcolor="#95b3d7 [1940]" strokecolor="#95b3d7 [1940]" strokeweight="1pt">
                <v:fill color2="#dbe5f1 [660]" angle="135" focus="50%" type="gradient"/>
                <v:shadow on="t" color="#243f60 [1604]" opacity=".5" offset="1pt"/>
                <v:textbox>
                  <w:txbxContent>
                    <w:p w:rsidR="002844A3" w:rsidRPr="005A7144" w:rsidRDefault="002844A3" w:rsidP="00B7661C">
                      <w:pPr>
                        <w:tabs>
                          <w:tab w:val="left" w:pos="-720"/>
                        </w:tabs>
                        <w:suppressAutoHyphens/>
                        <w:jc w:val="center"/>
                        <w:rPr>
                          <w:rFonts w:ascii="Book Antiqua" w:hAnsi="Book Antiqua" w:cs="Arial"/>
                          <w:b/>
                          <w:bCs/>
                          <w:sz w:val="32"/>
                          <w:szCs w:val="32"/>
                        </w:rPr>
                      </w:pPr>
                      <w:r>
                        <w:rPr>
                          <w:rFonts w:ascii="Book Antiqua" w:hAnsi="Book Antiqua" w:cs="Arial"/>
                          <w:b/>
                          <w:bCs/>
                          <w:sz w:val="48"/>
                          <w:szCs w:val="48"/>
                        </w:rPr>
                        <w:t>R</w:t>
                      </w:r>
                      <w:r>
                        <w:rPr>
                          <w:rFonts w:ascii="Book Antiqua" w:hAnsi="Book Antiqua" w:cs="Arial"/>
                          <w:b/>
                          <w:bCs/>
                          <w:sz w:val="32"/>
                          <w:szCs w:val="32"/>
                        </w:rPr>
                        <w:t xml:space="preserve">APPORT </w:t>
                      </w:r>
                      <w:r>
                        <w:rPr>
                          <w:rFonts w:ascii="Book Antiqua" w:hAnsi="Book Antiqua" w:cs="Arial"/>
                          <w:b/>
                          <w:bCs/>
                          <w:sz w:val="48"/>
                          <w:szCs w:val="48"/>
                        </w:rPr>
                        <w:t>A</w:t>
                      </w:r>
                      <w:r>
                        <w:rPr>
                          <w:rFonts w:ascii="Book Antiqua" w:hAnsi="Book Antiqua" w:cs="Arial"/>
                          <w:b/>
                          <w:bCs/>
                          <w:sz w:val="32"/>
                          <w:szCs w:val="32"/>
                        </w:rPr>
                        <w:t xml:space="preserve">NNUEL DU </w:t>
                      </w:r>
                      <w:r w:rsidRPr="00B7661C">
                        <w:rPr>
                          <w:rFonts w:ascii="Book Antiqua" w:hAnsi="Book Antiqua" w:cs="Arial"/>
                          <w:b/>
                          <w:bCs/>
                          <w:sz w:val="48"/>
                          <w:szCs w:val="48"/>
                        </w:rPr>
                        <w:t>M</w:t>
                      </w:r>
                      <w:r w:rsidRPr="00B7661C">
                        <w:rPr>
                          <w:rFonts w:ascii="Book Antiqua" w:hAnsi="Book Antiqua" w:cs="Arial"/>
                          <w:b/>
                          <w:bCs/>
                          <w:sz w:val="32"/>
                          <w:szCs w:val="32"/>
                        </w:rPr>
                        <w:t>EDIATEUR</w:t>
                      </w:r>
                      <w:r>
                        <w:rPr>
                          <w:rFonts w:ascii="Book Antiqua" w:hAnsi="Book Antiqua" w:cs="Arial"/>
                          <w:b/>
                          <w:bCs/>
                          <w:sz w:val="32"/>
                          <w:szCs w:val="32"/>
                        </w:rPr>
                        <w:t xml:space="preserve"> DES</w:t>
                      </w:r>
                      <w:r w:rsidRPr="00B7661C">
                        <w:rPr>
                          <w:rFonts w:ascii="Book Antiqua" w:hAnsi="Book Antiqua" w:cs="Arial"/>
                          <w:b/>
                          <w:bCs/>
                          <w:sz w:val="48"/>
                          <w:szCs w:val="48"/>
                        </w:rPr>
                        <w:t xml:space="preserve"> A</w:t>
                      </w:r>
                      <w:r w:rsidRPr="00B7661C">
                        <w:rPr>
                          <w:rFonts w:ascii="Book Antiqua" w:hAnsi="Book Antiqua" w:cs="Arial"/>
                          <w:b/>
                          <w:bCs/>
                          <w:sz w:val="32"/>
                          <w:szCs w:val="32"/>
                        </w:rPr>
                        <w:t>SSURANCES</w:t>
                      </w:r>
                    </w:p>
                    <w:p w:rsidR="002844A3" w:rsidRPr="0023330C" w:rsidRDefault="002844A3" w:rsidP="00B7661C">
                      <w:pPr>
                        <w:jc w:val="center"/>
                        <w:rPr>
                          <w:rFonts w:ascii="Book Antiqua" w:hAnsi="Book Antiqua"/>
                          <w:b/>
                          <w:sz w:val="40"/>
                        </w:rPr>
                      </w:pPr>
                      <w:r w:rsidRPr="0023330C">
                        <w:rPr>
                          <w:rFonts w:ascii="Book Antiqua" w:hAnsi="Book Antiqua"/>
                          <w:b/>
                          <w:sz w:val="32"/>
                        </w:rPr>
                        <w:t>(ESUB - 2015)</w:t>
                      </w:r>
                    </w:p>
                  </w:txbxContent>
                </v:textbox>
              </v:roundrect>
            </w:pict>
          </mc:Fallback>
        </mc:AlternateContent>
      </w:r>
    </w:p>
    <w:p w:rsidR="00B7661C" w:rsidRDefault="00B7661C" w:rsidP="00F83A03">
      <w:pPr>
        <w:jc w:val="both"/>
        <w:rPr>
          <w:sz w:val="28"/>
          <w:szCs w:val="28"/>
        </w:rPr>
      </w:pPr>
    </w:p>
    <w:p w:rsidR="00B7661C" w:rsidRPr="00E32324" w:rsidRDefault="00B7661C" w:rsidP="00F83A03">
      <w:pPr>
        <w:jc w:val="both"/>
        <w:rPr>
          <w:sz w:val="28"/>
          <w:szCs w:val="28"/>
        </w:rPr>
      </w:pPr>
    </w:p>
    <w:p w:rsidR="0046785F" w:rsidRPr="00E32324" w:rsidRDefault="0046785F" w:rsidP="00F83A03">
      <w:pPr>
        <w:jc w:val="both"/>
        <w:rPr>
          <w:sz w:val="28"/>
          <w:szCs w:val="28"/>
        </w:rPr>
      </w:pPr>
    </w:p>
    <w:p w:rsidR="0046785F" w:rsidRDefault="0046785F" w:rsidP="00F83A03">
      <w:pPr>
        <w:jc w:val="both"/>
        <w:rPr>
          <w:sz w:val="28"/>
          <w:szCs w:val="28"/>
        </w:rPr>
      </w:pPr>
    </w:p>
    <w:p w:rsidR="00593E9C" w:rsidRPr="00593E9C" w:rsidRDefault="00593E9C" w:rsidP="00121B5F">
      <w:pPr>
        <w:jc w:val="center"/>
        <w:rPr>
          <w:rFonts w:ascii="Book Antiqua" w:hAnsi="Book Antiqua"/>
          <w:b/>
          <w:sz w:val="28"/>
          <w:szCs w:val="28"/>
        </w:rPr>
      </w:pPr>
      <w:r w:rsidRPr="00593E9C">
        <w:rPr>
          <w:rFonts w:ascii="Book Antiqua" w:hAnsi="Book Antiqua"/>
          <w:b/>
          <w:sz w:val="28"/>
          <w:szCs w:val="28"/>
        </w:rPr>
        <w:t>ANNEE 20</w:t>
      </w:r>
      <w:r w:rsidR="00AA63EE">
        <w:rPr>
          <w:rFonts w:ascii="Book Antiqua" w:hAnsi="Book Antiqua"/>
          <w:b/>
          <w:sz w:val="28"/>
          <w:szCs w:val="28"/>
        </w:rPr>
        <w:t>21</w:t>
      </w:r>
    </w:p>
    <w:p w:rsidR="00B14510" w:rsidRDefault="00B14510" w:rsidP="00F83A03">
      <w:pPr>
        <w:jc w:val="both"/>
        <w:rPr>
          <w:b/>
          <w:sz w:val="28"/>
          <w:szCs w:val="28"/>
        </w:rPr>
      </w:pPr>
    </w:p>
    <w:p w:rsidR="00B14510" w:rsidRDefault="00B14510" w:rsidP="00F83A03">
      <w:pPr>
        <w:jc w:val="both"/>
        <w:rPr>
          <w:b/>
          <w:sz w:val="28"/>
          <w:szCs w:val="28"/>
        </w:rPr>
      </w:pPr>
    </w:p>
    <w:p w:rsidR="00B14510" w:rsidRDefault="00B14510" w:rsidP="00F83A03">
      <w:pPr>
        <w:jc w:val="both"/>
        <w:rPr>
          <w:b/>
          <w:sz w:val="28"/>
          <w:szCs w:val="28"/>
        </w:rPr>
      </w:pPr>
    </w:p>
    <w:p w:rsidR="00B14510" w:rsidRDefault="00B14510" w:rsidP="00F83A03">
      <w:pPr>
        <w:jc w:val="both"/>
        <w:rPr>
          <w:b/>
          <w:sz w:val="28"/>
          <w:szCs w:val="28"/>
        </w:rPr>
      </w:pPr>
    </w:p>
    <w:p w:rsidR="00B14510" w:rsidRDefault="00B14510" w:rsidP="00F83A03">
      <w:pPr>
        <w:jc w:val="both"/>
        <w:rPr>
          <w:b/>
          <w:sz w:val="28"/>
          <w:szCs w:val="28"/>
        </w:rPr>
      </w:pPr>
    </w:p>
    <w:p w:rsidR="00B7661C" w:rsidRDefault="00B7661C" w:rsidP="00F83A03">
      <w:pPr>
        <w:jc w:val="both"/>
        <w:rPr>
          <w:b/>
          <w:sz w:val="28"/>
          <w:szCs w:val="28"/>
        </w:rPr>
        <w:sectPr w:rsidR="00B7661C" w:rsidSect="007310FE">
          <w:footerReference w:type="default" r:id="rId9"/>
          <w:pgSz w:w="11906" w:h="16838"/>
          <w:pgMar w:top="1417" w:right="1417" w:bottom="1417" w:left="1417" w:header="708" w:footer="708" w:gutter="0"/>
          <w:cols w:space="708"/>
          <w:docGrid w:linePitch="360"/>
        </w:sectPr>
      </w:pPr>
    </w:p>
    <w:p w:rsidR="004A78F5" w:rsidRPr="00A40A4B" w:rsidRDefault="004A78F5" w:rsidP="00F83A03">
      <w:pPr>
        <w:jc w:val="both"/>
        <w:rPr>
          <w:b/>
          <w:sz w:val="28"/>
          <w:szCs w:val="24"/>
        </w:rPr>
      </w:pPr>
      <w:bookmarkStart w:id="0" w:name="_Toc385947798"/>
      <w:bookmarkStart w:id="1" w:name="_Toc422732819"/>
      <w:r w:rsidRPr="00A40A4B">
        <w:rPr>
          <w:b/>
          <w:sz w:val="28"/>
          <w:szCs w:val="24"/>
        </w:rPr>
        <w:lastRenderedPageBreak/>
        <w:t>SOMMAIRE</w:t>
      </w:r>
    </w:p>
    <w:sdt>
      <w:sdtPr>
        <w:rPr>
          <w:rFonts w:asciiTheme="minorHAnsi" w:eastAsiaTheme="minorHAnsi" w:hAnsiTheme="minorHAnsi" w:cstheme="minorBidi"/>
          <w:color w:val="auto"/>
          <w:sz w:val="22"/>
          <w:szCs w:val="22"/>
          <w:lang w:eastAsia="en-US"/>
        </w:rPr>
        <w:id w:val="519444047"/>
        <w:docPartObj>
          <w:docPartGallery w:val="Table of Contents"/>
          <w:docPartUnique/>
        </w:docPartObj>
      </w:sdtPr>
      <w:sdtEndPr>
        <w:rPr>
          <w:b/>
          <w:bCs/>
        </w:rPr>
      </w:sdtEndPr>
      <w:sdtContent>
        <w:p w:rsidR="004A78F5" w:rsidRDefault="004A78F5" w:rsidP="00F83A03">
          <w:pPr>
            <w:pStyle w:val="En-ttedetabledesmatires"/>
            <w:jc w:val="both"/>
          </w:pPr>
        </w:p>
        <w:p w:rsidR="007B4394" w:rsidRDefault="0076468F" w:rsidP="00F83A03">
          <w:pPr>
            <w:pStyle w:val="TM1"/>
            <w:tabs>
              <w:tab w:val="right" w:leader="dot" w:pos="9350"/>
            </w:tabs>
            <w:jc w:val="both"/>
            <w:rPr>
              <w:rFonts w:eastAsiaTheme="minorEastAsia"/>
              <w:noProof/>
              <w:lang w:eastAsia="fr-FR"/>
            </w:rPr>
          </w:pPr>
          <w:r>
            <w:fldChar w:fldCharType="begin"/>
          </w:r>
          <w:r w:rsidR="004A78F5">
            <w:instrText xml:space="preserve"> TOC \o "1-3" \h \z \u </w:instrText>
          </w:r>
          <w:r>
            <w:fldChar w:fldCharType="separate"/>
          </w:r>
          <w:hyperlink w:anchor="_Toc113021111" w:history="1">
            <w:r w:rsidR="007B4394" w:rsidRPr="003764E9">
              <w:rPr>
                <w:rStyle w:val="Lienhypertexte"/>
                <w:b/>
                <w:noProof/>
              </w:rPr>
              <w:t>AVANT PROPOS</w:t>
            </w:r>
            <w:r w:rsidR="007B4394">
              <w:rPr>
                <w:noProof/>
                <w:webHidden/>
              </w:rPr>
              <w:tab/>
            </w:r>
            <w:r w:rsidR="007B4394">
              <w:rPr>
                <w:noProof/>
                <w:webHidden/>
              </w:rPr>
              <w:fldChar w:fldCharType="begin"/>
            </w:r>
            <w:r w:rsidR="007B4394">
              <w:rPr>
                <w:noProof/>
                <w:webHidden/>
              </w:rPr>
              <w:instrText xml:space="preserve"> PAGEREF _Toc113021111 \h </w:instrText>
            </w:r>
            <w:r w:rsidR="007B4394">
              <w:rPr>
                <w:noProof/>
                <w:webHidden/>
              </w:rPr>
            </w:r>
            <w:r w:rsidR="007B4394">
              <w:rPr>
                <w:noProof/>
                <w:webHidden/>
              </w:rPr>
              <w:fldChar w:fldCharType="separate"/>
            </w:r>
            <w:r w:rsidR="00825217">
              <w:rPr>
                <w:noProof/>
                <w:webHidden/>
              </w:rPr>
              <w:t>3</w:t>
            </w:r>
            <w:r w:rsidR="007B4394">
              <w:rPr>
                <w:noProof/>
                <w:webHidden/>
              </w:rPr>
              <w:fldChar w:fldCharType="end"/>
            </w:r>
          </w:hyperlink>
        </w:p>
        <w:p w:rsidR="007B4394" w:rsidRDefault="002844A3" w:rsidP="00F83A03">
          <w:pPr>
            <w:pStyle w:val="TM1"/>
            <w:tabs>
              <w:tab w:val="left" w:pos="440"/>
              <w:tab w:val="right" w:leader="dot" w:pos="9350"/>
            </w:tabs>
            <w:jc w:val="both"/>
            <w:rPr>
              <w:rFonts w:eastAsiaTheme="minorEastAsia"/>
              <w:noProof/>
              <w:lang w:eastAsia="fr-FR"/>
            </w:rPr>
          </w:pPr>
          <w:hyperlink w:anchor="_Toc113021112" w:history="1">
            <w:r w:rsidR="007B4394" w:rsidRPr="003764E9">
              <w:rPr>
                <w:rStyle w:val="Lienhypertexte"/>
                <w:b/>
                <w:noProof/>
              </w:rPr>
              <w:t>I-</w:t>
            </w:r>
            <w:r w:rsidR="007B4394">
              <w:rPr>
                <w:rFonts w:eastAsiaTheme="minorEastAsia"/>
                <w:noProof/>
                <w:lang w:eastAsia="fr-FR"/>
              </w:rPr>
              <w:tab/>
            </w:r>
            <w:r w:rsidR="007B4394" w:rsidRPr="003764E9">
              <w:rPr>
                <w:rStyle w:val="Lienhypertexte"/>
                <w:b/>
                <w:noProof/>
              </w:rPr>
              <w:t>Rappel des missions du Médiateur des Assurances</w:t>
            </w:r>
            <w:r w:rsidR="007B4394">
              <w:rPr>
                <w:noProof/>
                <w:webHidden/>
              </w:rPr>
              <w:tab/>
            </w:r>
            <w:r w:rsidR="007B4394">
              <w:rPr>
                <w:noProof/>
                <w:webHidden/>
              </w:rPr>
              <w:fldChar w:fldCharType="begin"/>
            </w:r>
            <w:r w:rsidR="007B4394">
              <w:rPr>
                <w:noProof/>
                <w:webHidden/>
              </w:rPr>
              <w:instrText xml:space="preserve"> PAGEREF _Toc113021112 \h </w:instrText>
            </w:r>
            <w:r w:rsidR="007B4394">
              <w:rPr>
                <w:noProof/>
                <w:webHidden/>
              </w:rPr>
            </w:r>
            <w:r w:rsidR="007B4394">
              <w:rPr>
                <w:noProof/>
                <w:webHidden/>
              </w:rPr>
              <w:fldChar w:fldCharType="separate"/>
            </w:r>
            <w:r w:rsidR="00825217">
              <w:rPr>
                <w:noProof/>
                <w:webHidden/>
              </w:rPr>
              <w:t>6</w:t>
            </w:r>
            <w:r w:rsidR="007B4394">
              <w:rPr>
                <w:noProof/>
                <w:webHidden/>
              </w:rPr>
              <w:fldChar w:fldCharType="end"/>
            </w:r>
          </w:hyperlink>
        </w:p>
        <w:p w:rsidR="007B4394" w:rsidRDefault="002844A3" w:rsidP="00F83A03">
          <w:pPr>
            <w:pStyle w:val="TM2"/>
            <w:tabs>
              <w:tab w:val="left" w:pos="880"/>
              <w:tab w:val="right" w:leader="dot" w:pos="9350"/>
            </w:tabs>
            <w:jc w:val="both"/>
            <w:rPr>
              <w:rFonts w:eastAsiaTheme="minorEastAsia"/>
              <w:noProof/>
              <w:lang w:eastAsia="fr-FR"/>
            </w:rPr>
          </w:pPr>
          <w:hyperlink w:anchor="_Toc113021113" w:history="1">
            <w:r w:rsidR="007B4394" w:rsidRPr="003764E9">
              <w:rPr>
                <w:rStyle w:val="Lienhypertexte"/>
                <w:b/>
                <w:noProof/>
              </w:rPr>
              <w:t>1.1.</w:t>
            </w:r>
            <w:r w:rsidR="007B4394">
              <w:rPr>
                <w:rFonts w:eastAsiaTheme="minorEastAsia"/>
                <w:noProof/>
                <w:lang w:eastAsia="fr-FR"/>
              </w:rPr>
              <w:tab/>
            </w:r>
            <w:r w:rsidR="007B4394" w:rsidRPr="003764E9">
              <w:rPr>
                <w:rStyle w:val="Lienhypertexte"/>
                <w:b/>
                <w:noProof/>
              </w:rPr>
              <w:t>Attributions du Médiateur</w:t>
            </w:r>
            <w:r w:rsidR="007B4394">
              <w:rPr>
                <w:noProof/>
                <w:webHidden/>
              </w:rPr>
              <w:tab/>
            </w:r>
            <w:r w:rsidR="007B4394">
              <w:rPr>
                <w:noProof/>
                <w:webHidden/>
              </w:rPr>
              <w:fldChar w:fldCharType="begin"/>
            </w:r>
            <w:r w:rsidR="007B4394">
              <w:rPr>
                <w:noProof/>
                <w:webHidden/>
              </w:rPr>
              <w:instrText xml:space="preserve"> PAGEREF _Toc113021113 \h </w:instrText>
            </w:r>
            <w:r w:rsidR="007B4394">
              <w:rPr>
                <w:noProof/>
                <w:webHidden/>
              </w:rPr>
            </w:r>
            <w:r w:rsidR="007B4394">
              <w:rPr>
                <w:noProof/>
                <w:webHidden/>
              </w:rPr>
              <w:fldChar w:fldCharType="separate"/>
            </w:r>
            <w:r w:rsidR="00825217">
              <w:rPr>
                <w:noProof/>
                <w:webHidden/>
              </w:rPr>
              <w:t>6</w:t>
            </w:r>
            <w:r w:rsidR="007B4394">
              <w:rPr>
                <w:noProof/>
                <w:webHidden/>
              </w:rPr>
              <w:fldChar w:fldCharType="end"/>
            </w:r>
          </w:hyperlink>
        </w:p>
        <w:p w:rsidR="007B4394" w:rsidRDefault="002844A3" w:rsidP="00F83A03">
          <w:pPr>
            <w:pStyle w:val="TM2"/>
            <w:tabs>
              <w:tab w:val="left" w:pos="880"/>
              <w:tab w:val="right" w:leader="dot" w:pos="9350"/>
            </w:tabs>
            <w:jc w:val="both"/>
            <w:rPr>
              <w:rFonts w:eastAsiaTheme="minorEastAsia"/>
              <w:noProof/>
              <w:lang w:eastAsia="fr-FR"/>
            </w:rPr>
          </w:pPr>
          <w:hyperlink w:anchor="_Toc113021114" w:history="1">
            <w:r w:rsidR="007B4394" w:rsidRPr="003764E9">
              <w:rPr>
                <w:rStyle w:val="Lienhypertexte"/>
                <w:b/>
                <w:noProof/>
              </w:rPr>
              <w:t>1.2.</w:t>
            </w:r>
            <w:r w:rsidR="007B4394">
              <w:rPr>
                <w:rFonts w:eastAsiaTheme="minorEastAsia"/>
                <w:noProof/>
                <w:lang w:eastAsia="fr-FR"/>
              </w:rPr>
              <w:tab/>
            </w:r>
            <w:r w:rsidR="007B4394" w:rsidRPr="003764E9">
              <w:rPr>
                <w:rStyle w:val="Lienhypertexte"/>
                <w:b/>
                <w:noProof/>
              </w:rPr>
              <w:t>Organisation de la médiation des assurances</w:t>
            </w:r>
            <w:r w:rsidR="007B4394">
              <w:rPr>
                <w:noProof/>
                <w:webHidden/>
              </w:rPr>
              <w:tab/>
            </w:r>
            <w:r w:rsidR="007B4394">
              <w:rPr>
                <w:noProof/>
                <w:webHidden/>
              </w:rPr>
              <w:fldChar w:fldCharType="begin"/>
            </w:r>
            <w:r w:rsidR="007B4394">
              <w:rPr>
                <w:noProof/>
                <w:webHidden/>
              </w:rPr>
              <w:instrText xml:space="preserve"> PAGEREF _Toc113021114 \h </w:instrText>
            </w:r>
            <w:r w:rsidR="007B4394">
              <w:rPr>
                <w:noProof/>
                <w:webHidden/>
              </w:rPr>
            </w:r>
            <w:r w:rsidR="007B4394">
              <w:rPr>
                <w:noProof/>
                <w:webHidden/>
              </w:rPr>
              <w:fldChar w:fldCharType="separate"/>
            </w:r>
            <w:r w:rsidR="00825217">
              <w:rPr>
                <w:noProof/>
                <w:webHidden/>
              </w:rPr>
              <w:t>7</w:t>
            </w:r>
            <w:r w:rsidR="007B4394">
              <w:rPr>
                <w:noProof/>
                <w:webHidden/>
              </w:rPr>
              <w:fldChar w:fldCharType="end"/>
            </w:r>
          </w:hyperlink>
        </w:p>
        <w:p w:rsidR="007B4394" w:rsidRDefault="002844A3" w:rsidP="00F83A03">
          <w:pPr>
            <w:pStyle w:val="TM3"/>
            <w:tabs>
              <w:tab w:val="left" w:pos="1320"/>
              <w:tab w:val="right" w:leader="dot" w:pos="9350"/>
            </w:tabs>
            <w:jc w:val="both"/>
            <w:rPr>
              <w:rFonts w:eastAsiaTheme="minorEastAsia"/>
              <w:noProof/>
              <w:lang w:eastAsia="fr-FR"/>
            </w:rPr>
          </w:pPr>
          <w:hyperlink w:anchor="_Toc113021115" w:history="1">
            <w:r w:rsidR="007B4394" w:rsidRPr="003764E9">
              <w:rPr>
                <w:rStyle w:val="Lienhypertexte"/>
                <w:b/>
                <w:noProof/>
              </w:rPr>
              <w:t>1.2.1.</w:t>
            </w:r>
            <w:r w:rsidR="007B4394">
              <w:rPr>
                <w:rFonts w:eastAsiaTheme="minorEastAsia"/>
                <w:noProof/>
                <w:lang w:eastAsia="fr-FR"/>
              </w:rPr>
              <w:tab/>
            </w:r>
            <w:r w:rsidR="007B4394" w:rsidRPr="003764E9">
              <w:rPr>
                <w:rStyle w:val="Lienhypertexte"/>
                <w:b/>
                <w:noProof/>
              </w:rPr>
              <w:t>Voies de saisine du Médiateur</w:t>
            </w:r>
            <w:r w:rsidR="007B4394">
              <w:rPr>
                <w:noProof/>
                <w:webHidden/>
              </w:rPr>
              <w:tab/>
            </w:r>
            <w:r w:rsidR="007B4394">
              <w:rPr>
                <w:noProof/>
                <w:webHidden/>
              </w:rPr>
              <w:fldChar w:fldCharType="begin"/>
            </w:r>
            <w:r w:rsidR="007B4394">
              <w:rPr>
                <w:noProof/>
                <w:webHidden/>
              </w:rPr>
              <w:instrText xml:space="preserve"> PAGEREF _Toc113021115 \h </w:instrText>
            </w:r>
            <w:r w:rsidR="007B4394">
              <w:rPr>
                <w:noProof/>
                <w:webHidden/>
              </w:rPr>
            </w:r>
            <w:r w:rsidR="007B4394">
              <w:rPr>
                <w:noProof/>
                <w:webHidden/>
              </w:rPr>
              <w:fldChar w:fldCharType="separate"/>
            </w:r>
            <w:r w:rsidR="00825217">
              <w:rPr>
                <w:noProof/>
                <w:webHidden/>
              </w:rPr>
              <w:t>7</w:t>
            </w:r>
            <w:r w:rsidR="007B4394">
              <w:rPr>
                <w:noProof/>
                <w:webHidden/>
              </w:rPr>
              <w:fldChar w:fldCharType="end"/>
            </w:r>
          </w:hyperlink>
        </w:p>
        <w:p w:rsidR="007B4394" w:rsidRDefault="002844A3" w:rsidP="00F83A03">
          <w:pPr>
            <w:pStyle w:val="TM1"/>
            <w:tabs>
              <w:tab w:val="left" w:pos="440"/>
              <w:tab w:val="right" w:leader="dot" w:pos="9350"/>
            </w:tabs>
            <w:jc w:val="both"/>
            <w:rPr>
              <w:rFonts w:eastAsiaTheme="minorEastAsia"/>
              <w:noProof/>
              <w:lang w:eastAsia="fr-FR"/>
            </w:rPr>
          </w:pPr>
          <w:hyperlink w:anchor="_Toc113021116" w:history="1">
            <w:r w:rsidR="007B4394" w:rsidRPr="003764E9">
              <w:rPr>
                <w:rStyle w:val="Lienhypertexte"/>
                <w:b/>
                <w:noProof/>
              </w:rPr>
              <w:t>II-</w:t>
            </w:r>
            <w:r w:rsidR="007B4394">
              <w:rPr>
                <w:rFonts w:eastAsiaTheme="minorEastAsia"/>
                <w:noProof/>
                <w:lang w:eastAsia="fr-FR"/>
              </w:rPr>
              <w:tab/>
            </w:r>
            <w:r w:rsidR="007B4394" w:rsidRPr="003764E9">
              <w:rPr>
                <w:rStyle w:val="Lienhypertexte"/>
                <w:b/>
                <w:noProof/>
              </w:rPr>
              <w:t>Bilan annuel de la médiation</w:t>
            </w:r>
            <w:r w:rsidR="007B4394">
              <w:rPr>
                <w:noProof/>
                <w:webHidden/>
              </w:rPr>
              <w:tab/>
            </w:r>
            <w:r w:rsidR="007B4394">
              <w:rPr>
                <w:noProof/>
                <w:webHidden/>
              </w:rPr>
              <w:fldChar w:fldCharType="begin"/>
            </w:r>
            <w:r w:rsidR="007B4394">
              <w:rPr>
                <w:noProof/>
                <w:webHidden/>
              </w:rPr>
              <w:instrText xml:space="preserve"> PAGEREF _Toc113021116 \h </w:instrText>
            </w:r>
            <w:r w:rsidR="007B4394">
              <w:rPr>
                <w:noProof/>
                <w:webHidden/>
              </w:rPr>
            </w:r>
            <w:r w:rsidR="007B4394">
              <w:rPr>
                <w:noProof/>
                <w:webHidden/>
              </w:rPr>
              <w:fldChar w:fldCharType="separate"/>
            </w:r>
            <w:r w:rsidR="00825217">
              <w:rPr>
                <w:noProof/>
                <w:webHidden/>
              </w:rPr>
              <w:t>8</w:t>
            </w:r>
            <w:r w:rsidR="007B4394">
              <w:rPr>
                <w:noProof/>
                <w:webHidden/>
              </w:rPr>
              <w:fldChar w:fldCharType="end"/>
            </w:r>
          </w:hyperlink>
        </w:p>
        <w:p w:rsidR="007B4394" w:rsidRDefault="002844A3" w:rsidP="00F83A03">
          <w:pPr>
            <w:pStyle w:val="TM2"/>
            <w:tabs>
              <w:tab w:val="left" w:pos="880"/>
              <w:tab w:val="right" w:leader="dot" w:pos="9350"/>
            </w:tabs>
            <w:jc w:val="both"/>
            <w:rPr>
              <w:rFonts w:eastAsiaTheme="minorEastAsia"/>
              <w:noProof/>
              <w:lang w:eastAsia="fr-FR"/>
            </w:rPr>
          </w:pPr>
          <w:hyperlink w:anchor="_Toc113021117" w:history="1">
            <w:r w:rsidR="007B4394" w:rsidRPr="003764E9">
              <w:rPr>
                <w:rStyle w:val="Lienhypertexte"/>
                <w:b/>
                <w:noProof/>
              </w:rPr>
              <w:t>2.1.</w:t>
            </w:r>
            <w:r w:rsidR="007B4394">
              <w:rPr>
                <w:rFonts w:eastAsiaTheme="minorEastAsia"/>
                <w:noProof/>
                <w:lang w:eastAsia="fr-FR"/>
              </w:rPr>
              <w:tab/>
            </w:r>
            <w:r w:rsidR="007B4394" w:rsidRPr="003764E9">
              <w:rPr>
                <w:rStyle w:val="Lienhypertexte"/>
                <w:b/>
                <w:noProof/>
              </w:rPr>
              <w:t>L’évolution des saisines</w:t>
            </w:r>
            <w:r w:rsidR="007B4394">
              <w:rPr>
                <w:noProof/>
                <w:webHidden/>
              </w:rPr>
              <w:tab/>
            </w:r>
            <w:r w:rsidR="007B4394">
              <w:rPr>
                <w:noProof/>
                <w:webHidden/>
              </w:rPr>
              <w:fldChar w:fldCharType="begin"/>
            </w:r>
            <w:r w:rsidR="007B4394">
              <w:rPr>
                <w:noProof/>
                <w:webHidden/>
              </w:rPr>
              <w:instrText xml:space="preserve"> PAGEREF _Toc113021117 \h </w:instrText>
            </w:r>
            <w:r w:rsidR="007B4394">
              <w:rPr>
                <w:noProof/>
                <w:webHidden/>
              </w:rPr>
            </w:r>
            <w:r w:rsidR="007B4394">
              <w:rPr>
                <w:noProof/>
                <w:webHidden/>
              </w:rPr>
              <w:fldChar w:fldCharType="separate"/>
            </w:r>
            <w:r w:rsidR="00825217">
              <w:rPr>
                <w:noProof/>
                <w:webHidden/>
              </w:rPr>
              <w:t>8</w:t>
            </w:r>
            <w:r w:rsidR="007B4394">
              <w:rPr>
                <w:noProof/>
                <w:webHidden/>
              </w:rPr>
              <w:fldChar w:fldCharType="end"/>
            </w:r>
          </w:hyperlink>
        </w:p>
        <w:p w:rsidR="007B4394" w:rsidRDefault="002844A3" w:rsidP="00F83A03">
          <w:pPr>
            <w:pStyle w:val="TM2"/>
            <w:tabs>
              <w:tab w:val="right" w:leader="dot" w:pos="9350"/>
            </w:tabs>
            <w:jc w:val="both"/>
            <w:rPr>
              <w:rFonts w:eastAsiaTheme="minorEastAsia"/>
              <w:noProof/>
              <w:lang w:eastAsia="fr-FR"/>
            </w:rPr>
          </w:pPr>
          <w:hyperlink w:anchor="_Toc113021118" w:history="1">
            <w:r w:rsidR="007B4394" w:rsidRPr="003764E9">
              <w:rPr>
                <w:rStyle w:val="Lienhypertexte"/>
                <w:rFonts w:ascii="Book Antiqua" w:eastAsia="Book Antiqua" w:hAnsi="Book Antiqua" w:cs="Book Antiqua"/>
                <w:i/>
                <w:noProof/>
              </w:rPr>
              <w:t>Tableau 1: Evolution du nombre de saisines par branche</w:t>
            </w:r>
            <w:r w:rsidR="007B4394">
              <w:rPr>
                <w:noProof/>
                <w:webHidden/>
              </w:rPr>
              <w:tab/>
            </w:r>
            <w:r w:rsidR="007B4394">
              <w:rPr>
                <w:noProof/>
                <w:webHidden/>
              </w:rPr>
              <w:fldChar w:fldCharType="begin"/>
            </w:r>
            <w:r w:rsidR="007B4394">
              <w:rPr>
                <w:noProof/>
                <w:webHidden/>
              </w:rPr>
              <w:instrText xml:space="preserve"> PAGEREF _Toc113021118 \h </w:instrText>
            </w:r>
            <w:r w:rsidR="007B4394">
              <w:rPr>
                <w:noProof/>
                <w:webHidden/>
              </w:rPr>
            </w:r>
            <w:r w:rsidR="007B4394">
              <w:rPr>
                <w:noProof/>
                <w:webHidden/>
              </w:rPr>
              <w:fldChar w:fldCharType="separate"/>
            </w:r>
            <w:r w:rsidR="00825217">
              <w:rPr>
                <w:noProof/>
                <w:webHidden/>
              </w:rPr>
              <w:t>9</w:t>
            </w:r>
            <w:r w:rsidR="007B4394">
              <w:rPr>
                <w:noProof/>
                <w:webHidden/>
              </w:rPr>
              <w:fldChar w:fldCharType="end"/>
            </w:r>
          </w:hyperlink>
        </w:p>
        <w:p w:rsidR="007B4394" w:rsidRDefault="002844A3" w:rsidP="00F83A03">
          <w:pPr>
            <w:pStyle w:val="TM3"/>
            <w:tabs>
              <w:tab w:val="left" w:pos="1320"/>
              <w:tab w:val="right" w:leader="dot" w:pos="9350"/>
            </w:tabs>
            <w:jc w:val="both"/>
            <w:rPr>
              <w:rFonts w:eastAsiaTheme="minorEastAsia"/>
              <w:noProof/>
              <w:lang w:eastAsia="fr-FR"/>
            </w:rPr>
          </w:pPr>
          <w:hyperlink w:anchor="_Toc113021119" w:history="1">
            <w:r w:rsidR="007B4394" w:rsidRPr="003764E9">
              <w:rPr>
                <w:rStyle w:val="Lienhypertexte"/>
                <w:b/>
                <w:noProof/>
              </w:rPr>
              <w:t>2.1.1.</w:t>
            </w:r>
            <w:r w:rsidR="007B4394">
              <w:rPr>
                <w:rFonts w:eastAsiaTheme="minorEastAsia"/>
                <w:noProof/>
                <w:lang w:eastAsia="fr-FR"/>
              </w:rPr>
              <w:tab/>
            </w:r>
            <w:r w:rsidR="007B4394" w:rsidRPr="003764E9">
              <w:rPr>
                <w:rStyle w:val="Lienhypertexte"/>
                <w:b/>
                <w:noProof/>
              </w:rPr>
              <w:t>Traits marquants des saisines de la branche IART</w:t>
            </w:r>
            <w:r w:rsidR="007B4394">
              <w:rPr>
                <w:noProof/>
                <w:webHidden/>
              </w:rPr>
              <w:tab/>
            </w:r>
            <w:r w:rsidR="007B4394">
              <w:rPr>
                <w:noProof/>
                <w:webHidden/>
              </w:rPr>
              <w:fldChar w:fldCharType="begin"/>
            </w:r>
            <w:r w:rsidR="007B4394">
              <w:rPr>
                <w:noProof/>
                <w:webHidden/>
              </w:rPr>
              <w:instrText xml:space="preserve"> PAGEREF _Toc113021119 \h </w:instrText>
            </w:r>
            <w:r w:rsidR="007B4394">
              <w:rPr>
                <w:noProof/>
                <w:webHidden/>
              </w:rPr>
            </w:r>
            <w:r w:rsidR="007B4394">
              <w:rPr>
                <w:noProof/>
                <w:webHidden/>
              </w:rPr>
              <w:fldChar w:fldCharType="separate"/>
            </w:r>
            <w:r w:rsidR="00825217">
              <w:rPr>
                <w:noProof/>
                <w:webHidden/>
              </w:rPr>
              <w:t>10</w:t>
            </w:r>
            <w:r w:rsidR="007B4394">
              <w:rPr>
                <w:noProof/>
                <w:webHidden/>
              </w:rPr>
              <w:fldChar w:fldCharType="end"/>
            </w:r>
          </w:hyperlink>
        </w:p>
        <w:p w:rsidR="007B4394" w:rsidRDefault="002844A3" w:rsidP="00F83A03">
          <w:pPr>
            <w:pStyle w:val="TM3"/>
            <w:tabs>
              <w:tab w:val="left" w:pos="880"/>
              <w:tab w:val="right" w:leader="dot" w:pos="9350"/>
            </w:tabs>
            <w:jc w:val="both"/>
            <w:rPr>
              <w:rFonts w:eastAsiaTheme="minorEastAsia"/>
              <w:noProof/>
              <w:lang w:eastAsia="fr-FR"/>
            </w:rPr>
          </w:pPr>
          <w:hyperlink w:anchor="_Toc113021120" w:history="1">
            <w:r w:rsidR="007B4394" w:rsidRPr="003764E9">
              <w:rPr>
                <w:rStyle w:val="Lienhypertexte"/>
                <w:b/>
                <w:noProof/>
              </w:rPr>
              <w:t>.</w:t>
            </w:r>
            <w:r w:rsidR="007B4394">
              <w:rPr>
                <w:rFonts w:eastAsiaTheme="minorEastAsia"/>
                <w:noProof/>
                <w:lang w:eastAsia="fr-FR"/>
              </w:rPr>
              <w:tab/>
            </w:r>
            <w:r w:rsidR="007B4394" w:rsidRPr="003764E9">
              <w:rPr>
                <w:rStyle w:val="Lienhypertexte"/>
                <w:b/>
                <w:noProof/>
              </w:rPr>
              <w:t>Traits marquants des saisines de la branche VIE</w:t>
            </w:r>
            <w:r w:rsidR="007B4394">
              <w:rPr>
                <w:noProof/>
                <w:webHidden/>
              </w:rPr>
              <w:tab/>
            </w:r>
            <w:r w:rsidR="007B4394">
              <w:rPr>
                <w:noProof/>
                <w:webHidden/>
              </w:rPr>
              <w:fldChar w:fldCharType="begin"/>
            </w:r>
            <w:r w:rsidR="007B4394">
              <w:rPr>
                <w:noProof/>
                <w:webHidden/>
              </w:rPr>
              <w:instrText xml:space="preserve"> PAGEREF _Toc113021120 \h </w:instrText>
            </w:r>
            <w:r w:rsidR="007B4394">
              <w:rPr>
                <w:noProof/>
                <w:webHidden/>
              </w:rPr>
            </w:r>
            <w:r w:rsidR="007B4394">
              <w:rPr>
                <w:noProof/>
                <w:webHidden/>
              </w:rPr>
              <w:fldChar w:fldCharType="separate"/>
            </w:r>
            <w:r w:rsidR="00825217">
              <w:rPr>
                <w:noProof/>
                <w:webHidden/>
              </w:rPr>
              <w:t>13</w:t>
            </w:r>
            <w:r w:rsidR="007B4394">
              <w:rPr>
                <w:noProof/>
                <w:webHidden/>
              </w:rPr>
              <w:fldChar w:fldCharType="end"/>
            </w:r>
          </w:hyperlink>
        </w:p>
        <w:p w:rsidR="007B4394" w:rsidRDefault="002844A3" w:rsidP="00F83A03">
          <w:pPr>
            <w:pStyle w:val="TM2"/>
            <w:tabs>
              <w:tab w:val="left" w:pos="880"/>
              <w:tab w:val="right" w:leader="dot" w:pos="9350"/>
            </w:tabs>
            <w:jc w:val="both"/>
            <w:rPr>
              <w:rFonts w:eastAsiaTheme="minorEastAsia"/>
              <w:noProof/>
              <w:lang w:eastAsia="fr-FR"/>
            </w:rPr>
          </w:pPr>
          <w:hyperlink w:anchor="_Toc113021121" w:history="1">
            <w:r w:rsidR="007B4394" w:rsidRPr="003764E9">
              <w:rPr>
                <w:rStyle w:val="Lienhypertexte"/>
                <w:b/>
                <w:noProof/>
              </w:rPr>
              <w:t>2.2.</w:t>
            </w:r>
            <w:r w:rsidR="007B4394">
              <w:rPr>
                <w:rFonts w:eastAsiaTheme="minorEastAsia"/>
                <w:noProof/>
                <w:lang w:eastAsia="fr-FR"/>
              </w:rPr>
              <w:tab/>
            </w:r>
            <w:r w:rsidR="007B4394" w:rsidRPr="003764E9">
              <w:rPr>
                <w:rStyle w:val="Lienhypertexte"/>
                <w:b/>
                <w:noProof/>
              </w:rPr>
              <w:t>Traits caractéristiques des saisines de l’année</w:t>
            </w:r>
            <w:r w:rsidR="007B4394">
              <w:rPr>
                <w:noProof/>
                <w:webHidden/>
              </w:rPr>
              <w:tab/>
            </w:r>
            <w:r w:rsidR="007B4394">
              <w:rPr>
                <w:noProof/>
                <w:webHidden/>
              </w:rPr>
              <w:fldChar w:fldCharType="begin"/>
            </w:r>
            <w:r w:rsidR="007B4394">
              <w:rPr>
                <w:noProof/>
                <w:webHidden/>
              </w:rPr>
              <w:instrText xml:space="preserve"> PAGEREF _Toc113021121 \h </w:instrText>
            </w:r>
            <w:r w:rsidR="007B4394">
              <w:rPr>
                <w:noProof/>
                <w:webHidden/>
              </w:rPr>
            </w:r>
            <w:r w:rsidR="007B4394">
              <w:rPr>
                <w:noProof/>
                <w:webHidden/>
              </w:rPr>
              <w:fldChar w:fldCharType="separate"/>
            </w:r>
            <w:r w:rsidR="00825217">
              <w:rPr>
                <w:noProof/>
                <w:webHidden/>
              </w:rPr>
              <w:t>13</w:t>
            </w:r>
            <w:r w:rsidR="007B4394">
              <w:rPr>
                <w:noProof/>
                <w:webHidden/>
              </w:rPr>
              <w:fldChar w:fldCharType="end"/>
            </w:r>
          </w:hyperlink>
        </w:p>
        <w:p w:rsidR="007B4394" w:rsidRDefault="002844A3" w:rsidP="00F83A03">
          <w:pPr>
            <w:pStyle w:val="TM3"/>
            <w:tabs>
              <w:tab w:val="left" w:pos="1320"/>
              <w:tab w:val="right" w:leader="dot" w:pos="9350"/>
            </w:tabs>
            <w:jc w:val="both"/>
            <w:rPr>
              <w:rFonts w:eastAsiaTheme="minorEastAsia"/>
              <w:noProof/>
              <w:lang w:eastAsia="fr-FR"/>
            </w:rPr>
          </w:pPr>
          <w:hyperlink w:anchor="_Toc113021122" w:history="1">
            <w:r w:rsidR="007B4394" w:rsidRPr="003764E9">
              <w:rPr>
                <w:rStyle w:val="Lienhypertexte"/>
                <w:b/>
                <w:noProof/>
              </w:rPr>
              <w:t>2.2.1.</w:t>
            </w:r>
            <w:r w:rsidR="007B4394">
              <w:rPr>
                <w:rFonts w:eastAsiaTheme="minorEastAsia"/>
                <w:noProof/>
                <w:lang w:eastAsia="fr-FR"/>
              </w:rPr>
              <w:tab/>
            </w:r>
            <w:r w:rsidR="007B4394" w:rsidRPr="003764E9">
              <w:rPr>
                <w:rStyle w:val="Lienhypertexte"/>
                <w:b/>
                <w:noProof/>
              </w:rPr>
              <w:t>Profil des réclamants</w:t>
            </w:r>
            <w:r w:rsidR="007B4394">
              <w:rPr>
                <w:noProof/>
                <w:webHidden/>
              </w:rPr>
              <w:tab/>
            </w:r>
            <w:r w:rsidR="007B4394">
              <w:rPr>
                <w:noProof/>
                <w:webHidden/>
              </w:rPr>
              <w:fldChar w:fldCharType="begin"/>
            </w:r>
            <w:r w:rsidR="007B4394">
              <w:rPr>
                <w:noProof/>
                <w:webHidden/>
              </w:rPr>
              <w:instrText xml:space="preserve"> PAGEREF _Toc113021122 \h </w:instrText>
            </w:r>
            <w:r w:rsidR="007B4394">
              <w:rPr>
                <w:noProof/>
                <w:webHidden/>
              </w:rPr>
            </w:r>
            <w:r w:rsidR="007B4394">
              <w:rPr>
                <w:noProof/>
                <w:webHidden/>
              </w:rPr>
              <w:fldChar w:fldCharType="separate"/>
            </w:r>
            <w:r w:rsidR="00825217">
              <w:rPr>
                <w:noProof/>
                <w:webHidden/>
              </w:rPr>
              <w:t>13</w:t>
            </w:r>
            <w:r w:rsidR="007B4394">
              <w:rPr>
                <w:noProof/>
                <w:webHidden/>
              </w:rPr>
              <w:fldChar w:fldCharType="end"/>
            </w:r>
          </w:hyperlink>
        </w:p>
        <w:p w:rsidR="007B4394" w:rsidRDefault="002844A3" w:rsidP="00F83A03">
          <w:pPr>
            <w:pStyle w:val="TM3"/>
            <w:tabs>
              <w:tab w:val="right" w:leader="dot" w:pos="9350"/>
            </w:tabs>
            <w:jc w:val="both"/>
            <w:rPr>
              <w:rFonts w:eastAsiaTheme="minorEastAsia"/>
              <w:noProof/>
              <w:lang w:eastAsia="fr-FR"/>
            </w:rPr>
          </w:pPr>
          <w:hyperlink w:anchor="_Toc113021123" w:history="1">
            <w:r w:rsidR="007B4394" w:rsidRPr="003764E9">
              <w:rPr>
                <w:rStyle w:val="Lienhypertexte"/>
                <w:rFonts w:ascii="Book Antiqua" w:eastAsia="Book Antiqua" w:hAnsi="Book Antiqua" w:cs="Book Antiqua"/>
                <w:b/>
                <w:i/>
                <w:noProof/>
              </w:rPr>
              <w:t xml:space="preserve">Tableau </w:t>
            </w:r>
            <w:r w:rsidR="0041515E">
              <w:rPr>
                <w:rStyle w:val="Lienhypertexte"/>
                <w:rFonts w:ascii="Book Antiqua" w:eastAsia="Book Antiqua" w:hAnsi="Book Antiqua" w:cs="Book Antiqua"/>
                <w:b/>
                <w:i/>
                <w:noProof/>
              </w:rPr>
              <w:t>2</w:t>
            </w:r>
            <w:r w:rsidR="007B4394" w:rsidRPr="003764E9">
              <w:rPr>
                <w:rStyle w:val="Lienhypertexte"/>
                <w:rFonts w:ascii="Book Antiqua" w:eastAsia="Book Antiqua" w:hAnsi="Book Antiqua" w:cs="Book Antiqua"/>
                <w:b/>
                <w:i/>
                <w:noProof/>
              </w:rPr>
              <w:t>: Répartition des saisines par source de réclamation</w:t>
            </w:r>
            <w:r w:rsidR="007B4394">
              <w:rPr>
                <w:noProof/>
                <w:webHidden/>
              </w:rPr>
              <w:tab/>
            </w:r>
            <w:r w:rsidR="007B4394">
              <w:rPr>
                <w:noProof/>
                <w:webHidden/>
              </w:rPr>
              <w:fldChar w:fldCharType="begin"/>
            </w:r>
            <w:r w:rsidR="007B4394">
              <w:rPr>
                <w:noProof/>
                <w:webHidden/>
              </w:rPr>
              <w:instrText xml:space="preserve"> PAGEREF _Toc113021123 \h </w:instrText>
            </w:r>
            <w:r w:rsidR="007B4394">
              <w:rPr>
                <w:noProof/>
                <w:webHidden/>
              </w:rPr>
            </w:r>
            <w:r w:rsidR="007B4394">
              <w:rPr>
                <w:noProof/>
                <w:webHidden/>
              </w:rPr>
              <w:fldChar w:fldCharType="separate"/>
            </w:r>
            <w:r w:rsidR="00825217">
              <w:rPr>
                <w:noProof/>
                <w:webHidden/>
              </w:rPr>
              <w:t>16</w:t>
            </w:r>
            <w:r w:rsidR="007B4394">
              <w:rPr>
                <w:noProof/>
                <w:webHidden/>
              </w:rPr>
              <w:fldChar w:fldCharType="end"/>
            </w:r>
          </w:hyperlink>
        </w:p>
        <w:p w:rsidR="007B4394" w:rsidRDefault="002844A3" w:rsidP="00F83A03">
          <w:pPr>
            <w:pStyle w:val="TM3"/>
            <w:tabs>
              <w:tab w:val="left" w:pos="1320"/>
              <w:tab w:val="right" w:leader="dot" w:pos="9350"/>
            </w:tabs>
            <w:jc w:val="both"/>
            <w:rPr>
              <w:rFonts w:eastAsiaTheme="minorEastAsia"/>
              <w:noProof/>
              <w:lang w:eastAsia="fr-FR"/>
            </w:rPr>
          </w:pPr>
          <w:hyperlink w:anchor="_Toc113021124" w:history="1">
            <w:r w:rsidR="007B4394" w:rsidRPr="003764E9">
              <w:rPr>
                <w:rStyle w:val="Lienhypertexte"/>
                <w:b/>
                <w:noProof/>
              </w:rPr>
              <w:t>2.2.2.</w:t>
            </w:r>
            <w:r w:rsidR="007B4394">
              <w:rPr>
                <w:rFonts w:eastAsiaTheme="minorEastAsia"/>
                <w:noProof/>
                <w:lang w:eastAsia="fr-FR"/>
              </w:rPr>
              <w:tab/>
            </w:r>
            <w:r w:rsidR="007B4394" w:rsidRPr="003764E9">
              <w:rPr>
                <w:rStyle w:val="Lienhypertexte"/>
                <w:b/>
                <w:noProof/>
              </w:rPr>
              <w:t>Nature des litiges de l’exercice</w:t>
            </w:r>
            <w:r w:rsidR="007B4394">
              <w:rPr>
                <w:noProof/>
                <w:webHidden/>
              </w:rPr>
              <w:tab/>
            </w:r>
            <w:r w:rsidR="007B4394">
              <w:rPr>
                <w:noProof/>
                <w:webHidden/>
              </w:rPr>
              <w:fldChar w:fldCharType="begin"/>
            </w:r>
            <w:r w:rsidR="007B4394">
              <w:rPr>
                <w:noProof/>
                <w:webHidden/>
              </w:rPr>
              <w:instrText xml:space="preserve"> PAGEREF _Toc113021124 \h </w:instrText>
            </w:r>
            <w:r w:rsidR="007B4394">
              <w:rPr>
                <w:noProof/>
                <w:webHidden/>
              </w:rPr>
            </w:r>
            <w:r w:rsidR="007B4394">
              <w:rPr>
                <w:noProof/>
                <w:webHidden/>
              </w:rPr>
              <w:fldChar w:fldCharType="separate"/>
            </w:r>
            <w:r w:rsidR="00825217">
              <w:rPr>
                <w:noProof/>
                <w:webHidden/>
              </w:rPr>
              <w:t>16</w:t>
            </w:r>
            <w:r w:rsidR="007B4394">
              <w:rPr>
                <w:noProof/>
                <w:webHidden/>
              </w:rPr>
              <w:fldChar w:fldCharType="end"/>
            </w:r>
          </w:hyperlink>
        </w:p>
        <w:p w:rsidR="007B4394" w:rsidRDefault="002844A3" w:rsidP="00F83A03">
          <w:pPr>
            <w:pStyle w:val="TM3"/>
            <w:tabs>
              <w:tab w:val="left" w:pos="1320"/>
              <w:tab w:val="right" w:leader="dot" w:pos="9350"/>
            </w:tabs>
            <w:jc w:val="both"/>
            <w:rPr>
              <w:rFonts w:eastAsiaTheme="minorEastAsia"/>
              <w:noProof/>
              <w:lang w:eastAsia="fr-FR"/>
            </w:rPr>
          </w:pPr>
          <w:hyperlink w:anchor="_Toc113021125" w:history="1">
            <w:r w:rsidR="007B4394" w:rsidRPr="003764E9">
              <w:rPr>
                <w:rStyle w:val="Lienhypertexte"/>
                <w:b/>
                <w:noProof/>
              </w:rPr>
              <w:t>2.2.3.</w:t>
            </w:r>
            <w:r w:rsidR="007B4394">
              <w:rPr>
                <w:rFonts w:eastAsiaTheme="minorEastAsia"/>
                <w:noProof/>
                <w:lang w:eastAsia="fr-FR"/>
              </w:rPr>
              <w:tab/>
            </w:r>
            <w:r w:rsidR="007B4394" w:rsidRPr="003764E9">
              <w:rPr>
                <w:rStyle w:val="Lienhypertexte"/>
                <w:b/>
                <w:noProof/>
              </w:rPr>
              <w:t>Compagnies mises en cause</w:t>
            </w:r>
            <w:r w:rsidR="007B4394">
              <w:rPr>
                <w:noProof/>
                <w:webHidden/>
              </w:rPr>
              <w:tab/>
            </w:r>
            <w:r w:rsidR="007B4394">
              <w:rPr>
                <w:noProof/>
                <w:webHidden/>
              </w:rPr>
              <w:fldChar w:fldCharType="begin"/>
            </w:r>
            <w:r w:rsidR="007B4394">
              <w:rPr>
                <w:noProof/>
                <w:webHidden/>
              </w:rPr>
              <w:instrText xml:space="preserve"> PAGEREF _Toc113021125 \h </w:instrText>
            </w:r>
            <w:r w:rsidR="007B4394">
              <w:rPr>
                <w:noProof/>
                <w:webHidden/>
              </w:rPr>
            </w:r>
            <w:r w:rsidR="007B4394">
              <w:rPr>
                <w:noProof/>
                <w:webHidden/>
              </w:rPr>
              <w:fldChar w:fldCharType="separate"/>
            </w:r>
            <w:r w:rsidR="00825217">
              <w:rPr>
                <w:noProof/>
                <w:webHidden/>
              </w:rPr>
              <w:t>17</w:t>
            </w:r>
            <w:r w:rsidR="007B4394">
              <w:rPr>
                <w:noProof/>
                <w:webHidden/>
              </w:rPr>
              <w:fldChar w:fldCharType="end"/>
            </w:r>
          </w:hyperlink>
        </w:p>
        <w:p w:rsidR="007B4394" w:rsidRDefault="002844A3" w:rsidP="00F83A03">
          <w:pPr>
            <w:pStyle w:val="TM2"/>
            <w:tabs>
              <w:tab w:val="left" w:pos="880"/>
              <w:tab w:val="right" w:leader="dot" w:pos="9350"/>
            </w:tabs>
            <w:jc w:val="both"/>
            <w:rPr>
              <w:rFonts w:eastAsiaTheme="minorEastAsia"/>
              <w:noProof/>
              <w:lang w:eastAsia="fr-FR"/>
            </w:rPr>
          </w:pPr>
          <w:hyperlink w:anchor="_Toc113021126" w:history="1">
            <w:r w:rsidR="007B4394" w:rsidRPr="003764E9">
              <w:rPr>
                <w:rStyle w:val="Lienhypertexte"/>
                <w:b/>
                <w:noProof/>
              </w:rPr>
              <w:t>2.3.</w:t>
            </w:r>
            <w:r w:rsidR="007B4394">
              <w:rPr>
                <w:rFonts w:eastAsiaTheme="minorEastAsia"/>
                <w:noProof/>
                <w:lang w:eastAsia="fr-FR"/>
              </w:rPr>
              <w:tab/>
            </w:r>
            <w:r w:rsidR="007B4394" w:rsidRPr="003764E9">
              <w:rPr>
                <w:rStyle w:val="Lienhypertexte"/>
                <w:b/>
                <w:noProof/>
              </w:rPr>
              <w:t>Résultats annuels</w:t>
            </w:r>
            <w:r w:rsidR="007B4394">
              <w:rPr>
                <w:noProof/>
                <w:webHidden/>
              </w:rPr>
              <w:tab/>
            </w:r>
            <w:r w:rsidR="007B4394">
              <w:rPr>
                <w:noProof/>
                <w:webHidden/>
              </w:rPr>
              <w:fldChar w:fldCharType="begin"/>
            </w:r>
            <w:r w:rsidR="007B4394">
              <w:rPr>
                <w:noProof/>
                <w:webHidden/>
              </w:rPr>
              <w:instrText xml:space="preserve"> PAGEREF _Toc113021126 \h </w:instrText>
            </w:r>
            <w:r w:rsidR="007B4394">
              <w:rPr>
                <w:noProof/>
                <w:webHidden/>
              </w:rPr>
            </w:r>
            <w:r w:rsidR="007B4394">
              <w:rPr>
                <w:noProof/>
                <w:webHidden/>
              </w:rPr>
              <w:fldChar w:fldCharType="separate"/>
            </w:r>
            <w:r w:rsidR="00825217">
              <w:rPr>
                <w:noProof/>
                <w:webHidden/>
              </w:rPr>
              <w:t>17</w:t>
            </w:r>
            <w:r w:rsidR="007B4394">
              <w:rPr>
                <w:noProof/>
                <w:webHidden/>
              </w:rPr>
              <w:fldChar w:fldCharType="end"/>
            </w:r>
          </w:hyperlink>
        </w:p>
        <w:p w:rsidR="007B4394" w:rsidRDefault="002844A3" w:rsidP="00F83A03">
          <w:pPr>
            <w:pStyle w:val="TM1"/>
            <w:tabs>
              <w:tab w:val="left" w:pos="660"/>
              <w:tab w:val="right" w:leader="dot" w:pos="9350"/>
            </w:tabs>
            <w:jc w:val="both"/>
            <w:rPr>
              <w:rFonts w:eastAsiaTheme="minorEastAsia"/>
              <w:noProof/>
              <w:lang w:eastAsia="fr-FR"/>
            </w:rPr>
          </w:pPr>
          <w:hyperlink w:anchor="_Toc113021127" w:history="1">
            <w:r w:rsidR="007B4394" w:rsidRPr="003764E9">
              <w:rPr>
                <w:rStyle w:val="Lienhypertexte"/>
                <w:b/>
                <w:noProof/>
              </w:rPr>
              <w:t>III-</w:t>
            </w:r>
            <w:r w:rsidR="007B4394">
              <w:rPr>
                <w:rFonts w:eastAsiaTheme="minorEastAsia"/>
                <w:noProof/>
                <w:lang w:eastAsia="fr-FR"/>
              </w:rPr>
              <w:tab/>
            </w:r>
            <w:r w:rsidR="007B4394" w:rsidRPr="003764E9">
              <w:rPr>
                <w:rStyle w:val="Lienhypertexte"/>
                <w:b/>
                <w:noProof/>
              </w:rPr>
              <w:t>Conclusion - Recommandations</w:t>
            </w:r>
            <w:r w:rsidR="007B4394">
              <w:rPr>
                <w:noProof/>
                <w:webHidden/>
              </w:rPr>
              <w:tab/>
            </w:r>
            <w:r w:rsidR="007B4394">
              <w:rPr>
                <w:noProof/>
                <w:webHidden/>
              </w:rPr>
              <w:fldChar w:fldCharType="begin"/>
            </w:r>
            <w:r w:rsidR="007B4394">
              <w:rPr>
                <w:noProof/>
                <w:webHidden/>
              </w:rPr>
              <w:instrText xml:space="preserve"> PAGEREF _Toc113021127 \h </w:instrText>
            </w:r>
            <w:r w:rsidR="007B4394">
              <w:rPr>
                <w:noProof/>
                <w:webHidden/>
              </w:rPr>
            </w:r>
            <w:r w:rsidR="007B4394">
              <w:rPr>
                <w:noProof/>
                <w:webHidden/>
              </w:rPr>
              <w:fldChar w:fldCharType="separate"/>
            </w:r>
            <w:r w:rsidR="00825217">
              <w:rPr>
                <w:noProof/>
                <w:webHidden/>
              </w:rPr>
              <w:t>18</w:t>
            </w:r>
            <w:r w:rsidR="007B4394">
              <w:rPr>
                <w:noProof/>
                <w:webHidden/>
              </w:rPr>
              <w:fldChar w:fldCharType="end"/>
            </w:r>
          </w:hyperlink>
        </w:p>
        <w:p w:rsidR="007B4394" w:rsidRDefault="002844A3" w:rsidP="00F83A03">
          <w:pPr>
            <w:pStyle w:val="TM1"/>
            <w:tabs>
              <w:tab w:val="right" w:leader="dot" w:pos="9350"/>
            </w:tabs>
            <w:jc w:val="both"/>
            <w:rPr>
              <w:rFonts w:eastAsiaTheme="minorEastAsia"/>
              <w:noProof/>
              <w:lang w:eastAsia="fr-FR"/>
            </w:rPr>
          </w:pPr>
          <w:hyperlink w:anchor="_Toc113021128" w:history="1">
            <w:r w:rsidR="007B4394" w:rsidRPr="003764E9">
              <w:rPr>
                <w:rStyle w:val="Lienhypertexte"/>
                <w:rFonts w:cs="Arial"/>
                <w:b/>
                <w:noProof/>
              </w:rPr>
              <w:t>ANNEXES</w:t>
            </w:r>
            <w:r w:rsidR="007B4394">
              <w:rPr>
                <w:noProof/>
                <w:webHidden/>
              </w:rPr>
              <w:tab/>
            </w:r>
            <w:r w:rsidR="007B4394">
              <w:rPr>
                <w:noProof/>
                <w:webHidden/>
              </w:rPr>
              <w:fldChar w:fldCharType="begin"/>
            </w:r>
            <w:r w:rsidR="007B4394">
              <w:rPr>
                <w:noProof/>
                <w:webHidden/>
              </w:rPr>
              <w:instrText xml:space="preserve"> PAGEREF _Toc113021128 \h </w:instrText>
            </w:r>
            <w:r w:rsidR="007B4394">
              <w:rPr>
                <w:noProof/>
                <w:webHidden/>
              </w:rPr>
            </w:r>
            <w:r w:rsidR="007B4394">
              <w:rPr>
                <w:noProof/>
                <w:webHidden/>
              </w:rPr>
              <w:fldChar w:fldCharType="separate"/>
            </w:r>
            <w:r w:rsidR="00825217">
              <w:rPr>
                <w:noProof/>
                <w:webHidden/>
              </w:rPr>
              <w:t>25</w:t>
            </w:r>
            <w:r w:rsidR="007B4394">
              <w:rPr>
                <w:noProof/>
                <w:webHidden/>
              </w:rPr>
              <w:fldChar w:fldCharType="end"/>
            </w:r>
          </w:hyperlink>
        </w:p>
        <w:p w:rsidR="004A78F5" w:rsidRPr="00A40A4B" w:rsidRDefault="0076468F" w:rsidP="00F83A03">
          <w:pPr>
            <w:jc w:val="both"/>
          </w:pPr>
          <w:r>
            <w:rPr>
              <w:b/>
              <w:bCs/>
            </w:rPr>
            <w:fldChar w:fldCharType="end"/>
          </w:r>
        </w:p>
      </w:sdtContent>
    </w:sdt>
    <w:p w:rsidR="004A78F5" w:rsidRDefault="004A78F5" w:rsidP="00F83A03">
      <w:pPr>
        <w:jc w:val="both"/>
        <w:rPr>
          <w:b/>
          <w:sz w:val="28"/>
          <w:szCs w:val="28"/>
        </w:rPr>
      </w:pPr>
      <w:r>
        <w:rPr>
          <w:b/>
          <w:sz w:val="28"/>
          <w:szCs w:val="28"/>
        </w:rPr>
        <w:br w:type="page"/>
      </w:r>
    </w:p>
    <w:p w:rsidR="001263F5" w:rsidRDefault="001263F5" w:rsidP="00F83A03">
      <w:pPr>
        <w:jc w:val="both"/>
        <w:outlineLvl w:val="0"/>
        <w:rPr>
          <w:b/>
          <w:sz w:val="28"/>
          <w:szCs w:val="28"/>
        </w:rPr>
      </w:pPr>
      <w:bookmarkStart w:id="2" w:name="_Toc453328310"/>
      <w:bookmarkStart w:id="3" w:name="_Toc113021111"/>
      <w:r w:rsidRPr="00C80477">
        <w:rPr>
          <w:b/>
          <w:sz w:val="28"/>
          <w:szCs w:val="28"/>
        </w:rPr>
        <w:lastRenderedPageBreak/>
        <w:t>AVANT PROPOS</w:t>
      </w:r>
      <w:bookmarkEnd w:id="2"/>
      <w:bookmarkEnd w:id="3"/>
    </w:p>
    <w:p w:rsidR="00BF7A3C" w:rsidRDefault="00420210" w:rsidP="00F83A03">
      <w:pPr>
        <w:jc w:val="both"/>
        <w:rPr>
          <w:sz w:val="28"/>
          <w:szCs w:val="28"/>
        </w:rPr>
      </w:pPr>
      <w:r>
        <w:rPr>
          <w:sz w:val="28"/>
          <w:szCs w:val="28"/>
        </w:rPr>
        <w:t>L’</w:t>
      </w:r>
      <w:r w:rsidR="001263F5" w:rsidRPr="00F474AA">
        <w:rPr>
          <w:sz w:val="28"/>
          <w:szCs w:val="28"/>
        </w:rPr>
        <w:t>exercice 20</w:t>
      </w:r>
      <w:r>
        <w:rPr>
          <w:sz w:val="28"/>
          <w:szCs w:val="28"/>
        </w:rPr>
        <w:t>21</w:t>
      </w:r>
      <w:r w:rsidR="001263F5" w:rsidRPr="00F474AA">
        <w:rPr>
          <w:sz w:val="28"/>
          <w:szCs w:val="28"/>
        </w:rPr>
        <w:t>,</w:t>
      </w:r>
      <w:r>
        <w:rPr>
          <w:sz w:val="28"/>
          <w:szCs w:val="28"/>
        </w:rPr>
        <w:t xml:space="preserve"> s’est singularisé par une baisse drastique du nombre</w:t>
      </w:r>
      <w:r w:rsidR="001263F5" w:rsidRPr="00F474AA">
        <w:rPr>
          <w:sz w:val="28"/>
          <w:szCs w:val="28"/>
        </w:rPr>
        <w:t xml:space="preserve"> </w:t>
      </w:r>
      <w:r w:rsidR="00094E8F">
        <w:rPr>
          <w:sz w:val="28"/>
          <w:szCs w:val="28"/>
        </w:rPr>
        <w:t>de saisines formelles parvenues au Médiateur des</w:t>
      </w:r>
      <w:r w:rsidR="001263F5" w:rsidRPr="00F474AA">
        <w:rPr>
          <w:sz w:val="28"/>
          <w:szCs w:val="28"/>
        </w:rPr>
        <w:t xml:space="preserve"> </w:t>
      </w:r>
      <w:r w:rsidR="00BF7A3C" w:rsidRPr="00F474AA">
        <w:rPr>
          <w:sz w:val="28"/>
          <w:szCs w:val="28"/>
        </w:rPr>
        <w:t>assurances,</w:t>
      </w:r>
      <w:r w:rsidR="00094E8F">
        <w:rPr>
          <w:sz w:val="28"/>
          <w:szCs w:val="28"/>
        </w:rPr>
        <w:t xml:space="preserve"> </w:t>
      </w:r>
      <w:r w:rsidR="00BF7A3C">
        <w:rPr>
          <w:sz w:val="28"/>
          <w:szCs w:val="28"/>
        </w:rPr>
        <w:t xml:space="preserve">qui s’est traduite par un recul </w:t>
      </w:r>
      <w:r w:rsidR="00BF7A3C" w:rsidRPr="00B036AA">
        <w:rPr>
          <w:sz w:val="28"/>
          <w:szCs w:val="28"/>
        </w:rPr>
        <w:t xml:space="preserve">de </w:t>
      </w:r>
      <w:r w:rsidR="00B036AA" w:rsidRPr="00B036AA">
        <w:rPr>
          <w:sz w:val="28"/>
          <w:szCs w:val="28"/>
        </w:rPr>
        <w:t>7</w:t>
      </w:r>
      <w:r w:rsidR="00BF7A3C" w:rsidRPr="00B036AA">
        <w:rPr>
          <w:sz w:val="28"/>
          <w:szCs w:val="28"/>
        </w:rPr>
        <w:t>0%</w:t>
      </w:r>
      <w:r w:rsidR="00BF7A3C">
        <w:rPr>
          <w:sz w:val="28"/>
          <w:szCs w:val="28"/>
        </w:rPr>
        <w:t xml:space="preserve"> par rapport à l’année précédente, </w:t>
      </w:r>
      <w:r w:rsidR="00094E8F">
        <w:rPr>
          <w:sz w:val="28"/>
          <w:szCs w:val="28"/>
        </w:rPr>
        <w:t>pendant que parallèlement, on a assisté à une</w:t>
      </w:r>
      <w:r w:rsidR="00094E8F" w:rsidRPr="00094E8F">
        <w:rPr>
          <w:sz w:val="28"/>
          <w:szCs w:val="28"/>
        </w:rPr>
        <w:t xml:space="preserve"> </w:t>
      </w:r>
      <w:r w:rsidR="00094E8F" w:rsidRPr="00F474AA">
        <w:rPr>
          <w:sz w:val="28"/>
          <w:szCs w:val="28"/>
        </w:rPr>
        <w:t>croissance exponentielle des demandes de consultations</w:t>
      </w:r>
      <w:r w:rsidR="00094E8F">
        <w:rPr>
          <w:sz w:val="28"/>
          <w:szCs w:val="28"/>
        </w:rPr>
        <w:t xml:space="preserve"> </w:t>
      </w:r>
      <w:r w:rsidR="00BF7A3C">
        <w:rPr>
          <w:sz w:val="28"/>
          <w:szCs w:val="28"/>
        </w:rPr>
        <w:t>émanant des</w:t>
      </w:r>
      <w:r w:rsidR="00094E8F">
        <w:rPr>
          <w:sz w:val="28"/>
          <w:szCs w:val="28"/>
        </w:rPr>
        <w:t xml:space="preserve"> </w:t>
      </w:r>
      <w:r w:rsidR="00FB5191">
        <w:rPr>
          <w:sz w:val="28"/>
          <w:szCs w:val="28"/>
        </w:rPr>
        <w:t>usagers,</w:t>
      </w:r>
      <w:r w:rsidR="00BF7A3C">
        <w:rPr>
          <w:sz w:val="28"/>
          <w:szCs w:val="28"/>
        </w:rPr>
        <w:t xml:space="preserve"> comme on en a jamais vu auparavant</w:t>
      </w:r>
      <w:r w:rsidR="00B56B8D">
        <w:rPr>
          <w:sz w:val="28"/>
          <w:szCs w:val="28"/>
        </w:rPr>
        <w:t>.</w:t>
      </w:r>
    </w:p>
    <w:p w:rsidR="00FB5191" w:rsidRDefault="00FB5191" w:rsidP="00F83A03">
      <w:pPr>
        <w:jc w:val="both"/>
        <w:rPr>
          <w:sz w:val="28"/>
          <w:szCs w:val="28"/>
        </w:rPr>
      </w:pPr>
      <w:r>
        <w:rPr>
          <w:sz w:val="28"/>
          <w:szCs w:val="28"/>
        </w:rPr>
        <w:t>En effet, la conjonction de trois</w:t>
      </w:r>
      <w:r w:rsidR="001263F5" w:rsidRPr="00F474AA">
        <w:rPr>
          <w:sz w:val="28"/>
          <w:szCs w:val="28"/>
        </w:rPr>
        <w:t xml:space="preserve"> facteurs </w:t>
      </w:r>
      <w:r>
        <w:rPr>
          <w:sz w:val="28"/>
          <w:szCs w:val="28"/>
        </w:rPr>
        <w:t>inédits, apparaît comme étant la principale cause ayant induit un tel retournement de situation</w:t>
      </w:r>
      <w:r w:rsidR="008230E9">
        <w:rPr>
          <w:sz w:val="28"/>
          <w:szCs w:val="28"/>
        </w:rPr>
        <w:t> :</w:t>
      </w:r>
    </w:p>
    <w:p w:rsidR="006F79A0" w:rsidRDefault="006F79A0" w:rsidP="00F83A03">
      <w:pPr>
        <w:pStyle w:val="Paragraphedeliste"/>
        <w:numPr>
          <w:ilvl w:val="0"/>
          <w:numId w:val="27"/>
        </w:numPr>
        <w:jc w:val="both"/>
        <w:rPr>
          <w:sz w:val="28"/>
          <w:szCs w:val="28"/>
        </w:rPr>
      </w:pPr>
      <w:r>
        <w:rPr>
          <w:sz w:val="28"/>
          <w:szCs w:val="28"/>
        </w:rPr>
        <w:t>La pandémie de COVID 19 est le premier</w:t>
      </w:r>
      <w:r w:rsidRPr="006F79A0">
        <w:rPr>
          <w:sz w:val="28"/>
          <w:szCs w:val="28"/>
        </w:rPr>
        <w:t xml:space="preserve"> </w:t>
      </w:r>
      <w:r>
        <w:rPr>
          <w:sz w:val="28"/>
          <w:szCs w:val="28"/>
        </w:rPr>
        <w:t>facteur mis à l’index, d’autant qu’elle a été à l’origine de restrictions de toutes sortes, dont entre autres :</w:t>
      </w:r>
    </w:p>
    <w:p w:rsidR="00F67C2B" w:rsidRDefault="00F67C2B" w:rsidP="00F83A03">
      <w:pPr>
        <w:pStyle w:val="Paragraphedeliste"/>
        <w:numPr>
          <w:ilvl w:val="0"/>
          <w:numId w:val="26"/>
        </w:numPr>
        <w:jc w:val="both"/>
        <w:rPr>
          <w:sz w:val="28"/>
          <w:szCs w:val="28"/>
        </w:rPr>
      </w:pPr>
      <w:r>
        <w:rPr>
          <w:sz w:val="28"/>
          <w:szCs w:val="28"/>
        </w:rPr>
        <w:t>Le retrait momentané de la circul</w:t>
      </w:r>
      <w:r w:rsidR="008230E9">
        <w:rPr>
          <w:sz w:val="28"/>
          <w:szCs w:val="28"/>
        </w:rPr>
        <w:t>ation de la plupart des véhicule</w:t>
      </w:r>
      <w:r>
        <w:rPr>
          <w:sz w:val="28"/>
          <w:szCs w:val="28"/>
        </w:rPr>
        <w:t>s im</w:t>
      </w:r>
      <w:r w:rsidR="008230E9">
        <w:rPr>
          <w:sz w:val="28"/>
          <w:szCs w:val="28"/>
        </w:rPr>
        <w:t>pliqués dans le transport interurbain</w:t>
      </w:r>
      <w:r>
        <w:rPr>
          <w:sz w:val="28"/>
          <w:szCs w:val="28"/>
        </w:rPr>
        <w:t xml:space="preserve"> en raison des limitations frappant cette catégorie de trafic ;</w:t>
      </w:r>
    </w:p>
    <w:p w:rsidR="001263F5" w:rsidRPr="006F79A0" w:rsidRDefault="001263F5" w:rsidP="00F83A03">
      <w:pPr>
        <w:pStyle w:val="Paragraphedeliste"/>
        <w:numPr>
          <w:ilvl w:val="0"/>
          <w:numId w:val="26"/>
        </w:numPr>
        <w:jc w:val="both"/>
        <w:rPr>
          <w:sz w:val="28"/>
          <w:szCs w:val="28"/>
        </w:rPr>
      </w:pPr>
      <w:r w:rsidRPr="006F79A0">
        <w:rPr>
          <w:sz w:val="28"/>
          <w:szCs w:val="28"/>
        </w:rPr>
        <w:t xml:space="preserve"> </w:t>
      </w:r>
      <w:r w:rsidR="00F67C2B">
        <w:rPr>
          <w:sz w:val="28"/>
          <w:szCs w:val="28"/>
        </w:rPr>
        <w:t xml:space="preserve">L’institution quasi généralisée du télétravail, avec comme conséquence directe, </w:t>
      </w:r>
      <w:r w:rsidR="00C03389">
        <w:rPr>
          <w:sz w:val="28"/>
          <w:szCs w:val="28"/>
        </w:rPr>
        <w:t xml:space="preserve">la mise en parking de nombreux véhicules, à laquelle s’ajoutent </w:t>
      </w:r>
      <w:r w:rsidR="00F67C2B">
        <w:rPr>
          <w:sz w:val="28"/>
          <w:szCs w:val="28"/>
        </w:rPr>
        <w:t>des perturbations notoires, dans le système de distribution du courrier, entravant par la même occasion</w:t>
      </w:r>
      <w:r w:rsidR="00047BE3">
        <w:rPr>
          <w:sz w:val="28"/>
          <w:szCs w:val="28"/>
        </w:rPr>
        <w:t>,</w:t>
      </w:r>
      <w:r w:rsidR="00F67C2B" w:rsidRPr="00F67C2B">
        <w:rPr>
          <w:sz w:val="28"/>
          <w:szCs w:val="28"/>
        </w:rPr>
        <w:t xml:space="preserve"> </w:t>
      </w:r>
      <w:r w:rsidR="00F67C2B">
        <w:rPr>
          <w:sz w:val="28"/>
          <w:szCs w:val="28"/>
        </w:rPr>
        <w:t xml:space="preserve">toute possibilité d’acheminement à bon </w:t>
      </w:r>
      <w:r w:rsidR="00047BE3">
        <w:rPr>
          <w:sz w:val="28"/>
          <w:szCs w:val="28"/>
        </w:rPr>
        <w:t>port,</w:t>
      </w:r>
      <w:r w:rsidR="00F67C2B">
        <w:rPr>
          <w:sz w:val="28"/>
          <w:szCs w:val="28"/>
        </w:rPr>
        <w:t xml:space="preserve"> des potentielles lettres de saisine adressées au Médiateur</w:t>
      </w:r>
      <w:r w:rsidR="00047BE3">
        <w:rPr>
          <w:sz w:val="28"/>
          <w:szCs w:val="28"/>
        </w:rPr>
        <w:t xml:space="preserve"> des assurances ; </w:t>
      </w:r>
    </w:p>
    <w:p w:rsidR="00C03389" w:rsidRDefault="00C03389" w:rsidP="00F83A03">
      <w:pPr>
        <w:pStyle w:val="Paragraphedeliste"/>
        <w:numPr>
          <w:ilvl w:val="0"/>
          <w:numId w:val="26"/>
        </w:numPr>
        <w:jc w:val="both"/>
        <w:rPr>
          <w:sz w:val="28"/>
          <w:szCs w:val="28"/>
        </w:rPr>
      </w:pPr>
      <w:r>
        <w:rPr>
          <w:sz w:val="28"/>
          <w:szCs w:val="28"/>
        </w:rPr>
        <w:t>Enfin,</w:t>
      </w:r>
      <w:r w:rsidR="00047BE3">
        <w:rPr>
          <w:sz w:val="28"/>
          <w:szCs w:val="28"/>
        </w:rPr>
        <w:t xml:space="preserve"> l’instauration de mesures barrières jugées très drastiques, </w:t>
      </w:r>
      <w:r>
        <w:rPr>
          <w:sz w:val="28"/>
          <w:szCs w:val="28"/>
        </w:rPr>
        <w:t xml:space="preserve">qui, outre les </w:t>
      </w:r>
      <w:r w:rsidR="00047BE3">
        <w:rPr>
          <w:sz w:val="28"/>
          <w:szCs w:val="28"/>
        </w:rPr>
        <w:t xml:space="preserve">mises en </w:t>
      </w:r>
      <w:r>
        <w:rPr>
          <w:sz w:val="28"/>
          <w:szCs w:val="28"/>
        </w:rPr>
        <w:t>quarantaine, s’est traduite par une baisse sensible d</w:t>
      </w:r>
      <w:r w:rsidR="00047BE3">
        <w:rPr>
          <w:sz w:val="28"/>
          <w:szCs w:val="28"/>
        </w:rPr>
        <w:t>es possibilités de contact</w:t>
      </w:r>
      <w:r w:rsidR="008230E9">
        <w:rPr>
          <w:sz w:val="28"/>
          <w:szCs w:val="28"/>
        </w:rPr>
        <w:t>s</w:t>
      </w:r>
      <w:r w:rsidR="001263F5" w:rsidRPr="00F474AA">
        <w:rPr>
          <w:sz w:val="28"/>
          <w:szCs w:val="28"/>
        </w:rPr>
        <w:t xml:space="preserve"> </w:t>
      </w:r>
      <w:r w:rsidR="00047BE3">
        <w:rPr>
          <w:sz w:val="28"/>
          <w:szCs w:val="28"/>
        </w:rPr>
        <w:t xml:space="preserve">physiques, qui </w:t>
      </w:r>
      <w:r w:rsidR="0039165B">
        <w:rPr>
          <w:sz w:val="28"/>
          <w:szCs w:val="28"/>
        </w:rPr>
        <w:t xml:space="preserve">généralement, </w:t>
      </w:r>
      <w:r w:rsidR="00047BE3">
        <w:rPr>
          <w:sz w:val="28"/>
          <w:szCs w:val="28"/>
        </w:rPr>
        <w:t xml:space="preserve">sont de nature déterminante dans les processus de conciliation applicables au sein </w:t>
      </w:r>
      <w:r>
        <w:rPr>
          <w:sz w:val="28"/>
          <w:szCs w:val="28"/>
        </w:rPr>
        <w:t>de la</w:t>
      </w:r>
      <w:r w:rsidR="00047BE3">
        <w:rPr>
          <w:sz w:val="28"/>
          <w:szCs w:val="28"/>
        </w:rPr>
        <w:t xml:space="preserve"> médiation.</w:t>
      </w:r>
    </w:p>
    <w:p w:rsidR="00D539B3" w:rsidRDefault="00C03389" w:rsidP="00F83A03">
      <w:pPr>
        <w:ind w:left="360"/>
        <w:jc w:val="both"/>
        <w:rPr>
          <w:sz w:val="28"/>
          <w:szCs w:val="28"/>
        </w:rPr>
      </w:pPr>
      <w:r>
        <w:rPr>
          <w:sz w:val="28"/>
          <w:szCs w:val="28"/>
        </w:rPr>
        <w:t>Toutes choses</w:t>
      </w:r>
      <w:r w:rsidR="00047BE3" w:rsidRPr="00C03389">
        <w:rPr>
          <w:sz w:val="28"/>
          <w:szCs w:val="28"/>
        </w:rPr>
        <w:t xml:space="preserve"> </w:t>
      </w:r>
      <w:r>
        <w:rPr>
          <w:sz w:val="28"/>
          <w:szCs w:val="28"/>
        </w:rPr>
        <w:t xml:space="preserve">qui ont dû favoriser, d’une part, </w:t>
      </w:r>
      <w:r w:rsidR="00D539B3">
        <w:rPr>
          <w:sz w:val="28"/>
          <w:szCs w:val="28"/>
        </w:rPr>
        <w:t xml:space="preserve">une sérieuse entrave à la distribution du courrier, contrariant de ce fait, les possibilités de saisine qui doivent être faites par écrit et d’autre part, </w:t>
      </w:r>
      <w:r>
        <w:rPr>
          <w:sz w:val="28"/>
          <w:szCs w:val="28"/>
        </w:rPr>
        <w:t xml:space="preserve">une forte réduction du nombre </w:t>
      </w:r>
      <w:r w:rsidR="008230E9">
        <w:rPr>
          <w:sz w:val="28"/>
          <w:szCs w:val="28"/>
        </w:rPr>
        <w:t>de véhicules mis en circulation</w:t>
      </w:r>
      <w:r>
        <w:rPr>
          <w:sz w:val="28"/>
          <w:szCs w:val="28"/>
        </w:rPr>
        <w:t xml:space="preserve">, </w:t>
      </w:r>
      <w:r w:rsidR="0039165B">
        <w:rPr>
          <w:sz w:val="28"/>
          <w:szCs w:val="28"/>
        </w:rPr>
        <w:t>avec</w:t>
      </w:r>
      <w:r>
        <w:rPr>
          <w:sz w:val="28"/>
          <w:szCs w:val="28"/>
        </w:rPr>
        <w:t xml:space="preserve"> comme corollaire</w:t>
      </w:r>
      <w:r w:rsidR="0039165B">
        <w:rPr>
          <w:sz w:val="28"/>
          <w:szCs w:val="28"/>
        </w:rPr>
        <w:t>, la baisse de la sinistralité et par voie de conséquence, le recul d</w:t>
      </w:r>
      <w:r>
        <w:rPr>
          <w:sz w:val="28"/>
          <w:szCs w:val="28"/>
        </w:rPr>
        <w:t>es</w:t>
      </w:r>
      <w:r w:rsidR="0039165B">
        <w:rPr>
          <w:sz w:val="28"/>
          <w:szCs w:val="28"/>
        </w:rPr>
        <w:t xml:space="preserve"> réclamations qui atterrissent à la table du </w:t>
      </w:r>
      <w:r w:rsidR="001A5F30">
        <w:rPr>
          <w:sz w:val="28"/>
          <w:szCs w:val="28"/>
        </w:rPr>
        <w:t>Médiateur.</w:t>
      </w:r>
    </w:p>
    <w:p w:rsidR="00B56B8D" w:rsidRDefault="00D539B3" w:rsidP="00F83A03">
      <w:pPr>
        <w:pStyle w:val="Paragraphedeliste"/>
        <w:numPr>
          <w:ilvl w:val="0"/>
          <w:numId w:val="27"/>
        </w:numPr>
        <w:jc w:val="both"/>
        <w:rPr>
          <w:sz w:val="28"/>
          <w:szCs w:val="28"/>
        </w:rPr>
      </w:pPr>
      <w:r>
        <w:rPr>
          <w:sz w:val="28"/>
          <w:szCs w:val="28"/>
        </w:rPr>
        <w:lastRenderedPageBreak/>
        <w:t xml:space="preserve">Le deuxième facteur mis à l’index, c’est le renforcement du </w:t>
      </w:r>
      <w:r w:rsidR="007B7D87">
        <w:rPr>
          <w:sz w:val="28"/>
          <w:szCs w:val="28"/>
        </w:rPr>
        <w:t>programme de</w:t>
      </w:r>
      <w:r>
        <w:rPr>
          <w:sz w:val="28"/>
          <w:szCs w:val="28"/>
        </w:rPr>
        <w:t xml:space="preserve"> contrôle</w:t>
      </w:r>
      <w:r w:rsidR="00C03389" w:rsidRPr="00D539B3">
        <w:rPr>
          <w:sz w:val="28"/>
          <w:szCs w:val="28"/>
        </w:rPr>
        <w:t xml:space="preserve"> </w:t>
      </w:r>
      <w:r w:rsidR="00CC0F40">
        <w:rPr>
          <w:sz w:val="28"/>
          <w:szCs w:val="28"/>
        </w:rPr>
        <w:t xml:space="preserve">mis en œuvre par les autorités de régulation, en l’occurrence, la Direction des Assurances </w:t>
      </w:r>
      <w:r w:rsidR="007B7D87">
        <w:rPr>
          <w:sz w:val="28"/>
          <w:szCs w:val="28"/>
        </w:rPr>
        <w:t xml:space="preserve">(DA) </w:t>
      </w:r>
      <w:r w:rsidR="00CC0F40">
        <w:rPr>
          <w:sz w:val="28"/>
          <w:szCs w:val="28"/>
        </w:rPr>
        <w:t>et la Commis</w:t>
      </w:r>
      <w:r w:rsidR="007B7D87">
        <w:rPr>
          <w:sz w:val="28"/>
          <w:szCs w:val="28"/>
        </w:rPr>
        <w:t>s</w:t>
      </w:r>
      <w:r w:rsidR="00CC0F40">
        <w:rPr>
          <w:sz w:val="28"/>
          <w:szCs w:val="28"/>
        </w:rPr>
        <w:t>ion Régionale de Contrôle</w:t>
      </w:r>
      <w:r w:rsidR="007B7D87">
        <w:rPr>
          <w:sz w:val="28"/>
          <w:szCs w:val="28"/>
        </w:rPr>
        <w:t xml:space="preserve"> de</w:t>
      </w:r>
      <w:r w:rsidR="006D6B37">
        <w:rPr>
          <w:sz w:val="28"/>
          <w:szCs w:val="28"/>
        </w:rPr>
        <w:t>s Assurances</w:t>
      </w:r>
      <w:r w:rsidR="007B7D87">
        <w:rPr>
          <w:sz w:val="28"/>
          <w:szCs w:val="28"/>
        </w:rPr>
        <w:t xml:space="preserve"> (</w:t>
      </w:r>
      <w:r w:rsidR="001263F5" w:rsidRPr="00D539B3">
        <w:rPr>
          <w:sz w:val="28"/>
          <w:szCs w:val="28"/>
        </w:rPr>
        <w:t xml:space="preserve">CRCA) qui </w:t>
      </w:r>
      <w:r w:rsidR="007B7D87">
        <w:rPr>
          <w:sz w:val="28"/>
          <w:szCs w:val="28"/>
        </w:rPr>
        <w:t>procèdent</w:t>
      </w:r>
      <w:r w:rsidR="001263F5" w:rsidRPr="00D539B3">
        <w:rPr>
          <w:sz w:val="28"/>
          <w:szCs w:val="28"/>
        </w:rPr>
        <w:t xml:space="preserve"> à des contrôles ciblés, focalisés essentiellement sur l’audit de la gestion des sinistres. D’</w:t>
      </w:r>
      <w:r w:rsidR="001A5F30">
        <w:rPr>
          <w:sz w:val="28"/>
          <w:szCs w:val="28"/>
        </w:rPr>
        <w:t>où, l</w:t>
      </w:r>
      <w:r w:rsidR="007B7D87">
        <w:rPr>
          <w:sz w:val="28"/>
          <w:szCs w:val="28"/>
        </w:rPr>
        <w:t>e surcroît d’effort fait par les assureurs pour tenir leurs engagements contractuels afin d’éviter d’être épinglés par les contrôleurs, avec comme effet induit</w:t>
      </w:r>
      <w:r w:rsidR="00B56B8D">
        <w:rPr>
          <w:sz w:val="28"/>
          <w:szCs w:val="28"/>
        </w:rPr>
        <w:t>,</w:t>
      </w:r>
      <w:r w:rsidR="007B7D87">
        <w:rPr>
          <w:sz w:val="28"/>
          <w:szCs w:val="28"/>
        </w:rPr>
        <w:t xml:space="preserve"> une baisse substantielle </w:t>
      </w:r>
      <w:r w:rsidR="00B56B8D">
        <w:rPr>
          <w:sz w:val="28"/>
          <w:szCs w:val="28"/>
        </w:rPr>
        <w:t>des perspectives contentieuses ;</w:t>
      </w:r>
    </w:p>
    <w:p w:rsidR="00B56B8D" w:rsidRDefault="00B56B8D" w:rsidP="00F83A03">
      <w:pPr>
        <w:pStyle w:val="Paragraphedeliste"/>
        <w:ind w:left="1080"/>
        <w:jc w:val="both"/>
        <w:rPr>
          <w:sz w:val="28"/>
          <w:szCs w:val="28"/>
        </w:rPr>
      </w:pPr>
    </w:p>
    <w:p w:rsidR="00B56B8D" w:rsidRDefault="00B56B8D" w:rsidP="00F83A03">
      <w:pPr>
        <w:pStyle w:val="Paragraphedeliste"/>
        <w:numPr>
          <w:ilvl w:val="0"/>
          <w:numId w:val="27"/>
        </w:numPr>
        <w:jc w:val="both"/>
        <w:rPr>
          <w:sz w:val="28"/>
          <w:szCs w:val="28"/>
        </w:rPr>
      </w:pPr>
      <w:r>
        <w:rPr>
          <w:sz w:val="28"/>
          <w:szCs w:val="28"/>
        </w:rPr>
        <w:t>Le troisième facteur justificatif, se trouve être l’appétence pour les consultations à distance</w:t>
      </w:r>
      <w:r w:rsidR="008230E9">
        <w:rPr>
          <w:sz w:val="28"/>
          <w:szCs w:val="28"/>
        </w:rPr>
        <w:t xml:space="preserve"> à travers le numéro vert</w:t>
      </w:r>
      <w:r>
        <w:rPr>
          <w:sz w:val="28"/>
          <w:szCs w:val="28"/>
        </w:rPr>
        <w:t xml:space="preserve"> qui sont privilégiées par la plupart des requérants et qui d’ailleurs</w:t>
      </w:r>
      <w:r w:rsidR="006D6B37">
        <w:rPr>
          <w:sz w:val="28"/>
          <w:szCs w:val="28"/>
        </w:rPr>
        <w:t>,</w:t>
      </w:r>
      <w:r>
        <w:rPr>
          <w:sz w:val="28"/>
          <w:szCs w:val="28"/>
        </w:rPr>
        <w:t xml:space="preserve"> </w:t>
      </w:r>
      <w:r w:rsidRPr="00F474AA">
        <w:rPr>
          <w:sz w:val="28"/>
          <w:szCs w:val="28"/>
        </w:rPr>
        <w:t>contribu</w:t>
      </w:r>
      <w:r>
        <w:rPr>
          <w:sz w:val="28"/>
          <w:szCs w:val="28"/>
        </w:rPr>
        <w:t>ent</w:t>
      </w:r>
      <w:r w:rsidRPr="00F474AA">
        <w:rPr>
          <w:sz w:val="28"/>
          <w:szCs w:val="28"/>
        </w:rPr>
        <w:t xml:space="preserve"> à prévenir et à désamorcer de nombreux litiges potentiels.</w:t>
      </w:r>
    </w:p>
    <w:p w:rsidR="00533175" w:rsidRPr="00533175" w:rsidRDefault="00533175" w:rsidP="00F83A03">
      <w:pPr>
        <w:pStyle w:val="Paragraphedeliste"/>
        <w:jc w:val="both"/>
        <w:rPr>
          <w:sz w:val="28"/>
          <w:szCs w:val="28"/>
        </w:rPr>
      </w:pPr>
    </w:p>
    <w:p w:rsidR="00533175" w:rsidRPr="00533175" w:rsidRDefault="00533175" w:rsidP="00F83A03">
      <w:pPr>
        <w:ind w:left="360"/>
        <w:jc w:val="both"/>
        <w:rPr>
          <w:sz w:val="28"/>
          <w:szCs w:val="28"/>
        </w:rPr>
      </w:pPr>
      <w:r>
        <w:rPr>
          <w:sz w:val="28"/>
          <w:szCs w:val="28"/>
        </w:rPr>
        <w:t>Par ailleurs, d’autres phénomènes sans rapport avec la pandémie,</w:t>
      </w:r>
      <w:r w:rsidRPr="00533175">
        <w:rPr>
          <w:sz w:val="28"/>
          <w:szCs w:val="28"/>
        </w:rPr>
        <w:t xml:space="preserve"> do</w:t>
      </w:r>
      <w:r>
        <w:rPr>
          <w:sz w:val="28"/>
          <w:szCs w:val="28"/>
        </w:rPr>
        <w:t>ive</w:t>
      </w:r>
      <w:r w:rsidRPr="00533175">
        <w:rPr>
          <w:sz w:val="28"/>
          <w:szCs w:val="28"/>
        </w:rPr>
        <w:t xml:space="preserve">nt </w:t>
      </w:r>
      <w:r>
        <w:rPr>
          <w:sz w:val="28"/>
          <w:szCs w:val="28"/>
        </w:rPr>
        <w:t xml:space="preserve">également être prises en compte, au nombre des éléments explicatifs du recul noté dans les saisines de l’exercice, </w:t>
      </w:r>
      <w:r w:rsidRPr="00533175">
        <w:rPr>
          <w:sz w:val="28"/>
          <w:szCs w:val="28"/>
        </w:rPr>
        <w:t>à savoir :</w:t>
      </w:r>
    </w:p>
    <w:p w:rsidR="00533175" w:rsidRPr="00F474AA" w:rsidRDefault="002724DE" w:rsidP="00F83A03">
      <w:pPr>
        <w:pStyle w:val="Paragraphedeliste"/>
        <w:numPr>
          <w:ilvl w:val="0"/>
          <w:numId w:val="18"/>
        </w:numPr>
        <w:jc w:val="both"/>
        <w:rPr>
          <w:sz w:val="28"/>
          <w:szCs w:val="28"/>
        </w:rPr>
      </w:pPr>
      <w:r w:rsidRPr="00F474AA">
        <w:rPr>
          <w:rFonts w:cs="Arial"/>
          <w:sz w:val="28"/>
          <w:szCs w:val="28"/>
        </w:rPr>
        <w:t>L’institution</w:t>
      </w:r>
      <w:r w:rsidR="00533175" w:rsidRPr="00F474AA">
        <w:rPr>
          <w:rFonts w:cs="Arial"/>
          <w:sz w:val="28"/>
          <w:szCs w:val="28"/>
        </w:rPr>
        <w:t xml:space="preserve"> du paiement au comptant de la prime d’assurance dont une nette amélioration du volant de trésorerie des compagnies,</w:t>
      </w:r>
      <w:r w:rsidR="00533175">
        <w:rPr>
          <w:rFonts w:cs="Arial"/>
          <w:sz w:val="28"/>
          <w:szCs w:val="28"/>
        </w:rPr>
        <w:t xml:space="preserve"> </w:t>
      </w:r>
      <w:r w:rsidR="00533175" w:rsidRPr="00F474AA">
        <w:rPr>
          <w:rFonts w:cs="Arial"/>
          <w:sz w:val="28"/>
          <w:szCs w:val="28"/>
        </w:rPr>
        <w:t xml:space="preserve">favorisant incidemment une accélération des cadences de règlement des sinistres. (Article 13) </w:t>
      </w:r>
    </w:p>
    <w:p w:rsidR="00533175" w:rsidRPr="00F474AA" w:rsidRDefault="00FA6A70" w:rsidP="00F83A03">
      <w:pPr>
        <w:pStyle w:val="Paragraphedeliste"/>
        <w:numPr>
          <w:ilvl w:val="0"/>
          <w:numId w:val="18"/>
        </w:numPr>
        <w:jc w:val="both"/>
        <w:rPr>
          <w:sz w:val="28"/>
          <w:szCs w:val="28"/>
        </w:rPr>
      </w:pPr>
      <w:proofErr w:type="gramStart"/>
      <w:r>
        <w:rPr>
          <w:sz w:val="28"/>
          <w:szCs w:val="28"/>
        </w:rPr>
        <w:t>la</w:t>
      </w:r>
      <w:proofErr w:type="gramEnd"/>
      <w:r>
        <w:rPr>
          <w:sz w:val="28"/>
          <w:szCs w:val="28"/>
        </w:rPr>
        <w:t xml:space="preserve"> crainte</w:t>
      </w:r>
      <w:r w:rsidR="00533175" w:rsidRPr="00F474AA">
        <w:rPr>
          <w:sz w:val="28"/>
          <w:szCs w:val="28"/>
        </w:rPr>
        <w:t xml:space="preserve"> </w:t>
      </w:r>
      <w:r>
        <w:rPr>
          <w:sz w:val="28"/>
          <w:szCs w:val="28"/>
        </w:rPr>
        <w:t xml:space="preserve">des </w:t>
      </w:r>
      <w:r w:rsidR="00533175" w:rsidRPr="00F474AA">
        <w:rPr>
          <w:sz w:val="28"/>
          <w:szCs w:val="28"/>
        </w:rPr>
        <w:t>sanctions à l’encont</w:t>
      </w:r>
      <w:r>
        <w:rPr>
          <w:sz w:val="28"/>
          <w:szCs w:val="28"/>
        </w:rPr>
        <w:t>re des compagnies d’assurances qui se verraient épi</w:t>
      </w:r>
      <w:r w:rsidR="00533175" w:rsidRPr="00F474AA">
        <w:rPr>
          <w:sz w:val="28"/>
          <w:szCs w:val="28"/>
        </w:rPr>
        <w:t>n</w:t>
      </w:r>
      <w:r>
        <w:rPr>
          <w:sz w:val="28"/>
          <w:szCs w:val="28"/>
        </w:rPr>
        <w:t>glées</w:t>
      </w:r>
      <w:r w:rsidR="00533175" w:rsidRPr="00F474AA">
        <w:rPr>
          <w:sz w:val="28"/>
          <w:szCs w:val="28"/>
        </w:rPr>
        <w:t xml:space="preserve"> </w:t>
      </w:r>
      <w:r>
        <w:rPr>
          <w:sz w:val="28"/>
          <w:szCs w:val="28"/>
        </w:rPr>
        <w:t>par le régulateur pour cause de paiement tardif des sinistres</w:t>
      </w:r>
      <w:r w:rsidR="00533175">
        <w:rPr>
          <w:sz w:val="28"/>
          <w:szCs w:val="28"/>
        </w:rPr>
        <w:t xml:space="preserve"> .</w:t>
      </w:r>
    </w:p>
    <w:p w:rsidR="00533175" w:rsidRPr="00FA6A70" w:rsidRDefault="00533175" w:rsidP="00F83A03">
      <w:pPr>
        <w:pStyle w:val="Paragraphedeliste"/>
        <w:numPr>
          <w:ilvl w:val="0"/>
          <w:numId w:val="18"/>
        </w:numPr>
        <w:jc w:val="both"/>
        <w:rPr>
          <w:sz w:val="28"/>
          <w:szCs w:val="28"/>
        </w:rPr>
      </w:pPr>
      <w:r w:rsidRPr="00FA6A70">
        <w:rPr>
          <w:sz w:val="28"/>
          <w:szCs w:val="28"/>
        </w:rPr>
        <w:t>La rationalisation des procédures de règlement</w:t>
      </w:r>
      <w:r w:rsidR="00FA6A70" w:rsidRPr="00FA6A70">
        <w:rPr>
          <w:sz w:val="28"/>
          <w:szCs w:val="28"/>
        </w:rPr>
        <w:t xml:space="preserve"> et de façon plus générale, l’amélioration du système organisationnel constatables dans la plupart des </w:t>
      </w:r>
      <w:r w:rsidR="00AE35DB" w:rsidRPr="00FA6A70">
        <w:rPr>
          <w:sz w:val="28"/>
          <w:szCs w:val="28"/>
        </w:rPr>
        <w:t xml:space="preserve">compagnies, </w:t>
      </w:r>
      <w:r w:rsidR="00AE35DB">
        <w:rPr>
          <w:sz w:val="28"/>
          <w:szCs w:val="28"/>
        </w:rPr>
        <w:t xml:space="preserve">contribuant incidemment </w:t>
      </w:r>
      <w:r w:rsidRPr="00FA6A70">
        <w:rPr>
          <w:sz w:val="28"/>
          <w:szCs w:val="28"/>
        </w:rPr>
        <w:t>à minimiser les risques de litiges.</w:t>
      </w:r>
    </w:p>
    <w:p w:rsidR="0084700D" w:rsidRDefault="001A5F30" w:rsidP="00F83A03">
      <w:pPr>
        <w:jc w:val="both"/>
        <w:rPr>
          <w:sz w:val="28"/>
          <w:szCs w:val="28"/>
        </w:rPr>
      </w:pPr>
      <w:r w:rsidRPr="008230E9">
        <w:rPr>
          <w:sz w:val="28"/>
          <w:szCs w:val="28"/>
        </w:rPr>
        <w:t xml:space="preserve">Toutefois, il convient de relever </w:t>
      </w:r>
      <w:r w:rsidR="00B43E45" w:rsidRPr="008230E9">
        <w:rPr>
          <w:sz w:val="28"/>
          <w:szCs w:val="28"/>
        </w:rPr>
        <w:t>que le recul de la pandémie constaté en fin d’exercice, préfigure une</w:t>
      </w:r>
      <w:r w:rsidR="008230E9" w:rsidRPr="008230E9">
        <w:rPr>
          <w:sz w:val="28"/>
          <w:szCs w:val="28"/>
        </w:rPr>
        <w:t xml:space="preserve"> inversion de tendance</w:t>
      </w:r>
      <w:r w:rsidR="00365F0A">
        <w:rPr>
          <w:sz w:val="28"/>
          <w:szCs w:val="28"/>
        </w:rPr>
        <w:t xml:space="preserve"> dès </w:t>
      </w:r>
      <w:r w:rsidR="00491D15">
        <w:rPr>
          <w:sz w:val="28"/>
          <w:szCs w:val="28"/>
        </w:rPr>
        <w:t xml:space="preserve">l’année </w:t>
      </w:r>
      <w:r w:rsidR="00491D15" w:rsidRPr="008230E9">
        <w:rPr>
          <w:sz w:val="28"/>
          <w:szCs w:val="28"/>
        </w:rPr>
        <w:t>prochaine</w:t>
      </w:r>
      <w:r w:rsidR="00B036AA">
        <w:rPr>
          <w:sz w:val="28"/>
          <w:szCs w:val="28"/>
        </w:rPr>
        <w:t>,</w:t>
      </w:r>
      <w:r w:rsidR="00365F0A">
        <w:rPr>
          <w:sz w:val="28"/>
          <w:szCs w:val="28"/>
        </w:rPr>
        <w:t xml:space="preserve"> qui sera </w:t>
      </w:r>
      <w:r w:rsidR="008230E9" w:rsidRPr="008230E9">
        <w:rPr>
          <w:sz w:val="28"/>
          <w:szCs w:val="28"/>
        </w:rPr>
        <w:t xml:space="preserve">favorisée par </w:t>
      </w:r>
      <w:r w:rsidR="00365F0A">
        <w:rPr>
          <w:sz w:val="28"/>
          <w:szCs w:val="28"/>
        </w:rPr>
        <w:t xml:space="preserve">le retour progressif à la vie normale, en raison des assouplissements </w:t>
      </w:r>
      <w:r w:rsidR="00B76B4F">
        <w:rPr>
          <w:sz w:val="28"/>
          <w:szCs w:val="28"/>
        </w:rPr>
        <w:t>c</w:t>
      </w:r>
      <w:r w:rsidR="00365F0A">
        <w:rPr>
          <w:sz w:val="28"/>
          <w:szCs w:val="28"/>
        </w:rPr>
        <w:t>on</w:t>
      </w:r>
      <w:r w:rsidR="00B76B4F">
        <w:rPr>
          <w:sz w:val="28"/>
          <w:szCs w:val="28"/>
        </w:rPr>
        <w:t>s</w:t>
      </w:r>
      <w:r w:rsidR="00365F0A">
        <w:rPr>
          <w:sz w:val="28"/>
          <w:szCs w:val="28"/>
        </w:rPr>
        <w:t>tatés dans l’application des gestes barrières et la fin des restrictions</w:t>
      </w:r>
      <w:r w:rsidR="00B76B4F">
        <w:rPr>
          <w:sz w:val="28"/>
          <w:szCs w:val="28"/>
        </w:rPr>
        <w:t xml:space="preserve"> frappant </w:t>
      </w:r>
      <w:r w:rsidR="00B76B4F">
        <w:rPr>
          <w:sz w:val="28"/>
          <w:szCs w:val="28"/>
        </w:rPr>
        <w:lastRenderedPageBreak/>
        <w:t xml:space="preserve">le secteur du transport. Il s’y ajoute </w:t>
      </w:r>
      <w:r w:rsidR="001263F5" w:rsidRPr="008230E9">
        <w:rPr>
          <w:sz w:val="28"/>
          <w:szCs w:val="28"/>
        </w:rPr>
        <w:t xml:space="preserve">l’évolution des mentalités de la population assurée, largement favorisée par le développement et l’approfondissement de la culture assurantielle qui </w:t>
      </w:r>
      <w:r w:rsidR="00B76B4F">
        <w:rPr>
          <w:sz w:val="28"/>
          <w:szCs w:val="28"/>
        </w:rPr>
        <w:t>favorisent</w:t>
      </w:r>
      <w:r w:rsidR="001263F5" w:rsidRPr="008230E9">
        <w:rPr>
          <w:sz w:val="28"/>
          <w:szCs w:val="28"/>
        </w:rPr>
        <w:t xml:space="preserve"> le changement des comportements et l’éveil des assurés. Ces derniers, sous la poussée des mouvements consuméristes, devenus plus nombreux et plus puissants, sont davantage informés de leurs droits, mais également des voies et moyens à privilégier pour s’assurer une </w:t>
      </w:r>
      <w:r w:rsidR="00B76B4F">
        <w:rPr>
          <w:sz w:val="28"/>
          <w:szCs w:val="28"/>
        </w:rPr>
        <w:t>protection optimale.</w:t>
      </w:r>
    </w:p>
    <w:p w:rsidR="001263F5" w:rsidRPr="007E420A" w:rsidRDefault="00BF4297" w:rsidP="00F83A03">
      <w:pPr>
        <w:jc w:val="both"/>
        <w:rPr>
          <w:b/>
          <w:color w:val="FF0000"/>
          <w:sz w:val="28"/>
          <w:szCs w:val="28"/>
        </w:rPr>
      </w:pPr>
      <w:r>
        <w:rPr>
          <w:sz w:val="28"/>
          <w:szCs w:val="28"/>
        </w:rPr>
        <w:t>Je ne saurai</w:t>
      </w:r>
      <w:r w:rsidR="00491D15">
        <w:rPr>
          <w:sz w:val="28"/>
          <w:szCs w:val="28"/>
        </w:rPr>
        <w:t xml:space="preserve">s clore ce chapitre, sans réitérer </w:t>
      </w:r>
      <w:r>
        <w:rPr>
          <w:sz w:val="28"/>
          <w:szCs w:val="28"/>
        </w:rPr>
        <w:t>mes remerciements à l’endroit de la Direction des Assurances, pour son soutien multiforme</w:t>
      </w:r>
      <w:r w:rsidR="002C42FF">
        <w:rPr>
          <w:sz w:val="28"/>
          <w:szCs w:val="28"/>
        </w:rPr>
        <w:t>, à l</w:t>
      </w:r>
      <w:r w:rsidR="0084700D">
        <w:rPr>
          <w:sz w:val="28"/>
          <w:szCs w:val="28"/>
        </w:rPr>
        <w:t>’AAS pour</w:t>
      </w:r>
      <w:r>
        <w:rPr>
          <w:sz w:val="28"/>
          <w:szCs w:val="28"/>
        </w:rPr>
        <w:t xml:space="preserve"> </w:t>
      </w:r>
      <w:r w:rsidRPr="00F474AA">
        <w:rPr>
          <w:sz w:val="28"/>
          <w:szCs w:val="28"/>
        </w:rPr>
        <w:t xml:space="preserve">l’engagement et l’entière coopération </w:t>
      </w:r>
      <w:r w:rsidR="0084700D">
        <w:rPr>
          <w:sz w:val="28"/>
          <w:szCs w:val="28"/>
        </w:rPr>
        <w:t>de ses membres</w:t>
      </w:r>
      <w:r>
        <w:rPr>
          <w:sz w:val="28"/>
          <w:szCs w:val="28"/>
        </w:rPr>
        <w:t xml:space="preserve"> tout au long des processus de </w:t>
      </w:r>
      <w:r w:rsidR="002C42FF" w:rsidRPr="007E420A">
        <w:rPr>
          <w:color w:val="FF0000"/>
          <w:sz w:val="28"/>
          <w:szCs w:val="28"/>
        </w:rPr>
        <w:t>médiation</w:t>
      </w:r>
      <w:r w:rsidR="002C42FF">
        <w:rPr>
          <w:sz w:val="28"/>
          <w:szCs w:val="28"/>
        </w:rPr>
        <w:t xml:space="preserve">, </w:t>
      </w:r>
      <w:r w:rsidR="002C42FF" w:rsidRPr="007E420A">
        <w:rPr>
          <w:color w:val="FF0000"/>
          <w:sz w:val="28"/>
          <w:szCs w:val="28"/>
        </w:rPr>
        <w:t xml:space="preserve">à l’OQSF, particulièrement les experts Papa Cissé et </w:t>
      </w:r>
      <w:proofErr w:type="spellStart"/>
      <w:r w:rsidR="002C42FF" w:rsidRPr="007E420A">
        <w:rPr>
          <w:color w:val="FF0000"/>
          <w:sz w:val="28"/>
          <w:szCs w:val="28"/>
        </w:rPr>
        <w:t>mme</w:t>
      </w:r>
      <w:proofErr w:type="spellEnd"/>
      <w:r w:rsidR="002C42FF" w:rsidRPr="007E420A">
        <w:rPr>
          <w:color w:val="FF0000"/>
          <w:sz w:val="28"/>
          <w:szCs w:val="28"/>
        </w:rPr>
        <w:t xml:space="preserve"> </w:t>
      </w:r>
      <w:proofErr w:type="spellStart"/>
      <w:r w:rsidR="002C42FF" w:rsidRPr="007E420A">
        <w:rPr>
          <w:color w:val="FF0000"/>
          <w:sz w:val="28"/>
          <w:szCs w:val="28"/>
        </w:rPr>
        <w:t>Coura</w:t>
      </w:r>
      <w:proofErr w:type="spellEnd"/>
      <w:r w:rsidR="002C42FF" w:rsidRPr="007E420A">
        <w:rPr>
          <w:color w:val="FF0000"/>
          <w:sz w:val="28"/>
          <w:szCs w:val="28"/>
        </w:rPr>
        <w:t xml:space="preserve"> </w:t>
      </w:r>
      <w:proofErr w:type="spellStart"/>
      <w:r w:rsidR="002C42FF" w:rsidRPr="007E420A">
        <w:rPr>
          <w:color w:val="FF0000"/>
          <w:sz w:val="28"/>
          <w:szCs w:val="28"/>
        </w:rPr>
        <w:t>Seye</w:t>
      </w:r>
      <w:proofErr w:type="spellEnd"/>
      <w:r w:rsidR="002C42FF" w:rsidRPr="007E420A">
        <w:rPr>
          <w:color w:val="FF0000"/>
          <w:sz w:val="28"/>
          <w:szCs w:val="28"/>
        </w:rPr>
        <w:t>, pour leur dévouement au soutien apporté dans l’exercice de ma mission</w:t>
      </w:r>
      <w:r w:rsidR="0084700D" w:rsidRPr="007E420A">
        <w:rPr>
          <w:color w:val="FF0000"/>
          <w:sz w:val="28"/>
          <w:szCs w:val="28"/>
        </w:rPr>
        <w:t>.</w:t>
      </w:r>
    </w:p>
    <w:p w:rsidR="001263F5" w:rsidRPr="00F474AA" w:rsidRDefault="001263F5" w:rsidP="002C42FF">
      <w:pPr>
        <w:ind w:left="5664"/>
        <w:jc w:val="both"/>
        <w:rPr>
          <w:b/>
          <w:sz w:val="28"/>
          <w:szCs w:val="28"/>
        </w:rPr>
      </w:pPr>
      <w:r w:rsidRPr="00F474AA">
        <w:rPr>
          <w:b/>
          <w:sz w:val="28"/>
          <w:szCs w:val="28"/>
        </w:rPr>
        <w:t>Le Médiateur des Assurances</w:t>
      </w:r>
    </w:p>
    <w:p w:rsidR="001263F5" w:rsidRPr="00F474AA" w:rsidRDefault="001263F5" w:rsidP="002C42FF">
      <w:pPr>
        <w:ind w:left="5664"/>
        <w:jc w:val="both"/>
        <w:rPr>
          <w:b/>
          <w:sz w:val="28"/>
          <w:szCs w:val="28"/>
        </w:rPr>
      </w:pPr>
      <w:r w:rsidRPr="00F474AA">
        <w:rPr>
          <w:b/>
          <w:sz w:val="28"/>
          <w:szCs w:val="28"/>
        </w:rPr>
        <w:t xml:space="preserve"> </w:t>
      </w:r>
      <w:r w:rsidR="00420210">
        <w:rPr>
          <w:b/>
          <w:sz w:val="28"/>
          <w:szCs w:val="28"/>
        </w:rPr>
        <w:t>Amadou Kane DIALLO</w:t>
      </w:r>
    </w:p>
    <w:p w:rsidR="001263F5" w:rsidRPr="00F474AA" w:rsidRDefault="001263F5" w:rsidP="00F83A03">
      <w:pPr>
        <w:jc w:val="both"/>
        <w:rPr>
          <w:b/>
          <w:sz w:val="28"/>
          <w:szCs w:val="28"/>
        </w:rPr>
      </w:pPr>
    </w:p>
    <w:p w:rsidR="004A78F5" w:rsidRPr="00F474AA" w:rsidRDefault="004A78F5" w:rsidP="00F83A03">
      <w:pPr>
        <w:jc w:val="both"/>
        <w:rPr>
          <w:b/>
          <w:sz w:val="28"/>
          <w:szCs w:val="28"/>
        </w:rPr>
      </w:pPr>
    </w:p>
    <w:p w:rsidR="004A78F5" w:rsidRPr="00F474AA" w:rsidRDefault="004A78F5" w:rsidP="00F83A03">
      <w:pPr>
        <w:jc w:val="both"/>
        <w:rPr>
          <w:b/>
          <w:sz w:val="28"/>
          <w:szCs w:val="28"/>
        </w:rPr>
      </w:pPr>
    </w:p>
    <w:p w:rsidR="004A78F5" w:rsidRPr="00F474AA" w:rsidRDefault="004A78F5" w:rsidP="00F83A03">
      <w:pPr>
        <w:jc w:val="both"/>
        <w:rPr>
          <w:b/>
          <w:sz w:val="28"/>
          <w:szCs w:val="28"/>
        </w:rPr>
      </w:pPr>
    </w:p>
    <w:p w:rsidR="004A78F5" w:rsidRPr="00F474AA" w:rsidRDefault="004A78F5" w:rsidP="00F83A03">
      <w:pPr>
        <w:jc w:val="both"/>
        <w:rPr>
          <w:b/>
          <w:sz w:val="28"/>
          <w:szCs w:val="28"/>
        </w:rPr>
      </w:pPr>
    </w:p>
    <w:p w:rsidR="004A78F5" w:rsidRDefault="004A78F5" w:rsidP="00F83A03">
      <w:pPr>
        <w:jc w:val="both"/>
        <w:rPr>
          <w:b/>
          <w:sz w:val="28"/>
          <w:szCs w:val="28"/>
        </w:rPr>
      </w:pPr>
    </w:p>
    <w:p w:rsidR="00B036AA" w:rsidRDefault="00B036AA" w:rsidP="00F83A03">
      <w:pPr>
        <w:jc w:val="both"/>
        <w:rPr>
          <w:b/>
          <w:sz w:val="28"/>
          <w:szCs w:val="28"/>
        </w:rPr>
      </w:pPr>
    </w:p>
    <w:p w:rsidR="00B036AA" w:rsidRDefault="00B036AA" w:rsidP="00F83A03">
      <w:pPr>
        <w:jc w:val="both"/>
        <w:rPr>
          <w:b/>
          <w:sz w:val="28"/>
          <w:szCs w:val="28"/>
        </w:rPr>
      </w:pPr>
    </w:p>
    <w:p w:rsidR="00B036AA" w:rsidRDefault="00B036AA" w:rsidP="00F83A03">
      <w:pPr>
        <w:jc w:val="both"/>
        <w:rPr>
          <w:b/>
          <w:sz w:val="28"/>
          <w:szCs w:val="28"/>
        </w:rPr>
      </w:pPr>
    </w:p>
    <w:p w:rsidR="00B036AA" w:rsidRDefault="00B036AA" w:rsidP="00F83A03">
      <w:pPr>
        <w:jc w:val="both"/>
        <w:rPr>
          <w:b/>
          <w:sz w:val="28"/>
          <w:szCs w:val="28"/>
        </w:rPr>
      </w:pPr>
    </w:p>
    <w:p w:rsidR="00B036AA" w:rsidRDefault="00B036AA" w:rsidP="00F83A03">
      <w:pPr>
        <w:jc w:val="both"/>
        <w:rPr>
          <w:b/>
          <w:sz w:val="28"/>
          <w:szCs w:val="28"/>
        </w:rPr>
      </w:pPr>
    </w:p>
    <w:p w:rsidR="00B036AA" w:rsidRPr="00F474AA" w:rsidRDefault="00B036AA" w:rsidP="00F83A03">
      <w:pPr>
        <w:jc w:val="both"/>
        <w:rPr>
          <w:b/>
          <w:sz w:val="28"/>
          <w:szCs w:val="28"/>
        </w:rPr>
      </w:pPr>
    </w:p>
    <w:p w:rsidR="004A78F5" w:rsidRPr="00F474AA" w:rsidRDefault="004A78F5" w:rsidP="00F83A03">
      <w:pPr>
        <w:pStyle w:val="Paragraphedeliste"/>
        <w:numPr>
          <w:ilvl w:val="0"/>
          <w:numId w:val="2"/>
        </w:numPr>
        <w:ind w:left="1077"/>
        <w:jc w:val="both"/>
        <w:outlineLvl w:val="0"/>
        <w:rPr>
          <w:b/>
          <w:sz w:val="28"/>
          <w:szCs w:val="28"/>
        </w:rPr>
      </w:pPr>
      <w:bookmarkStart w:id="4" w:name="_Toc113021112"/>
      <w:r w:rsidRPr="00F474AA">
        <w:rPr>
          <w:b/>
          <w:sz w:val="28"/>
          <w:szCs w:val="28"/>
        </w:rPr>
        <w:t xml:space="preserve">Rappel des missions </w:t>
      </w:r>
      <w:r w:rsidR="00E575A3">
        <w:rPr>
          <w:b/>
          <w:sz w:val="28"/>
          <w:szCs w:val="28"/>
        </w:rPr>
        <w:t>du</w:t>
      </w:r>
      <w:r w:rsidRPr="00F474AA">
        <w:rPr>
          <w:b/>
          <w:sz w:val="28"/>
          <w:szCs w:val="28"/>
        </w:rPr>
        <w:t xml:space="preserve"> Médiateur des Assurances</w:t>
      </w:r>
      <w:bookmarkEnd w:id="4"/>
    </w:p>
    <w:p w:rsidR="004A78F5" w:rsidRPr="00F474AA" w:rsidRDefault="004A78F5" w:rsidP="00F83A03">
      <w:pPr>
        <w:pStyle w:val="Paragraphedeliste"/>
        <w:ind w:left="1080"/>
        <w:jc w:val="both"/>
        <w:rPr>
          <w:b/>
          <w:sz w:val="28"/>
          <w:szCs w:val="28"/>
        </w:rPr>
      </w:pPr>
    </w:p>
    <w:p w:rsidR="004A78F5" w:rsidRPr="00F474AA" w:rsidRDefault="004A78F5" w:rsidP="00F83A03">
      <w:pPr>
        <w:pStyle w:val="Paragraphedeliste"/>
        <w:numPr>
          <w:ilvl w:val="1"/>
          <w:numId w:val="3"/>
        </w:numPr>
        <w:ind w:left="1077"/>
        <w:jc w:val="both"/>
        <w:outlineLvl w:val="1"/>
        <w:rPr>
          <w:b/>
          <w:sz w:val="28"/>
          <w:szCs w:val="28"/>
        </w:rPr>
      </w:pPr>
      <w:bookmarkStart w:id="5" w:name="_Toc113021113"/>
      <w:r w:rsidRPr="00F474AA">
        <w:rPr>
          <w:b/>
          <w:sz w:val="28"/>
          <w:szCs w:val="28"/>
        </w:rPr>
        <w:t>Attributions du Médiateur</w:t>
      </w:r>
      <w:bookmarkEnd w:id="5"/>
      <w:r w:rsidRPr="00F474AA">
        <w:rPr>
          <w:b/>
          <w:sz w:val="28"/>
          <w:szCs w:val="28"/>
        </w:rPr>
        <w:t xml:space="preserve"> </w:t>
      </w:r>
    </w:p>
    <w:p w:rsidR="004A78F5" w:rsidRPr="00F474AA" w:rsidRDefault="00362362" w:rsidP="00F83A03">
      <w:pPr>
        <w:jc w:val="both"/>
        <w:rPr>
          <w:sz w:val="28"/>
          <w:szCs w:val="28"/>
        </w:rPr>
      </w:pPr>
      <w:r>
        <w:rPr>
          <w:sz w:val="28"/>
          <w:szCs w:val="28"/>
        </w:rPr>
        <w:t>Logé</w:t>
      </w:r>
      <w:r w:rsidRPr="00F474AA">
        <w:rPr>
          <w:sz w:val="28"/>
          <w:szCs w:val="28"/>
        </w:rPr>
        <w:t xml:space="preserve"> au sein de l’Observatoire de la Qualité des Services Financiers</w:t>
      </w:r>
      <w:r>
        <w:rPr>
          <w:sz w:val="28"/>
          <w:szCs w:val="28"/>
        </w:rPr>
        <w:t xml:space="preserve">, </w:t>
      </w:r>
      <w:r w:rsidR="00E575A3">
        <w:rPr>
          <w:sz w:val="28"/>
          <w:szCs w:val="28"/>
        </w:rPr>
        <w:t>le</w:t>
      </w:r>
      <w:r>
        <w:rPr>
          <w:sz w:val="28"/>
          <w:szCs w:val="28"/>
        </w:rPr>
        <w:t xml:space="preserve"> dispositif de</w:t>
      </w:r>
      <w:r w:rsidR="00E575A3">
        <w:rPr>
          <w:sz w:val="28"/>
          <w:szCs w:val="28"/>
        </w:rPr>
        <w:t xml:space="preserve"> </w:t>
      </w:r>
      <w:r>
        <w:rPr>
          <w:sz w:val="28"/>
          <w:szCs w:val="28"/>
        </w:rPr>
        <w:t>Médiation des</w:t>
      </w:r>
      <w:r w:rsidR="00E575A3">
        <w:rPr>
          <w:sz w:val="28"/>
          <w:szCs w:val="28"/>
        </w:rPr>
        <w:t xml:space="preserve"> Assurances</w:t>
      </w:r>
      <w:r w:rsidR="004A78F5" w:rsidRPr="00F474AA">
        <w:rPr>
          <w:sz w:val="28"/>
          <w:szCs w:val="28"/>
        </w:rPr>
        <w:t xml:space="preserve"> a pour </w:t>
      </w:r>
      <w:r w:rsidR="00E575A3" w:rsidRPr="00F474AA">
        <w:rPr>
          <w:sz w:val="28"/>
          <w:szCs w:val="28"/>
        </w:rPr>
        <w:t>mission</w:t>
      </w:r>
      <w:r w:rsidR="00E575A3">
        <w:rPr>
          <w:sz w:val="28"/>
          <w:szCs w:val="28"/>
        </w:rPr>
        <w:t>,</w:t>
      </w:r>
      <w:r w:rsidR="00E575A3" w:rsidRPr="00F474AA">
        <w:rPr>
          <w:sz w:val="28"/>
          <w:szCs w:val="28"/>
        </w:rPr>
        <w:t xml:space="preserve"> le</w:t>
      </w:r>
      <w:r w:rsidR="004A78F5" w:rsidRPr="00F474AA">
        <w:rPr>
          <w:sz w:val="28"/>
          <w:szCs w:val="28"/>
        </w:rPr>
        <w:t xml:space="preserve"> règlement amiable des litiges individuels </w:t>
      </w:r>
      <w:r w:rsidR="00E575A3">
        <w:rPr>
          <w:sz w:val="28"/>
          <w:szCs w:val="28"/>
        </w:rPr>
        <w:t>nés des relations contractuelles entretenues entre les sociétés d’assurances</w:t>
      </w:r>
      <w:r w:rsidR="004A78F5" w:rsidRPr="00F474AA">
        <w:rPr>
          <w:sz w:val="28"/>
          <w:szCs w:val="28"/>
        </w:rPr>
        <w:t xml:space="preserve"> et leur</w:t>
      </w:r>
      <w:r w:rsidR="00E575A3">
        <w:rPr>
          <w:sz w:val="28"/>
          <w:szCs w:val="28"/>
        </w:rPr>
        <w:t>s clients,</w:t>
      </w:r>
      <w:r w:rsidR="004A78F5" w:rsidRPr="00F474AA">
        <w:rPr>
          <w:sz w:val="28"/>
          <w:szCs w:val="28"/>
        </w:rPr>
        <w:t xml:space="preserve"> à l’exclusion des différends </w:t>
      </w:r>
      <w:r w:rsidR="00E575A3">
        <w:rPr>
          <w:sz w:val="28"/>
          <w:szCs w:val="28"/>
        </w:rPr>
        <w:t>se rapportant</w:t>
      </w:r>
      <w:r w:rsidR="004A78F5" w:rsidRPr="00F474AA">
        <w:rPr>
          <w:sz w:val="28"/>
          <w:szCs w:val="28"/>
        </w:rPr>
        <w:t xml:space="preserve"> à leur </w:t>
      </w:r>
      <w:r w:rsidR="00E575A3">
        <w:rPr>
          <w:sz w:val="28"/>
          <w:szCs w:val="28"/>
        </w:rPr>
        <w:t>politique commerciale ou</w:t>
      </w:r>
      <w:r w:rsidR="004A78F5" w:rsidRPr="00F474AA">
        <w:rPr>
          <w:sz w:val="28"/>
          <w:szCs w:val="28"/>
        </w:rPr>
        <w:t xml:space="preserve"> tarifaire</w:t>
      </w:r>
      <w:r w:rsidR="00E575A3">
        <w:rPr>
          <w:sz w:val="28"/>
          <w:szCs w:val="28"/>
        </w:rPr>
        <w:t>.</w:t>
      </w:r>
      <w:r>
        <w:rPr>
          <w:sz w:val="28"/>
          <w:szCs w:val="28"/>
        </w:rPr>
        <w:t xml:space="preserve"> (Cf.</w:t>
      </w:r>
      <w:r w:rsidR="00E575A3" w:rsidRPr="00F474AA">
        <w:rPr>
          <w:sz w:val="28"/>
          <w:szCs w:val="28"/>
        </w:rPr>
        <w:t xml:space="preserve"> décret présidentiel n° 2009-95 du 06 février 2009</w:t>
      </w:r>
      <w:r>
        <w:rPr>
          <w:sz w:val="28"/>
          <w:szCs w:val="28"/>
        </w:rPr>
        <w:t>))</w:t>
      </w:r>
    </w:p>
    <w:p w:rsidR="004A78F5" w:rsidRPr="00F474AA" w:rsidRDefault="00362362" w:rsidP="00F83A03">
      <w:pPr>
        <w:jc w:val="both"/>
        <w:rPr>
          <w:sz w:val="28"/>
          <w:szCs w:val="28"/>
        </w:rPr>
      </w:pPr>
      <w:r>
        <w:rPr>
          <w:sz w:val="28"/>
          <w:szCs w:val="28"/>
        </w:rPr>
        <w:t>L</w:t>
      </w:r>
      <w:r w:rsidR="004A78F5" w:rsidRPr="00F474AA">
        <w:rPr>
          <w:sz w:val="28"/>
          <w:szCs w:val="28"/>
        </w:rPr>
        <w:t>’arrêté ministériel n° 0256 du 02 mar</w:t>
      </w:r>
      <w:r>
        <w:rPr>
          <w:sz w:val="28"/>
          <w:szCs w:val="28"/>
        </w:rPr>
        <w:t>s 2009, définit les</w:t>
      </w:r>
      <w:r w:rsidRPr="00362362">
        <w:rPr>
          <w:sz w:val="28"/>
          <w:szCs w:val="28"/>
        </w:rPr>
        <w:t xml:space="preserve"> </w:t>
      </w:r>
      <w:r w:rsidRPr="00F474AA">
        <w:rPr>
          <w:sz w:val="28"/>
          <w:szCs w:val="28"/>
        </w:rPr>
        <w:t>attributions et condit</w:t>
      </w:r>
      <w:r>
        <w:rPr>
          <w:sz w:val="28"/>
          <w:szCs w:val="28"/>
        </w:rPr>
        <w:t>ions d’exercice de la mission dévolue au</w:t>
      </w:r>
      <w:r w:rsidRPr="00F474AA">
        <w:rPr>
          <w:sz w:val="28"/>
          <w:szCs w:val="28"/>
        </w:rPr>
        <w:t xml:space="preserve"> Médiateur des</w:t>
      </w:r>
      <w:r>
        <w:rPr>
          <w:sz w:val="28"/>
          <w:szCs w:val="28"/>
        </w:rPr>
        <w:t xml:space="preserve"> Assurances</w:t>
      </w:r>
    </w:p>
    <w:p w:rsidR="004A78F5" w:rsidRPr="007B4394" w:rsidRDefault="00756F8E" w:rsidP="00F83A03">
      <w:pPr>
        <w:pStyle w:val="Paragraphedeliste"/>
        <w:numPr>
          <w:ilvl w:val="0"/>
          <w:numId w:val="19"/>
        </w:numPr>
        <w:jc w:val="both"/>
        <w:rPr>
          <w:sz w:val="28"/>
          <w:szCs w:val="28"/>
        </w:rPr>
      </w:pPr>
      <w:r>
        <w:rPr>
          <w:rFonts w:cs="Arial"/>
          <w:sz w:val="28"/>
          <w:szCs w:val="28"/>
        </w:rPr>
        <w:t>La faculté de saisine du</w:t>
      </w:r>
      <w:r w:rsidR="004A78F5" w:rsidRPr="00F474AA">
        <w:rPr>
          <w:rFonts w:cs="Arial"/>
          <w:sz w:val="28"/>
          <w:szCs w:val="28"/>
        </w:rPr>
        <w:t xml:space="preserve"> Médiateur </w:t>
      </w:r>
      <w:r>
        <w:rPr>
          <w:rFonts w:cs="Arial"/>
          <w:sz w:val="28"/>
          <w:szCs w:val="28"/>
        </w:rPr>
        <w:t>est offerte à</w:t>
      </w:r>
      <w:r w:rsidR="004A78F5" w:rsidRPr="00F474AA">
        <w:rPr>
          <w:rFonts w:cs="Arial"/>
          <w:sz w:val="28"/>
          <w:szCs w:val="28"/>
        </w:rPr>
        <w:t xml:space="preserve"> tout client ou usager, </w:t>
      </w:r>
      <w:r>
        <w:rPr>
          <w:rFonts w:cs="Arial"/>
          <w:sz w:val="28"/>
          <w:szCs w:val="28"/>
        </w:rPr>
        <w:t>(</w:t>
      </w:r>
      <w:r w:rsidR="004A78F5" w:rsidRPr="00F474AA">
        <w:rPr>
          <w:rFonts w:cs="Arial"/>
          <w:sz w:val="28"/>
          <w:szCs w:val="28"/>
        </w:rPr>
        <w:t>personne physique ou petite entreprise</w:t>
      </w:r>
      <w:r>
        <w:rPr>
          <w:rFonts w:cs="Arial"/>
          <w:sz w:val="28"/>
          <w:szCs w:val="28"/>
        </w:rPr>
        <w:t xml:space="preserve">) confronté à </w:t>
      </w:r>
      <w:r w:rsidR="004A78F5" w:rsidRPr="00F474AA">
        <w:rPr>
          <w:rFonts w:cs="Arial"/>
          <w:sz w:val="28"/>
          <w:szCs w:val="28"/>
        </w:rPr>
        <w:t xml:space="preserve">un </w:t>
      </w:r>
      <w:r>
        <w:rPr>
          <w:rFonts w:cs="Arial"/>
          <w:sz w:val="28"/>
          <w:szCs w:val="28"/>
        </w:rPr>
        <w:t>différend</w:t>
      </w:r>
      <w:r w:rsidR="004A78F5" w:rsidRPr="00F474AA">
        <w:rPr>
          <w:rFonts w:cs="Arial"/>
          <w:sz w:val="28"/>
          <w:szCs w:val="28"/>
        </w:rPr>
        <w:t xml:space="preserve"> à caractère ind</w:t>
      </w:r>
      <w:r>
        <w:rPr>
          <w:rFonts w:cs="Arial"/>
          <w:sz w:val="28"/>
          <w:szCs w:val="28"/>
        </w:rPr>
        <w:t>ividuel l’opposant à une compagnie</w:t>
      </w:r>
      <w:r w:rsidR="004A78F5" w:rsidRPr="00F474AA">
        <w:rPr>
          <w:rFonts w:cs="Arial"/>
          <w:sz w:val="28"/>
          <w:szCs w:val="28"/>
        </w:rPr>
        <w:t xml:space="preserve"> d’assurances et portant sur des services ou prestations </w:t>
      </w:r>
      <w:r>
        <w:rPr>
          <w:rFonts w:cs="Arial"/>
          <w:sz w:val="28"/>
          <w:szCs w:val="28"/>
        </w:rPr>
        <w:t>fournis par cette dernière ;</w:t>
      </w:r>
    </w:p>
    <w:p w:rsidR="007B4394" w:rsidRPr="00F474AA" w:rsidRDefault="007B4394" w:rsidP="00F83A03">
      <w:pPr>
        <w:pStyle w:val="Paragraphedeliste"/>
        <w:jc w:val="both"/>
        <w:rPr>
          <w:sz w:val="28"/>
          <w:szCs w:val="28"/>
        </w:rPr>
      </w:pPr>
    </w:p>
    <w:p w:rsidR="004A78F5" w:rsidRPr="00F474AA" w:rsidRDefault="00756F8E" w:rsidP="00F83A03">
      <w:pPr>
        <w:pStyle w:val="Paragraphedeliste"/>
        <w:numPr>
          <w:ilvl w:val="0"/>
          <w:numId w:val="19"/>
        </w:numPr>
        <w:spacing w:before="120" w:after="120" w:line="312" w:lineRule="auto"/>
        <w:jc w:val="both"/>
        <w:rPr>
          <w:rFonts w:cs="Arial"/>
          <w:sz w:val="28"/>
          <w:szCs w:val="28"/>
        </w:rPr>
      </w:pPr>
      <w:r w:rsidRPr="00F474AA">
        <w:rPr>
          <w:rFonts w:cs="Arial"/>
          <w:sz w:val="28"/>
          <w:szCs w:val="28"/>
        </w:rPr>
        <w:t>L</w:t>
      </w:r>
      <w:r w:rsidR="004A78F5" w:rsidRPr="00F474AA">
        <w:rPr>
          <w:rFonts w:cs="Arial"/>
          <w:sz w:val="28"/>
          <w:szCs w:val="28"/>
        </w:rPr>
        <w:t>e</w:t>
      </w:r>
      <w:r>
        <w:rPr>
          <w:rFonts w:cs="Arial"/>
          <w:sz w:val="28"/>
          <w:szCs w:val="28"/>
        </w:rPr>
        <w:t xml:space="preserve"> traitement des sai</w:t>
      </w:r>
      <w:r w:rsidR="004A78F5" w:rsidRPr="00F474AA">
        <w:rPr>
          <w:rFonts w:cs="Arial"/>
          <w:sz w:val="28"/>
          <w:szCs w:val="28"/>
        </w:rPr>
        <w:t>s</w:t>
      </w:r>
      <w:r>
        <w:rPr>
          <w:rFonts w:cs="Arial"/>
          <w:sz w:val="28"/>
          <w:szCs w:val="28"/>
        </w:rPr>
        <w:t>ines parvenues au Médiateur doit déboucher sur la formulation</w:t>
      </w:r>
      <w:r w:rsidR="004A78F5" w:rsidRPr="00F474AA">
        <w:rPr>
          <w:rFonts w:cs="Arial"/>
          <w:sz w:val="28"/>
          <w:szCs w:val="28"/>
        </w:rPr>
        <w:t xml:space="preserve"> </w:t>
      </w:r>
      <w:r>
        <w:rPr>
          <w:rFonts w:cs="Arial"/>
          <w:sz w:val="28"/>
          <w:szCs w:val="28"/>
        </w:rPr>
        <w:t xml:space="preserve">d’un </w:t>
      </w:r>
      <w:r w:rsidR="004A78F5" w:rsidRPr="00F474AA">
        <w:rPr>
          <w:rFonts w:cs="Arial"/>
          <w:sz w:val="28"/>
          <w:szCs w:val="28"/>
        </w:rPr>
        <w:t xml:space="preserve">avis </w:t>
      </w:r>
      <w:r>
        <w:rPr>
          <w:rFonts w:cs="Arial"/>
          <w:sz w:val="28"/>
          <w:szCs w:val="28"/>
        </w:rPr>
        <w:t>devant avoir</w:t>
      </w:r>
      <w:r w:rsidR="004A78F5" w:rsidRPr="00F474AA">
        <w:rPr>
          <w:rFonts w:cs="Arial"/>
          <w:sz w:val="28"/>
          <w:szCs w:val="28"/>
        </w:rPr>
        <w:t xml:space="preserve"> comme fondement le droit et </w:t>
      </w:r>
      <w:r w:rsidR="002844A3" w:rsidRPr="007E420A">
        <w:rPr>
          <w:rFonts w:cs="Arial"/>
          <w:color w:val="FF0000"/>
          <w:sz w:val="28"/>
          <w:szCs w:val="28"/>
        </w:rPr>
        <w:t xml:space="preserve">surtout </w:t>
      </w:r>
      <w:r w:rsidR="004A78F5" w:rsidRPr="00F474AA">
        <w:rPr>
          <w:rFonts w:cs="Arial"/>
          <w:sz w:val="28"/>
          <w:szCs w:val="28"/>
        </w:rPr>
        <w:t xml:space="preserve">l’équité, de façon à favoriser la conclusion d’un </w:t>
      </w:r>
      <w:r w:rsidR="0067350C" w:rsidRPr="00F474AA">
        <w:rPr>
          <w:rFonts w:cs="Arial"/>
          <w:sz w:val="28"/>
          <w:szCs w:val="28"/>
        </w:rPr>
        <w:t>accord jugé</w:t>
      </w:r>
      <w:r w:rsidR="005255BC">
        <w:rPr>
          <w:rFonts w:cs="Arial"/>
          <w:sz w:val="28"/>
          <w:szCs w:val="28"/>
        </w:rPr>
        <w:t xml:space="preserve"> équitable </w:t>
      </w:r>
      <w:r w:rsidR="005255BC" w:rsidRPr="00F474AA">
        <w:rPr>
          <w:rFonts w:cs="Arial"/>
          <w:sz w:val="28"/>
          <w:szCs w:val="28"/>
        </w:rPr>
        <w:t>par les parties</w:t>
      </w:r>
      <w:r w:rsidR="005255BC">
        <w:rPr>
          <w:rFonts w:cs="Arial"/>
          <w:sz w:val="28"/>
          <w:szCs w:val="28"/>
        </w:rPr>
        <w:t xml:space="preserve"> et mettant fin au litige.</w:t>
      </w:r>
    </w:p>
    <w:p w:rsidR="00897C8B" w:rsidRDefault="005255BC" w:rsidP="00897C8B">
      <w:pPr>
        <w:spacing w:before="120" w:after="120" w:line="312" w:lineRule="auto"/>
        <w:jc w:val="both"/>
        <w:rPr>
          <w:rFonts w:cs="Arial"/>
          <w:sz w:val="28"/>
          <w:szCs w:val="28"/>
        </w:rPr>
      </w:pPr>
      <w:r>
        <w:rPr>
          <w:sz w:val="28"/>
          <w:szCs w:val="28"/>
        </w:rPr>
        <w:t>Il</w:t>
      </w:r>
      <w:r w:rsidR="004A78F5" w:rsidRPr="00F474AA">
        <w:rPr>
          <w:sz w:val="28"/>
          <w:szCs w:val="28"/>
        </w:rPr>
        <w:t xml:space="preserve"> convient de préciser </w:t>
      </w:r>
      <w:r>
        <w:rPr>
          <w:sz w:val="28"/>
          <w:szCs w:val="28"/>
        </w:rPr>
        <w:t xml:space="preserve">que </w:t>
      </w:r>
      <w:r w:rsidR="004A78F5" w:rsidRPr="00F474AA">
        <w:rPr>
          <w:rFonts w:cs="Arial"/>
          <w:sz w:val="28"/>
          <w:szCs w:val="28"/>
        </w:rPr>
        <w:t>la médiation</w:t>
      </w:r>
      <w:r>
        <w:rPr>
          <w:rFonts w:cs="Arial"/>
          <w:sz w:val="28"/>
          <w:szCs w:val="28"/>
        </w:rPr>
        <w:t xml:space="preserve"> exclut de son champ de compétence tout</w:t>
      </w:r>
      <w:r w:rsidR="004A78F5" w:rsidRPr="00F474AA">
        <w:rPr>
          <w:rFonts w:cs="Arial"/>
          <w:sz w:val="28"/>
          <w:szCs w:val="28"/>
        </w:rPr>
        <w:t xml:space="preserve"> litige </w:t>
      </w:r>
      <w:r w:rsidR="0067350C" w:rsidRPr="007E420A">
        <w:rPr>
          <w:rFonts w:cs="Arial"/>
          <w:color w:val="FF0000"/>
          <w:sz w:val="28"/>
          <w:szCs w:val="28"/>
        </w:rPr>
        <w:t>porté</w:t>
      </w:r>
      <w:r w:rsidRPr="007E420A">
        <w:rPr>
          <w:rFonts w:cs="Arial"/>
          <w:color w:val="FF0000"/>
          <w:sz w:val="28"/>
          <w:szCs w:val="28"/>
        </w:rPr>
        <w:t xml:space="preserve"> </w:t>
      </w:r>
      <w:r>
        <w:rPr>
          <w:rFonts w:cs="Arial"/>
          <w:sz w:val="28"/>
          <w:szCs w:val="28"/>
        </w:rPr>
        <w:t>devant un tribunal,</w:t>
      </w:r>
      <w:r w:rsidRPr="00F474AA">
        <w:rPr>
          <w:rFonts w:cs="Arial"/>
          <w:sz w:val="28"/>
          <w:szCs w:val="28"/>
        </w:rPr>
        <w:t xml:space="preserve"> une</w:t>
      </w:r>
      <w:r>
        <w:rPr>
          <w:rFonts w:cs="Arial"/>
          <w:sz w:val="28"/>
          <w:szCs w:val="28"/>
        </w:rPr>
        <w:t xml:space="preserve"> instance arbitrale ou</w:t>
      </w:r>
      <w:r w:rsidR="004A78F5" w:rsidRPr="00F474AA">
        <w:rPr>
          <w:rFonts w:cs="Arial"/>
          <w:sz w:val="28"/>
          <w:szCs w:val="28"/>
        </w:rPr>
        <w:t xml:space="preserve"> en instance d’instruction auprès d’une autorité </w:t>
      </w:r>
      <w:r>
        <w:rPr>
          <w:rFonts w:cs="Arial"/>
          <w:sz w:val="28"/>
          <w:szCs w:val="28"/>
        </w:rPr>
        <w:t>de supervision et de contrôle</w:t>
      </w:r>
      <w:r w:rsidR="0067350C">
        <w:rPr>
          <w:rFonts w:cs="Arial"/>
          <w:sz w:val="28"/>
          <w:szCs w:val="28"/>
        </w:rPr>
        <w:t xml:space="preserve">, </w:t>
      </w:r>
      <w:r w:rsidR="0067350C" w:rsidRPr="007E420A">
        <w:rPr>
          <w:rFonts w:cs="Arial"/>
          <w:color w:val="FF0000"/>
          <w:sz w:val="28"/>
          <w:szCs w:val="28"/>
        </w:rPr>
        <w:t xml:space="preserve">à l’exclusion des litiges faisant l’objet </w:t>
      </w:r>
      <w:r w:rsidR="00897C8B" w:rsidRPr="007E420A">
        <w:rPr>
          <w:rFonts w:cs="Arial"/>
          <w:color w:val="FF0000"/>
          <w:sz w:val="28"/>
          <w:szCs w:val="28"/>
        </w:rPr>
        <w:t>d’une</w:t>
      </w:r>
      <w:r w:rsidR="0067350C" w:rsidRPr="007E420A">
        <w:rPr>
          <w:rFonts w:cs="Arial"/>
          <w:color w:val="FF0000"/>
          <w:sz w:val="28"/>
          <w:szCs w:val="28"/>
        </w:rPr>
        <w:t xml:space="preserve"> médiation judiciaire</w:t>
      </w:r>
      <w:r w:rsidR="00897C8B" w:rsidRPr="007E420A">
        <w:rPr>
          <w:rFonts w:cs="Arial"/>
          <w:color w:val="FF0000"/>
          <w:sz w:val="28"/>
          <w:szCs w:val="28"/>
        </w:rPr>
        <w:t xml:space="preserve"> confiée au médiateur des assurances de l’OQSF</w:t>
      </w:r>
      <w:r w:rsidR="00897C8B">
        <w:rPr>
          <w:rFonts w:cs="Arial"/>
          <w:sz w:val="28"/>
          <w:szCs w:val="28"/>
        </w:rPr>
        <w:t>.</w:t>
      </w:r>
    </w:p>
    <w:p w:rsidR="004A78F5" w:rsidRPr="005255BC" w:rsidRDefault="00355967" w:rsidP="00897C8B">
      <w:pPr>
        <w:spacing w:before="120" w:after="120" w:line="312" w:lineRule="auto"/>
        <w:jc w:val="both"/>
        <w:rPr>
          <w:rFonts w:cs="Arial"/>
          <w:sz w:val="28"/>
          <w:szCs w:val="28"/>
        </w:rPr>
      </w:pPr>
      <w:r>
        <w:rPr>
          <w:rFonts w:cs="Arial"/>
          <w:sz w:val="28"/>
          <w:szCs w:val="28"/>
        </w:rPr>
        <w:t>En revanche,</w:t>
      </w:r>
      <w:r w:rsidR="005255BC">
        <w:rPr>
          <w:rFonts w:cs="Arial"/>
          <w:sz w:val="28"/>
          <w:szCs w:val="28"/>
        </w:rPr>
        <w:t xml:space="preserve"> le Médiateur peut connaître des litiges </w:t>
      </w:r>
      <w:r>
        <w:rPr>
          <w:rFonts w:cs="Arial"/>
          <w:sz w:val="28"/>
          <w:szCs w:val="28"/>
        </w:rPr>
        <w:t>opposant deux ou plusieurs assureurs, ou survenus entre</w:t>
      </w:r>
      <w:r w:rsidRPr="005255BC">
        <w:rPr>
          <w:rFonts w:cs="Arial"/>
          <w:sz w:val="28"/>
          <w:szCs w:val="28"/>
        </w:rPr>
        <w:t xml:space="preserve"> </w:t>
      </w:r>
      <w:r>
        <w:rPr>
          <w:rFonts w:cs="Arial"/>
          <w:sz w:val="28"/>
          <w:szCs w:val="28"/>
        </w:rPr>
        <w:t>un</w:t>
      </w:r>
      <w:r w:rsidR="004A78F5" w:rsidRPr="005255BC">
        <w:rPr>
          <w:rFonts w:cs="Arial"/>
          <w:sz w:val="28"/>
          <w:szCs w:val="28"/>
        </w:rPr>
        <w:t xml:space="preserve"> assureur </w:t>
      </w:r>
      <w:r>
        <w:rPr>
          <w:rFonts w:cs="Arial"/>
          <w:sz w:val="28"/>
          <w:szCs w:val="28"/>
        </w:rPr>
        <w:t>et</w:t>
      </w:r>
      <w:r w:rsidR="004A78F5" w:rsidRPr="005255BC">
        <w:rPr>
          <w:rFonts w:cs="Arial"/>
          <w:sz w:val="28"/>
          <w:szCs w:val="28"/>
        </w:rPr>
        <w:t xml:space="preserve"> un intermédiaire</w:t>
      </w:r>
      <w:r>
        <w:rPr>
          <w:rFonts w:cs="Arial"/>
          <w:sz w:val="28"/>
          <w:szCs w:val="28"/>
        </w:rPr>
        <w:t xml:space="preserve"> dès lors que lesdits différends portent sur l’exécution des engagements contractuels.</w:t>
      </w:r>
    </w:p>
    <w:p w:rsidR="004A78F5" w:rsidRDefault="004A78F5" w:rsidP="00F83A03">
      <w:pPr>
        <w:pStyle w:val="Paragraphedeliste"/>
        <w:ind w:left="1080"/>
        <w:jc w:val="both"/>
        <w:rPr>
          <w:b/>
          <w:sz w:val="28"/>
          <w:szCs w:val="28"/>
        </w:rPr>
      </w:pPr>
    </w:p>
    <w:p w:rsidR="00F83A03" w:rsidRDefault="00F83A03" w:rsidP="00F83A03">
      <w:pPr>
        <w:pStyle w:val="Paragraphedeliste"/>
        <w:ind w:left="1080"/>
        <w:jc w:val="both"/>
        <w:rPr>
          <w:b/>
          <w:sz w:val="28"/>
          <w:szCs w:val="28"/>
        </w:rPr>
      </w:pPr>
    </w:p>
    <w:p w:rsidR="00B036AA" w:rsidRDefault="00B036AA" w:rsidP="00F83A03">
      <w:pPr>
        <w:pStyle w:val="Paragraphedeliste"/>
        <w:ind w:left="1080"/>
        <w:jc w:val="both"/>
        <w:rPr>
          <w:b/>
          <w:sz w:val="28"/>
          <w:szCs w:val="28"/>
        </w:rPr>
      </w:pPr>
    </w:p>
    <w:p w:rsidR="004A78F5" w:rsidRDefault="00355967" w:rsidP="00F83A03">
      <w:pPr>
        <w:pStyle w:val="Paragraphedeliste"/>
        <w:numPr>
          <w:ilvl w:val="1"/>
          <w:numId w:val="3"/>
        </w:numPr>
        <w:ind w:left="1077"/>
        <w:jc w:val="both"/>
        <w:outlineLvl w:val="1"/>
        <w:rPr>
          <w:b/>
          <w:sz w:val="28"/>
          <w:szCs w:val="28"/>
        </w:rPr>
      </w:pPr>
      <w:bookmarkStart w:id="6" w:name="_Toc113021114"/>
      <w:r>
        <w:rPr>
          <w:b/>
          <w:sz w:val="28"/>
          <w:szCs w:val="28"/>
        </w:rPr>
        <w:t>O</w:t>
      </w:r>
      <w:r w:rsidR="004A78F5" w:rsidRPr="00F474AA">
        <w:rPr>
          <w:b/>
          <w:sz w:val="28"/>
          <w:szCs w:val="28"/>
        </w:rPr>
        <w:t>rganisation de la médiation</w:t>
      </w:r>
      <w:r w:rsidR="003843FE">
        <w:rPr>
          <w:b/>
          <w:sz w:val="28"/>
          <w:szCs w:val="28"/>
        </w:rPr>
        <w:t xml:space="preserve"> </w:t>
      </w:r>
      <w:r w:rsidR="004A78F5" w:rsidRPr="00F474AA">
        <w:rPr>
          <w:b/>
          <w:sz w:val="28"/>
          <w:szCs w:val="28"/>
        </w:rPr>
        <w:t>des assurances</w:t>
      </w:r>
      <w:bookmarkEnd w:id="6"/>
    </w:p>
    <w:p w:rsidR="00067F4D" w:rsidRPr="00F474AA" w:rsidRDefault="00067F4D" w:rsidP="00F83A03">
      <w:pPr>
        <w:pStyle w:val="Paragraphedeliste"/>
        <w:ind w:left="1077"/>
        <w:jc w:val="both"/>
        <w:outlineLvl w:val="1"/>
        <w:rPr>
          <w:b/>
          <w:sz w:val="28"/>
          <w:szCs w:val="28"/>
        </w:rPr>
      </w:pPr>
    </w:p>
    <w:p w:rsidR="004A78F5" w:rsidRPr="00F474AA" w:rsidRDefault="00355967" w:rsidP="00F83A03">
      <w:pPr>
        <w:pStyle w:val="Paragraphedeliste"/>
        <w:numPr>
          <w:ilvl w:val="2"/>
          <w:numId w:val="3"/>
        </w:numPr>
        <w:jc w:val="both"/>
        <w:outlineLvl w:val="2"/>
        <w:rPr>
          <w:b/>
          <w:sz w:val="28"/>
          <w:szCs w:val="28"/>
        </w:rPr>
      </w:pPr>
      <w:r>
        <w:rPr>
          <w:b/>
          <w:sz w:val="28"/>
          <w:szCs w:val="28"/>
        </w:rPr>
        <w:t xml:space="preserve"> </w:t>
      </w:r>
      <w:bookmarkStart w:id="7" w:name="_Toc113021115"/>
      <w:r>
        <w:rPr>
          <w:b/>
          <w:sz w:val="28"/>
          <w:szCs w:val="28"/>
        </w:rPr>
        <w:t>Voies de</w:t>
      </w:r>
      <w:r w:rsidR="004A78F5" w:rsidRPr="00F474AA">
        <w:rPr>
          <w:b/>
          <w:sz w:val="28"/>
          <w:szCs w:val="28"/>
        </w:rPr>
        <w:t xml:space="preserve"> saisine du Médiateur</w:t>
      </w:r>
      <w:bookmarkEnd w:id="7"/>
    </w:p>
    <w:p w:rsidR="001065C5" w:rsidRDefault="004A78F5" w:rsidP="00F83A03">
      <w:pPr>
        <w:spacing w:before="120" w:after="120" w:line="360" w:lineRule="auto"/>
        <w:jc w:val="both"/>
        <w:rPr>
          <w:rFonts w:cstheme="minorHAnsi"/>
          <w:sz w:val="28"/>
          <w:szCs w:val="28"/>
        </w:rPr>
      </w:pPr>
      <w:r w:rsidRPr="00F474AA">
        <w:rPr>
          <w:rFonts w:cstheme="minorHAnsi"/>
          <w:sz w:val="28"/>
          <w:szCs w:val="28"/>
        </w:rPr>
        <w:t xml:space="preserve">La </w:t>
      </w:r>
      <w:r w:rsidR="00355967">
        <w:rPr>
          <w:rFonts w:cstheme="minorHAnsi"/>
          <w:sz w:val="28"/>
          <w:szCs w:val="28"/>
        </w:rPr>
        <w:t xml:space="preserve">faculté de </w:t>
      </w:r>
      <w:r w:rsidRPr="00F474AA">
        <w:rPr>
          <w:rFonts w:cstheme="minorHAnsi"/>
          <w:sz w:val="28"/>
          <w:szCs w:val="28"/>
        </w:rPr>
        <w:t xml:space="preserve">saisine du médiateur </w:t>
      </w:r>
      <w:r w:rsidR="00355967">
        <w:rPr>
          <w:rFonts w:cstheme="minorHAnsi"/>
          <w:sz w:val="28"/>
          <w:szCs w:val="28"/>
        </w:rPr>
        <w:t>est ouverte</w:t>
      </w:r>
      <w:r w:rsidR="001065C5" w:rsidRPr="001065C5">
        <w:rPr>
          <w:rFonts w:cstheme="minorHAnsi"/>
          <w:sz w:val="28"/>
          <w:szCs w:val="28"/>
        </w:rPr>
        <w:t xml:space="preserve"> </w:t>
      </w:r>
      <w:r w:rsidR="001065C5" w:rsidRPr="00F474AA">
        <w:rPr>
          <w:rFonts w:cstheme="minorHAnsi"/>
          <w:sz w:val="28"/>
          <w:szCs w:val="28"/>
        </w:rPr>
        <w:t xml:space="preserve">à titre </w:t>
      </w:r>
      <w:r w:rsidR="00B036AA" w:rsidRPr="00F474AA">
        <w:rPr>
          <w:rFonts w:cstheme="minorHAnsi"/>
          <w:sz w:val="28"/>
          <w:szCs w:val="28"/>
        </w:rPr>
        <w:t>gratuit</w:t>
      </w:r>
      <w:r w:rsidR="00B036AA">
        <w:rPr>
          <w:rFonts w:cstheme="minorHAnsi"/>
          <w:sz w:val="28"/>
          <w:szCs w:val="28"/>
        </w:rPr>
        <w:t>,</w:t>
      </w:r>
      <w:r w:rsidR="001065C5">
        <w:rPr>
          <w:rFonts w:cstheme="minorHAnsi"/>
          <w:sz w:val="28"/>
          <w:szCs w:val="28"/>
        </w:rPr>
        <w:t xml:space="preserve"> </w:t>
      </w:r>
      <w:r w:rsidR="00355967">
        <w:rPr>
          <w:rFonts w:cstheme="minorHAnsi"/>
          <w:sz w:val="28"/>
          <w:szCs w:val="28"/>
        </w:rPr>
        <w:t>à</w:t>
      </w:r>
      <w:r w:rsidRPr="00F474AA">
        <w:rPr>
          <w:rFonts w:cstheme="minorHAnsi"/>
          <w:sz w:val="28"/>
          <w:szCs w:val="28"/>
        </w:rPr>
        <w:t xml:space="preserve"> toute personne y ayant intérêt, </w:t>
      </w:r>
      <w:r w:rsidR="001065C5">
        <w:rPr>
          <w:rFonts w:cstheme="minorHAnsi"/>
          <w:sz w:val="28"/>
          <w:szCs w:val="28"/>
        </w:rPr>
        <w:t>à savoir :</w:t>
      </w:r>
      <w:r w:rsidR="00355967">
        <w:rPr>
          <w:rFonts w:cstheme="minorHAnsi"/>
          <w:sz w:val="28"/>
          <w:szCs w:val="28"/>
        </w:rPr>
        <w:t xml:space="preserve"> assuré,</w:t>
      </w:r>
      <w:r w:rsidRPr="00F474AA">
        <w:rPr>
          <w:rFonts w:cstheme="minorHAnsi"/>
          <w:sz w:val="28"/>
          <w:szCs w:val="28"/>
        </w:rPr>
        <w:t xml:space="preserve"> assureur, </w:t>
      </w:r>
      <w:r w:rsidR="00355967">
        <w:rPr>
          <w:rFonts w:cstheme="minorHAnsi"/>
          <w:sz w:val="28"/>
          <w:szCs w:val="28"/>
        </w:rPr>
        <w:t>tiers lésé</w:t>
      </w:r>
      <w:r w:rsidR="001065C5">
        <w:rPr>
          <w:rFonts w:cstheme="minorHAnsi"/>
          <w:sz w:val="28"/>
          <w:szCs w:val="28"/>
        </w:rPr>
        <w:t xml:space="preserve"> ou usager quelconque</w:t>
      </w:r>
      <w:r w:rsidRPr="00F474AA">
        <w:rPr>
          <w:rFonts w:cstheme="minorHAnsi"/>
          <w:sz w:val="28"/>
          <w:szCs w:val="28"/>
        </w:rPr>
        <w:t xml:space="preserve">, </w:t>
      </w:r>
      <w:r w:rsidR="001065C5">
        <w:rPr>
          <w:rFonts w:cstheme="minorHAnsi"/>
          <w:sz w:val="28"/>
          <w:szCs w:val="28"/>
        </w:rPr>
        <w:t xml:space="preserve">confronté </w:t>
      </w:r>
      <w:r w:rsidR="00B036AA">
        <w:rPr>
          <w:rFonts w:cstheme="minorHAnsi"/>
          <w:sz w:val="28"/>
          <w:szCs w:val="28"/>
        </w:rPr>
        <w:t>à un</w:t>
      </w:r>
      <w:r w:rsidR="001065C5">
        <w:rPr>
          <w:rFonts w:cstheme="minorHAnsi"/>
          <w:sz w:val="28"/>
          <w:szCs w:val="28"/>
        </w:rPr>
        <w:t xml:space="preserve"> différend individuel l’opposant</w:t>
      </w:r>
      <w:r w:rsidRPr="00F474AA">
        <w:rPr>
          <w:rFonts w:cstheme="minorHAnsi"/>
          <w:sz w:val="28"/>
          <w:szCs w:val="28"/>
        </w:rPr>
        <w:t xml:space="preserve"> à une </w:t>
      </w:r>
      <w:r w:rsidR="001065C5">
        <w:rPr>
          <w:rFonts w:cstheme="minorHAnsi"/>
          <w:sz w:val="28"/>
          <w:szCs w:val="28"/>
        </w:rPr>
        <w:t>société d’assurances</w:t>
      </w:r>
      <w:r w:rsidRPr="00F474AA">
        <w:rPr>
          <w:rFonts w:cstheme="minorHAnsi"/>
          <w:sz w:val="28"/>
          <w:szCs w:val="28"/>
        </w:rPr>
        <w:t xml:space="preserve">. </w:t>
      </w:r>
    </w:p>
    <w:p w:rsidR="004A78F5" w:rsidRPr="00F474AA" w:rsidRDefault="001065C5" w:rsidP="00F83A03">
      <w:pPr>
        <w:spacing w:before="120" w:after="120" w:line="360" w:lineRule="auto"/>
        <w:jc w:val="both"/>
        <w:rPr>
          <w:rFonts w:cstheme="minorHAnsi"/>
          <w:sz w:val="28"/>
          <w:szCs w:val="28"/>
        </w:rPr>
      </w:pPr>
      <w:r>
        <w:rPr>
          <w:rFonts w:cstheme="minorHAnsi"/>
          <w:sz w:val="28"/>
          <w:szCs w:val="28"/>
        </w:rPr>
        <w:t>Toutefois, la recevabilité de la saisine</w:t>
      </w:r>
      <w:r w:rsidRPr="00F474AA">
        <w:rPr>
          <w:rFonts w:cstheme="minorHAnsi"/>
          <w:sz w:val="28"/>
          <w:szCs w:val="28"/>
        </w:rPr>
        <w:t xml:space="preserve"> </w:t>
      </w:r>
      <w:r>
        <w:rPr>
          <w:rFonts w:cstheme="minorHAnsi"/>
          <w:sz w:val="28"/>
          <w:szCs w:val="28"/>
        </w:rPr>
        <w:t>est assujettie</w:t>
      </w:r>
      <w:r w:rsidR="004A78F5" w:rsidRPr="00F474AA">
        <w:rPr>
          <w:rFonts w:cstheme="minorHAnsi"/>
          <w:sz w:val="28"/>
          <w:szCs w:val="28"/>
        </w:rPr>
        <w:t xml:space="preserve"> à l’épuisement </w:t>
      </w:r>
      <w:r w:rsidRPr="00F474AA">
        <w:rPr>
          <w:rFonts w:cstheme="minorHAnsi"/>
          <w:sz w:val="28"/>
          <w:szCs w:val="28"/>
        </w:rPr>
        <w:t>des voies</w:t>
      </w:r>
      <w:r w:rsidR="004A78F5" w:rsidRPr="00F474AA">
        <w:rPr>
          <w:rFonts w:cstheme="minorHAnsi"/>
          <w:sz w:val="28"/>
          <w:szCs w:val="28"/>
        </w:rPr>
        <w:t xml:space="preserve"> de recours auprès des services de réclamation internes de la compagnie.</w:t>
      </w:r>
    </w:p>
    <w:p w:rsidR="001065C5" w:rsidRPr="00F474AA" w:rsidRDefault="00067F4D" w:rsidP="00F83A03">
      <w:pPr>
        <w:spacing w:before="120" w:after="120" w:line="360" w:lineRule="auto"/>
        <w:jc w:val="both"/>
        <w:rPr>
          <w:rFonts w:cstheme="minorHAnsi"/>
          <w:sz w:val="28"/>
          <w:szCs w:val="28"/>
        </w:rPr>
      </w:pPr>
      <w:r>
        <w:rPr>
          <w:rFonts w:cstheme="minorHAnsi"/>
          <w:sz w:val="28"/>
          <w:szCs w:val="28"/>
        </w:rPr>
        <w:t xml:space="preserve">La </w:t>
      </w:r>
      <w:r w:rsidR="004A78F5" w:rsidRPr="00F474AA">
        <w:rPr>
          <w:rFonts w:cstheme="minorHAnsi"/>
          <w:sz w:val="28"/>
          <w:szCs w:val="28"/>
        </w:rPr>
        <w:t>médiation</w:t>
      </w:r>
      <w:r>
        <w:rPr>
          <w:rFonts w:cstheme="minorHAnsi"/>
          <w:sz w:val="28"/>
          <w:szCs w:val="28"/>
        </w:rPr>
        <w:t xml:space="preserve"> </w:t>
      </w:r>
      <w:r w:rsidR="004A78F5" w:rsidRPr="00F474AA">
        <w:rPr>
          <w:rFonts w:cstheme="minorHAnsi"/>
          <w:sz w:val="28"/>
          <w:szCs w:val="28"/>
        </w:rPr>
        <w:t>est régie</w:t>
      </w:r>
      <w:r w:rsidR="007E420A">
        <w:rPr>
          <w:rFonts w:cstheme="minorHAnsi"/>
          <w:sz w:val="28"/>
          <w:szCs w:val="28"/>
        </w:rPr>
        <w:t xml:space="preserve"> </w:t>
      </w:r>
      <w:r w:rsidR="007E420A" w:rsidRPr="007E420A">
        <w:rPr>
          <w:rFonts w:cstheme="minorHAnsi"/>
          <w:color w:val="FF0000"/>
          <w:sz w:val="28"/>
          <w:szCs w:val="28"/>
        </w:rPr>
        <w:t>par</w:t>
      </w:r>
      <w:r w:rsidR="004A78F5" w:rsidRPr="00F474AA">
        <w:rPr>
          <w:rFonts w:cstheme="minorHAnsi"/>
          <w:sz w:val="28"/>
          <w:szCs w:val="28"/>
        </w:rPr>
        <w:t xml:space="preserve"> une charte</w:t>
      </w:r>
      <w:r w:rsidR="001065C5">
        <w:rPr>
          <w:rFonts w:cstheme="minorHAnsi"/>
          <w:sz w:val="28"/>
          <w:szCs w:val="28"/>
        </w:rPr>
        <w:t xml:space="preserve"> consensuelle</w:t>
      </w:r>
      <w:r w:rsidR="004A78F5" w:rsidRPr="00F474AA">
        <w:rPr>
          <w:rFonts w:cstheme="minorHAnsi"/>
          <w:sz w:val="28"/>
          <w:szCs w:val="28"/>
        </w:rPr>
        <w:t xml:space="preserve">, </w:t>
      </w:r>
      <w:r>
        <w:rPr>
          <w:rFonts w:cstheme="minorHAnsi"/>
          <w:sz w:val="28"/>
          <w:szCs w:val="28"/>
        </w:rPr>
        <w:t>dont</w:t>
      </w:r>
      <w:r w:rsidR="001065C5" w:rsidRPr="00F474AA">
        <w:rPr>
          <w:rFonts w:cstheme="minorHAnsi"/>
          <w:sz w:val="28"/>
          <w:szCs w:val="28"/>
        </w:rPr>
        <w:t xml:space="preserve"> le processus conduit jusqu’à son terme</w:t>
      </w:r>
      <w:r>
        <w:rPr>
          <w:rFonts w:cstheme="minorHAnsi"/>
          <w:sz w:val="28"/>
          <w:szCs w:val="28"/>
        </w:rPr>
        <w:t>, peut déboucher sur</w:t>
      </w:r>
      <w:r w:rsidR="001065C5" w:rsidRPr="00F474AA">
        <w:rPr>
          <w:rFonts w:cstheme="minorHAnsi"/>
          <w:sz w:val="28"/>
          <w:szCs w:val="28"/>
        </w:rPr>
        <w:t xml:space="preserve"> la formulation par le médiateur d’un avis de conciliation mettant fin au litige ou faire l’objet d’une suspension anticipée dans l’hypothèse d’une mésentente persistante entre les parties en conflit.</w:t>
      </w:r>
    </w:p>
    <w:p w:rsidR="004A78F5" w:rsidRPr="00F474AA" w:rsidRDefault="007D489E" w:rsidP="00F83A03">
      <w:pPr>
        <w:pStyle w:val="Paragraphedeliste"/>
        <w:numPr>
          <w:ilvl w:val="2"/>
          <w:numId w:val="3"/>
        </w:numPr>
        <w:spacing w:before="120" w:after="120" w:line="360" w:lineRule="auto"/>
        <w:jc w:val="both"/>
        <w:rPr>
          <w:b/>
          <w:sz w:val="28"/>
          <w:szCs w:val="28"/>
        </w:rPr>
      </w:pPr>
      <w:r>
        <w:rPr>
          <w:b/>
          <w:sz w:val="28"/>
          <w:szCs w:val="28"/>
        </w:rPr>
        <w:t>Processus</w:t>
      </w:r>
      <w:r w:rsidR="004A78F5" w:rsidRPr="00F474AA">
        <w:rPr>
          <w:b/>
          <w:sz w:val="28"/>
          <w:szCs w:val="28"/>
        </w:rPr>
        <w:t xml:space="preserve"> de traitement des dossiers de médiation</w:t>
      </w:r>
    </w:p>
    <w:p w:rsidR="00AA4C7C" w:rsidRDefault="007D489E" w:rsidP="00F83A03">
      <w:pPr>
        <w:spacing w:before="120" w:after="120" w:line="312" w:lineRule="auto"/>
        <w:jc w:val="both"/>
        <w:rPr>
          <w:rFonts w:cs="Arial"/>
          <w:sz w:val="28"/>
          <w:szCs w:val="28"/>
        </w:rPr>
      </w:pPr>
      <w:r>
        <w:rPr>
          <w:rFonts w:cs="Arial"/>
          <w:sz w:val="28"/>
          <w:szCs w:val="28"/>
        </w:rPr>
        <w:t>Les actions de conciliation amiables menées par</w:t>
      </w:r>
      <w:r w:rsidR="004A78F5" w:rsidRPr="00F474AA">
        <w:rPr>
          <w:rFonts w:cs="Arial"/>
          <w:sz w:val="28"/>
          <w:szCs w:val="28"/>
        </w:rPr>
        <w:t xml:space="preserve"> le Médiateur </w:t>
      </w:r>
      <w:r>
        <w:rPr>
          <w:rFonts w:cs="Arial"/>
          <w:sz w:val="28"/>
          <w:szCs w:val="28"/>
        </w:rPr>
        <w:t>sont généralement centrées sur la recherche d’</w:t>
      </w:r>
      <w:r w:rsidR="004A78F5" w:rsidRPr="00F474AA">
        <w:rPr>
          <w:rFonts w:cs="Arial"/>
          <w:sz w:val="28"/>
          <w:szCs w:val="28"/>
        </w:rPr>
        <w:t xml:space="preserve">une solution équitable et jugée </w:t>
      </w:r>
      <w:r>
        <w:rPr>
          <w:rFonts w:cs="Arial"/>
          <w:sz w:val="28"/>
          <w:szCs w:val="28"/>
        </w:rPr>
        <w:t>acceptable pa</w:t>
      </w:r>
      <w:r w:rsidR="004A78F5" w:rsidRPr="00F474AA">
        <w:rPr>
          <w:rFonts w:cs="Arial"/>
          <w:sz w:val="28"/>
          <w:szCs w:val="28"/>
        </w:rPr>
        <w:t xml:space="preserve">r les parties. </w:t>
      </w:r>
      <w:r>
        <w:rPr>
          <w:rFonts w:cs="Arial"/>
          <w:sz w:val="28"/>
          <w:szCs w:val="28"/>
        </w:rPr>
        <w:t>A cet égard, le résultat attendu du Médiateur est le</w:t>
      </w:r>
      <w:r w:rsidR="004A78F5" w:rsidRPr="00F474AA">
        <w:rPr>
          <w:rFonts w:cs="Arial"/>
          <w:sz w:val="28"/>
          <w:szCs w:val="28"/>
        </w:rPr>
        <w:t xml:space="preserve"> rapproche</w:t>
      </w:r>
      <w:r>
        <w:rPr>
          <w:rFonts w:cs="Arial"/>
          <w:sz w:val="28"/>
          <w:szCs w:val="28"/>
        </w:rPr>
        <w:t>ment des</w:t>
      </w:r>
      <w:r w:rsidR="004A78F5" w:rsidRPr="00F474AA">
        <w:rPr>
          <w:rFonts w:cs="Arial"/>
          <w:sz w:val="28"/>
          <w:szCs w:val="28"/>
        </w:rPr>
        <w:t xml:space="preserve"> points de vue </w:t>
      </w:r>
      <w:r>
        <w:rPr>
          <w:rFonts w:cs="Arial"/>
          <w:sz w:val="28"/>
          <w:szCs w:val="28"/>
        </w:rPr>
        <w:t xml:space="preserve">exprimés par les parties </w:t>
      </w:r>
      <w:r w:rsidR="004A78F5" w:rsidRPr="00F474AA">
        <w:rPr>
          <w:rFonts w:cs="Arial"/>
          <w:sz w:val="28"/>
          <w:szCs w:val="28"/>
        </w:rPr>
        <w:t>de façon à dégager une position consensuelle équilibrée</w:t>
      </w:r>
      <w:r>
        <w:rPr>
          <w:rFonts w:cs="Arial"/>
          <w:sz w:val="28"/>
          <w:szCs w:val="28"/>
        </w:rPr>
        <w:t xml:space="preserve">, </w:t>
      </w:r>
      <w:r w:rsidR="00AA4C7C" w:rsidRPr="00AA4C7C">
        <w:rPr>
          <w:rFonts w:cs="Arial"/>
          <w:color w:val="FF0000"/>
          <w:sz w:val="28"/>
          <w:szCs w:val="28"/>
        </w:rPr>
        <w:t>équitable et respectant le Droit</w:t>
      </w:r>
      <w:r w:rsidR="00AA4C7C">
        <w:rPr>
          <w:rFonts w:cs="Arial"/>
          <w:sz w:val="28"/>
          <w:szCs w:val="28"/>
        </w:rPr>
        <w:t>.</w:t>
      </w:r>
    </w:p>
    <w:p w:rsidR="004A78F5" w:rsidRPr="00F474AA" w:rsidRDefault="007D489E" w:rsidP="00F83A03">
      <w:pPr>
        <w:spacing w:before="120" w:after="120" w:line="312" w:lineRule="auto"/>
        <w:jc w:val="both"/>
        <w:rPr>
          <w:rFonts w:cs="Arial"/>
          <w:sz w:val="28"/>
          <w:szCs w:val="28"/>
        </w:rPr>
      </w:pPr>
      <w:r>
        <w:rPr>
          <w:rFonts w:cs="Arial"/>
          <w:sz w:val="28"/>
          <w:szCs w:val="28"/>
        </w:rPr>
        <w:t>Etant tenu d’</w:t>
      </w:r>
      <w:r w:rsidR="00222189">
        <w:rPr>
          <w:rFonts w:cs="Arial"/>
          <w:sz w:val="28"/>
          <w:szCs w:val="28"/>
        </w:rPr>
        <w:t xml:space="preserve">une </w:t>
      </w:r>
      <w:r>
        <w:rPr>
          <w:rFonts w:cs="Arial"/>
          <w:sz w:val="28"/>
          <w:szCs w:val="28"/>
        </w:rPr>
        <w:t xml:space="preserve">obligation de réserve et de </w:t>
      </w:r>
      <w:r w:rsidR="004A78F5" w:rsidRPr="00F474AA">
        <w:rPr>
          <w:rFonts w:cs="Arial"/>
          <w:sz w:val="28"/>
          <w:szCs w:val="28"/>
        </w:rPr>
        <w:t xml:space="preserve">strict respect du secret professionnel, </w:t>
      </w:r>
      <w:r w:rsidR="00222189">
        <w:rPr>
          <w:rFonts w:cs="Arial"/>
          <w:sz w:val="28"/>
          <w:szCs w:val="28"/>
        </w:rPr>
        <w:t xml:space="preserve">le </w:t>
      </w:r>
      <w:r w:rsidR="004A78F5" w:rsidRPr="00F474AA">
        <w:rPr>
          <w:rFonts w:cs="Arial"/>
          <w:sz w:val="28"/>
          <w:szCs w:val="28"/>
        </w:rPr>
        <w:t xml:space="preserve">médiateur </w:t>
      </w:r>
      <w:r w:rsidR="00222189">
        <w:rPr>
          <w:rFonts w:cs="Arial"/>
          <w:sz w:val="28"/>
          <w:szCs w:val="28"/>
        </w:rPr>
        <w:t>s’interdit de poser un certain nombre d’actions susceptibles de compromettre sa neutralité, dont entre autres</w:t>
      </w:r>
      <w:r w:rsidR="004A78F5" w:rsidRPr="00F474AA">
        <w:rPr>
          <w:rFonts w:cs="Arial"/>
          <w:sz w:val="28"/>
          <w:szCs w:val="28"/>
        </w:rPr>
        <w:t> :</w:t>
      </w:r>
    </w:p>
    <w:p w:rsidR="00222189" w:rsidRDefault="00222189" w:rsidP="00F83A03">
      <w:pPr>
        <w:pStyle w:val="Paragraphedeliste"/>
        <w:numPr>
          <w:ilvl w:val="0"/>
          <w:numId w:val="18"/>
        </w:numPr>
        <w:spacing w:before="120" w:after="120" w:line="312" w:lineRule="auto"/>
        <w:jc w:val="both"/>
        <w:rPr>
          <w:rFonts w:cs="Arial"/>
          <w:sz w:val="28"/>
          <w:szCs w:val="28"/>
        </w:rPr>
      </w:pPr>
      <w:r>
        <w:rPr>
          <w:rFonts w:cs="Arial"/>
          <w:sz w:val="28"/>
          <w:szCs w:val="28"/>
        </w:rPr>
        <w:t xml:space="preserve">L’immixtion dans un procès en cours à titre de conseil ou de </w:t>
      </w:r>
      <w:r w:rsidR="00B036AA">
        <w:rPr>
          <w:rFonts w:cs="Arial"/>
          <w:sz w:val="28"/>
          <w:szCs w:val="28"/>
        </w:rPr>
        <w:t xml:space="preserve">représentant </w:t>
      </w:r>
      <w:r w:rsidR="00B036AA" w:rsidRPr="00F474AA">
        <w:rPr>
          <w:rFonts w:cs="Arial"/>
          <w:sz w:val="28"/>
          <w:szCs w:val="28"/>
        </w:rPr>
        <w:t>de</w:t>
      </w:r>
      <w:r w:rsidR="004A78F5" w:rsidRPr="00F474AA">
        <w:rPr>
          <w:rFonts w:cs="Arial"/>
          <w:sz w:val="28"/>
          <w:szCs w:val="28"/>
        </w:rPr>
        <w:t xml:space="preserve"> l’une des parties</w:t>
      </w:r>
      <w:r>
        <w:rPr>
          <w:rFonts w:cs="Arial"/>
          <w:sz w:val="28"/>
          <w:szCs w:val="28"/>
        </w:rPr>
        <w:t> ;</w:t>
      </w:r>
    </w:p>
    <w:p w:rsidR="004A78F5" w:rsidRDefault="00222189" w:rsidP="00F83A03">
      <w:pPr>
        <w:pStyle w:val="Paragraphedeliste"/>
        <w:numPr>
          <w:ilvl w:val="0"/>
          <w:numId w:val="18"/>
        </w:numPr>
        <w:spacing w:before="120" w:after="120" w:line="312" w:lineRule="auto"/>
        <w:jc w:val="both"/>
        <w:rPr>
          <w:rFonts w:cs="Arial"/>
          <w:sz w:val="28"/>
          <w:szCs w:val="28"/>
        </w:rPr>
      </w:pPr>
      <w:r>
        <w:rPr>
          <w:rFonts w:cs="Arial"/>
          <w:sz w:val="28"/>
          <w:szCs w:val="28"/>
        </w:rPr>
        <w:lastRenderedPageBreak/>
        <w:t>Toute implication personnelle dans une procédure d’instruction</w:t>
      </w:r>
      <w:r w:rsidR="004A78F5" w:rsidRPr="00F474AA">
        <w:rPr>
          <w:rFonts w:cs="Arial"/>
          <w:sz w:val="28"/>
          <w:szCs w:val="28"/>
        </w:rPr>
        <w:t xml:space="preserve"> d</w:t>
      </w:r>
      <w:r>
        <w:rPr>
          <w:rFonts w:cs="Arial"/>
          <w:sz w:val="28"/>
          <w:szCs w:val="28"/>
        </w:rPr>
        <w:t>’</w:t>
      </w:r>
      <w:r w:rsidR="004A78F5" w:rsidRPr="00F474AA">
        <w:rPr>
          <w:rFonts w:cs="Arial"/>
          <w:sz w:val="28"/>
          <w:szCs w:val="28"/>
        </w:rPr>
        <w:t>un litige </w:t>
      </w:r>
      <w:r w:rsidR="00E97202">
        <w:rPr>
          <w:rFonts w:cs="Arial"/>
          <w:sz w:val="28"/>
          <w:szCs w:val="28"/>
        </w:rPr>
        <w:t>né d’un contrat d’assurance</w:t>
      </w:r>
      <w:r w:rsidR="0026779F">
        <w:rPr>
          <w:rFonts w:cs="Arial"/>
          <w:sz w:val="28"/>
          <w:szCs w:val="28"/>
        </w:rPr>
        <w:t>, tant lorsqu’il s’agit</w:t>
      </w:r>
      <w:r>
        <w:rPr>
          <w:rFonts w:cs="Arial"/>
          <w:sz w:val="28"/>
          <w:szCs w:val="28"/>
        </w:rPr>
        <w:t xml:space="preserve"> l’</w:t>
      </w:r>
      <w:r w:rsidR="00E97202">
        <w:rPr>
          <w:rFonts w:cs="Arial"/>
          <w:sz w:val="28"/>
          <w:szCs w:val="28"/>
        </w:rPr>
        <w:t>exercice</w:t>
      </w:r>
      <w:r>
        <w:rPr>
          <w:rFonts w:cs="Arial"/>
          <w:sz w:val="28"/>
          <w:szCs w:val="28"/>
        </w:rPr>
        <w:t xml:space="preserve"> d’</w:t>
      </w:r>
      <w:r w:rsidR="0026779F">
        <w:rPr>
          <w:rFonts w:cs="Arial"/>
          <w:sz w:val="28"/>
          <w:szCs w:val="28"/>
        </w:rPr>
        <w:t>un recours ou d’assurer</w:t>
      </w:r>
      <w:r w:rsidR="00E97202">
        <w:rPr>
          <w:rFonts w:cs="Arial"/>
          <w:sz w:val="28"/>
          <w:szCs w:val="28"/>
        </w:rPr>
        <w:t xml:space="preserve"> la défense de l’une quelconque des parties en </w:t>
      </w:r>
      <w:bookmarkStart w:id="8" w:name="_GoBack"/>
      <w:bookmarkEnd w:id="8"/>
      <w:r w:rsidR="009F1EAE">
        <w:rPr>
          <w:rFonts w:cs="Arial"/>
          <w:sz w:val="28"/>
          <w:szCs w:val="28"/>
        </w:rPr>
        <w:t>conflit</w:t>
      </w:r>
      <w:r w:rsidR="009F1EAE" w:rsidRPr="00F474AA">
        <w:rPr>
          <w:rFonts w:cs="Arial"/>
          <w:sz w:val="28"/>
          <w:szCs w:val="28"/>
        </w:rPr>
        <w:t xml:space="preserve"> ;</w:t>
      </w:r>
    </w:p>
    <w:p w:rsidR="007B4394" w:rsidRPr="00F474AA" w:rsidRDefault="007B4394" w:rsidP="00F83A03">
      <w:pPr>
        <w:pStyle w:val="Paragraphedeliste"/>
        <w:spacing w:before="120" w:after="120" w:line="312" w:lineRule="auto"/>
        <w:jc w:val="both"/>
        <w:rPr>
          <w:rFonts w:cs="Arial"/>
          <w:sz w:val="28"/>
          <w:szCs w:val="28"/>
        </w:rPr>
      </w:pPr>
    </w:p>
    <w:p w:rsidR="004A78F5" w:rsidRDefault="0026779F" w:rsidP="00F83A03">
      <w:pPr>
        <w:pStyle w:val="Paragraphedeliste"/>
        <w:numPr>
          <w:ilvl w:val="0"/>
          <w:numId w:val="18"/>
        </w:numPr>
        <w:spacing w:before="120" w:after="120" w:line="312" w:lineRule="auto"/>
        <w:jc w:val="both"/>
        <w:rPr>
          <w:rFonts w:cs="Arial"/>
          <w:sz w:val="28"/>
          <w:szCs w:val="28"/>
        </w:rPr>
      </w:pPr>
      <w:r>
        <w:rPr>
          <w:rFonts w:cs="Arial"/>
          <w:sz w:val="28"/>
          <w:szCs w:val="28"/>
        </w:rPr>
        <w:t>T</w:t>
      </w:r>
      <w:r w:rsidR="004A78F5" w:rsidRPr="00F474AA">
        <w:rPr>
          <w:rFonts w:cs="Arial"/>
          <w:sz w:val="28"/>
          <w:szCs w:val="28"/>
        </w:rPr>
        <w:t>ou</w:t>
      </w:r>
      <w:r>
        <w:rPr>
          <w:rFonts w:cs="Arial"/>
          <w:sz w:val="28"/>
          <w:szCs w:val="28"/>
        </w:rPr>
        <w:t>te immixtion dans la stratégie</w:t>
      </w:r>
      <w:r w:rsidR="004A78F5" w:rsidRPr="00F474AA">
        <w:rPr>
          <w:rFonts w:cs="Arial"/>
          <w:sz w:val="28"/>
          <w:szCs w:val="28"/>
        </w:rPr>
        <w:t xml:space="preserve"> commerciale </w:t>
      </w:r>
      <w:r>
        <w:rPr>
          <w:rFonts w:cs="Arial"/>
          <w:sz w:val="28"/>
          <w:szCs w:val="28"/>
        </w:rPr>
        <w:t>mise en avant</w:t>
      </w:r>
      <w:r w:rsidR="004A78F5" w:rsidRPr="00F474AA">
        <w:rPr>
          <w:rFonts w:cs="Arial"/>
          <w:sz w:val="28"/>
          <w:szCs w:val="28"/>
        </w:rPr>
        <w:t xml:space="preserve"> </w:t>
      </w:r>
      <w:r>
        <w:rPr>
          <w:rFonts w:cs="Arial"/>
          <w:sz w:val="28"/>
          <w:szCs w:val="28"/>
        </w:rPr>
        <w:t xml:space="preserve">par les compagnies, </w:t>
      </w:r>
      <w:r w:rsidR="00407E31">
        <w:rPr>
          <w:rFonts w:cs="Arial"/>
          <w:sz w:val="28"/>
          <w:szCs w:val="28"/>
        </w:rPr>
        <w:t>notam</w:t>
      </w:r>
      <w:r w:rsidR="00407E31" w:rsidRPr="00F474AA">
        <w:rPr>
          <w:rFonts w:cs="Arial"/>
          <w:sz w:val="28"/>
          <w:szCs w:val="28"/>
        </w:rPr>
        <w:t>ment</w:t>
      </w:r>
      <w:r w:rsidR="00407E31">
        <w:rPr>
          <w:rFonts w:cs="Arial"/>
          <w:sz w:val="28"/>
          <w:szCs w:val="28"/>
        </w:rPr>
        <w:t xml:space="preserve"> </w:t>
      </w:r>
      <w:r w:rsidR="00407E31" w:rsidRPr="00F474AA">
        <w:rPr>
          <w:rFonts w:cs="Arial"/>
          <w:sz w:val="28"/>
          <w:szCs w:val="28"/>
        </w:rPr>
        <w:t>celle</w:t>
      </w:r>
      <w:r w:rsidR="004A78F5" w:rsidRPr="00F474AA">
        <w:rPr>
          <w:rFonts w:cs="Arial"/>
          <w:sz w:val="28"/>
          <w:szCs w:val="28"/>
        </w:rPr>
        <w:t xml:space="preserve"> ayant trait à la réduction </w:t>
      </w:r>
      <w:r w:rsidR="007B4394" w:rsidRPr="00F474AA">
        <w:rPr>
          <w:rFonts w:cs="Arial"/>
          <w:sz w:val="28"/>
          <w:szCs w:val="28"/>
        </w:rPr>
        <w:t>tarifaire ou</w:t>
      </w:r>
      <w:r w:rsidR="004A78F5" w:rsidRPr="00F474AA">
        <w:rPr>
          <w:rFonts w:cs="Arial"/>
          <w:sz w:val="28"/>
          <w:szCs w:val="28"/>
        </w:rPr>
        <w:t xml:space="preserve"> à la négociation d’un geste commercial au profit d’un assuré ;</w:t>
      </w:r>
    </w:p>
    <w:p w:rsidR="007B4394" w:rsidRDefault="007B4394" w:rsidP="00F83A03">
      <w:pPr>
        <w:pStyle w:val="Paragraphedeliste"/>
        <w:jc w:val="both"/>
        <w:rPr>
          <w:rFonts w:cs="Arial"/>
          <w:sz w:val="28"/>
          <w:szCs w:val="28"/>
        </w:rPr>
      </w:pPr>
    </w:p>
    <w:p w:rsidR="004A78F5" w:rsidRDefault="00625FC7" w:rsidP="00F83A03">
      <w:pPr>
        <w:pStyle w:val="Paragraphedeliste"/>
        <w:numPr>
          <w:ilvl w:val="0"/>
          <w:numId w:val="18"/>
        </w:numPr>
        <w:jc w:val="both"/>
        <w:rPr>
          <w:rFonts w:cs="Arial"/>
          <w:sz w:val="28"/>
          <w:szCs w:val="28"/>
        </w:rPr>
      </w:pPr>
      <w:r>
        <w:rPr>
          <w:rFonts w:cs="Arial"/>
          <w:sz w:val="28"/>
          <w:szCs w:val="28"/>
        </w:rPr>
        <w:t>Tout manquement</w:t>
      </w:r>
      <w:r w:rsidR="004A78F5" w:rsidRPr="00F474AA">
        <w:rPr>
          <w:rFonts w:cs="Arial"/>
          <w:sz w:val="28"/>
          <w:szCs w:val="28"/>
        </w:rPr>
        <w:t xml:space="preserve"> à l’obligation de neutralité, d’impartialité et d’indépendance qui lui incombe à l’égard des parties en litige ;</w:t>
      </w:r>
    </w:p>
    <w:p w:rsidR="007B4394" w:rsidRPr="00F474AA" w:rsidRDefault="007B4394" w:rsidP="00F83A03">
      <w:pPr>
        <w:pStyle w:val="Paragraphedeliste"/>
        <w:jc w:val="both"/>
        <w:rPr>
          <w:rFonts w:cs="Arial"/>
          <w:sz w:val="28"/>
          <w:szCs w:val="28"/>
        </w:rPr>
      </w:pPr>
    </w:p>
    <w:p w:rsidR="004A78F5" w:rsidRPr="00F474AA" w:rsidRDefault="00407E31" w:rsidP="00F83A03">
      <w:pPr>
        <w:pStyle w:val="Paragraphedeliste"/>
        <w:numPr>
          <w:ilvl w:val="0"/>
          <w:numId w:val="18"/>
        </w:numPr>
        <w:spacing w:before="120" w:after="120" w:line="312" w:lineRule="auto"/>
        <w:jc w:val="both"/>
        <w:rPr>
          <w:rFonts w:cs="Arial"/>
          <w:sz w:val="28"/>
          <w:szCs w:val="28"/>
        </w:rPr>
      </w:pPr>
      <w:r>
        <w:rPr>
          <w:rFonts w:cs="Arial"/>
          <w:sz w:val="28"/>
          <w:szCs w:val="28"/>
        </w:rPr>
        <w:t>L’invocation</w:t>
      </w:r>
      <w:r w:rsidRPr="00F474AA">
        <w:rPr>
          <w:rFonts w:cs="Arial"/>
          <w:sz w:val="28"/>
          <w:szCs w:val="28"/>
        </w:rPr>
        <w:t xml:space="preserve"> dans</w:t>
      </w:r>
      <w:r w:rsidR="004A78F5" w:rsidRPr="00F474AA">
        <w:rPr>
          <w:rFonts w:cs="Arial"/>
          <w:sz w:val="28"/>
          <w:szCs w:val="28"/>
        </w:rPr>
        <w:t xml:space="preserve"> une procédure judiciaire ou arbitrale ou dans toute instance aya</w:t>
      </w:r>
      <w:r>
        <w:rPr>
          <w:rFonts w:cs="Arial"/>
          <w:sz w:val="28"/>
          <w:szCs w:val="28"/>
        </w:rPr>
        <w:t>nt un rapport avec le litige, de</w:t>
      </w:r>
      <w:r w:rsidR="004A78F5" w:rsidRPr="00F474AA">
        <w:rPr>
          <w:rFonts w:cs="Arial"/>
          <w:sz w:val="28"/>
          <w:szCs w:val="28"/>
        </w:rPr>
        <w:t xml:space="preserve"> constatations, déclarations, opinions, suggestions ou aveux recueillis à l’occasion de </w:t>
      </w:r>
      <w:r w:rsidRPr="00F474AA">
        <w:rPr>
          <w:rFonts w:cs="Arial"/>
          <w:sz w:val="28"/>
          <w:szCs w:val="28"/>
        </w:rPr>
        <w:t>la médiation.</w:t>
      </w:r>
    </w:p>
    <w:p w:rsidR="004A78F5" w:rsidRPr="00F474AA" w:rsidRDefault="00407E31" w:rsidP="00F83A03">
      <w:pPr>
        <w:spacing w:before="120" w:after="120" w:line="312" w:lineRule="auto"/>
        <w:ind w:left="360"/>
        <w:jc w:val="both"/>
        <w:rPr>
          <w:rFonts w:cs="Arial"/>
          <w:sz w:val="28"/>
          <w:szCs w:val="28"/>
        </w:rPr>
      </w:pPr>
      <w:r>
        <w:rPr>
          <w:rFonts w:cs="Arial"/>
          <w:sz w:val="28"/>
          <w:szCs w:val="28"/>
        </w:rPr>
        <w:t>Il convient de préciser que l’avis exprimé par le Médiateur est loin d’être contraignant</w:t>
      </w:r>
      <w:r w:rsidR="004A78F5" w:rsidRPr="00F474AA">
        <w:rPr>
          <w:rFonts w:cs="Arial"/>
          <w:sz w:val="28"/>
          <w:szCs w:val="28"/>
        </w:rPr>
        <w:t>,</w:t>
      </w:r>
      <w:r>
        <w:rPr>
          <w:rFonts w:cs="Arial"/>
          <w:sz w:val="28"/>
          <w:szCs w:val="28"/>
        </w:rPr>
        <w:t xml:space="preserve"> </w:t>
      </w:r>
      <w:r w:rsidR="00941B91">
        <w:rPr>
          <w:rFonts w:cs="Arial"/>
          <w:sz w:val="28"/>
          <w:szCs w:val="28"/>
        </w:rPr>
        <w:t>d’où la</w:t>
      </w:r>
      <w:r>
        <w:rPr>
          <w:rFonts w:cs="Arial"/>
          <w:sz w:val="28"/>
          <w:szCs w:val="28"/>
        </w:rPr>
        <w:t xml:space="preserve"> possibilité pour</w:t>
      </w:r>
      <w:r w:rsidR="004A78F5" w:rsidRPr="00F474AA">
        <w:rPr>
          <w:rFonts w:cs="Arial"/>
          <w:sz w:val="28"/>
          <w:szCs w:val="28"/>
        </w:rPr>
        <w:t xml:space="preserve"> les parties</w:t>
      </w:r>
      <w:r>
        <w:rPr>
          <w:rFonts w:cs="Arial"/>
          <w:sz w:val="28"/>
          <w:szCs w:val="28"/>
        </w:rPr>
        <w:t>, de l</w:t>
      </w:r>
      <w:r w:rsidR="004A78F5" w:rsidRPr="00F474AA">
        <w:rPr>
          <w:rFonts w:cs="Arial"/>
          <w:sz w:val="28"/>
          <w:szCs w:val="28"/>
        </w:rPr>
        <w:t xml:space="preserve">’accepter ou de </w:t>
      </w:r>
      <w:r>
        <w:rPr>
          <w:rFonts w:cs="Arial"/>
          <w:sz w:val="28"/>
          <w:szCs w:val="28"/>
        </w:rPr>
        <w:t xml:space="preserve">le </w:t>
      </w:r>
      <w:r w:rsidR="004A78F5" w:rsidRPr="00F474AA">
        <w:rPr>
          <w:rFonts w:cs="Arial"/>
          <w:sz w:val="28"/>
          <w:szCs w:val="28"/>
        </w:rPr>
        <w:t xml:space="preserve">rejeter </w:t>
      </w:r>
      <w:r>
        <w:rPr>
          <w:rFonts w:cs="Arial"/>
          <w:sz w:val="28"/>
          <w:szCs w:val="28"/>
        </w:rPr>
        <w:t>ou même de</w:t>
      </w:r>
      <w:r w:rsidR="004A78F5" w:rsidRPr="00F474AA">
        <w:rPr>
          <w:rFonts w:cs="Arial"/>
          <w:sz w:val="28"/>
          <w:szCs w:val="28"/>
        </w:rPr>
        <w:t xml:space="preserve"> porter leurs litiges devant les tribunaux.</w:t>
      </w:r>
    </w:p>
    <w:p w:rsidR="004A78F5" w:rsidRPr="00F474AA" w:rsidRDefault="004A78F5" w:rsidP="00F83A03">
      <w:pPr>
        <w:pStyle w:val="Paragraphedeliste"/>
        <w:numPr>
          <w:ilvl w:val="0"/>
          <w:numId w:val="2"/>
        </w:numPr>
        <w:ind w:left="1077"/>
        <w:jc w:val="both"/>
        <w:outlineLvl w:val="0"/>
        <w:rPr>
          <w:b/>
          <w:sz w:val="28"/>
          <w:szCs w:val="28"/>
        </w:rPr>
      </w:pPr>
      <w:bookmarkStart w:id="9" w:name="_Toc113021116"/>
      <w:r w:rsidRPr="00F474AA">
        <w:rPr>
          <w:b/>
          <w:sz w:val="28"/>
          <w:szCs w:val="28"/>
        </w:rPr>
        <w:t>Bilan annuel de la médiation</w:t>
      </w:r>
      <w:bookmarkEnd w:id="9"/>
    </w:p>
    <w:p w:rsidR="004A78F5" w:rsidRPr="00F474AA" w:rsidRDefault="004A78F5" w:rsidP="00F83A03">
      <w:pPr>
        <w:ind w:left="357" w:firstLine="351"/>
        <w:jc w:val="both"/>
        <w:outlineLvl w:val="1"/>
        <w:rPr>
          <w:b/>
          <w:sz w:val="28"/>
          <w:szCs w:val="28"/>
        </w:rPr>
      </w:pPr>
      <w:bookmarkStart w:id="10" w:name="_Toc113021117"/>
      <w:r w:rsidRPr="00F474AA">
        <w:rPr>
          <w:b/>
          <w:sz w:val="28"/>
          <w:szCs w:val="28"/>
        </w:rPr>
        <w:t>2.1.</w:t>
      </w:r>
      <w:r w:rsidRPr="00F474AA">
        <w:rPr>
          <w:b/>
          <w:sz w:val="28"/>
          <w:szCs w:val="28"/>
        </w:rPr>
        <w:tab/>
        <w:t>L’évolution des saisines</w:t>
      </w:r>
      <w:bookmarkEnd w:id="10"/>
    </w:p>
    <w:p w:rsidR="004A78F5" w:rsidRPr="00F474AA" w:rsidRDefault="00554A4A" w:rsidP="00F83A03">
      <w:pPr>
        <w:jc w:val="both"/>
        <w:rPr>
          <w:sz w:val="28"/>
          <w:szCs w:val="28"/>
        </w:rPr>
      </w:pPr>
      <w:r>
        <w:rPr>
          <w:sz w:val="28"/>
          <w:szCs w:val="28"/>
        </w:rPr>
        <w:t>En</w:t>
      </w:r>
      <w:r w:rsidR="004A78F5" w:rsidRPr="00F474AA">
        <w:rPr>
          <w:sz w:val="28"/>
          <w:szCs w:val="28"/>
        </w:rPr>
        <w:t xml:space="preserve"> </w:t>
      </w:r>
      <w:r w:rsidR="00510416">
        <w:rPr>
          <w:sz w:val="28"/>
          <w:szCs w:val="28"/>
        </w:rPr>
        <w:t>douze</w:t>
      </w:r>
      <w:r w:rsidR="004A78F5" w:rsidRPr="00F474AA">
        <w:rPr>
          <w:sz w:val="28"/>
          <w:szCs w:val="28"/>
        </w:rPr>
        <w:t xml:space="preserve"> exercices s</w:t>
      </w:r>
      <w:r>
        <w:rPr>
          <w:sz w:val="28"/>
          <w:szCs w:val="28"/>
        </w:rPr>
        <w:t>’étalant de</w:t>
      </w:r>
      <w:r w:rsidR="004A78F5" w:rsidRPr="00F474AA">
        <w:rPr>
          <w:sz w:val="28"/>
          <w:szCs w:val="28"/>
        </w:rPr>
        <w:t xml:space="preserve"> </w:t>
      </w:r>
      <w:r>
        <w:rPr>
          <w:sz w:val="28"/>
          <w:szCs w:val="28"/>
        </w:rPr>
        <w:t>2009 à fin 2021</w:t>
      </w:r>
      <w:r w:rsidR="004A78F5" w:rsidRPr="00F474AA">
        <w:rPr>
          <w:sz w:val="28"/>
          <w:szCs w:val="28"/>
        </w:rPr>
        <w:t xml:space="preserve">, la médiation des assurances s’est vue soumettre </w:t>
      </w:r>
      <w:r w:rsidR="00510416">
        <w:rPr>
          <w:sz w:val="28"/>
          <w:szCs w:val="28"/>
        </w:rPr>
        <w:t>1450</w:t>
      </w:r>
      <w:r w:rsidR="004A78F5" w:rsidRPr="00F474AA">
        <w:rPr>
          <w:sz w:val="28"/>
          <w:szCs w:val="28"/>
        </w:rPr>
        <w:t xml:space="preserve"> dossiers de médiation dont </w:t>
      </w:r>
      <w:r w:rsidR="00510416">
        <w:rPr>
          <w:sz w:val="28"/>
          <w:szCs w:val="28"/>
        </w:rPr>
        <w:t>1257</w:t>
      </w:r>
      <w:r w:rsidR="004A78F5" w:rsidRPr="00F474AA">
        <w:rPr>
          <w:sz w:val="28"/>
          <w:szCs w:val="28"/>
        </w:rPr>
        <w:t xml:space="preserve"> relevant de la branc</w:t>
      </w:r>
      <w:r w:rsidR="00510416">
        <w:rPr>
          <w:sz w:val="28"/>
          <w:szCs w:val="28"/>
        </w:rPr>
        <w:t>he IARD soit 8</w:t>
      </w:r>
      <w:r w:rsidR="004A78F5" w:rsidRPr="00F474AA">
        <w:rPr>
          <w:sz w:val="28"/>
          <w:szCs w:val="28"/>
        </w:rPr>
        <w:t>7</w:t>
      </w:r>
      <w:r w:rsidR="00495B77" w:rsidRPr="00F474AA">
        <w:rPr>
          <w:sz w:val="28"/>
          <w:szCs w:val="28"/>
        </w:rPr>
        <w:t>% contre</w:t>
      </w:r>
      <w:r w:rsidR="004A78F5" w:rsidRPr="00F474AA">
        <w:rPr>
          <w:sz w:val="28"/>
          <w:szCs w:val="28"/>
        </w:rPr>
        <w:t xml:space="preserve"> 1</w:t>
      </w:r>
      <w:r w:rsidR="00510416">
        <w:rPr>
          <w:sz w:val="28"/>
          <w:szCs w:val="28"/>
        </w:rPr>
        <w:t>93</w:t>
      </w:r>
      <w:r w:rsidR="004A78F5" w:rsidRPr="00F474AA">
        <w:rPr>
          <w:sz w:val="28"/>
          <w:szCs w:val="28"/>
        </w:rPr>
        <w:t xml:space="preserve"> requêtes re</w:t>
      </w:r>
      <w:r w:rsidR="00510416">
        <w:rPr>
          <w:sz w:val="28"/>
          <w:szCs w:val="28"/>
        </w:rPr>
        <w:t>latives à la branche VIE, soit 1</w:t>
      </w:r>
      <w:r w:rsidR="004A78F5" w:rsidRPr="00F474AA">
        <w:rPr>
          <w:sz w:val="28"/>
          <w:szCs w:val="28"/>
        </w:rPr>
        <w:t>3%.</w:t>
      </w:r>
    </w:p>
    <w:p w:rsidR="004A78F5" w:rsidRPr="00F474AA" w:rsidRDefault="004A78F5" w:rsidP="00F83A03">
      <w:pPr>
        <w:jc w:val="both"/>
        <w:rPr>
          <w:sz w:val="28"/>
          <w:szCs w:val="28"/>
        </w:rPr>
      </w:pPr>
      <w:r w:rsidRPr="00F474AA">
        <w:rPr>
          <w:sz w:val="28"/>
          <w:szCs w:val="28"/>
        </w:rPr>
        <w:t xml:space="preserve">L’examen de ces saisines laisse transparaître une évolution en dents de scie, marquée pour ce dernier exercice par un recul de </w:t>
      </w:r>
      <w:r w:rsidR="00554A4A">
        <w:rPr>
          <w:sz w:val="28"/>
          <w:szCs w:val="28"/>
        </w:rPr>
        <w:t>70</w:t>
      </w:r>
      <w:r w:rsidRPr="00F474AA">
        <w:rPr>
          <w:sz w:val="28"/>
          <w:szCs w:val="28"/>
        </w:rPr>
        <w:t xml:space="preserve"> points par rapport à l’année précédente. </w:t>
      </w:r>
    </w:p>
    <w:p w:rsidR="004A78F5" w:rsidRPr="00F474AA" w:rsidRDefault="004A78F5" w:rsidP="00F83A03">
      <w:pPr>
        <w:ind w:left="360"/>
        <w:jc w:val="both"/>
        <w:rPr>
          <w:sz w:val="28"/>
          <w:szCs w:val="28"/>
        </w:rPr>
      </w:pPr>
    </w:p>
    <w:p w:rsidR="00F509CD" w:rsidRDefault="004A78F5" w:rsidP="00F83A03">
      <w:pPr>
        <w:ind w:left="360"/>
        <w:jc w:val="both"/>
        <w:rPr>
          <w:sz w:val="28"/>
          <w:szCs w:val="28"/>
        </w:rPr>
      </w:pPr>
      <w:r w:rsidRPr="00F474AA">
        <w:rPr>
          <w:sz w:val="28"/>
          <w:szCs w:val="28"/>
        </w:rPr>
        <w:lastRenderedPageBreak/>
        <w:t xml:space="preserve">La forte baisse notée dans le </w:t>
      </w:r>
      <w:r w:rsidR="00F509CD">
        <w:rPr>
          <w:sz w:val="28"/>
          <w:szCs w:val="28"/>
        </w:rPr>
        <w:t xml:space="preserve">nombre de saisines, doit </w:t>
      </w:r>
      <w:r w:rsidRPr="00F474AA">
        <w:rPr>
          <w:sz w:val="28"/>
          <w:szCs w:val="28"/>
        </w:rPr>
        <w:t xml:space="preserve">être interprétée comme un phénomène conjoncturel, </w:t>
      </w:r>
      <w:r w:rsidR="00F509CD">
        <w:rPr>
          <w:sz w:val="28"/>
          <w:szCs w:val="28"/>
        </w:rPr>
        <w:t>dû principalement à l’impact de la pandémie, qui d’ailleurs n’a épargné aucun secteur d’activité.</w:t>
      </w:r>
    </w:p>
    <w:p w:rsidR="00BB0478" w:rsidRDefault="00F509CD" w:rsidP="00F83A03">
      <w:pPr>
        <w:ind w:left="360"/>
        <w:jc w:val="both"/>
        <w:rPr>
          <w:sz w:val="28"/>
          <w:szCs w:val="28"/>
        </w:rPr>
      </w:pPr>
      <w:r>
        <w:rPr>
          <w:sz w:val="28"/>
          <w:szCs w:val="28"/>
        </w:rPr>
        <w:t>Divers</w:t>
      </w:r>
      <w:r w:rsidR="00BB0478">
        <w:rPr>
          <w:sz w:val="28"/>
          <w:szCs w:val="28"/>
        </w:rPr>
        <w:t>es causes ont concouru au recul ainsi enregistré, dont entre autres :</w:t>
      </w:r>
    </w:p>
    <w:p w:rsidR="00BB0478" w:rsidRDefault="00BB0478" w:rsidP="00F83A03">
      <w:pPr>
        <w:pStyle w:val="Paragraphedeliste"/>
        <w:numPr>
          <w:ilvl w:val="0"/>
          <w:numId w:val="18"/>
        </w:numPr>
        <w:jc w:val="both"/>
        <w:rPr>
          <w:sz w:val="28"/>
          <w:szCs w:val="28"/>
        </w:rPr>
      </w:pPr>
      <w:r>
        <w:rPr>
          <w:sz w:val="28"/>
          <w:szCs w:val="28"/>
        </w:rPr>
        <w:t xml:space="preserve">Les mesures de </w:t>
      </w:r>
      <w:r w:rsidRPr="00BB0478">
        <w:rPr>
          <w:sz w:val="28"/>
          <w:szCs w:val="28"/>
        </w:rPr>
        <w:t>distanciation</w:t>
      </w:r>
      <w:r w:rsidR="00F509CD" w:rsidRPr="00BB0478">
        <w:rPr>
          <w:sz w:val="28"/>
          <w:szCs w:val="28"/>
        </w:rPr>
        <w:t xml:space="preserve"> sociale,</w:t>
      </w:r>
      <w:r>
        <w:rPr>
          <w:sz w:val="28"/>
          <w:szCs w:val="28"/>
        </w:rPr>
        <w:t xml:space="preserve"> rendant impossible les rencontres B to B habituellement</w:t>
      </w:r>
      <w:r w:rsidR="00F509CD" w:rsidRPr="00BB0478">
        <w:rPr>
          <w:sz w:val="28"/>
          <w:szCs w:val="28"/>
        </w:rPr>
        <w:t xml:space="preserve"> </w:t>
      </w:r>
      <w:r>
        <w:rPr>
          <w:sz w:val="28"/>
          <w:szCs w:val="28"/>
        </w:rPr>
        <w:t>en usage au sein de la médiation pour faciliter l’harmonisation des positions exprimées par les parties en conflit ;</w:t>
      </w:r>
    </w:p>
    <w:p w:rsidR="007B4394" w:rsidRDefault="007B4394" w:rsidP="00F83A03">
      <w:pPr>
        <w:pStyle w:val="Paragraphedeliste"/>
        <w:jc w:val="both"/>
        <w:rPr>
          <w:sz w:val="28"/>
          <w:szCs w:val="28"/>
        </w:rPr>
      </w:pPr>
    </w:p>
    <w:p w:rsidR="00BB0478" w:rsidRDefault="00BB0478" w:rsidP="00F83A03">
      <w:pPr>
        <w:pStyle w:val="Paragraphedeliste"/>
        <w:numPr>
          <w:ilvl w:val="0"/>
          <w:numId w:val="18"/>
        </w:numPr>
        <w:jc w:val="both"/>
        <w:rPr>
          <w:sz w:val="28"/>
          <w:szCs w:val="28"/>
        </w:rPr>
      </w:pPr>
      <w:r>
        <w:rPr>
          <w:sz w:val="28"/>
          <w:szCs w:val="28"/>
        </w:rPr>
        <w:t>L’institution du télétravail, avec comme corollaire l’immobilisation d’une bonne partie du parc automobile national ;</w:t>
      </w:r>
    </w:p>
    <w:p w:rsidR="007B4394" w:rsidRPr="007B4394" w:rsidRDefault="007B4394" w:rsidP="00F83A03">
      <w:pPr>
        <w:pStyle w:val="Paragraphedeliste"/>
        <w:jc w:val="both"/>
        <w:rPr>
          <w:sz w:val="28"/>
          <w:szCs w:val="28"/>
        </w:rPr>
      </w:pPr>
    </w:p>
    <w:p w:rsidR="00496428" w:rsidRDefault="00BB0478" w:rsidP="00F83A03">
      <w:pPr>
        <w:pStyle w:val="Paragraphedeliste"/>
        <w:numPr>
          <w:ilvl w:val="0"/>
          <w:numId w:val="18"/>
        </w:numPr>
        <w:jc w:val="both"/>
        <w:rPr>
          <w:sz w:val="28"/>
          <w:szCs w:val="28"/>
        </w:rPr>
      </w:pPr>
      <w:r>
        <w:rPr>
          <w:sz w:val="28"/>
          <w:szCs w:val="28"/>
        </w:rPr>
        <w:t>L’interdiction du trafic interurbain, avec comme conséquence le retrait de la circulation d’un nombre considérable de véhicule</w:t>
      </w:r>
      <w:r w:rsidR="00496428">
        <w:rPr>
          <w:sz w:val="28"/>
          <w:szCs w:val="28"/>
        </w:rPr>
        <w:t xml:space="preserve">s, au premier plan desquels, ceux dédiés au transport public de voyageurs (TPV) qui sont responsables de la plupart des accidents dénombrés annuellement sur le territoire national. A cet égard, malgré </w:t>
      </w:r>
      <w:r w:rsidR="000D52A3">
        <w:rPr>
          <w:sz w:val="28"/>
          <w:szCs w:val="28"/>
        </w:rPr>
        <w:t>les difficultés d’appréhender l’importance numérique des véhicules</w:t>
      </w:r>
      <w:r w:rsidR="00496428">
        <w:rPr>
          <w:sz w:val="28"/>
          <w:szCs w:val="28"/>
        </w:rPr>
        <w:t xml:space="preserve"> </w:t>
      </w:r>
      <w:r w:rsidR="000D52A3">
        <w:rPr>
          <w:sz w:val="28"/>
          <w:szCs w:val="28"/>
        </w:rPr>
        <w:t>TPV immobilisés</w:t>
      </w:r>
      <w:r w:rsidR="00533175">
        <w:rPr>
          <w:sz w:val="28"/>
          <w:szCs w:val="28"/>
        </w:rPr>
        <w:t>,</w:t>
      </w:r>
      <w:r w:rsidR="000D52A3">
        <w:rPr>
          <w:sz w:val="28"/>
          <w:szCs w:val="28"/>
        </w:rPr>
        <w:t xml:space="preserve"> du fait de </w:t>
      </w:r>
      <w:r w:rsidR="00496428">
        <w:rPr>
          <w:sz w:val="28"/>
          <w:szCs w:val="28"/>
        </w:rPr>
        <w:t xml:space="preserve">l’absence de statistiques </w:t>
      </w:r>
      <w:r w:rsidR="000D52A3">
        <w:rPr>
          <w:sz w:val="28"/>
          <w:szCs w:val="28"/>
        </w:rPr>
        <w:t>consacrées à</w:t>
      </w:r>
      <w:r w:rsidR="00496428">
        <w:rPr>
          <w:sz w:val="28"/>
          <w:szCs w:val="28"/>
        </w:rPr>
        <w:t xml:space="preserve"> l’étude </w:t>
      </w:r>
      <w:r w:rsidR="006D6B37">
        <w:rPr>
          <w:sz w:val="28"/>
          <w:szCs w:val="28"/>
        </w:rPr>
        <w:t xml:space="preserve">de </w:t>
      </w:r>
      <w:r w:rsidR="00496428">
        <w:rPr>
          <w:sz w:val="28"/>
          <w:szCs w:val="28"/>
        </w:rPr>
        <w:t>cette question,</w:t>
      </w:r>
      <w:r w:rsidR="000D52A3" w:rsidRPr="000D52A3">
        <w:rPr>
          <w:sz w:val="28"/>
          <w:szCs w:val="28"/>
        </w:rPr>
        <w:t xml:space="preserve"> </w:t>
      </w:r>
      <w:r w:rsidR="000D52A3">
        <w:rPr>
          <w:sz w:val="28"/>
          <w:szCs w:val="28"/>
        </w:rPr>
        <w:t>il convient tout de même</w:t>
      </w:r>
      <w:r w:rsidR="00533175">
        <w:rPr>
          <w:sz w:val="28"/>
          <w:szCs w:val="28"/>
        </w:rPr>
        <w:t>,</w:t>
      </w:r>
      <w:r w:rsidR="000D52A3">
        <w:rPr>
          <w:sz w:val="28"/>
          <w:szCs w:val="28"/>
        </w:rPr>
        <w:t xml:space="preserve"> de relever que ledit retrait</w:t>
      </w:r>
      <w:r w:rsidR="00533175">
        <w:rPr>
          <w:sz w:val="28"/>
          <w:szCs w:val="28"/>
        </w:rPr>
        <w:t>,</w:t>
      </w:r>
      <w:r w:rsidR="000D52A3">
        <w:rPr>
          <w:sz w:val="28"/>
          <w:szCs w:val="28"/>
        </w:rPr>
        <w:t xml:space="preserve"> si court soit-il, environ 3 mois, a contribué à une baisse drastique du nombre d’accidents, avec comme effets induits la baisse de la sinistralité</w:t>
      </w:r>
      <w:r w:rsidR="00533175">
        <w:rPr>
          <w:sz w:val="28"/>
          <w:szCs w:val="28"/>
        </w:rPr>
        <w:t xml:space="preserve"> et subséquemment un recul considérable des réclamations dirigées vers le Médiateur</w:t>
      </w:r>
      <w:r w:rsidR="00AE35DB">
        <w:rPr>
          <w:sz w:val="28"/>
          <w:szCs w:val="28"/>
        </w:rPr>
        <w:t> ;</w:t>
      </w:r>
    </w:p>
    <w:p w:rsidR="007B4394" w:rsidRPr="007B4394" w:rsidRDefault="007B4394" w:rsidP="00F83A03">
      <w:pPr>
        <w:pStyle w:val="Paragraphedeliste"/>
        <w:jc w:val="both"/>
        <w:rPr>
          <w:sz w:val="28"/>
          <w:szCs w:val="28"/>
        </w:rPr>
      </w:pPr>
    </w:p>
    <w:p w:rsidR="00AE35DB" w:rsidRPr="00495B77" w:rsidRDefault="00AE35DB" w:rsidP="00F83A03">
      <w:pPr>
        <w:pStyle w:val="Paragraphedeliste"/>
        <w:numPr>
          <w:ilvl w:val="0"/>
          <w:numId w:val="18"/>
        </w:numPr>
        <w:spacing w:after="195"/>
        <w:ind w:right="305"/>
        <w:jc w:val="both"/>
        <w:rPr>
          <w:sz w:val="28"/>
          <w:szCs w:val="28"/>
        </w:rPr>
      </w:pPr>
      <w:r w:rsidRPr="00495B77">
        <w:rPr>
          <w:sz w:val="28"/>
          <w:szCs w:val="28"/>
        </w:rPr>
        <w:t xml:space="preserve">L’annulation de toutes les réunions publiques d’informations </w:t>
      </w:r>
      <w:r w:rsidR="00495B77" w:rsidRPr="00495B77">
        <w:rPr>
          <w:sz w:val="28"/>
          <w:szCs w:val="28"/>
        </w:rPr>
        <w:t>prévues en 2021 en raison de</w:t>
      </w:r>
      <w:r w:rsidRPr="00495B77">
        <w:rPr>
          <w:sz w:val="28"/>
          <w:szCs w:val="28"/>
        </w:rPr>
        <w:t xml:space="preserve"> l’état de catastrophe sanitaire institué pendant la </w:t>
      </w:r>
      <w:r w:rsidR="00495B77" w:rsidRPr="00495B77">
        <w:rPr>
          <w:sz w:val="28"/>
          <w:szCs w:val="28"/>
        </w:rPr>
        <w:t>quasi-totalité</w:t>
      </w:r>
      <w:r w:rsidRPr="00495B77">
        <w:rPr>
          <w:sz w:val="28"/>
          <w:szCs w:val="28"/>
        </w:rPr>
        <w:t xml:space="preserve"> de </w:t>
      </w:r>
      <w:r w:rsidR="00F83A03" w:rsidRPr="00495B77">
        <w:rPr>
          <w:sz w:val="28"/>
          <w:szCs w:val="28"/>
        </w:rPr>
        <w:t>l’année,</w:t>
      </w:r>
      <w:r w:rsidR="00495B77" w:rsidRPr="00495B77">
        <w:rPr>
          <w:sz w:val="28"/>
          <w:szCs w:val="28"/>
        </w:rPr>
        <w:t xml:space="preserve"> compromettant </w:t>
      </w:r>
      <w:r w:rsidR="00F83A03" w:rsidRPr="00495B77">
        <w:rPr>
          <w:sz w:val="28"/>
          <w:szCs w:val="28"/>
        </w:rPr>
        <w:t>incidemment la</w:t>
      </w:r>
      <w:r w:rsidRPr="00495B77">
        <w:rPr>
          <w:sz w:val="28"/>
          <w:szCs w:val="28"/>
        </w:rPr>
        <w:t xml:space="preserve"> campagne de vulgarisation du dispositif de médiation </w:t>
      </w:r>
    </w:p>
    <w:p w:rsidR="007416D9" w:rsidRDefault="007416D9" w:rsidP="00F83A03">
      <w:pPr>
        <w:pStyle w:val="Paragraphedeliste"/>
        <w:jc w:val="both"/>
        <w:rPr>
          <w:rFonts w:cs="Arial"/>
          <w:sz w:val="28"/>
          <w:szCs w:val="28"/>
        </w:rPr>
      </w:pPr>
    </w:p>
    <w:p w:rsidR="007416D9" w:rsidRDefault="007416D9" w:rsidP="00F83A03">
      <w:pPr>
        <w:pStyle w:val="Titre2"/>
        <w:spacing w:line="259" w:lineRule="auto"/>
        <w:ind w:right="255"/>
        <w:jc w:val="both"/>
      </w:pPr>
      <w:bookmarkStart w:id="11" w:name="_Toc113021118"/>
      <w:r>
        <w:rPr>
          <w:rFonts w:ascii="Book Antiqua" w:eastAsia="Book Antiqua" w:hAnsi="Book Antiqua" w:cs="Book Antiqua"/>
          <w:i/>
        </w:rPr>
        <w:t xml:space="preserve">Tableau </w:t>
      </w:r>
      <w:proofErr w:type="gramStart"/>
      <w:r>
        <w:rPr>
          <w:rFonts w:ascii="Book Antiqua" w:eastAsia="Book Antiqua" w:hAnsi="Book Antiqua" w:cs="Book Antiqua"/>
          <w:i/>
        </w:rPr>
        <w:t>1:</w:t>
      </w:r>
      <w:proofErr w:type="gramEnd"/>
      <w:r>
        <w:rPr>
          <w:rFonts w:ascii="Book Antiqua" w:eastAsia="Book Antiqua" w:hAnsi="Book Antiqua" w:cs="Book Antiqua"/>
          <w:i/>
        </w:rPr>
        <w:t xml:space="preserve"> Evolution du nombre de saisines par branche</w:t>
      </w:r>
      <w:bookmarkEnd w:id="11"/>
      <w:r>
        <w:rPr>
          <w:rFonts w:ascii="Book Antiqua" w:eastAsia="Book Antiqua" w:hAnsi="Book Antiqua" w:cs="Book Antiqua"/>
          <w:i/>
        </w:rPr>
        <w:t xml:space="preserve"> </w:t>
      </w:r>
    </w:p>
    <w:tbl>
      <w:tblPr>
        <w:tblStyle w:val="TableGrid"/>
        <w:tblW w:w="8934" w:type="dxa"/>
        <w:tblInd w:w="128" w:type="dxa"/>
        <w:tblCellMar>
          <w:top w:w="51" w:type="dxa"/>
          <w:left w:w="67" w:type="dxa"/>
          <w:right w:w="6" w:type="dxa"/>
        </w:tblCellMar>
        <w:tblLook w:val="04A0" w:firstRow="1" w:lastRow="0" w:firstColumn="1" w:lastColumn="0" w:noHBand="0" w:noVBand="1"/>
      </w:tblPr>
      <w:tblGrid>
        <w:gridCol w:w="943"/>
        <w:gridCol w:w="590"/>
        <w:gridCol w:w="609"/>
        <w:gridCol w:w="591"/>
        <w:gridCol w:w="594"/>
        <w:gridCol w:w="590"/>
        <w:gridCol w:w="589"/>
        <w:gridCol w:w="591"/>
        <w:gridCol w:w="591"/>
        <w:gridCol w:w="613"/>
        <w:gridCol w:w="589"/>
        <w:gridCol w:w="610"/>
        <w:gridCol w:w="624"/>
        <w:gridCol w:w="810"/>
      </w:tblGrid>
      <w:tr w:rsidR="007416D9" w:rsidTr="007416D9">
        <w:trPr>
          <w:trHeight w:val="307"/>
        </w:trPr>
        <w:tc>
          <w:tcPr>
            <w:tcW w:w="943"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5"/>
              <w:jc w:val="both"/>
            </w:pPr>
            <w:r>
              <w:t xml:space="preserve">Branche </w:t>
            </w:r>
          </w:p>
        </w:tc>
        <w:tc>
          <w:tcPr>
            <w:tcW w:w="590"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6"/>
              <w:jc w:val="both"/>
            </w:pPr>
            <w:r>
              <w:t xml:space="preserve">2010 </w:t>
            </w:r>
          </w:p>
        </w:tc>
        <w:tc>
          <w:tcPr>
            <w:tcW w:w="609"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25"/>
              <w:jc w:val="both"/>
            </w:pPr>
            <w:r>
              <w:t xml:space="preserve">2011 </w:t>
            </w:r>
          </w:p>
        </w:tc>
        <w:tc>
          <w:tcPr>
            <w:tcW w:w="591"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6"/>
              <w:jc w:val="both"/>
            </w:pPr>
            <w:r>
              <w:t xml:space="preserve">2012 </w:t>
            </w:r>
          </w:p>
        </w:tc>
        <w:tc>
          <w:tcPr>
            <w:tcW w:w="594"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6"/>
              <w:jc w:val="both"/>
            </w:pPr>
            <w:r>
              <w:t xml:space="preserve">2013 </w:t>
            </w:r>
          </w:p>
        </w:tc>
        <w:tc>
          <w:tcPr>
            <w:tcW w:w="590"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1"/>
              <w:jc w:val="both"/>
            </w:pPr>
            <w:r>
              <w:t xml:space="preserve">2014 </w:t>
            </w:r>
          </w:p>
        </w:tc>
        <w:tc>
          <w:tcPr>
            <w:tcW w:w="589"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6"/>
              <w:jc w:val="both"/>
            </w:pPr>
            <w:r>
              <w:t xml:space="preserve">2015 </w:t>
            </w:r>
          </w:p>
        </w:tc>
        <w:tc>
          <w:tcPr>
            <w:tcW w:w="591"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5"/>
              <w:jc w:val="both"/>
            </w:pPr>
            <w:r>
              <w:t xml:space="preserve">2016 </w:t>
            </w:r>
          </w:p>
        </w:tc>
        <w:tc>
          <w:tcPr>
            <w:tcW w:w="591"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5"/>
              <w:jc w:val="both"/>
            </w:pPr>
            <w:r>
              <w:t xml:space="preserve">2017 </w:t>
            </w:r>
          </w:p>
        </w:tc>
        <w:tc>
          <w:tcPr>
            <w:tcW w:w="613"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24"/>
              <w:jc w:val="both"/>
            </w:pPr>
            <w:r>
              <w:t xml:space="preserve">2018 </w:t>
            </w:r>
          </w:p>
        </w:tc>
        <w:tc>
          <w:tcPr>
            <w:tcW w:w="589"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jc w:val="both"/>
            </w:pPr>
            <w:r>
              <w:t xml:space="preserve">2019 </w:t>
            </w:r>
          </w:p>
        </w:tc>
        <w:tc>
          <w:tcPr>
            <w:tcW w:w="610"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24"/>
              <w:jc w:val="both"/>
            </w:pPr>
            <w:r>
              <w:t xml:space="preserve">2020 </w:t>
            </w:r>
          </w:p>
        </w:tc>
        <w:tc>
          <w:tcPr>
            <w:tcW w:w="624"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10"/>
              <w:jc w:val="both"/>
            </w:pPr>
            <w:r>
              <w:t>2021</w:t>
            </w:r>
          </w:p>
        </w:tc>
        <w:tc>
          <w:tcPr>
            <w:tcW w:w="810"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10"/>
              <w:jc w:val="both"/>
            </w:pPr>
            <w:r>
              <w:t xml:space="preserve">Cumul </w:t>
            </w:r>
          </w:p>
        </w:tc>
      </w:tr>
      <w:tr w:rsidR="007416D9" w:rsidTr="007416D9">
        <w:trPr>
          <w:trHeight w:val="312"/>
        </w:trPr>
        <w:tc>
          <w:tcPr>
            <w:tcW w:w="943"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5"/>
              <w:jc w:val="both"/>
            </w:pPr>
            <w:r>
              <w:t xml:space="preserve">IARD </w:t>
            </w:r>
          </w:p>
        </w:tc>
        <w:tc>
          <w:tcPr>
            <w:tcW w:w="590"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3"/>
              <w:jc w:val="both"/>
            </w:pPr>
            <w:r>
              <w:t xml:space="preserve">37 </w:t>
            </w:r>
          </w:p>
        </w:tc>
        <w:tc>
          <w:tcPr>
            <w:tcW w:w="609"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3"/>
              <w:jc w:val="both"/>
            </w:pPr>
            <w:r>
              <w:t xml:space="preserve">101 </w:t>
            </w:r>
          </w:p>
        </w:tc>
        <w:tc>
          <w:tcPr>
            <w:tcW w:w="591"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123"/>
              <w:jc w:val="both"/>
            </w:pPr>
            <w:r>
              <w:t xml:space="preserve">124 </w:t>
            </w:r>
          </w:p>
        </w:tc>
        <w:tc>
          <w:tcPr>
            <w:tcW w:w="594"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123"/>
              <w:jc w:val="both"/>
            </w:pPr>
            <w:r>
              <w:t xml:space="preserve">113 </w:t>
            </w:r>
          </w:p>
        </w:tc>
        <w:tc>
          <w:tcPr>
            <w:tcW w:w="590"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118"/>
              <w:jc w:val="both"/>
            </w:pPr>
            <w:r>
              <w:t xml:space="preserve">108 </w:t>
            </w:r>
          </w:p>
        </w:tc>
        <w:tc>
          <w:tcPr>
            <w:tcW w:w="589"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4"/>
              <w:jc w:val="both"/>
            </w:pPr>
            <w:r>
              <w:t xml:space="preserve">70 </w:t>
            </w:r>
          </w:p>
        </w:tc>
        <w:tc>
          <w:tcPr>
            <w:tcW w:w="591"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123"/>
              <w:jc w:val="both"/>
            </w:pPr>
            <w:r>
              <w:t xml:space="preserve">116 </w:t>
            </w:r>
          </w:p>
        </w:tc>
        <w:tc>
          <w:tcPr>
            <w:tcW w:w="591"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122"/>
              <w:jc w:val="both"/>
            </w:pPr>
            <w:r>
              <w:t xml:space="preserve">159 </w:t>
            </w:r>
          </w:p>
        </w:tc>
        <w:tc>
          <w:tcPr>
            <w:tcW w:w="613"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142"/>
              <w:jc w:val="both"/>
            </w:pPr>
            <w:r>
              <w:t xml:space="preserve">130 </w:t>
            </w:r>
          </w:p>
        </w:tc>
        <w:tc>
          <w:tcPr>
            <w:tcW w:w="589"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118"/>
              <w:jc w:val="both"/>
            </w:pPr>
            <w:r>
              <w:t xml:space="preserve">106 </w:t>
            </w:r>
          </w:p>
        </w:tc>
        <w:tc>
          <w:tcPr>
            <w:tcW w:w="610"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142"/>
              <w:jc w:val="both"/>
            </w:pPr>
            <w:r>
              <w:t xml:space="preserve">147 </w:t>
            </w:r>
          </w:p>
        </w:tc>
        <w:tc>
          <w:tcPr>
            <w:tcW w:w="624"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2"/>
              <w:jc w:val="both"/>
            </w:pPr>
            <w:r>
              <w:t>46</w:t>
            </w:r>
          </w:p>
        </w:tc>
        <w:tc>
          <w:tcPr>
            <w:tcW w:w="810"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2"/>
              <w:jc w:val="both"/>
            </w:pPr>
            <w:r>
              <w:t>12</w:t>
            </w:r>
            <w:r w:rsidR="00510416">
              <w:t>57</w:t>
            </w:r>
            <w:r>
              <w:t xml:space="preserve"> </w:t>
            </w:r>
          </w:p>
        </w:tc>
      </w:tr>
      <w:tr w:rsidR="007416D9" w:rsidTr="007416D9">
        <w:trPr>
          <w:trHeight w:val="312"/>
        </w:trPr>
        <w:tc>
          <w:tcPr>
            <w:tcW w:w="943"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5"/>
              <w:jc w:val="both"/>
            </w:pPr>
            <w:r>
              <w:lastRenderedPageBreak/>
              <w:t xml:space="preserve">VIE </w:t>
            </w:r>
          </w:p>
        </w:tc>
        <w:tc>
          <w:tcPr>
            <w:tcW w:w="590"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2"/>
              <w:jc w:val="both"/>
            </w:pPr>
            <w:r>
              <w:t xml:space="preserve">29 </w:t>
            </w:r>
          </w:p>
        </w:tc>
        <w:tc>
          <w:tcPr>
            <w:tcW w:w="609"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2"/>
              <w:jc w:val="both"/>
            </w:pPr>
            <w:r>
              <w:t xml:space="preserve">47 </w:t>
            </w:r>
          </w:p>
        </w:tc>
        <w:tc>
          <w:tcPr>
            <w:tcW w:w="591"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2"/>
              <w:jc w:val="both"/>
            </w:pPr>
            <w:r>
              <w:t xml:space="preserve">26 </w:t>
            </w:r>
          </w:p>
        </w:tc>
        <w:tc>
          <w:tcPr>
            <w:tcW w:w="594"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7"/>
              <w:jc w:val="both"/>
            </w:pPr>
            <w:r>
              <w:t xml:space="preserve">15 </w:t>
            </w:r>
          </w:p>
        </w:tc>
        <w:tc>
          <w:tcPr>
            <w:tcW w:w="590"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7"/>
              <w:jc w:val="both"/>
            </w:pPr>
            <w:r>
              <w:t xml:space="preserve">25 </w:t>
            </w:r>
          </w:p>
        </w:tc>
        <w:tc>
          <w:tcPr>
            <w:tcW w:w="589"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2"/>
              <w:jc w:val="both"/>
            </w:pPr>
            <w:r>
              <w:t xml:space="preserve">17 </w:t>
            </w:r>
          </w:p>
        </w:tc>
        <w:tc>
          <w:tcPr>
            <w:tcW w:w="591"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2"/>
              <w:jc w:val="both"/>
            </w:pPr>
            <w:r>
              <w:t xml:space="preserve">14 </w:t>
            </w:r>
          </w:p>
        </w:tc>
        <w:tc>
          <w:tcPr>
            <w:tcW w:w="591"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2"/>
              <w:jc w:val="both"/>
            </w:pPr>
            <w:r>
              <w:t xml:space="preserve">2 </w:t>
            </w:r>
          </w:p>
        </w:tc>
        <w:tc>
          <w:tcPr>
            <w:tcW w:w="613"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7"/>
              <w:jc w:val="both"/>
            </w:pPr>
            <w:r>
              <w:t xml:space="preserve">4 </w:t>
            </w:r>
          </w:p>
        </w:tc>
        <w:tc>
          <w:tcPr>
            <w:tcW w:w="589"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7"/>
              <w:jc w:val="both"/>
            </w:pPr>
            <w:r>
              <w:t xml:space="preserve">4 </w:t>
            </w:r>
          </w:p>
        </w:tc>
        <w:tc>
          <w:tcPr>
            <w:tcW w:w="610"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3"/>
              <w:jc w:val="both"/>
            </w:pPr>
            <w:r>
              <w:t xml:space="preserve">8 </w:t>
            </w:r>
          </w:p>
        </w:tc>
        <w:tc>
          <w:tcPr>
            <w:tcW w:w="624"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2"/>
              <w:jc w:val="both"/>
            </w:pPr>
            <w:r>
              <w:t>1</w:t>
            </w:r>
          </w:p>
        </w:tc>
        <w:tc>
          <w:tcPr>
            <w:tcW w:w="810" w:type="dxa"/>
            <w:tcBorders>
              <w:top w:val="single" w:sz="4" w:space="0" w:color="181717"/>
              <w:left w:val="single" w:sz="4" w:space="0" w:color="181717"/>
              <w:bottom w:val="single" w:sz="4" w:space="0" w:color="181717"/>
              <w:right w:val="single" w:sz="4" w:space="0" w:color="181717"/>
            </w:tcBorders>
          </w:tcPr>
          <w:p w:rsidR="007416D9" w:rsidRDefault="00510416" w:rsidP="00F83A03">
            <w:pPr>
              <w:spacing w:line="259" w:lineRule="auto"/>
              <w:ind w:right="62"/>
              <w:jc w:val="both"/>
            </w:pPr>
            <w:r>
              <w:t>193</w:t>
            </w:r>
            <w:r w:rsidR="007416D9">
              <w:t xml:space="preserve"> </w:t>
            </w:r>
          </w:p>
        </w:tc>
      </w:tr>
      <w:tr w:rsidR="007416D9" w:rsidTr="007416D9">
        <w:trPr>
          <w:trHeight w:val="298"/>
        </w:trPr>
        <w:tc>
          <w:tcPr>
            <w:tcW w:w="943"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5"/>
              <w:jc w:val="both"/>
            </w:pPr>
            <w:r>
              <w:t xml:space="preserve">TOTAL </w:t>
            </w:r>
          </w:p>
        </w:tc>
        <w:tc>
          <w:tcPr>
            <w:tcW w:w="590"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1"/>
              <w:jc w:val="both"/>
            </w:pPr>
            <w:r>
              <w:t xml:space="preserve">66 </w:t>
            </w:r>
          </w:p>
        </w:tc>
        <w:tc>
          <w:tcPr>
            <w:tcW w:w="609"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1"/>
              <w:jc w:val="both"/>
            </w:pPr>
            <w:r>
              <w:t xml:space="preserve">148 </w:t>
            </w:r>
          </w:p>
        </w:tc>
        <w:tc>
          <w:tcPr>
            <w:tcW w:w="591"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125"/>
              <w:jc w:val="both"/>
            </w:pPr>
            <w:r>
              <w:t xml:space="preserve">150 </w:t>
            </w:r>
          </w:p>
        </w:tc>
        <w:tc>
          <w:tcPr>
            <w:tcW w:w="594"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124"/>
              <w:jc w:val="both"/>
            </w:pPr>
            <w:r>
              <w:t xml:space="preserve">128 </w:t>
            </w:r>
          </w:p>
        </w:tc>
        <w:tc>
          <w:tcPr>
            <w:tcW w:w="590"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120"/>
              <w:jc w:val="both"/>
            </w:pPr>
            <w:r>
              <w:t xml:space="preserve">133 </w:t>
            </w:r>
          </w:p>
        </w:tc>
        <w:tc>
          <w:tcPr>
            <w:tcW w:w="589"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2"/>
              <w:jc w:val="both"/>
            </w:pPr>
            <w:r>
              <w:t xml:space="preserve">87 </w:t>
            </w:r>
          </w:p>
        </w:tc>
        <w:tc>
          <w:tcPr>
            <w:tcW w:w="591"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124"/>
              <w:jc w:val="both"/>
            </w:pPr>
            <w:r>
              <w:t xml:space="preserve">130 </w:t>
            </w:r>
          </w:p>
        </w:tc>
        <w:tc>
          <w:tcPr>
            <w:tcW w:w="591"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124"/>
              <w:jc w:val="both"/>
            </w:pPr>
            <w:r>
              <w:t xml:space="preserve">161 </w:t>
            </w:r>
          </w:p>
        </w:tc>
        <w:tc>
          <w:tcPr>
            <w:tcW w:w="613"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7"/>
              <w:jc w:val="both"/>
            </w:pPr>
            <w:r>
              <w:t xml:space="preserve">134 </w:t>
            </w:r>
          </w:p>
        </w:tc>
        <w:tc>
          <w:tcPr>
            <w:tcW w:w="589"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119"/>
              <w:jc w:val="both"/>
            </w:pPr>
            <w:r>
              <w:t xml:space="preserve">110 </w:t>
            </w:r>
          </w:p>
        </w:tc>
        <w:tc>
          <w:tcPr>
            <w:tcW w:w="610"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left="143"/>
              <w:jc w:val="both"/>
            </w:pPr>
            <w:r>
              <w:t xml:space="preserve">155 </w:t>
            </w:r>
          </w:p>
        </w:tc>
        <w:tc>
          <w:tcPr>
            <w:tcW w:w="624"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3"/>
              <w:jc w:val="both"/>
            </w:pPr>
            <w:r>
              <w:t>47</w:t>
            </w:r>
          </w:p>
        </w:tc>
        <w:tc>
          <w:tcPr>
            <w:tcW w:w="810" w:type="dxa"/>
            <w:tcBorders>
              <w:top w:val="single" w:sz="4" w:space="0" w:color="181717"/>
              <w:left w:val="single" w:sz="4" w:space="0" w:color="181717"/>
              <w:bottom w:val="single" w:sz="4" w:space="0" w:color="181717"/>
              <w:right w:val="single" w:sz="4" w:space="0" w:color="181717"/>
            </w:tcBorders>
          </w:tcPr>
          <w:p w:rsidR="007416D9" w:rsidRDefault="007416D9" w:rsidP="00F83A03">
            <w:pPr>
              <w:spacing w:line="259" w:lineRule="auto"/>
              <w:ind w:right="63"/>
              <w:jc w:val="both"/>
            </w:pPr>
            <w:r>
              <w:t>14</w:t>
            </w:r>
            <w:r w:rsidR="00510416">
              <w:t>50</w:t>
            </w:r>
            <w:r>
              <w:t xml:space="preserve"> </w:t>
            </w:r>
          </w:p>
        </w:tc>
      </w:tr>
    </w:tbl>
    <w:p w:rsidR="007416D9" w:rsidRDefault="007416D9" w:rsidP="00F83A03">
      <w:pPr>
        <w:spacing w:after="0" w:line="259" w:lineRule="auto"/>
        <w:ind w:left="61"/>
        <w:jc w:val="both"/>
      </w:pPr>
      <w:r>
        <w:t xml:space="preserve"> </w:t>
      </w:r>
    </w:p>
    <w:p w:rsidR="007416D9" w:rsidRDefault="007416D9" w:rsidP="00F83A03">
      <w:pPr>
        <w:pStyle w:val="Paragraphedeliste"/>
        <w:jc w:val="both"/>
        <w:rPr>
          <w:rFonts w:cs="Arial"/>
          <w:sz w:val="28"/>
          <w:szCs w:val="28"/>
        </w:rPr>
      </w:pPr>
    </w:p>
    <w:p w:rsidR="00F83A03" w:rsidRPr="00F474AA" w:rsidRDefault="00F83A03" w:rsidP="00F83A03">
      <w:pPr>
        <w:pStyle w:val="Paragraphedeliste"/>
        <w:jc w:val="both"/>
        <w:rPr>
          <w:rFonts w:cs="Arial"/>
          <w:sz w:val="28"/>
          <w:szCs w:val="28"/>
        </w:rPr>
      </w:pPr>
    </w:p>
    <w:p w:rsidR="004A78F5" w:rsidRPr="00F474AA" w:rsidRDefault="004A78F5" w:rsidP="00F83A03">
      <w:pPr>
        <w:ind w:left="357" w:firstLine="346"/>
        <w:jc w:val="both"/>
        <w:outlineLvl w:val="2"/>
        <w:rPr>
          <w:b/>
          <w:sz w:val="28"/>
          <w:szCs w:val="28"/>
        </w:rPr>
      </w:pPr>
      <w:bookmarkStart w:id="12" w:name="_Toc113021119"/>
      <w:r w:rsidRPr="00F474AA">
        <w:rPr>
          <w:b/>
          <w:sz w:val="28"/>
          <w:szCs w:val="28"/>
        </w:rPr>
        <w:t>2.1.1.</w:t>
      </w:r>
      <w:r w:rsidRPr="00F474AA">
        <w:rPr>
          <w:b/>
          <w:sz w:val="28"/>
          <w:szCs w:val="28"/>
        </w:rPr>
        <w:tab/>
        <w:t>Traits marquants des saisines de la branche IART</w:t>
      </w:r>
      <w:bookmarkEnd w:id="12"/>
    </w:p>
    <w:p w:rsidR="0005673A" w:rsidRDefault="004A78F5" w:rsidP="00F83A03">
      <w:pPr>
        <w:pStyle w:val="Paragraphedeliste"/>
        <w:ind w:left="0"/>
        <w:jc w:val="both"/>
        <w:rPr>
          <w:sz w:val="28"/>
          <w:szCs w:val="28"/>
        </w:rPr>
      </w:pPr>
      <w:r w:rsidRPr="00F474AA">
        <w:rPr>
          <w:sz w:val="28"/>
          <w:szCs w:val="28"/>
        </w:rPr>
        <w:t>L’exercice 20</w:t>
      </w:r>
      <w:r w:rsidR="00495B77">
        <w:rPr>
          <w:sz w:val="28"/>
          <w:szCs w:val="28"/>
        </w:rPr>
        <w:t>21</w:t>
      </w:r>
      <w:r w:rsidRPr="00F474AA">
        <w:rPr>
          <w:sz w:val="28"/>
          <w:szCs w:val="28"/>
        </w:rPr>
        <w:t xml:space="preserve"> se sin</w:t>
      </w:r>
      <w:r w:rsidR="00495B77">
        <w:rPr>
          <w:sz w:val="28"/>
          <w:szCs w:val="28"/>
        </w:rPr>
        <w:t>gularise</w:t>
      </w:r>
      <w:r w:rsidRPr="00F474AA">
        <w:rPr>
          <w:sz w:val="28"/>
          <w:szCs w:val="28"/>
        </w:rPr>
        <w:t xml:space="preserve"> par une forte baisse du nombre de saisines </w:t>
      </w:r>
      <w:r w:rsidR="00495B77">
        <w:rPr>
          <w:sz w:val="28"/>
          <w:szCs w:val="28"/>
        </w:rPr>
        <w:t xml:space="preserve">relevant de la branche IARD </w:t>
      </w:r>
      <w:r w:rsidRPr="00F474AA">
        <w:rPr>
          <w:sz w:val="28"/>
          <w:szCs w:val="28"/>
        </w:rPr>
        <w:t>qui est passé de 1</w:t>
      </w:r>
      <w:r w:rsidR="00495B77">
        <w:rPr>
          <w:sz w:val="28"/>
          <w:szCs w:val="28"/>
        </w:rPr>
        <w:t>47</w:t>
      </w:r>
      <w:r w:rsidRPr="00F474AA">
        <w:rPr>
          <w:sz w:val="28"/>
          <w:szCs w:val="28"/>
        </w:rPr>
        <w:t xml:space="preserve"> </w:t>
      </w:r>
      <w:r w:rsidR="00F83A03" w:rsidRPr="00F474AA">
        <w:rPr>
          <w:sz w:val="28"/>
          <w:szCs w:val="28"/>
        </w:rPr>
        <w:t xml:space="preserve">à </w:t>
      </w:r>
      <w:r w:rsidR="00F83A03">
        <w:rPr>
          <w:sz w:val="28"/>
          <w:szCs w:val="28"/>
        </w:rPr>
        <w:t>46</w:t>
      </w:r>
      <w:r w:rsidRPr="00F474AA">
        <w:rPr>
          <w:sz w:val="28"/>
          <w:szCs w:val="28"/>
        </w:rPr>
        <w:t xml:space="preserve"> soit un recul </w:t>
      </w:r>
      <w:r w:rsidR="00F83A03" w:rsidRPr="00F474AA">
        <w:rPr>
          <w:sz w:val="28"/>
          <w:szCs w:val="28"/>
        </w:rPr>
        <w:t>d</w:t>
      </w:r>
      <w:r w:rsidR="00F83A03">
        <w:rPr>
          <w:sz w:val="28"/>
          <w:szCs w:val="28"/>
        </w:rPr>
        <w:t>’</w:t>
      </w:r>
      <w:r w:rsidR="00F83A03" w:rsidRPr="00F474AA">
        <w:rPr>
          <w:sz w:val="28"/>
          <w:szCs w:val="28"/>
        </w:rPr>
        <w:t>e</w:t>
      </w:r>
      <w:r w:rsidR="00F83A03">
        <w:rPr>
          <w:sz w:val="28"/>
          <w:szCs w:val="28"/>
        </w:rPr>
        <w:t xml:space="preserve">nviron </w:t>
      </w:r>
      <w:r w:rsidR="00F83A03" w:rsidRPr="00F474AA">
        <w:rPr>
          <w:sz w:val="28"/>
          <w:szCs w:val="28"/>
        </w:rPr>
        <w:t>69</w:t>
      </w:r>
      <w:r w:rsidR="00FE20B5">
        <w:rPr>
          <w:sz w:val="28"/>
          <w:szCs w:val="28"/>
        </w:rPr>
        <w:t>%</w:t>
      </w:r>
      <w:r w:rsidRPr="00F474AA">
        <w:rPr>
          <w:sz w:val="28"/>
          <w:szCs w:val="28"/>
        </w:rPr>
        <w:t>. L</w:t>
      </w:r>
      <w:r w:rsidR="00FE20B5">
        <w:rPr>
          <w:sz w:val="28"/>
          <w:szCs w:val="28"/>
        </w:rPr>
        <w:t xml:space="preserve">a totalité des réclamations parvenues au Médiateur, relève de la garantie automobile dont 42 portant sur des sinistres matériels, soit 91% et 4 </w:t>
      </w:r>
      <w:r w:rsidR="0005673A">
        <w:rPr>
          <w:sz w:val="28"/>
          <w:szCs w:val="28"/>
        </w:rPr>
        <w:t xml:space="preserve">portant sur des sinistres corporels, soit 11%. </w:t>
      </w:r>
    </w:p>
    <w:p w:rsidR="00B036AA" w:rsidRDefault="00B036AA" w:rsidP="00F83A03">
      <w:pPr>
        <w:pStyle w:val="Paragraphedeliste"/>
        <w:ind w:left="0"/>
        <w:jc w:val="both"/>
        <w:rPr>
          <w:sz w:val="28"/>
          <w:szCs w:val="28"/>
        </w:rPr>
      </w:pPr>
    </w:p>
    <w:p w:rsidR="004A78F5" w:rsidRPr="00F474AA" w:rsidRDefault="004A78F5" w:rsidP="00F83A03">
      <w:pPr>
        <w:pStyle w:val="Paragraphedeliste"/>
        <w:ind w:left="360"/>
        <w:jc w:val="both"/>
        <w:rPr>
          <w:rFonts w:cs="Arial"/>
          <w:sz w:val="28"/>
          <w:szCs w:val="28"/>
        </w:rPr>
      </w:pPr>
    </w:p>
    <w:p w:rsidR="004A78F5" w:rsidRPr="00F474AA" w:rsidRDefault="004A78F5" w:rsidP="00F83A03">
      <w:pPr>
        <w:pStyle w:val="Paragraphedeliste"/>
        <w:jc w:val="both"/>
        <w:rPr>
          <w:rFonts w:cs="Arial"/>
          <w:b/>
          <w:sz w:val="28"/>
          <w:szCs w:val="28"/>
        </w:rPr>
      </w:pPr>
      <w:r w:rsidRPr="00F474AA">
        <w:rPr>
          <w:rFonts w:cs="Arial"/>
          <w:b/>
          <w:sz w:val="28"/>
          <w:szCs w:val="28"/>
        </w:rPr>
        <w:t>Litiges relevant de la branche </w:t>
      </w:r>
      <w:r w:rsidR="009F1EAE" w:rsidRPr="00F474AA">
        <w:rPr>
          <w:rFonts w:cs="Arial"/>
          <w:b/>
          <w:sz w:val="28"/>
          <w:szCs w:val="28"/>
        </w:rPr>
        <w:t>Auto :</w:t>
      </w:r>
    </w:p>
    <w:p w:rsidR="004A78F5" w:rsidRDefault="004A78F5" w:rsidP="00F83A03">
      <w:pPr>
        <w:jc w:val="both"/>
        <w:rPr>
          <w:rFonts w:cs="Arial"/>
          <w:sz w:val="28"/>
          <w:szCs w:val="28"/>
        </w:rPr>
      </w:pPr>
      <w:r w:rsidRPr="00F474AA">
        <w:rPr>
          <w:rFonts w:cs="Arial"/>
          <w:sz w:val="28"/>
          <w:szCs w:val="28"/>
        </w:rPr>
        <w:t xml:space="preserve">L’analyse des saisines de l’exercice </w:t>
      </w:r>
      <w:r w:rsidR="0005673A">
        <w:rPr>
          <w:rFonts w:cs="Arial"/>
          <w:sz w:val="28"/>
          <w:szCs w:val="28"/>
        </w:rPr>
        <w:t>permet</w:t>
      </w:r>
      <w:r w:rsidRPr="00F474AA">
        <w:rPr>
          <w:rFonts w:cs="Arial"/>
          <w:sz w:val="28"/>
          <w:szCs w:val="28"/>
        </w:rPr>
        <w:t xml:space="preserve"> de mettre en </w:t>
      </w:r>
      <w:r w:rsidR="006D6B37">
        <w:rPr>
          <w:rFonts w:cs="Arial"/>
          <w:sz w:val="28"/>
          <w:szCs w:val="28"/>
        </w:rPr>
        <w:t>exergue</w:t>
      </w:r>
      <w:r w:rsidR="006D6B37" w:rsidRPr="00F474AA">
        <w:rPr>
          <w:rFonts w:cs="Arial"/>
          <w:sz w:val="28"/>
          <w:szCs w:val="28"/>
        </w:rPr>
        <w:t>,</w:t>
      </w:r>
      <w:r w:rsidR="0005673A">
        <w:rPr>
          <w:rFonts w:cs="Arial"/>
          <w:sz w:val="28"/>
          <w:szCs w:val="28"/>
        </w:rPr>
        <w:t xml:space="preserve"> la récurrence des </w:t>
      </w:r>
      <w:r w:rsidRPr="00F474AA">
        <w:rPr>
          <w:rFonts w:cs="Arial"/>
          <w:sz w:val="28"/>
          <w:szCs w:val="28"/>
        </w:rPr>
        <w:t xml:space="preserve">griefs </w:t>
      </w:r>
      <w:r w:rsidR="0005673A">
        <w:rPr>
          <w:rFonts w:cs="Arial"/>
          <w:sz w:val="28"/>
          <w:szCs w:val="28"/>
        </w:rPr>
        <w:t xml:space="preserve">habituellement </w:t>
      </w:r>
      <w:r w:rsidR="006D6B37">
        <w:rPr>
          <w:rFonts w:cs="Arial"/>
          <w:sz w:val="28"/>
          <w:szCs w:val="28"/>
        </w:rPr>
        <w:t xml:space="preserve">relevés </w:t>
      </w:r>
      <w:r w:rsidR="006D6B37" w:rsidRPr="00F474AA">
        <w:rPr>
          <w:rFonts w:cs="Arial"/>
          <w:sz w:val="28"/>
          <w:szCs w:val="28"/>
        </w:rPr>
        <w:t>à</w:t>
      </w:r>
      <w:r w:rsidRPr="00F474AA">
        <w:rPr>
          <w:rFonts w:cs="Arial"/>
          <w:sz w:val="28"/>
          <w:szCs w:val="28"/>
        </w:rPr>
        <w:t xml:space="preserve"> l’encontre des </w:t>
      </w:r>
      <w:r w:rsidR="0005673A">
        <w:rPr>
          <w:rFonts w:cs="Arial"/>
          <w:sz w:val="28"/>
          <w:szCs w:val="28"/>
        </w:rPr>
        <w:t xml:space="preserve">sociétés </w:t>
      </w:r>
      <w:r w:rsidR="006D6B37">
        <w:rPr>
          <w:rFonts w:cs="Arial"/>
          <w:sz w:val="28"/>
          <w:szCs w:val="28"/>
        </w:rPr>
        <w:t>d’assurance</w:t>
      </w:r>
      <w:r w:rsidR="006D6B37" w:rsidRPr="00F474AA">
        <w:rPr>
          <w:rFonts w:cs="Arial"/>
          <w:sz w:val="28"/>
          <w:szCs w:val="28"/>
        </w:rPr>
        <w:t>,</w:t>
      </w:r>
      <w:r w:rsidRPr="00F474AA">
        <w:rPr>
          <w:rFonts w:cs="Arial"/>
          <w:sz w:val="28"/>
          <w:szCs w:val="28"/>
        </w:rPr>
        <w:t xml:space="preserve"> à savoir :</w:t>
      </w:r>
    </w:p>
    <w:p w:rsidR="004A78F5" w:rsidRDefault="004A78F5" w:rsidP="00F83A03">
      <w:pPr>
        <w:pStyle w:val="Paragraphedeliste"/>
        <w:numPr>
          <w:ilvl w:val="0"/>
          <w:numId w:val="6"/>
        </w:numPr>
        <w:jc w:val="both"/>
        <w:rPr>
          <w:rFonts w:cs="Arial"/>
          <w:b/>
          <w:sz w:val="28"/>
          <w:szCs w:val="28"/>
        </w:rPr>
      </w:pPr>
      <w:r w:rsidRPr="00F474AA">
        <w:rPr>
          <w:rFonts w:cs="Arial"/>
          <w:b/>
          <w:sz w:val="28"/>
          <w:szCs w:val="28"/>
        </w:rPr>
        <w:t>Les retards de règlement</w:t>
      </w:r>
    </w:p>
    <w:p w:rsidR="0005673A" w:rsidRPr="0005673A" w:rsidRDefault="0005673A" w:rsidP="00F83A03">
      <w:pPr>
        <w:ind w:left="360"/>
        <w:jc w:val="both"/>
        <w:rPr>
          <w:rFonts w:cs="Arial"/>
          <w:sz w:val="28"/>
          <w:szCs w:val="28"/>
        </w:rPr>
      </w:pPr>
      <w:r w:rsidRPr="0005673A">
        <w:rPr>
          <w:rFonts w:cs="Arial"/>
          <w:sz w:val="28"/>
          <w:szCs w:val="28"/>
        </w:rPr>
        <w:t>De multiples causes</w:t>
      </w:r>
      <w:r>
        <w:rPr>
          <w:rFonts w:cs="Arial"/>
          <w:sz w:val="28"/>
          <w:szCs w:val="28"/>
        </w:rPr>
        <w:t xml:space="preserve"> concourent au retard</w:t>
      </w:r>
      <w:r w:rsidRPr="0005673A">
        <w:rPr>
          <w:rFonts w:cs="Arial"/>
          <w:sz w:val="28"/>
          <w:szCs w:val="28"/>
        </w:rPr>
        <w:t xml:space="preserve"> </w:t>
      </w:r>
      <w:r>
        <w:rPr>
          <w:rFonts w:cs="Arial"/>
          <w:sz w:val="28"/>
          <w:szCs w:val="28"/>
        </w:rPr>
        <w:t>de règlement, dont les compagnies sont régulièrement incriminées, à savoir :</w:t>
      </w:r>
    </w:p>
    <w:p w:rsidR="00892264" w:rsidRDefault="0005673A" w:rsidP="00F83A03">
      <w:pPr>
        <w:pStyle w:val="Paragraphedeliste"/>
        <w:numPr>
          <w:ilvl w:val="0"/>
          <w:numId w:val="18"/>
        </w:numPr>
        <w:spacing w:after="0" w:line="360" w:lineRule="auto"/>
        <w:jc w:val="both"/>
        <w:rPr>
          <w:rFonts w:cs="Arial"/>
          <w:sz w:val="28"/>
          <w:szCs w:val="28"/>
        </w:rPr>
      </w:pPr>
      <w:r>
        <w:rPr>
          <w:rFonts w:cs="Arial"/>
          <w:sz w:val="28"/>
          <w:szCs w:val="28"/>
        </w:rPr>
        <w:t xml:space="preserve">Désignation tardive des </w:t>
      </w:r>
      <w:r w:rsidR="004A78F5" w:rsidRPr="00F474AA">
        <w:rPr>
          <w:rFonts w:cs="Arial"/>
          <w:sz w:val="28"/>
          <w:szCs w:val="28"/>
        </w:rPr>
        <w:t>expert</w:t>
      </w:r>
      <w:r>
        <w:rPr>
          <w:rFonts w:cs="Arial"/>
          <w:sz w:val="28"/>
          <w:szCs w:val="28"/>
        </w:rPr>
        <w:t>s préposés à l’évaluation des dommages</w:t>
      </w:r>
      <w:r w:rsidR="00892264">
        <w:rPr>
          <w:rFonts w:cs="Arial"/>
          <w:sz w:val="28"/>
          <w:szCs w:val="28"/>
        </w:rPr>
        <w:t>. Ce phénomène est</w:t>
      </w:r>
      <w:r w:rsidR="004A78F5" w:rsidRPr="00F474AA">
        <w:rPr>
          <w:rFonts w:cs="Arial"/>
          <w:sz w:val="28"/>
          <w:szCs w:val="28"/>
        </w:rPr>
        <w:t xml:space="preserve"> </w:t>
      </w:r>
      <w:r w:rsidR="00892264">
        <w:rPr>
          <w:rFonts w:cs="Arial"/>
          <w:sz w:val="28"/>
          <w:szCs w:val="28"/>
        </w:rPr>
        <w:t>imputable à des déficiences dans la formation</w:t>
      </w:r>
      <w:r w:rsidR="004A78F5" w:rsidRPr="00F474AA">
        <w:rPr>
          <w:rFonts w:cs="Arial"/>
          <w:sz w:val="28"/>
          <w:szCs w:val="28"/>
        </w:rPr>
        <w:t xml:space="preserve"> de</w:t>
      </w:r>
      <w:r w:rsidR="00892264">
        <w:rPr>
          <w:rFonts w:cs="Arial"/>
          <w:sz w:val="28"/>
          <w:szCs w:val="28"/>
        </w:rPr>
        <w:t>s</w:t>
      </w:r>
      <w:r w:rsidR="004A78F5" w:rsidRPr="00F474AA">
        <w:rPr>
          <w:rFonts w:cs="Arial"/>
          <w:sz w:val="28"/>
          <w:szCs w:val="28"/>
        </w:rPr>
        <w:t xml:space="preserve"> régleurs</w:t>
      </w:r>
      <w:r w:rsidR="00892264">
        <w:rPr>
          <w:rFonts w:cs="Arial"/>
          <w:sz w:val="28"/>
          <w:szCs w:val="28"/>
        </w:rPr>
        <w:t xml:space="preserve"> de sinistres</w:t>
      </w:r>
      <w:r w:rsidR="004A78F5" w:rsidRPr="00F474AA">
        <w:rPr>
          <w:rFonts w:cs="Arial"/>
          <w:sz w:val="28"/>
          <w:szCs w:val="28"/>
        </w:rPr>
        <w:t xml:space="preserve">, </w:t>
      </w:r>
      <w:r w:rsidR="00892264">
        <w:rPr>
          <w:rFonts w:cs="Arial"/>
          <w:sz w:val="28"/>
          <w:szCs w:val="28"/>
        </w:rPr>
        <w:t xml:space="preserve">dont certains sont </w:t>
      </w:r>
      <w:r w:rsidR="004A78F5" w:rsidRPr="00F474AA">
        <w:rPr>
          <w:rFonts w:cs="Arial"/>
          <w:sz w:val="28"/>
          <w:szCs w:val="28"/>
        </w:rPr>
        <w:t xml:space="preserve">insuffisamment </w:t>
      </w:r>
      <w:r w:rsidR="00892264">
        <w:rPr>
          <w:rFonts w:cs="Arial"/>
          <w:sz w:val="28"/>
          <w:szCs w:val="28"/>
        </w:rPr>
        <w:t>qualifiés</w:t>
      </w:r>
      <w:r w:rsidR="00B036AA">
        <w:rPr>
          <w:rFonts w:cs="Arial"/>
          <w:sz w:val="28"/>
          <w:szCs w:val="28"/>
        </w:rPr>
        <w:t> ;</w:t>
      </w:r>
    </w:p>
    <w:p w:rsidR="00B036AA" w:rsidRDefault="00B036AA" w:rsidP="00F83A03">
      <w:pPr>
        <w:pStyle w:val="Paragraphedeliste"/>
        <w:spacing w:after="0" w:line="360" w:lineRule="auto"/>
        <w:jc w:val="both"/>
        <w:rPr>
          <w:rFonts w:cs="Arial"/>
          <w:sz w:val="28"/>
          <w:szCs w:val="28"/>
        </w:rPr>
      </w:pPr>
    </w:p>
    <w:p w:rsidR="00892264" w:rsidRDefault="00892264" w:rsidP="00F83A03">
      <w:pPr>
        <w:pStyle w:val="Paragraphedeliste"/>
        <w:numPr>
          <w:ilvl w:val="0"/>
          <w:numId w:val="18"/>
        </w:numPr>
        <w:spacing w:after="0" w:line="360" w:lineRule="auto"/>
        <w:jc w:val="both"/>
        <w:rPr>
          <w:rFonts w:cs="Arial"/>
          <w:sz w:val="28"/>
          <w:szCs w:val="28"/>
        </w:rPr>
      </w:pPr>
      <w:r w:rsidRPr="00F474AA">
        <w:rPr>
          <w:rFonts w:cs="Arial"/>
          <w:sz w:val="28"/>
          <w:szCs w:val="28"/>
        </w:rPr>
        <w:t>L</w:t>
      </w:r>
      <w:r w:rsidR="004A78F5" w:rsidRPr="00F474AA">
        <w:rPr>
          <w:rFonts w:cs="Arial"/>
          <w:sz w:val="28"/>
          <w:szCs w:val="28"/>
        </w:rPr>
        <w:t>e</w:t>
      </w:r>
      <w:r>
        <w:rPr>
          <w:rFonts w:cs="Arial"/>
          <w:sz w:val="28"/>
          <w:szCs w:val="28"/>
        </w:rPr>
        <w:t xml:space="preserve"> </w:t>
      </w:r>
      <w:r w:rsidR="004A78F5" w:rsidRPr="00F474AA">
        <w:rPr>
          <w:rFonts w:cs="Arial"/>
          <w:sz w:val="28"/>
          <w:szCs w:val="28"/>
        </w:rPr>
        <w:t>dépôt</w:t>
      </w:r>
      <w:r>
        <w:rPr>
          <w:rFonts w:cs="Arial"/>
          <w:sz w:val="28"/>
          <w:szCs w:val="28"/>
        </w:rPr>
        <w:t xml:space="preserve"> tardif</w:t>
      </w:r>
      <w:r w:rsidR="004A78F5" w:rsidRPr="00F474AA">
        <w:rPr>
          <w:rFonts w:cs="Arial"/>
          <w:sz w:val="28"/>
          <w:szCs w:val="28"/>
        </w:rPr>
        <w:t xml:space="preserve"> des rapports</w:t>
      </w:r>
      <w:r>
        <w:rPr>
          <w:rFonts w:cs="Arial"/>
          <w:sz w:val="28"/>
          <w:szCs w:val="28"/>
        </w:rPr>
        <w:t xml:space="preserve"> d’expertise, dû à l’absence de règles contraignantes</w:t>
      </w:r>
      <w:r w:rsidR="004A78F5" w:rsidRPr="00F474AA">
        <w:rPr>
          <w:rFonts w:cs="Arial"/>
          <w:sz w:val="28"/>
          <w:szCs w:val="28"/>
        </w:rPr>
        <w:t xml:space="preserve"> </w:t>
      </w:r>
      <w:r>
        <w:rPr>
          <w:rFonts w:cs="Arial"/>
          <w:sz w:val="28"/>
          <w:szCs w:val="28"/>
        </w:rPr>
        <w:t>assignant aux experts des délais limites pour la production de leurs rapports ;</w:t>
      </w:r>
    </w:p>
    <w:p w:rsidR="00B036AA" w:rsidRPr="00B036AA" w:rsidRDefault="00B036AA" w:rsidP="00F83A03">
      <w:pPr>
        <w:pStyle w:val="Paragraphedeliste"/>
        <w:jc w:val="both"/>
        <w:rPr>
          <w:rFonts w:cs="Arial"/>
          <w:sz w:val="28"/>
          <w:szCs w:val="28"/>
        </w:rPr>
      </w:pPr>
    </w:p>
    <w:p w:rsidR="004A78F5" w:rsidRPr="00AB41FF" w:rsidRDefault="00892264" w:rsidP="00F83A03">
      <w:pPr>
        <w:pStyle w:val="Paragraphedeliste"/>
        <w:numPr>
          <w:ilvl w:val="0"/>
          <w:numId w:val="18"/>
        </w:numPr>
        <w:spacing w:after="0" w:line="360" w:lineRule="auto"/>
        <w:jc w:val="both"/>
        <w:rPr>
          <w:rFonts w:cs="Arial"/>
          <w:sz w:val="28"/>
          <w:szCs w:val="28"/>
        </w:rPr>
      </w:pPr>
      <w:r w:rsidRPr="00AB41FF">
        <w:rPr>
          <w:rFonts w:cs="Arial"/>
          <w:sz w:val="28"/>
          <w:szCs w:val="28"/>
        </w:rPr>
        <w:lastRenderedPageBreak/>
        <w:t xml:space="preserve">L’opacité qui entoure la communication </w:t>
      </w:r>
      <w:r w:rsidR="00AB41FF" w:rsidRPr="00AB41FF">
        <w:rPr>
          <w:rFonts w:cs="Arial"/>
          <w:sz w:val="28"/>
          <w:szCs w:val="28"/>
        </w:rPr>
        <w:t xml:space="preserve">relative aux données ressortant desdits rapports, dont les premières moutures sont réservées aux compagnies, ce qui est de nature à entretenir un climat de suspicion, au regard des risques de manipulation redoutés par les plaignants. Il s’agit là, </w:t>
      </w:r>
      <w:r w:rsidR="00AB41FF">
        <w:rPr>
          <w:rFonts w:cs="Arial"/>
          <w:sz w:val="28"/>
          <w:szCs w:val="28"/>
        </w:rPr>
        <w:t>d’un</w:t>
      </w:r>
      <w:r w:rsidR="004A78F5" w:rsidRPr="00AB41FF">
        <w:rPr>
          <w:rFonts w:cs="Arial"/>
          <w:sz w:val="28"/>
          <w:szCs w:val="28"/>
        </w:rPr>
        <w:t xml:space="preserve"> déni de transparence </w:t>
      </w:r>
      <w:r w:rsidR="00AB41FF">
        <w:rPr>
          <w:rFonts w:cs="Arial"/>
          <w:sz w:val="28"/>
          <w:szCs w:val="28"/>
        </w:rPr>
        <w:t>qu’il convient de proscrire, pour mettre davantage en confiance les assurés et bénéficiaires de contrats d’assurance</w:t>
      </w:r>
    </w:p>
    <w:p w:rsidR="004A78F5" w:rsidRPr="00F474AA" w:rsidRDefault="004A78F5" w:rsidP="00F83A03">
      <w:pPr>
        <w:pStyle w:val="Paragraphedeliste"/>
        <w:jc w:val="both"/>
        <w:rPr>
          <w:rFonts w:cs="Arial"/>
          <w:sz w:val="28"/>
          <w:szCs w:val="28"/>
        </w:rPr>
      </w:pPr>
    </w:p>
    <w:p w:rsidR="000F6C39" w:rsidRDefault="001E07EB" w:rsidP="00F83A03">
      <w:pPr>
        <w:pStyle w:val="Paragraphedeliste"/>
        <w:numPr>
          <w:ilvl w:val="0"/>
          <w:numId w:val="18"/>
        </w:numPr>
        <w:jc w:val="both"/>
        <w:rPr>
          <w:rFonts w:cs="Arial"/>
          <w:sz w:val="28"/>
          <w:szCs w:val="28"/>
        </w:rPr>
      </w:pPr>
      <w:r>
        <w:rPr>
          <w:rFonts w:cs="Arial"/>
          <w:sz w:val="28"/>
          <w:szCs w:val="28"/>
        </w:rPr>
        <w:t>I</w:t>
      </w:r>
      <w:r w:rsidRPr="00F474AA">
        <w:rPr>
          <w:rFonts w:cs="Arial"/>
          <w:sz w:val="28"/>
          <w:szCs w:val="28"/>
        </w:rPr>
        <w:t xml:space="preserve"> ‘inexistence</w:t>
      </w:r>
      <w:r w:rsidR="004A78F5" w:rsidRPr="00F474AA">
        <w:rPr>
          <w:rFonts w:cs="Arial"/>
          <w:sz w:val="28"/>
          <w:szCs w:val="28"/>
        </w:rPr>
        <w:t xml:space="preserve"> </w:t>
      </w:r>
      <w:r w:rsidR="000F6C39" w:rsidRPr="00F474AA">
        <w:rPr>
          <w:rFonts w:cs="Arial"/>
          <w:sz w:val="28"/>
          <w:szCs w:val="28"/>
        </w:rPr>
        <w:t>au niveau de certaines compagnies</w:t>
      </w:r>
      <w:r w:rsidR="000F6C39">
        <w:rPr>
          <w:rFonts w:cs="Arial"/>
          <w:sz w:val="28"/>
          <w:szCs w:val="28"/>
        </w:rPr>
        <w:t>,</w:t>
      </w:r>
      <w:r w:rsidR="000F6C39" w:rsidRPr="000F6C39">
        <w:rPr>
          <w:rFonts w:cs="Arial"/>
          <w:sz w:val="28"/>
          <w:szCs w:val="28"/>
        </w:rPr>
        <w:t xml:space="preserve"> </w:t>
      </w:r>
      <w:r w:rsidR="000F6C39">
        <w:rPr>
          <w:rFonts w:cs="Arial"/>
          <w:sz w:val="28"/>
          <w:szCs w:val="28"/>
        </w:rPr>
        <w:t xml:space="preserve">de </w:t>
      </w:r>
      <w:r w:rsidR="004A78F5" w:rsidRPr="00F474AA">
        <w:rPr>
          <w:rFonts w:cs="Arial"/>
          <w:sz w:val="28"/>
          <w:szCs w:val="28"/>
        </w:rPr>
        <w:t xml:space="preserve">procédures de </w:t>
      </w:r>
      <w:r w:rsidR="000F6C39" w:rsidRPr="00F474AA">
        <w:rPr>
          <w:rFonts w:cs="Arial"/>
          <w:sz w:val="28"/>
          <w:szCs w:val="28"/>
        </w:rPr>
        <w:t>règlement des</w:t>
      </w:r>
      <w:r w:rsidR="004A78F5" w:rsidRPr="00F474AA">
        <w:rPr>
          <w:rFonts w:cs="Arial"/>
          <w:sz w:val="28"/>
          <w:szCs w:val="28"/>
        </w:rPr>
        <w:t xml:space="preserve"> sinistres</w:t>
      </w:r>
      <w:r w:rsidR="000F6C39" w:rsidRPr="000F6C39">
        <w:rPr>
          <w:rFonts w:cs="Arial"/>
          <w:sz w:val="28"/>
          <w:szCs w:val="28"/>
        </w:rPr>
        <w:t xml:space="preserve"> </w:t>
      </w:r>
      <w:r w:rsidR="000F6C39" w:rsidRPr="00F474AA">
        <w:rPr>
          <w:rFonts w:cs="Arial"/>
          <w:sz w:val="28"/>
          <w:szCs w:val="28"/>
        </w:rPr>
        <w:t>assis sur des critères rationnels, transparents et sans parti-pris</w:t>
      </w:r>
      <w:r w:rsidR="000F6C39">
        <w:rPr>
          <w:rFonts w:cs="Arial"/>
          <w:sz w:val="28"/>
          <w:szCs w:val="28"/>
        </w:rPr>
        <w:t> ;</w:t>
      </w:r>
    </w:p>
    <w:p w:rsidR="008A6D59" w:rsidRDefault="008A6D59" w:rsidP="00F83A03">
      <w:pPr>
        <w:pStyle w:val="Paragraphedeliste"/>
        <w:jc w:val="both"/>
        <w:rPr>
          <w:rFonts w:cs="Arial"/>
          <w:sz w:val="28"/>
          <w:szCs w:val="28"/>
        </w:rPr>
      </w:pPr>
    </w:p>
    <w:p w:rsidR="004A78F5" w:rsidRPr="00F474AA" w:rsidRDefault="00277080" w:rsidP="00F83A03">
      <w:pPr>
        <w:pStyle w:val="Paragraphedeliste"/>
        <w:numPr>
          <w:ilvl w:val="0"/>
          <w:numId w:val="18"/>
        </w:numPr>
        <w:jc w:val="both"/>
        <w:rPr>
          <w:rFonts w:cs="Arial"/>
          <w:sz w:val="28"/>
          <w:szCs w:val="28"/>
        </w:rPr>
      </w:pPr>
      <w:r>
        <w:rPr>
          <w:rFonts w:cs="Arial"/>
          <w:sz w:val="28"/>
          <w:szCs w:val="28"/>
        </w:rPr>
        <w:t xml:space="preserve"> </w:t>
      </w:r>
      <w:proofErr w:type="gramStart"/>
      <w:r>
        <w:rPr>
          <w:rFonts w:cs="Arial"/>
          <w:sz w:val="28"/>
          <w:szCs w:val="28"/>
        </w:rPr>
        <w:t>la</w:t>
      </w:r>
      <w:proofErr w:type="gramEnd"/>
      <w:r>
        <w:rPr>
          <w:rFonts w:cs="Arial"/>
          <w:sz w:val="28"/>
          <w:szCs w:val="28"/>
        </w:rPr>
        <w:t xml:space="preserve"> croissance exponentielle d’a</w:t>
      </w:r>
      <w:r w:rsidR="004A78F5" w:rsidRPr="00F474AA">
        <w:rPr>
          <w:rFonts w:cs="Arial"/>
          <w:sz w:val="28"/>
          <w:szCs w:val="28"/>
        </w:rPr>
        <w:t>ccords de règlement non suivis d’effet</w:t>
      </w:r>
      <w:r>
        <w:rPr>
          <w:rFonts w:cs="Arial"/>
          <w:sz w:val="28"/>
          <w:szCs w:val="28"/>
        </w:rPr>
        <w:t>s</w:t>
      </w:r>
      <w:r w:rsidR="004A78F5" w:rsidRPr="00F474AA">
        <w:rPr>
          <w:rFonts w:cs="Arial"/>
          <w:sz w:val="28"/>
          <w:szCs w:val="28"/>
        </w:rPr>
        <w:t xml:space="preserve"> : </w:t>
      </w:r>
      <w:r w:rsidR="000F6C39">
        <w:rPr>
          <w:rFonts w:cs="Arial"/>
          <w:sz w:val="28"/>
          <w:szCs w:val="28"/>
        </w:rPr>
        <w:t>une</w:t>
      </w:r>
      <w:r w:rsidR="004A78F5" w:rsidRPr="00F474AA">
        <w:rPr>
          <w:rFonts w:cs="Arial"/>
          <w:sz w:val="28"/>
          <w:szCs w:val="28"/>
        </w:rPr>
        <w:t xml:space="preserve"> compagnie</w:t>
      </w:r>
      <w:r>
        <w:rPr>
          <w:rFonts w:cs="Arial"/>
          <w:sz w:val="28"/>
          <w:szCs w:val="28"/>
        </w:rPr>
        <w:t xml:space="preserve"> </w:t>
      </w:r>
      <w:r w:rsidR="000F6C39">
        <w:rPr>
          <w:rFonts w:cs="Arial"/>
          <w:sz w:val="28"/>
          <w:szCs w:val="28"/>
        </w:rPr>
        <w:t>est seule</w:t>
      </w:r>
      <w:r>
        <w:rPr>
          <w:rFonts w:cs="Arial"/>
          <w:sz w:val="28"/>
          <w:szCs w:val="28"/>
        </w:rPr>
        <w:t xml:space="preserve"> à se</w:t>
      </w:r>
      <w:r w:rsidR="000F6C39">
        <w:rPr>
          <w:rFonts w:cs="Arial"/>
          <w:sz w:val="28"/>
          <w:szCs w:val="28"/>
        </w:rPr>
        <w:t xml:space="preserve"> singularise</w:t>
      </w:r>
      <w:r>
        <w:rPr>
          <w:rFonts w:cs="Arial"/>
          <w:sz w:val="28"/>
          <w:szCs w:val="28"/>
        </w:rPr>
        <w:t>r</w:t>
      </w:r>
      <w:r w:rsidR="000F6C39">
        <w:rPr>
          <w:rFonts w:cs="Arial"/>
          <w:sz w:val="28"/>
          <w:szCs w:val="28"/>
        </w:rPr>
        <w:t xml:space="preserve"> par </w:t>
      </w:r>
      <w:r w:rsidR="004A78F5" w:rsidRPr="00F474AA">
        <w:rPr>
          <w:rFonts w:cs="Arial"/>
          <w:sz w:val="28"/>
          <w:szCs w:val="28"/>
        </w:rPr>
        <w:t>s</w:t>
      </w:r>
      <w:r w:rsidR="000F6C39">
        <w:rPr>
          <w:rFonts w:cs="Arial"/>
          <w:sz w:val="28"/>
          <w:szCs w:val="28"/>
        </w:rPr>
        <w:t xml:space="preserve">a propension à </w:t>
      </w:r>
      <w:r>
        <w:rPr>
          <w:rFonts w:cs="Arial"/>
          <w:sz w:val="28"/>
          <w:szCs w:val="28"/>
        </w:rPr>
        <w:t>ne jamais donner suite immédiate aux</w:t>
      </w:r>
      <w:r w:rsidR="000F6C39">
        <w:rPr>
          <w:rFonts w:cs="Arial"/>
          <w:sz w:val="28"/>
          <w:szCs w:val="28"/>
        </w:rPr>
        <w:t xml:space="preserve"> ac</w:t>
      </w:r>
      <w:r>
        <w:rPr>
          <w:rFonts w:cs="Arial"/>
          <w:sz w:val="28"/>
          <w:szCs w:val="28"/>
        </w:rPr>
        <w:t>cords de règlement validés par s</w:t>
      </w:r>
      <w:r w:rsidR="000F6C39">
        <w:rPr>
          <w:rFonts w:cs="Arial"/>
          <w:sz w:val="28"/>
          <w:szCs w:val="28"/>
        </w:rPr>
        <w:t>es assurés</w:t>
      </w:r>
      <w:r>
        <w:rPr>
          <w:rFonts w:cs="Arial"/>
          <w:sz w:val="28"/>
          <w:szCs w:val="28"/>
        </w:rPr>
        <w:t xml:space="preserve"> en faisant subir à ces derniers des</w:t>
      </w:r>
      <w:r w:rsidR="004A78F5" w:rsidRPr="00F474AA">
        <w:rPr>
          <w:rFonts w:cs="Arial"/>
          <w:sz w:val="28"/>
          <w:szCs w:val="28"/>
        </w:rPr>
        <w:t xml:space="preserve"> délai</w:t>
      </w:r>
      <w:r>
        <w:rPr>
          <w:rFonts w:cs="Arial"/>
          <w:sz w:val="28"/>
          <w:szCs w:val="28"/>
        </w:rPr>
        <w:t>s d’attente pouvant</w:t>
      </w:r>
      <w:r w:rsidR="004A78F5" w:rsidRPr="00F474AA">
        <w:rPr>
          <w:rFonts w:cs="Arial"/>
          <w:sz w:val="28"/>
          <w:szCs w:val="28"/>
        </w:rPr>
        <w:t xml:space="preserve"> parfois porter sur </w:t>
      </w:r>
      <w:r w:rsidR="006D6B37">
        <w:rPr>
          <w:rFonts w:cs="Arial"/>
          <w:sz w:val="28"/>
          <w:szCs w:val="28"/>
        </w:rPr>
        <w:t>une</w:t>
      </w:r>
      <w:r>
        <w:rPr>
          <w:rFonts w:cs="Arial"/>
          <w:sz w:val="28"/>
          <w:szCs w:val="28"/>
        </w:rPr>
        <w:t xml:space="preserve"> </w:t>
      </w:r>
      <w:r w:rsidR="006D6B37">
        <w:rPr>
          <w:rFonts w:cs="Arial"/>
          <w:sz w:val="28"/>
          <w:szCs w:val="28"/>
        </w:rPr>
        <w:t xml:space="preserve">période </w:t>
      </w:r>
      <w:r>
        <w:rPr>
          <w:rFonts w:cs="Arial"/>
          <w:sz w:val="28"/>
          <w:szCs w:val="28"/>
        </w:rPr>
        <w:t>de</w:t>
      </w:r>
      <w:r w:rsidR="004A78F5" w:rsidRPr="00F474AA">
        <w:rPr>
          <w:rFonts w:cs="Arial"/>
          <w:sz w:val="28"/>
          <w:szCs w:val="28"/>
        </w:rPr>
        <w:t xml:space="preserve"> plus de </w:t>
      </w:r>
      <w:r w:rsidR="000F6C39">
        <w:rPr>
          <w:rFonts w:cs="Arial"/>
          <w:sz w:val="28"/>
          <w:szCs w:val="28"/>
        </w:rPr>
        <w:t>2 ans</w:t>
      </w:r>
      <w:r>
        <w:rPr>
          <w:rFonts w:cs="Arial"/>
          <w:sz w:val="28"/>
          <w:szCs w:val="28"/>
        </w:rPr>
        <w:t>. L</w:t>
      </w:r>
      <w:r w:rsidR="008A6D59">
        <w:rPr>
          <w:rFonts w:cs="Arial"/>
          <w:sz w:val="28"/>
          <w:szCs w:val="28"/>
        </w:rPr>
        <w:t>adite société devenue</w:t>
      </w:r>
      <w:r>
        <w:rPr>
          <w:rFonts w:cs="Arial"/>
          <w:sz w:val="28"/>
          <w:szCs w:val="28"/>
        </w:rPr>
        <w:t xml:space="preserve"> incapable de faire face à ses enga</w:t>
      </w:r>
      <w:r w:rsidR="008A6D59">
        <w:rPr>
          <w:rFonts w:cs="Arial"/>
          <w:sz w:val="28"/>
          <w:szCs w:val="28"/>
        </w:rPr>
        <w:t>g</w:t>
      </w:r>
      <w:r>
        <w:rPr>
          <w:rFonts w:cs="Arial"/>
          <w:sz w:val="28"/>
          <w:szCs w:val="28"/>
        </w:rPr>
        <w:t xml:space="preserve">ements </w:t>
      </w:r>
      <w:r w:rsidR="008A6D59">
        <w:rPr>
          <w:rFonts w:cs="Arial"/>
          <w:sz w:val="28"/>
          <w:szCs w:val="28"/>
        </w:rPr>
        <w:t xml:space="preserve">contractuels, ne doit plus être autorisée à exercer impunément, en raison des énormes préjudices qu’elle cause </w:t>
      </w:r>
      <w:r w:rsidR="006D6B37">
        <w:rPr>
          <w:rFonts w:cs="Arial"/>
          <w:sz w:val="28"/>
          <w:szCs w:val="28"/>
        </w:rPr>
        <w:t>aux</w:t>
      </w:r>
      <w:r w:rsidR="006D6B37" w:rsidRPr="008A6D59">
        <w:rPr>
          <w:rFonts w:cs="Arial"/>
          <w:sz w:val="28"/>
          <w:szCs w:val="28"/>
        </w:rPr>
        <w:t xml:space="preserve"> </w:t>
      </w:r>
      <w:r w:rsidR="006D6B37">
        <w:rPr>
          <w:rFonts w:cs="Arial"/>
          <w:sz w:val="28"/>
          <w:szCs w:val="28"/>
        </w:rPr>
        <w:t>assurés</w:t>
      </w:r>
      <w:r w:rsidR="008A6D59">
        <w:rPr>
          <w:rFonts w:cs="Arial"/>
          <w:sz w:val="28"/>
          <w:szCs w:val="28"/>
        </w:rPr>
        <w:t xml:space="preserve"> et bénéficiaires de contrats ;</w:t>
      </w:r>
    </w:p>
    <w:p w:rsidR="004A78F5" w:rsidRPr="00F474AA" w:rsidRDefault="004A78F5" w:rsidP="00F83A03">
      <w:pPr>
        <w:pStyle w:val="Paragraphedeliste"/>
        <w:jc w:val="both"/>
        <w:rPr>
          <w:rFonts w:cs="Arial"/>
          <w:sz w:val="28"/>
          <w:szCs w:val="28"/>
        </w:rPr>
      </w:pPr>
    </w:p>
    <w:p w:rsidR="008A6D59" w:rsidRPr="00B036AA" w:rsidRDefault="00B036AA" w:rsidP="00F83A03">
      <w:pPr>
        <w:pStyle w:val="Paragraphedeliste"/>
        <w:numPr>
          <w:ilvl w:val="0"/>
          <w:numId w:val="18"/>
        </w:numPr>
        <w:jc w:val="both"/>
        <w:rPr>
          <w:rFonts w:cs="Arial"/>
          <w:b/>
          <w:sz w:val="28"/>
          <w:szCs w:val="28"/>
        </w:rPr>
      </w:pPr>
      <w:proofErr w:type="gramStart"/>
      <w:r>
        <w:rPr>
          <w:rFonts w:cs="Arial"/>
          <w:sz w:val="28"/>
          <w:szCs w:val="28"/>
        </w:rPr>
        <w:t>l</w:t>
      </w:r>
      <w:r w:rsidR="008A6D59" w:rsidRPr="00B036AA">
        <w:rPr>
          <w:rFonts w:cs="Arial"/>
          <w:sz w:val="28"/>
          <w:szCs w:val="28"/>
        </w:rPr>
        <w:t>a</w:t>
      </w:r>
      <w:proofErr w:type="gramEnd"/>
      <w:r w:rsidR="008A6D59" w:rsidRPr="00B036AA">
        <w:rPr>
          <w:rFonts w:cs="Arial"/>
          <w:sz w:val="28"/>
          <w:szCs w:val="28"/>
        </w:rPr>
        <w:t xml:space="preserve"> fixation de jours spécifiques dédiés au règlement, ce qui est de nature à allonger davantage les délais de </w:t>
      </w:r>
      <w:r>
        <w:rPr>
          <w:rFonts w:cs="Arial"/>
          <w:sz w:val="28"/>
          <w:szCs w:val="28"/>
        </w:rPr>
        <w:t>liquidation des sinistre dus</w:t>
      </w:r>
      <w:r w:rsidR="008A6D59" w:rsidRPr="00B036AA">
        <w:rPr>
          <w:rFonts w:cs="Arial"/>
          <w:sz w:val="28"/>
          <w:szCs w:val="28"/>
        </w:rPr>
        <w:t> ;</w:t>
      </w:r>
    </w:p>
    <w:p w:rsidR="008A6D59" w:rsidRPr="008A6D59" w:rsidRDefault="008A6D59" w:rsidP="00F83A03">
      <w:pPr>
        <w:pStyle w:val="Paragraphedeliste"/>
        <w:ind w:left="1080"/>
        <w:jc w:val="both"/>
        <w:rPr>
          <w:rFonts w:cs="Arial"/>
          <w:b/>
          <w:sz w:val="28"/>
          <w:szCs w:val="28"/>
        </w:rPr>
      </w:pPr>
    </w:p>
    <w:p w:rsidR="004A78F5" w:rsidRPr="00B036AA" w:rsidRDefault="00B036AA" w:rsidP="00F83A03">
      <w:pPr>
        <w:pStyle w:val="Paragraphedeliste"/>
        <w:numPr>
          <w:ilvl w:val="0"/>
          <w:numId w:val="18"/>
        </w:numPr>
        <w:jc w:val="both"/>
        <w:rPr>
          <w:rFonts w:cs="Arial"/>
          <w:sz w:val="28"/>
          <w:szCs w:val="28"/>
        </w:rPr>
      </w:pPr>
      <w:proofErr w:type="gramStart"/>
      <w:r w:rsidRPr="00B036AA">
        <w:rPr>
          <w:rFonts w:cs="Arial"/>
          <w:sz w:val="28"/>
          <w:szCs w:val="28"/>
        </w:rPr>
        <w:t>l’absence</w:t>
      </w:r>
      <w:proofErr w:type="gramEnd"/>
      <w:r w:rsidR="008A6D59" w:rsidRPr="00B036AA">
        <w:rPr>
          <w:rFonts w:cs="Arial"/>
          <w:sz w:val="28"/>
          <w:szCs w:val="28"/>
        </w:rPr>
        <w:t xml:space="preserve"> d’une Chambre de compensation inter-compagnie qui allonge les délais de règlement des dettes réciproques nées </w:t>
      </w:r>
      <w:r>
        <w:rPr>
          <w:rFonts w:cs="Arial"/>
          <w:sz w:val="28"/>
          <w:szCs w:val="28"/>
        </w:rPr>
        <w:t>d’</w:t>
      </w:r>
      <w:r w:rsidR="008A6D59" w:rsidRPr="00B036AA">
        <w:rPr>
          <w:rFonts w:cs="Arial"/>
          <w:sz w:val="28"/>
          <w:szCs w:val="28"/>
        </w:rPr>
        <w:t>opérations d’</w:t>
      </w:r>
      <w:r w:rsidR="00525901" w:rsidRPr="00B036AA">
        <w:rPr>
          <w:rFonts w:cs="Arial"/>
          <w:sz w:val="28"/>
          <w:szCs w:val="28"/>
        </w:rPr>
        <w:t>assurance impliquant conjointement plusieurs compagnies. L’inexistence d’un tel</w:t>
      </w:r>
      <w:r w:rsidR="00D13881">
        <w:rPr>
          <w:rFonts w:cs="Arial"/>
          <w:sz w:val="28"/>
          <w:szCs w:val="28"/>
        </w:rPr>
        <w:t xml:space="preserve"> dispositif,</w:t>
      </w:r>
      <w:r w:rsidR="00525901" w:rsidRPr="00B036AA">
        <w:rPr>
          <w:rFonts w:cs="Arial"/>
          <w:sz w:val="28"/>
          <w:szCs w:val="28"/>
        </w:rPr>
        <w:t xml:space="preserve"> favorise </w:t>
      </w:r>
      <w:r w:rsidR="004A78F5" w:rsidRPr="00B036AA">
        <w:rPr>
          <w:rFonts w:cs="Arial"/>
          <w:sz w:val="28"/>
          <w:szCs w:val="28"/>
        </w:rPr>
        <w:t>les retards accusés dans les procédures d’échange de c</w:t>
      </w:r>
      <w:r w:rsidR="00525901" w:rsidRPr="00B036AA">
        <w:rPr>
          <w:rFonts w:cs="Arial"/>
          <w:sz w:val="28"/>
          <w:szCs w:val="28"/>
        </w:rPr>
        <w:t>hèques entre compagnies rivales et</w:t>
      </w:r>
      <w:r w:rsidR="004A78F5" w:rsidRPr="00B036AA">
        <w:rPr>
          <w:rFonts w:cs="Arial"/>
          <w:sz w:val="28"/>
          <w:szCs w:val="28"/>
        </w:rPr>
        <w:t xml:space="preserve"> sont souvent à la base des rétentions d’indemnités et des règlements différés</w:t>
      </w:r>
      <w:r w:rsidR="00F71375" w:rsidRPr="00B036AA">
        <w:rPr>
          <w:rFonts w:cs="Arial"/>
          <w:sz w:val="28"/>
          <w:szCs w:val="28"/>
        </w:rPr>
        <w:t xml:space="preserve"> </w:t>
      </w:r>
      <w:r w:rsidR="004A78F5" w:rsidRPr="00B036AA">
        <w:rPr>
          <w:rFonts w:cs="Arial"/>
          <w:sz w:val="28"/>
          <w:szCs w:val="28"/>
        </w:rPr>
        <w:t xml:space="preserve">dont se plaignent la plupart des </w:t>
      </w:r>
      <w:r w:rsidR="00525901" w:rsidRPr="00B036AA">
        <w:rPr>
          <w:rFonts w:cs="Arial"/>
          <w:sz w:val="28"/>
          <w:szCs w:val="28"/>
        </w:rPr>
        <w:t xml:space="preserve">victimes et </w:t>
      </w:r>
      <w:r w:rsidR="004A78F5" w:rsidRPr="00B036AA">
        <w:rPr>
          <w:rFonts w:cs="Arial"/>
          <w:sz w:val="28"/>
          <w:szCs w:val="28"/>
        </w:rPr>
        <w:t>tiers lésés.</w:t>
      </w:r>
    </w:p>
    <w:p w:rsidR="00525901" w:rsidRDefault="00525901" w:rsidP="00F83A03">
      <w:pPr>
        <w:pStyle w:val="Paragraphedeliste"/>
        <w:ind w:left="1080"/>
        <w:jc w:val="both"/>
        <w:rPr>
          <w:rFonts w:cs="Arial"/>
          <w:sz w:val="28"/>
          <w:szCs w:val="28"/>
        </w:rPr>
      </w:pPr>
    </w:p>
    <w:p w:rsidR="004A78F5" w:rsidRPr="00D13881" w:rsidRDefault="00525901" w:rsidP="00F83A03">
      <w:pPr>
        <w:pStyle w:val="Paragraphedeliste"/>
        <w:numPr>
          <w:ilvl w:val="0"/>
          <w:numId w:val="18"/>
        </w:numPr>
        <w:jc w:val="both"/>
        <w:rPr>
          <w:rFonts w:cs="Arial"/>
          <w:sz w:val="28"/>
          <w:szCs w:val="28"/>
        </w:rPr>
      </w:pPr>
      <w:r w:rsidRPr="00D13881">
        <w:rPr>
          <w:rFonts w:cs="Arial"/>
          <w:sz w:val="28"/>
          <w:szCs w:val="28"/>
        </w:rPr>
        <w:lastRenderedPageBreak/>
        <w:t>La m</w:t>
      </w:r>
      <w:r w:rsidR="004A78F5" w:rsidRPr="00D13881">
        <w:rPr>
          <w:rFonts w:cs="Arial"/>
          <w:sz w:val="28"/>
          <w:szCs w:val="28"/>
        </w:rPr>
        <w:t>auvaise tenue des fichiers clients</w:t>
      </w:r>
      <w:r w:rsidRPr="00D13881">
        <w:rPr>
          <w:rFonts w:cs="Arial"/>
          <w:sz w:val="28"/>
          <w:szCs w:val="28"/>
        </w:rPr>
        <w:t>, rendant difficile l’</w:t>
      </w:r>
      <w:r w:rsidR="004A78F5" w:rsidRPr="00D13881">
        <w:rPr>
          <w:rFonts w:cs="Arial"/>
          <w:sz w:val="28"/>
          <w:szCs w:val="28"/>
        </w:rPr>
        <w:t>identification des assurés. Il s’agit là</w:t>
      </w:r>
      <w:r w:rsidRPr="00D13881">
        <w:rPr>
          <w:rFonts w:cs="Arial"/>
          <w:sz w:val="28"/>
          <w:szCs w:val="28"/>
        </w:rPr>
        <w:t xml:space="preserve">, </w:t>
      </w:r>
      <w:r w:rsidR="004A78F5" w:rsidRPr="00D13881">
        <w:rPr>
          <w:rFonts w:cs="Arial"/>
          <w:sz w:val="28"/>
          <w:szCs w:val="28"/>
        </w:rPr>
        <w:t>de problèmes d’organisation interne</w:t>
      </w:r>
      <w:r w:rsidR="002E76FA" w:rsidRPr="00D13881">
        <w:rPr>
          <w:rFonts w:cs="Arial"/>
          <w:sz w:val="28"/>
          <w:szCs w:val="28"/>
        </w:rPr>
        <w:t>,</w:t>
      </w:r>
      <w:r w:rsidR="004A78F5" w:rsidRPr="00D13881">
        <w:rPr>
          <w:rFonts w:cs="Arial"/>
          <w:sz w:val="28"/>
          <w:szCs w:val="28"/>
        </w:rPr>
        <w:t xml:space="preserve"> </w:t>
      </w:r>
      <w:r w:rsidR="002E76FA" w:rsidRPr="00D13881">
        <w:rPr>
          <w:rFonts w:cs="Arial"/>
          <w:sz w:val="28"/>
          <w:szCs w:val="28"/>
        </w:rPr>
        <w:t>constatables au sein de</w:t>
      </w:r>
      <w:r w:rsidR="004A78F5" w:rsidRPr="00D13881">
        <w:rPr>
          <w:rFonts w:cs="Arial"/>
          <w:sz w:val="28"/>
          <w:szCs w:val="28"/>
        </w:rPr>
        <w:t xml:space="preserve"> certaines compagnies </w:t>
      </w:r>
      <w:r w:rsidR="002E76FA" w:rsidRPr="00D13881">
        <w:rPr>
          <w:rFonts w:cs="Arial"/>
          <w:sz w:val="28"/>
          <w:szCs w:val="28"/>
        </w:rPr>
        <w:t>et qui sont de nature à</w:t>
      </w:r>
      <w:r w:rsidR="004A78F5" w:rsidRPr="00D13881">
        <w:rPr>
          <w:rFonts w:cs="Arial"/>
          <w:sz w:val="28"/>
          <w:szCs w:val="28"/>
        </w:rPr>
        <w:t xml:space="preserve"> retarder les règlements dus aux bénéficiaires de</w:t>
      </w:r>
      <w:r w:rsidR="002E76FA" w:rsidRPr="00D13881">
        <w:rPr>
          <w:rFonts w:cs="Arial"/>
          <w:sz w:val="28"/>
          <w:szCs w:val="28"/>
        </w:rPr>
        <w:t>s</w:t>
      </w:r>
      <w:r w:rsidR="004A78F5" w:rsidRPr="00D13881">
        <w:rPr>
          <w:rFonts w:cs="Arial"/>
          <w:sz w:val="28"/>
          <w:szCs w:val="28"/>
        </w:rPr>
        <w:t xml:space="preserve"> garantie</w:t>
      </w:r>
      <w:r w:rsidR="002E76FA" w:rsidRPr="00D13881">
        <w:rPr>
          <w:rFonts w:cs="Arial"/>
          <w:sz w:val="28"/>
          <w:szCs w:val="28"/>
        </w:rPr>
        <w:t>s souscrites</w:t>
      </w:r>
      <w:r w:rsidRPr="00D13881">
        <w:rPr>
          <w:rFonts w:cs="Arial"/>
          <w:sz w:val="28"/>
          <w:szCs w:val="28"/>
        </w:rPr>
        <w:t> ;</w:t>
      </w:r>
    </w:p>
    <w:p w:rsidR="00525901" w:rsidRPr="00525901" w:rsidRDefault="00525901" w:rsidP="00F83A03">
      <w:pPr>
        <w:pStyle w:val="Paragraphedeliste"/>
        <w:jc w:val="both"/>
        <w:rPr>
          <w:rFonts w:cs="Arial"/>
          <w:sz w:val="28"/>
          <w:szCs w:val="28"/>
        </w:rPr>
      </w:pPr>
    </w:p>
    <w:p w:rsidR="004A78F5" w:rsidRDefault="004A78F5" w:rsidP="00F83A03">
      <w:pPr>
        <w:pStyle w:val="Paragraphedeliste"/>
        <w:numPr>
          <w:ilvl w:val="0"/>
          <w:numId w:val="18"/>
        </w:numPr>
        <w:jc w:val="both"/>
        <w:rPr>
          <w:rFonts w:cs="Arial"/>
          <w:sz w:val="28"/>
          <w:szCs w:val="28"/>
        </w:rPr>
      </w:pPr>
      <w:proofErr w:type="gramStart"/>
      <w:r w:rsidRPr="00F474AA">
        <w:rPr>
          <w:rFonts w:cs="Arial"/>
          <w:sz w:val="28"/>
          <w:szCs w:val="28"/>
        </w:rPr>
        <w:t>la</w:t>
      </w:r>
      <w:proofErr w:type="gramEnd"/>
      <w:r w:rsidRPr="00F474AA">
        <w:rPr>
          <w:rFonts w:cs="Arial"/>
          <w:sz w:val="28"/>
          <w:szCs w:val="28"/>
        </w:rPr>
        <w:t xml:space="preserve"> non désignation </w:t>
      </w:r>
      <w:r w:rsidR="00525901">
        <w:rPr>
          <w:rFonts w:cs="Arial"/>
          <w:sz w:val="28"/>
          <w:szCs w:val="28"/>
        </w:rPr>
        <w:t xml:space="preserve">au sein de certaines compagnies, </w:t>
      </w:r>
      <w:r w:rsidRPr="00F474AA">
        <w:rPr>
          <w:rFonts w:cs="Arial"/>
          <w:sz w:val="28"/>
          <w:szCs w:val="28"/>
        </w:rPr>
        <w:t xml:space="preserve">de personnes préposées à la tâche de </w:t>
      </w:r>
      <w:r w:rsidR="00D13881">
        <w:rPr>
          <w:rFonts w:cs="Arial"/>
          <w:sz w:val="28"/>
          <w:szCs w:val="28"/>
        </w:rPr>
        <w:t>« Ch</w:t>
      </w:r>
      <w:r w:rsidRPr="00F474AA">
        <w:rPr>
          <w:rFonts w:cs="Arial"/>
          <w:sz w:val="28"/>
          <w:szCs w:val="28"/>
        </w:rPr>
        <w:t>argés de clientèle</w:t>
      </w:r>
      <w:r w:rsidR="00D13881">
        <w:rPr>
          <w:rFonts w:cs="Arial"/>
          <w:sz w:val="28"/>
          <w:szCs w:val="28"/>
        </w:rPr>
        <w:t> »</w:t>
      </w:r>
      <w:r w:rsidRPr="00F474AA">
        <w:rPr>
          <w:rFonts w:cs="Arial"/>
          <w:sz w:val="28"/>
          <w:szCs w:val="28"/>
        </w:rPr>
        <w:t xml:space="preserve"> avec pour mission, d’assurer l’interface entre la compagnie et ses clients. Pour cette raison, nombre de clients manquent d’interlocuteurs auxquels, ils sont en droit de s’adresser pour exprimer les diverses requêtes qu’ils aimeraient formuler en direction de leur assureur, dans le cadre de la gestion au quotidien de leur contrat d’assurance. Cette question revêt une acuité particulière en cas de sinistre, car l’absence de répondant </w:t>
      </w:r>
      <w:r w:rsidR="00AA5E55">
        <w:rPr>
          <w:rFonts w:cs="Arial"/>
          <w:sz w:val="28"/>
          <w:szCs w:val="28"/>
        </w:rPr>
        <w:t>nommément désigné</w:t>
      </w:r>
      <w:r w:rsidRPr="00F474AA">
        <w:rPr>
          <w:rFonts w:cs="Arial"/>
          <w:sz w:val="28"/>
          <w:szCs w:val="28"/>
        </w:rPr>
        <w:t xml:space="preserve"> pour orienter l’assuré, peut être source de préjudices incommensurables dans l’accomplissement des diligences requises pour écourter les délais de règlement des prestations dues par l’assureur.</w:t>
      </w:r>
    </w:p>
    <w:p w:rsidR="00525901" w:rsidRPr="00525901" w:rsidRDefault="00525901" w:rsidP="00F83A03">
      <w:pPr>
        <w:pStyle w:val="Paragraphedeliste"/>
        <w:jc w:val="both"/>
        <w:rPr>
          <w:rFonts w:cs="Arial"/>
          <w:sz w:val="28"/>
          <w:szCs w:val="28"/>
        </w:rPr>
      </w:pPr>
    </w:p>
    <w:p w:rsidR="00AA5E55" w:rsidRDefault="00525901" w:rsidP="00F83A03">
      <w:pPr>
        <w:pStyle w:val="Paragraphedeliste"/>
        <w:numPr>
          <w:ilvl w:val="0"/>
          <w:numId w:val="18"/>
        </w:numPr>
        <w:jc w:val="both"/>
        <w:rPr>
          <w:rFonts w:cs="Arial"/>
          <w:sz w:val="28"/>
          <w:szCs w:val="28"/>
        </w:rPr>
      </w:pPr>
      <w:proofErr w:type="gramStart"/>
      <w:r>
        <w:rPr>
          <w:rFonts w:cs="Arial"/>
          <w:sz w:val="28"/>
          <w:szCs w:val="28"/>
        </w:rPr>
        <w:t>la</w:t>
      </w:r>
      <w:proofErr w:type="gramEnd"/>
      <w:r>
        <w:rPr>
          <w:rFonts w:cs="Arial"/>
          <w:sz w:val="28"/>
          <w:szCs w:val="28"/>
        </w:rPr>
        <w:t xml:space="preserve"> récurrence des c</w:t>
      </w:r>
      <w:r w:rsidR="004A78F5" w:rsidRPr="00C262E2">
        <w:rPr>
          <w:rFonts w:cs="Arial"/>
          <w:sz w:val="28"/>
          <w:szCs w:val="28"/>
        </w:rPr>
        <w:t>ontestations des rapports d’expertise</w:t>
      </w:r>
      <w:r>
        <w:rPr>
          <w:rFonts w:cs="Arial"/>
          <w:sz w:val="28"/>
          <w:szCs w:val="28"/>
        </w:rPr>
        <w:t xml:space="preserve"> qui est source d’allongement des délais d’indemnisation, favorisé par </w:t>
      </w:r>
      <w:r w:rsidR="00AA5E55">
        <w:rPr>
          <w:rFonts w:cs="Arial"/>
          <w:sz w:val="28"/>
          <w:szCs w:val="28"/>
        </w:rPr>
        <w:t>les procédures subséquentes de contre-expertise ou de tierce expertise ;</w:t>
      </w:r>
    </w:p>
    <w:p w:rsidR="00AA5E55" w:rsidRPr="00AA5E55" w:rsidRDefault="00AA5E55" w:rsidP="00F83A03">
      <w:pPr>
        <w:pStyle w:val="Paragraphedeliste"/>
        <w:jc w:val="both"/>
        <w:rPr>
          <w:rFonts w:cs="Arial"/>
          <w:sz w:val="28"/>
          <w:szCs w:val="28"/>
        </w:rPr>
      </w:pPr>
    </w:p>
    <w:p w:rsidR="004A78F5" w:rsidRPr="00F474AA" w:rsidRDefault="004A78F5" w:rsidP="00F83A03">
      <w:pPr>
        <w:jc w:val="both"/>
        <w:rPr>
          <w:rFonts w:cs="Arial"/>
          <w:sz w:val="28"/>
          <w:szCs w:val="28"/>
        </w:rPr>
      </w:pPr>
      <w:r w:rsidRPr="00F474AA">
        <w:rPr>
          <w:rFonts w:cs="Arial"/>
          <w:sz w:val="28"/>
          <w:szCs w:val="28"/>
        </w:rPr>
        <w:t>En effet, l’examen des réclamations laisse apparaître divers griefs à l’encontre des experts mandatés par les compagnies à l’effet d’évaluer les dommages subis par les bénéficiaires d’indemnités, dont entre autres :</w:t>
      </w:r>
    </w:p>
    <w:p w:rsidR="004A78F5" w:rsidRDefault="004A78F5" w:rsidP="00F83A03">
      <w:pPr>
        <w:pStyle w:val="Paragraphedeliste"/>
        <w:numPr>
          <w:ilvl w:val="0"/>
          <w:numId w:val="18"/>
        </w:numPr>
        <w:jc w:val="both"/>
        <w:rPr>
          <w:rFonts w:cs="Arial"/>
          <w:sz w:val="28"/>
          <w:szCs w:val="28"/>
        </w:rPr>
      </w:pPr>
      <w:r w:rsidRPr="00F474AA">
        <w:rPr>
          <w:rFonts w:cs="Arial"/>
          <w:sz w:val="28"/>
          <w:szCs w:val="28"/>
        </w:rPr>
        <w:t>Les forts taux d’abattement appliqués dans la détermination du prix des pièces de rechange,</w:t>
      </w:r>
    </w:p>
    <w:p w:rsidR="00D13881" w:rsidRDefault="00D13881" w:rsidP="00F83A03">
      <w:pPr>
        <w:pStyle w:val="Paragraphedeliste"/>
        <w:jc w:val="both"/>
        <w:rPr>
          <w:rFonts w:cs="Arial"/>
          <w:sz w:val="28"/>
          <w:szCs w:val="28"/>
        </w:rPr>
      </w:pPr>
    </w:p>
    <w:p w:rsidR="004A78F5" w:rsidRDefault="004A78F5" w:rsidP="00F83A03">
      <w:pPr>
        <w:pStyle w:val="Paragraphedeliste"/>
        <w:numPr>
          <w:ilvl w:val="0"/>
          <w:numId w:val="18"/>
        </w:numPr>
        <w:jc w:val="both"/>
        <w:rPr>
          <w:rFonts w:cs="Arial"/>
          <w:sz w:val="28"/>
          <w:szCs w:val="28"/>
        </w:rPr>
      </w:pPr>
      <w:r w:rsidRPr="00F474AA">
        <w:rPr>
          <w:rFonts w:cs="Arial"/>
          <w:sz w:val="28"/>
          <w:szCs w:val="28"/>
        </w:rPr>
        <w:t>La fixation des taux d’usure</w:t>
      </w:r>
      <w:r w:rsidR="00F71375">
        <w:rPr>
          <w:rFonts w:cs="Arial"/>
          <w:sz w:val="28"/>
          <w:szCs w:val="28"/>
        </w:rPr>
        <w:t xml:space="preserve"> </w:t>
      </w:r>
      <w:r w:rsidRPr="00F474AA">
        <w:rPr>
          <w:rFonts w:cs="Arial"/>
          <w:sz w:val="28"/>
          <w:szCs w:val="28"/>
        </w:rPr>
        <w:t>à des niveaux anormalement élevés, sans tenir compte de la qualité de l’entretien des véhicules sinistrés,</w:t>
      </w:r>
    </w:p>
    <w:p w:rsidR="00D13881" w:rsidRPr="00D13881" w:rsidRDefault="00D13881" w:rsidP="00F83A03">
      <w:pPr>
        <w:pStyle w:val="Paragraphedeliste"/>
        <w:jc w:val="both"/>
        <w:rPr>
          <w:rFonts w:cs="Arial"/>
          <w:sz w:val="28"/>
          <w:szCs w:val="28"/>
        </w:rPr>
      </w:pPr>
    </w:p>
    <w:p w:rsidR="004A78F5" w:rsidRDefault="004A78F5" w:rsidP="00F83A03">
      <w:pPr>
        <w:pStyle w:val="Paragraphedeliste"/>
        <w:numPr>
          <w:ilvl w:val="0"/>
          <w:numId w:val="18"/>
        </w:numPr>
        <w:jc w:val="both"/>
        <w:rPr>
          <w:rFonts w:cs="Arial"/>
          <w:sz w:val="28"/>
          <w:szCs w:val="28"/>
        </w:rPr>
      </w:pPr>
      <w:r w:rsidRPr="00F474AA">
        <w:rPr>
          <w:rFonts w:cs="Arial"/>
          <w:sz w:val="28"/>
          <w:szCs w:val="28"/>
        </w:rPr>
        <w:lastRenderedPageBreak/>
        <w:t xml:space="preserve">Le niveau souvent jugé ridicule des propositions d’indemnisation préconisées par les régleurs de sinistres qui se complaisent à charcuter sans se justifier les devis des garagistes préposés à </w:t>
      </w:r>
      <w:r w:rsidR="006D6B37" w:rsidRPr="00F474AA">
        <w:rPr>
          <w:rFonts w:cs="Arial"/>
          <w:sz w:val="28"/>
          <w:szCs w:val="28"/>
        </w:rPr>
        <w:t>la réparation</w:t>
      </w:r>
      <w:r w:rsidRPr="00F474AA">
        <w:rPr>
          <w:rFonts w:cs="Arial"/>
          <w:sz w:val="28"/>
          <w:szCs w:val="28"/>
        </w:rPr>
        <w:t xml:space="preserve"> des véhicules et qui n’en sont pas moins des hommes de l’art,</w:t>
      </w:r>
    </w:p>
    <w:p w:rsidR="00D13881" w:rsidRPr="00D13881" w:rsidRDefault="00D13881" w:rsidP="00F83A03">
      <w:pPr>
        <w:pStyle w:val="Paragraphedeliste"/>
        <w:jc w:val="both"/>
        <w:rPr>
          <w:rFonts w:cs="Arial"/>
          <w:sz w:val="28"/>
          <w:szCs w:val="28"/>
        </w:rPr>
      </w:pPr>
    </w:p>
    <w:p w:rsidR="002E76FA" w:rsidRDefault="004A78F5" w:rsidP="00F83A03">
      <w:pPr>
        <w:pStyle w:val="Paragraphedeliste"/>
        <w:numPr>
          <w:ilvl w:val="0"/>
          <w:numId w:val="18"/>
        </w:numPr>
        <w:jc w:val="both"/>
        <w:rPr>
          <w:rFonts w:cs="Arial"/>
          <w:sz w:val="28"/>
          <w:szCs w:val="28"/>
        </w:rPr>
      </w:pPr>
      <w:r w:rsidRPr="00F474AA">
        <w:rPr>
          <w:rFonts w:cs="Arial"/>
          <w:sz w:val="28"/>
          <w:szCs w:val="28"/>
        </w:rPr>
        <w:t xml:space="preserve">Le défaut d’uniformisation du taux horaire favorisant </w:t>
      </w:r>
      <w:r w:rsidR="00F83A03" w:rsidRPr="00F474AA">
        <w:rPr>
          <w:rFonts w:cs="Arial"/>
          <w:sz w:val="28"/>
          <w:szCs w:val="28"/>
        </w:rPr>
        <w:t>chez certaines</w:t>
      </w:r>
      <w:r w:rsidRPr="00F474AA">
        <w:rPr>
          <w:rFonts w:cs="Arial"/>
          <w:sz w:val="28"/>
          <w:szCs w:val="28"/>
        </w:rPr>
        <w:t xml:space="preserve"> compagnies la propension à appliquer aux assurés des règles discriminatoires</w:t>
      </w:r>
      <w:r w:rsidR="002E76FA">
        <w:rPr>
          <w:rFonts w:cs="Arial"/>
          <w:sz w:val="28"/>
          <w:szCs w:val="28"/>
        </w:rPr>
        <w:t>.</w:t>
      </w:r>
    </w:p>
    <w:p w:rsidR="004A78F5" w:rsidRPr="00F474AA" w:rsidRDefault="004A78F5" w:rsidP="00F83A03">
      <w:pPr>
        <w:ind w:left="357" w:firstLine="346"/>
        <w:jc w:val="both"/>
        <w:outlineLvl w:val="2"/>
        <w:rPr>
          <w:b/>
          <w:sz w:val="28"/>
          <w:szCs w:val="28"/>
        </w:rPr>
      </w:pPr>
      <w:bookmarkStart w:id="13" w:name="_Toc113021120"/>
      <w:r w:rsidRPr="00F474AA">
        <w:rPr>
          <w:b/>
          <w:sz w:val="28"/>
          <w:szCs w:val="28"/>
        </w:rPr>
        <w:t>.</w:t>
      </w:r>
      <w:r w:rsidRPr="00F474AA">
        <w:rPr>
          <w:b/>
          <w:sz w:val="28"/>
          <w:szCs w:val="28"/>
        </w:rPr>
        <w:tab/>
        <w:t>Traits marquants des saisines de la branche VIE</w:t>
      </w:r>
      <w:bookmarkEnd w:id="13"/>
    </w:p>
    <w:p w:rsidR="004200FB" w:rsidRDefault="004A78F5" w:rsidP="00F83A03">
      <w:pPr>
        <w:jc w:val="both"/>
        <w:rPr>
          <w:rFonts w:cs="Arial"/>
          <w:sz w:val="28"/>
          <w:szCs w:val="28"/>
        </w:rPr>
      </w:pPr>
      <w:r w:rsidRPr="00F474AA">
        <w:rPr>
          <w:rFonts w:cs="Arial"/>
          <w:sz w:val="28"/>
          <w:szCs w:val="28"/>
        </w:rPr>
        <w:t>L</w:t>
      </w:r>
      <w:r w:rsidR="002E76FA">
        <w:rPr>
          <w:rFonts w:cs="Arial"/>
          <w:sz w:val="28"/>
          <w:szCs w:val="28"/>
        </w:rPr>
        <w:t>a branche Vie n’a été touché</w:t>
      </w:r>
      <w:r w:rsidRPr="00F474AA">
        <w:rPr>
          <w:rFonts w:cs="Arial"/>
          <w:sz w:val="28"/>
          <w:szCs w:val="28"/>
        </w:rPr>
        <w:t xml:space="preserve">e </w:t>
      </w:r>
      <w:r w:rsidR="002E76FA">
        <w:rPr>
          <w:rFonts w:cs="Arial"/>
          <w:sz w:val="28"/>
          <w:szCs w:val="28"/>
        </w:rPr>
        <w:t>que par une seule complainte se rapportant à une police complémentaire retraite. Il s’agissait d’un problème purement administratif, lié à une modification affectant les modalités de domiciliation de salaire d’un assuré. Ledit problème a été très vite résolu par le Médiateur dè</w:t>
      </w:r>
      <w:r w:rsidR="004200FB">
        <w:rPr>
          <w:rFonts w:cs="Arial"/>
          <w:sz w:val="28"/>
          <w:szCs w:val="28"/>
        </w:rPr>
        <w:t>s qu’il a été saisi.</w:t>
      </w:r>
    </w:p>
    <w:p w:rsidR="004A78F5" w:rsidRPr="00F474AA" w:rsidRDefault="004200FB" w:rsidP="00F83A03">
      <w:pPr>
        <w:jc w:val="both"/>
        <w:rPr>
          <w:rFonts w:cs="Arial"/>
          <w:sz w:val="28"/>
          <w:szCs w:val="28"/>
        </w:rPr>
      </w:pPr>
      <w:r>
        <w:rPr>
          <w:rFonts w:cs="Arial"/>
          <w:sz w:val="28"/>
          <w:szCs w:val="28"/>
        </w:rPr>
        <w:t>Il convient également de préciser que la</w:t>
      </w:r>
      <w:r w:rsidR="007B16C7">
        <w:rPr>
          <w:rFonts w:cs="Arial"/>
          <w:sz w:val="28"/>
          <w:szCs w:val="28"/>
        </w:rPr>
        <w:t xml:space="preserve"> seule</w:t>
      </w:r>
      <w:r>
        <w:rPr>
          <w:rFonts w:cs="Arial"/>
          <w:sz w:val="28"/>
          <w:szCs w:val="28"/>
        </w:rPr>
        <w:t xml:space="preserve"> compagnie</w:t>
      </w:r>
      <w:r w:rsidR="007B16C7">
        <w:rPr>
          <w:rFonts w:cs="Arial"/>
          <w:sz w:val="28"/>
          <w:szCs w:val="28"/>
        </w:rPr>
        <w:t xml:space="preserve"> qui s’était illustrée par l’afflux de réclamations, dont elle était l’objet, est sortie de l’ornière et aborde désormais un nouveau tournant prometteur favorisé par la restauration de sa solvabilité et le regain de confiance manifesté par ses assurés</w:t>
      </w:r>
      <w:r w:rsidR="00481261">
        <w:rPr>
          <w:rFonts w:cs="Arial"/>
          <w:sz w:val="28"/>
          <w:szCs w:val="28"/>
        </w:rPr>
        <w:t>.</w:t>
      </w:r>
    </w:p>
    <w:p w:rsidR="004A78F5" w:rsidRPr="00F474AA" w:rsidRDefault="004A78F5" w:rsidP="00F83A03">
      <w:pPr>
        <w:ind w:left="357" w:firstLine="351"/>
        <w:jc w:val="both"/>
        <w:outlineLvl w:val="1"/>
        <w:rPr>
          <w:b/>
          <w:sz w:val="28"/>
          <w:szCs w:val="28"/>
        </w:rPr>
      </w:pPr>
      <w:bookmarkStart w:id="14" w:name="_Toc113021121"/>
      <w:r w:rsidRPr="00F474AA">
        <w:rPr>
          <w:b/>
          <w:sz w:val="28"/>
          <w:szCs w:val="28"/>
        </w:rPr>
        <w:t>2.2.</w:t>
      </w:r>
      <w:r w:rsidRPr="00F474AA">
        <w:rPr>
          <w:b/>
          <w:sz w:val="28"/>
          <w:szCs w:val="28"/>
        </w:rPr>
        <w:tab/>
        <w:t>Traits caractéristiques des saisines de l’année</w:t>
      </w:r>
      <w:bookmarkEnd w:id="14"/>
    </w:p>
    <w:p w:rsidR="004A78F5" w:rsidRPr="00F474AA" w:rsidRDefault="004A78F5" w:rsidP="00F83A03">
      <w:pPr>
        <w:ind w:left="720"/>
        <w:jc w:val="both"/>
        <w:outlineLvl w:val="2"/>
        <w:rPr>
          <w:b/>
          <w:sz w:val="28"/>
          <w:szCs w:val="28"/>
        </w:rPr>
      </w:pPr>
      <w:bookmarkStart w:id="15" w:name="_Toc113021122"/>
      <w:r w:rsidRPr="00F474AA">
        <w:rPr>
          <w:b/>
          <w:sz w:val="28"/>
          <w:szCs w:val="28"/>
        </w:rPr>
        <w:t>2.2.1.</w:t>
      </w:r>
      <w:r w:rsidRPr="00F474AA">
        <w:rPr>
          <w:b/>
          <w:sz w:val="28"/>
          <w:szCs w:val="28"/>
        </w:rPr>
        <w:tab/>
        <w:t>Profil des réclamants</w:t>
      </w:r>
      <w:bookmarkEnd w:id="15"/>
    </w:p>
    <w:p w:rsidR="004A78F5" w:rsidRDefault="004A78F5" w:rsidP="00F83A03">
      <w:pPr>
        <w:pStyle w:val="Paragraphedeliste"/>
        <w:numPr>
          <w:ilvl w:val="0"/>
          <w:numId w:val="9"/>
        </w:numPr>
        <w:jc w:val="both"/>
        <w:rPr>
          <w:b/>
          <w:sz w:val="28"/>
          <w:szCs w:val="28"/>
        </w:rPr>
      </w:pPr>
      <w:r w:rsidRPr="00F474AA">
        <w:rPr>
          <w:b/>
          <w:sz w:val="28"/>
          <w:szCs w:val="28"/>
        </w:rPr>
        <w:t>Profil des requérants IARD</w:t>
      </w:r>
    </w:p>
    <w:p w:rsidR="00E327D2" w:rsidRDefault="00E327D2" w:rsidP="00F83A03">
      <w:pPr>
        <w:pStyle w:val="Paragraphedeliste"/>
        <w:ind w:left="1080"/>
        <w:jc w:val="both"/>
        <w:rPr>
          <w:b/>
          <w:sz w:val="28"/>
          <w:szCs w:val="28"/>
        </w:rPr>
      </w:pPr>
    </w:p>
    <w:p w:rsidR="00165655" w:rsidRDefault="004A78F5" w:rsidP="00F83A03">
      <w:pPr>
        <w:jc w:val="both"/>
        <w:rPr>
          <w:sz w:val="28"/>
          <w:szCs w:val="28"/>
        </w:rPr>
      </w:pPr>
      <w:r w:rsidRPr="00F474AA">
        <w:rPr>
          <w:sz w:val="28"/>
          <w:szCs w:val="28"/>
        </w:rPr>
        <w:t>Les réclamations qui nous sont parvenues ont émané de trois sources distinctes au premier plan desquels</w:t>
      </w:r>
      <w:r w:rsidR="00165655">
        <w:rPr>
          <w:sz w:val="28"/>
          <w:szCs w:val="28"/>
        </w:rPr>
        <w:t xml:space="preserve"> </w:t>
      </w:r>
      <w:r w:rsidR="00DB47C1">
        <w:rPr>
          <w:sz w:val="28"/>
          <w:szCs w:val="28"/>
        </w:rPr>
        <w:t xml:space="preserve">les </w:t>
      </w:r>
      <w:r w:rsidR="00DB47C1" w:rsidRPr="00F474AA">
        <w:rPr>
          <w:sz w:val="28"/>
          <w:szCs w:val="28"/>
        </w:rPr>
        <w:t>sociétés</w:t>
      </w:r>
      <w:r w:rsidR="00165655">
        <w:rPr>
          <w:sz w:val="28"/>
          <w:szCs w:val="28"/>
        </w:rPr>
        <w:t xml:space="preserve"> </w:t>
      </w:r>
      <w:r w:rsidR="00DB47C1">
        <w:rPr>
          <w:sz w:val="28"/>
          <w:szCs w:val="28"/>
        </w:rPr>
        <w:t>d’assurances </w:t>
      </w:r>
      <w:r w:rsidR="00DB47C1" w:rsidRPr="00F474AA">
        <w:rPr>
          <w:sz w:val="28"/>
          <w:szCs w:val="28"/>
        </w:rPr>
        <w:t>qui</w:t>
      </w:r>
      <w:r w:rsidRPr="00F474AA">
        <w:rPr>
          <w:sz w:val="28"/>
          <w:szCs w:val="28"/>
        </w:rPr>
        <w:t xml:space="preserve"> ont eu à initier</w:t>
      </w:r>
      <w:r w:rsidR="00165655">
        <w:rPr>
          <w:sz w:val="28"/>
          <w:szCs w:val="28"/>
        </w:rPr>
        <w:t xml:space="preserve"> 74</w:t>
      </w:r>
      <w:r w:rsidRPr="00F474AA">
        <w:rPr>
          <w:sz w:val="28"/>
          <w:szCs w:val="28"/>
        </w:rPr>
        <w:t xml:space="preserve">% des requêtes IARD, contre </w:t>
      </w:r>
      <w:r w:rsidR="00165655">
        <w:rPr>
          <w:sz w:val="28"/>
          <w:szCs w:val="28"/>
        </w:rPr>
        <w:t>22</w:t>
      </w:r>
      <w:r w:rsidRPr="00F474AA">
        <w:rPr>
          <w:sz w:val="28"/>
          <w:szCs w:val="28"/>
        </w:rPr>
        <w:t xml:space="preserve">% provenant des </w:t>
      </w:r>
      <w:r w:rsidR="00165655">
        <w:rPr>
          <w:sz w:val="28"/>
          <w:szCs w:val="28"/>
        </w:rPr>
        <w:t xml:space="preserve">tiers lésés et 4% </w:t>
      </w:r>
      <w:r w:rsidRPr="00F474AA">
        <w:rPr>
          <w:sz w:val="28"/>
          <w:szCs w:val="28"/>
        </w:rPr>
        <w:t>issues de</w:t>
      </w:r>
      <w:r w:rsidR="00165655">
        <w:rPr>
          <w:sz w:val="28"/>
          <w:szCs w:val="28"/>
        </w:rPr>
        <w:t>s courtiers.</w:t>
      </w:r>
    </w:p>
    <w:p w:rsidR="00E327D2" w:rsidRDefault="00E327D2" w:rsidP="00F83A03">
      <w:pPr>
        <w:pStyle w:val="Paragraphedeliste"/>
        <w:numPr>
          <w:ilvl w:val="0"/>
          <w:numId w:val="18"/>
        </w:numPr>
        <w:jc w:val="both"/>
        <w:rPr>
          <w:b/>
          <w:sz w:val="28"/>
          <w:szCs w:val="28"/>
        </w:rPr>
      </w:pPr>
      <w:r>
        <w:rPr>
          <w:b/>
          <w:sz w:val="28"/>
          <w:szCs w:val="28"/>
        </w:rPr>
        <w:t>Tiers lésés</w:t>
      </w:r>
    </w:p>
    <w:p w:rsidR="00B32941" w:rsidRPr="00C30BC8" w:rsidRDefault="00B32941" w:rsidP="00F83A03">
      <w:pPr>
        <w:jc w:val="both"/>
        <w:rPr>
          <w:sz w:val="28"/>
          <w:szCs w:val="28"/>
        </w:rPr>
      </w:pPr>
      <w:r w:rsidRPr="00C30BC8">
        <w:rPr>
          <w:sz w:val="28"/>
          <w:szCs w:val="28"/>
        </w:rPr>
        <w:t xml:space="preserve">Le nombre de saisines initié par des tiers lésés, est passée de 97 en 2020 à 10 en 2021, soit une régression de 89,7%. Cette forte </w:t>
      </w:r>
      <w:r w:rsidR="00C30BC8" w:rsidRPr="00C30BC8">
        <w:rPr>
          <w:sz w:val="28"/>
          <w:szCs w:val="28"/>
        </w:rPr>
        <w:t>régression</w:t>
      </w:r>
      <w:r w:rsidRPr="00C30BC8">
        <w:rPr>
          <w:sz w:val="28"/>
          <w:szCs w:val="28"/>
        </w:rPr>
        <w:t xml:space="preserve"> des </w:t>
      </w:r>
      <w:r w:rsidR="00C30BC8" w:rsidRPr="00C30BC8">
        <w:rPr>
          <w:sz w:val="28"/>
          <w:szCs w:val="28"/>
        </w:rPr>
        <w:t>réclamations figure au nombre des conséquences induites par la pandémie</w:t>
      </w:r>
      <w:r w:rsidRPr="00C30BC8">
        <w:rPr>
          <w:sz w:val="28"/>
          <w:szCs w:val="28"/>
        </w:rPr>
        <w:t xml:space="preserve">. </w:t>
      </w:r>
    </w:p>
    <w:p w:rsidR="004A78F5" w:rsidRPr="00F474AA" w:rsidRDefault="004A78F5" w:rsidP="00F83A03">
      <w:pPr>
        <w:jc w:val="both"/>
        <w:rPr>
          <w:sz w:val="28"/>
          <w:szCs w:val="28"/>
        </w:rPr>
      </w:pPr>
      <w:r w:rsidRPr="00F474AA">
        <w:rPr>
          <w:sz w:val="28"/>
          <w:szCs w:val="28"/>
        </w:rPr>
        <w:lastRenderedPageBreak/>
        <w:t xml:space="preserve">L’examen de l’éventail des griefs y afférents, renvoie au même constat que les années précédentes, marqué par une prépondérance de récriminations liées aux retards récurrents accusés dans </w:t>
      </w:r>
      <w:r w:rsidR="00B32941">
        <w:rPr>
          <w:sz w:val="28"/>
          <w:szCs w:val="28"/>
        </w:rPr>
        <w:t>le règlement</w:t>
      </w:r>
      <w:r w:rsidRPr="00F474AA">
        <w:rPr>
          <w:sz w:val="28"/>
          <w:szCs w:val="28"/>
        </w:rPr>
        <w:t>, ce qui met en exergue les principales causes répertoriées ci-après :</w:t>
      </w:r>
    </w:p>
    <w:p w:rsidR="004A78F5" w:rsidRDefault="004A78F5" w:rsidP="00F83A03">
      <w:pPr>
        <w:pStyle w:val="Paragraphedeliste"/>
        <w:numPr>
          <w:ilvl w:val="0"/>
          <w:numId w:val="7"/>
        </w:numPr>
        <w:jc w:val="both"/>
        <w:rPr>
          <w:rFonts w:cs="Arial"/>
          <w:sz w:val="28"/>
          <w:szCs w:val="28"/>
        </w:rPr>
      </w:pPr>
      <w:r w:rsidRPr="00F474AA">
        <w:rPr>
          <w:rFonts w:cs="Arial"/>
          <w:sz w:val="28"/>
          <w:szCs w:val="28"/>
        </w:rPr>
        <w:t>Les retards accusés dans la nomination des experts ou dans la production des rapports d’évaluation des sinistres ;</w:t>
      </w:r>
    </w:p>
    <w:p w:rsidR="00F83A03" w:rsidRPr="00F474AA" w:rsidRDefault="00F83A03" w:rsidP="00F83A03">
      <w:pPr>
        <w:pStyle w:val="Paragraphedeliste"/>
        <w:jc w:val="both"/>
        <w:rPr>
          <w:rFonts w:cs="Arial"/>
          <w:sz w:val="28"/>
          <w:szCs w:val="28"/>
        </w:rPr>
      </w:pPr>
    </w:p>
    <w:p w:rsidR="004A78F5" w:rsidRDefault="004A78F5" w:rsidP="00F83A03">
      <w:pPr>
        <w:pStyle w:val="Paragraphedeliste"/>
        <w:numPr>
          <w:ilvl w:val="0"/>
          <w:numId w:val="7"/>
        </w:numPr>
        <w:jc w:val="both"/>
        <w:rPr>
          <w:rFonts w:cs="Arial"/>
          <w:sz w:val="28"/>
          <w:szCs w:val="28"/>
        </w:rPr>
      </w:pPr>
      <w:r w:rsidRPr="00F474AA">
        <w:rPr>
          <w:rFonts w:cs="Arial"/>
          <w:sz w:val="28"/>
          <w:szCs w:val="28"/>
        </w:rPr>
        <w:t xml:space="preserve">Les contestations liées à l’offre d’indemnisation qui est toujours estimée insuffisante </w:t>
      </w:r>
      <w:r w:rsidR="00C30BC8" w:rsidRPr="00F474AA">
        <w:rPr>
          <w:rFonts w:cs="Arial"/>
          <w:sz w:val="28"/>
          <w:szCs w:val="28"/>
        </w:rPr>
        <w:t>pour assurer</w:t>
      </w:r>
      <w:r w:rsidRPr="00F474AA">
        <w:rPr>
          <w:rFonts w:cs="Arial"/>
          <w:sz w:val="28"/>
          <w:szCs w:val="28"/>
        </w:rPr>
        <w:t xml:space="preserve"> une compensation adéquate des dommages subis par les tiers lésés ;</w:t>
      </w:r>
    </w:p>
    <w:p w:rsidR="00F83A03" w:rsidRPr="00F474AA" w:rsidRDefault="00F83A03" w:rsidP="00F83A03">
      <w:pPr>
        <w:pStyle w:val="Paragraphedeliste"/>
        <w:jc w:val="both"/>
        <w:rPr>
          <w:rFonts w:cs="Arial"/>
          <w:sz w:val="28"/>
          <w:szCs w:val="28"/>
        </w:rPr>
      </w:pPr>
    </w:p>
    <w:p w:rsidR="004A78F5" w:rsidRDefault="004A78F5" w:rsidP="00F83A03">
      <w:pPr>
        <w:pStyle w:val="Paragraphedeliste"/>
        <w:numPr>
          <w:ilvl w:val="0"/>
          <w:numId w:val="7"/>
        </w:numPr>
        <w:jc w:val="both"/>
        <w:rPr>
          <w:rFonts w:cs="Arial"/>
          <w:sz w:val="28"/>
          <w:szCs w:val="28"/>
        </w:rPr>
      </w:pPr>
      <w:r w:rsidRPr="00F474AA">
        <w:rPr>
          <w:rFonts w:cs="Arial"/>
          <w:sz w:val="28"/>
          <w:szCs w:val="28"/>
        </w:rPr>
        <w:t>L’inclination des régleurs de sinistres à se substituer aux experts afin d’apporter des corrections aux devis de réparation apprêtés par les garagistes alors qu’ils ne justifient d’aucune expertise les habilitant à accomplir de telles tâches ;</w:t>
      </w:r>
    </w:p>
    <w:p w:rsidR="00F83A03" w:rsidRDefault="00F83A03" w:rsidP="00F83A03">
      <w:pPr>
        <w:pStyle w:val="Paragraphedeliste"/>
        <w:jc w:val="both"/>
        <w:rPr>
          <w:rFonts w:cs="Arial"/>
          <w:sz w:val="28"/>
          <w:szCs w:val="28"/>
        </w:rPr>
      </w:pPr>
    </w:p>
    <w:p w:rsidR="004A78F5" w:rsidRDefault="004A78F5" w:rsidP="00F83A03">
      <w:pPr>
        <w:pStyle w:val="Paragraphedeliste"/>
        <w:numPr>
          <w:ilvl w:val="0"/>
          <w:numId w:val="7"/>
        </w:numPr>
        <w:jc w:val="both"/>
        <w:rPr>
          <w:rFonts w:cs="Arial"/>
          <w:sz w:val="28"/>
          <w:szCs w:val="28"/>
        </w:rPr>
      </w:pPr>
      <w:r w:rsidRPr="00F474AA">
        <w:rPr>
          <w:rFonts w:cs="Arial"/>
          <w:sz w:val="28"/>
          <w:szCs w:val="28"/>
        </w:rPr>
        <w:t>Les retards anormalement élevés dans la libération des indemnités de sinistre, qui aux yeux des clients</w:t>
      </w:r>
      <w:r w:rsidR="006859E8">
        <w:rPr>
          <w:rFonts w:cs="Arial"/>
          <w:sz w:val="28"/>
          <w:szCs w:val="28"/>
        </w:rPr>
        <w:t>,</w:t>
      </w:r>
      <w:r w:rsidRPr="00F474AA">
        <w:rPr>
          <w:rFonts w:cs="Arial"/>
          <w:sz w:val="28"/>
          <w:szCs w:val="28"/>
        </w:rPr>
        <w:t xml:space="preserve"> apparaissent comme des cas patents d’insolvabilité, notamment dans les cas où, par suite d’une offre de règlement de la compagnie dûment acceptée par le bénéficiaire, celle-ci affiche une incapacité totale à libérer l’indemnité. Il est regrettable de constater que cette situation se produit de façon répétitive et dans certains cas traités, les délais d’attente peuvent s’étaler sur de longues périodes, allant de 1 à 2 ans, voire plus.</w:t>
      </w:r>
    </w:p>
    <w:p w:rsidR="00D13881" w:rsidRDefault="00D13881" w:rsidP="00F83A03">
      <w:pPr>
        <w:pStyle w:val="Paragraphedeliste"/>
        <w:jc w:val="both"/>
        <w:rPr>
          <w:rFonts w:cs="Arial"/>
          <w:sz w:val="28"/>
          <w:szCs w:val="28"/>
        </w:rPr>
      </w:pPr>
    </w:p>
    <w:p w:rsidR="004A78F5" w:rsidRPr="00F474AA" w:rsidRDefault="004A78F5" w:rsidP="00F83A03">
      <w:pPr>
        <w:pStyle w:val="Paragraphedeliste"/>
        <w:numPr>
          <w:ilvl w:val="0"/>
          <w:numId w:val="7"/>
        </w:numPr>
        <w:jc w:val="both"/>
        <w:rPr>
          <w:rFonts w:cs="Arial"/>
          <w:sz w:val="28"/>
          <w:szCs w:val="28"/>
        </w:rPr>
      </w:pPr>
      <w:r w:rsidRPr="00F474AA">
        <w:rPr>
          <w:rFonts w:cs="Arial"/>
          <w:b/>
          <w:sz w:val="28"/>
          <w:szCs w:val="28"/>
        </w:rPr>
        <w:t>Courtiers </w:t>
      </w:r>
      <w:r w:rsidRPr="00F474AA">
        <w:rPr>
          <w:rFonts w:cs="Arial"/>
          <w:sz w:val="28"/>
          <w:szCs w:val="28"/>
        </w:rPr>
        <w:t>:</w:t>
      </w:r>
    </w:p>
    <w:p w:rsidR="004A78F5" w:rsidRPr="00F474AA" w:rsidRDefault="004A78F5" w:rsidP="00F83A03">
      <w:pPr>
        <w:jc w:val="both"/>
        <w:rPr>
          <w:sz w:val="28"/>
          <w:szCs w:val="28"/>
        </w:rPr>
      </w:pPr>
      <w:r w:rsidRPr="00F474AA">
        <w:rPr>
          <w:sz w:val="28"/>
          <w:szCs w:val="28"/>
        </w:rPr>
        <w:t xml:space="preserve">Contrairement à l’année précédente, une nette régression a été notée dans le nombre de saisines </w:t>
      </w:r>
      <w:r w:rsidR="00DB47C1">
        <w:rPr>
          <w:sz w:val="28"/>
          <w:szCs w:val="28"/>
        </w:rPr>
        <w:t>émanant</w:t>
      </w:r>
      <w:r w:rsidRPr="00F474AA">
        <w:rPr>
          <w:sz w:val="28"/>
          <w:szCs w:val="28"/>
        </w:rPr>
        <w:t xml:space="preserve"> des courtiers d’assurance qui est passé de </w:t>
      </w:r>
      <w:r w:rsidR="00DE6814">
        <w:rPr>
          <w:sz w:val="28"/>
          <w:szCs w:val="28"/>
        </w:rPr>
        <w:t>22</w:t>
      </w:r>
      <w:r w:rsidRPr="00F474AA">
        <w:rPr>
          <w:sz w:val="28"/>
          <w:szCs w:val="28"/>
        </w:rPr>
        <w:t xml:space="preserve"> à </w:t>
      </w:r>
      <w:r w:rsidR="00BA38EA" w:rsidRPr="00F474AA">
        <w:rPr>
          <w:sz w:val="28"/>
          <w:szCs w:val="28"/>
        </w:rPr>
        <w:t>2</w:t>
      </w:r>
      <w:r w:rsidR="00BA38EA">
        <w:rPr>
          <w:sz w:val="28"/>
          <w:szCs w:val="28"/>
        </w:rPr>
        <w:t>,</w:t>
      </w:r>
      <w:r w:rsidR="00DE6814">
        <w:rPr>
          <w:sz w:val="28"/>
          <w:szCs w:val="28"/>
        </w:rPr>
        <w:t xml:space="preserve"> soit une baisse d’environ 91</w:t>
      </w:r>
      <w:r w:rsidR="00BA38EA">
        <w:rPr>
          <w:sz w:val="28"/>
          <w:szCs w:val="28"/>
        </w:rPr>
        <w:t>%</w:t>
      </w:r>
      <w:r w:rsidR="00BA38EA" w:rsidRPr="00F474AA">
        <w:rPr>
          <w:sz w:val="28"/>
          <w:szCs w:val="28"/>
        </w:rPr>
        <w:t>.</w:t>
      </w:r>
      <w:r w:rsidR="00DE6814">
        <w:rPr>
          <w:sz w:val="28"/>
          <w:szCs w:val="28"/>
        </w:rPr>
        <w:t xml:space="preserve"> </w:t>
      </w:r>
      <w:r w:rsidRPr="00F474AA">
        <w:rPr>
          <w:sz w:val="28"/>
          <w:szCs w:val="28"/>
        </w:rPr>
        <w:t xml:space="preserve">Du </w:t>
      </w:r>
      <w:r w:rsidR="000C5257" w:rsidRPr="00F474AA">
        <w:rPr>
          <w:sz w:val="28"/>
          <w:szCs w:val="28"/>
        </w:rPr>
        <w:t>fait dudit</w:t>
      </w:r>
      <w:r w:rsidRPr="00F474AA">
        <w:rPr>
          <w:sz w:val="28"/>
          <w:szCs w:val="28"/>
        </w:rPr>
        <w:t xml:space="preserve"> recul, cette catégorie qui</w:t>
      </w:r>
      <w:r w:rsidR="00BA7987">
        <w:rPr>
          <w:sz w:val="28"/>
          <w:szCs w:val="28"/>
        </w:rPr>
        <w:t xml:space="preserve"> </w:t>
      </w:r>
      <w:r w:rsidRPr="00F474AA">
        <w:rPr>
          <w:sz w:val="28"/>
          <w:szCs w:val="28"/>
        </w:rPr>
        <w:t>occupait la 1</w:t>
      </w:r>
      <w:r w:rsidRPr="00F474AA">
        <w:rPr>
          <w:sz w:val="28"/>
          <w:szCs w:val="28"/>
          <w:vertAlign w:val="superscript"/>
        </w:rPr>
        <w:t>ère</w:t>
      </w:r>
      <w:r w:rsidRPr="00F474AA">
        <w:rPr>
          <w:sz w:val="28"/>
          <w:szCs w:val="28"/>
        </w:rPr>
        <w:t xml:space="preserve"> place en 2014 </w:t>
      </w:r>
      <w:r w:rsidR="00DE6814">
        <w:rPr>
          <w:sz w:val="28"/>
          <w:szCs w:val="28"/>
        </w:rPr>
        <w:t>est</w:t>
      </w:r>
      <w:r w:rsidRPr="00F474AA">
        <w:rPr>
          <w:sz w:val="28"/>
          <w:szCs w:val="28"/>
        </w:rPr>
        <w:t xml:space="preserve"> nettement devancée cette année par les </w:t>
      </w:r>
      <w:r w:rsidR="00DE6814">
        <w:rPr>
          <w:sz w:val="28"/>
          <w:szCs w:val="28"/>
        </w:rPr>
        <w:t>compagnies d’assurances</w:t>
      </w:r>
      <w:r w:rsidRPr="00F474AA">
        <w:rPr>
          <w:sz w:val="28"/>
          <w:szCs w:val="28"/>
        </w:rPr>
        <w:t xml:space="preserve"> qui sont </w:t>
      </w:r>
      <w:r w:rsidR="00DE6814">
        <w:rPr>
          <w:sz w:val="28"/>
          <w:szCs w:val="28"/>
        </w:rPr>
        <w:t>pourvoyeuses d’environ trois quarts d</w:t>
      </w:r>
      <w:r w:rsidRPr="00F474AA">
        <w:rPr>
          <w:sz w:val="28"/>
          <w:szCs w:val="28"/>
        </w:rPr>
        <w:t>es saisines.</w:t>
      </w:r>
    </w:p>
    <w:p w:rsidR="004A78F5" w:rsidRDefault="004A78F5" w:rsidP="00F83A03">
      <w:pPr>
        <w:jc w:val="both"/>
        <w:rPr>
          <w:sz w:val="28"/>
          <w:szCs w:val="28"/>
        </w:rPr>
      </w:pPr>
      <w:r w:rsidRPr="00F474AA">
        <w:rPr>
          <w:sz w:val="28"/>
          <w:szCs w:val="28"/>
        </w:rPr>
        <w:lastRenderedPageBreak/>
        <w:t>L’engouement</w:t>
      </w:r>
      <w:r w:rsidR="00BA7987">
        <w:rPr>
          <w:sz w:val="28"/>
          <w:szCs w:val="28"/>
        </w:rPr>
        <w:t xml:space="preserve"> </w:t>
      </w:r>
      <w:r w:rsidRPr="00F474AA">
        <w:rPr>
          <w:sz w:val="28"/>
          <w:szCs w:val="28"/>
        </w:rPr>
        <w:t>des courtiers pour la médiation, procède de leur souci constant à optimiser la qualité de service offerte à leurs clients au titre de laquelle, la célérité dans le règlement des sinistres apparaît comme le critère d’appréciation le plus déterminant</w:t>
      </w:r>
      <w:r w:rsidR="000C5257">
        <w:rPr>
          <w:sz w:val="28"/>
          <w:szCs w:val="28"/>
        </w:rPr>
        <w:t>.</w:t>
      </w:r>
    </w:p>
    <w:p w:rsidR="000C5257" w:rsidRPr="000C5257" w:rsidRDefault="000C5257" w:rsidP="00F83A03">
      <w:pPr>
        <w:pStyle w:val="Paragraphedeliste"/>
        <w:numPr>
          <w:ilvl w:val="0"/>
          <w:numId w:val="7"/>
        </w:numPr>
        <w:jc w:val="both"/>
        <w:rPr>
          <w:b/>
          <w:sz w:val="28"/>
          <w:szCs w:val="28"/>
        </w:rPr>
      </w:pPr>
      <w:r w:rsidRPr="000C5257">
        <w:rPr>
          <w:b/>
          <w:sz w:val="28"/>
          <w:szCs w:val="28"/>
        </w:rPr>
        <w:t xml:space="preserve">Compagnies </w:t>
      </w:r>
    </w:p>
    <w:p w:rsidR="000C5257" w:rsidRPr="00505D71" w:rsidRDefault="000C5257" w:rsidP="00F83A03">
      <w:pPr>
        <w:jc w:val="both"/>
        <w:rPr>
          <w:sz w:val="28"/>
          <w:szCs w:val="28"/>
        </w:rPr>
      </w:pPr>
      <w:r w:rsidRPr="00505D71">
        <w:rPr>
          <w:sz w:val="28"/>
          <w:szCs w:val="28"/>
        </w:rPr>
        <w:t xml:space="preserve">Elles ont été à l’initiative de 74% des saisines parvenues au Médiateur </w:t>
      </w:r>
      <w:r w:rsidR="00BA38EA">
        <w:rPr>
          <w:sz w:val="28"/>
          <w:szCs w:val="28"/>
        </w:rPr>
        <w:t xml:space="preserve">au cours de l’exercice </w:t>
      </w:r>
      <w:r w:rsidR="00505D71" w:rsidRPr="00505D71">
        <w:rPr>
          <w:sz w:val="28"/>
          <w:szCs w:val="28"/>
        </w:rPr>
        <w:t>202</w:t>
      </w:r>
      <w:r w:rsidR="00EB0FE1">
        <w:rPr>
          <w:sz w:val="28"/>
          <w:szCs w:val="28"/>
        </w:rPr>
        <w:t>1</w:t>
      </w:r>
      <w:r w:rsidR="00505D71" w:rsidRPr="00505D71">
        <w:rPr>
          <w:sz w:val="28"/>
          <w:szCs w:val="28"/>
        </w:rPr>
        <w:t>,</w:t>
      </w:r>
      <w:r w:rsidRPr="00505D71">
        <w:rPr>
          <w:sz w:val="28"/>
          <w:szCs w:val="28"/>
        </w:rPr>
        <w:t xml:space="preserve"> alors qu’elles ne comptaient que pour 16</w:t>
      </w:r>
      <w:r w:rsidR="00505D71" w:rsidRPr="00505D71">
        <w:rPr>
          <w:sz w:val="28"/>
          <w:szCs w:val="28"/>
        </w:rPr>
        <w:t>% l’année</w:t>
      </w:r>
      <w:r w:rsidRPr="00505D71">
        <w:rPr>
          <w:sz w:val="28"/>
          <w:szCs w:val="28"/>
        </w:rPr>
        <w:t xml:space="preserve"> dernière</w:t>
      </w:r>
      <w:r w:rsidR="00505D71" w:rsidRPr="00505D71">
        <w:rPr>
          <w:sz w:val="28"/>
          <w:szCs w:val="28"/>
        </w:rPr>
        <w:t>.</w:t>
      </w:r>
    </w:p>
    <w:p w:rsidR="00505D71" w:rsidRDefault="00505D71" w:rsidP="00F83A03">
      <w:pPr>
        <w:jc w:val="both"/>
        <w:rPr>
          <w:sz w:val="28"/>
          <w:szCs w:val="28"/>
        </w:rPr>
      </w:pPr>
      <w:r w:rsidRPr="00505D71">
        <w:rPr>
          <w:sz w:val="28"/>
          <w:szCs w:val="28"/>
        </w:rPr>
        <w:t xml:space="preserve">L’engouement manifesté par les compagnies à l’endroit de </w:t>
      </w:r>
      <w:r>
        <w:rPr>
          <w:sz w:val="28"/>
          <w:szCs w:val="28"/>
        </w:rPr>
        <w:t>ce mode alternatif de résolution amiable des litiges,</w:t>
      </w:r>
      <w:r w:rsidRPr="00505D71">
        <w:rPr>
          <w:sz w:val="28"/>
          <w:szCs w:val="28"/>
        </w:rPr>
        <w:t xml:space="preserve"> est </w:t>
      </w:r>
      <w:r w:rsidR="005E3442" w:rsidRPr="00505D71">
        <w:rPr>
          <w:sz w:val="28"/>
          <w:szCs w:val="28"/>
        </w:rPr>
        <w:t>dû</w:t>
      </w:r>
      <w:r w:rsidRPr="00505D71">
        <w:rPr>
          <w:sz w:val="28"/>
          <w:szCs w:val="28"/>
        </w:rPr>
        <w:t xml:space="preserve"> à la célérité </w:t>
      </w:r>
      <w:r>
        <w:rPr>
          <w:sz w:val="28"/>
          <w:szCs w:val="28"/>
        </w:rPr>
        <w:t>constatée dans le dénouement de</w:t>
      </w:r>
      <w:r w:rsidR="00EB0FE1">
        <w:rPr>
          <w:sz w:val="28"/>
          <w:szCs w:val="28"/>
        </w:rPr>
        <w:t xml:space="preserve"> la plupart de</w:t>
      </w:r>
      <w:r>
        <w:rPr>
          <w:sz w:val="28"/>
          <w:szCs w:val="28"/>
        </w:rPr>
        <w:t>s différends soumis au Médiateur.</w:t>
      </w:r>
    </w:p>
    <w:p w:rsidR="00505D71" w:rsidRPr="00505D71" w:rsidRDefault="00505D71" w:rsidP="00F83A03">
      <w:pPr>
        <w:jc w:val="both"/>
        <w:rPr>
          <w:sz w:val="28"/>
          <w:szCs w:val="28"/>
        </w:rPr>
      </w:pPr>
      <w:r>
        <w:rPr>
          <w:sz w:val="28"/>
          <w:szCs w:val="28"/>
        </w:rPr>
        <w:t xml:space="preserve">Entre autres motivations, poussant les compagnies à </w:t>
      </w:r>
      <w:r w:rsidR="005E3442">
        <w:rPr>
          <w:sz w:val="28"/>
          <w:szCs w:val="28"/>
        </w:rPr>
        <w:t>privilégier le</w:t>
      </w:r>
      <w:r>
        <w:rPr>
          <w:sz w:val="28"/>
          <w:szCs w:val="28"/>
        </w:rPr>
        <w:t xml:space="preserve"> recours à la médiat</w:t>
      </w:r>
      <w:r w:rsidR="005E3442">
        <w:rPr>
          <w:sz w:val="28"/>
          <w:szCs w:val="28"/>
        </w:rPr>
        <w:t>ion, l’on peut citer :</w:t>
      </w:r>
    </w:p>
    <w:p w:rsidR="005E3442" w:rsidRPr="005E3442" w:rsidRDefault="005E3442" w:rsidP="00F83A03">
      <w:pPr>
        <w:numPr>
          <w:ilvl w:val="0"/>
          <w:numId w:val="28"/>
        </w:numPr>
        <w:spacing w:after="240" w:line="360" w:lineRule="atLeast"/>
        <w:contextualSpacing/>
        <w:jc w:val="both"/>
        <w:rPr>
          <w:rFonts w:eastAsia="Times New Roman" w:cstheme="minorHAnsi"/>
          <w:sz w:val="28"/>
          <w:szCs w:val="28"/>
          <w:lang w:eastAsia="fr-FR"/>
        </w:rPr>
      </w:pPr>
      <w:r w:rsidRPr="005E3442">
        <w:rPr>
          <w:rFonts w:eastAsia="Times New Roman" w:cstheme="minorHAnsi"/>
          <w:sz w:val="28"/>
          <w:szCs w:val="28"/>
          <w:lang w:eastAsia="fr-FR"/>
        </w:rPr>
        <w:t xml:space="preserve">Les retards notés </w:t>
      </w:r>
      <w:r w:rsidRPr="00D13881">
        <w:rPr>
          <w:rFonts w:eastAsia="Times New Roman" w:cstheme="minorHAnsi"/>
          <w:sz w:val="28"/>
          <w:szCs w:val="28"/>
          <w:lang w:eastAsia="fr-FR"/>
        </w:rPr>
        <w:t>dans la concrétisation des</w:t>
      </w:r>
      <w:r w:rsidRPr="005E3442">
        <w:rPr>
          <w:rFonts w:eastAsia="Times New Roman" w:cstheme="minorHAnsi"/>
          <w:sz w:val="28"/>
          <w:szCs w:val="28"/>
          <w:lang w:eastAsia="fr-FR"/>
        </w:rPr>
        <w:t xml:space="preserve"> recours intentés à l’encontre des assureurs des respon</w:t>
      </w:r>
      <w:r w:rsidRPr="00D13881">
        <w:rPr>
          <w:rFonts w:eastAsia="Times New Roman" w:cstheme="minorHAnsi"/>
          <w:sz w:val="28"/>
          <w:szCs w:val="28"/>
          <w:lang w:eastAsia="fr-FR"/>
        </w:rPr>
        <w:t>sables de sinistres automobile, d’autant que ce phénomène peut favoriser</w:t>
      </w:r>
      <w:r w:rsidRPr="005E3442">
        <w:rPr>
          <w:rFonts w:eastAsia="Times New Roman" w:cstheme="minorHAnsi"/>
          <w:sz w:val="28"/>
          <w:szCs w:val="28"/>
          <w:lang w:eastAsia="fr-FR"/>
        </w:rPr>
        <w:t xml:space="preserve"> la désaffection de la souscription de la garantie Défense et Recours ;</w:t>
      </w:r>
    </w:p>
    <w:p w:rsidR="005E3442" w:rsidRPr="005E3442" w:rsidRDefault="005E3442" w:rsidP="00F83A03">
      <w:pPr>
        <w:spacing w:after="0" w:line="240" w:lineRule="auto"/>
        <w:ind w:left="720"/>
        <w:contextualSpacing/>
        <w:jc w:val="both"/>
        <w:rPr>
          <w:rFonts w:eastAsia="Times New Roman" w:cstheme="minorHAnsi"/>
          <w:sz w:val="28"/>
          <w:szCs w:val="28"/>
          <w:lang w:eastAsia="fr-FR"/>
        </w:rPr>
      </w:pPr>
    </w:p>
    <w:p w:rsidR="005E3442" w:rsidRPr="005E3442" w:rsidRDefault="005E3442" w:rsidP="00F83A03">
      <w:pPr>
        <w:numPr>
          <w:ilvl w:val="0"/>
          <w:numId w:val="28"/>
        </w:numPr>
        <w:spacing w:after="240" w:line="360" w:lineRule="atLeast"/>
        <w:contextualSpacing/>
        <w:jc w:val="both"/>
        <w:rPr>
          <w:rFonts w:eastAsia="Times New Roman" w:cstheme="minorHAnsi"/>
          <w:sz w:val="28"/>
          <w:szCs w:val="28"/>
          <w:lang w:eastAsia="fr-FR"/>
        </w:rPr>
      </w:pPr>
      <w:r w:rsidRPr="005E3442">
        <w:rPr>
          <w:rFonts w:eastAsia="Times New Roman" w:cstheme="minorHAnsi"/>
          <w:sz w:val="28"/>
          <w:szCs w:val="28"/>
          <w:lang w:eastAsia="fr-FR"/>
        </w:rPr>
        <w:t xml:space="preserve">Les retards </w:t>
      </w:r>
      <w:r w:rsidRPr="00D13881">
        <w:rPr>
          <w:rFonts w:eastAsia="Times New Roman" w:cstheme="minorHAnsi"/>
          <w:sz w:val="28"/>
          <w:szCs w:val="28"/>
          <w:lang w:eastAsia="fr-FR"/>
        </w:rPr>
        <w:t>vivement décriés par les assureurs</w:t>
      </w:r>
      <w:r w:rsidRPr="005E3442">
        <w:rPr>
          <w:rFonts w:eastAsia="Times New Roman" w:cstheme="minorHAnsi"/>
          <w:sz w:val="28"/>
          <w:szCs w:val="28"/>
          <w:lang w:eastAsia="fr-FR"/>
        </w:rPr>
        <w:t xml:space="preserve"> dans l’aboutissement des recours intentés </w:t>
      </w:r>
      <w:r w:rsidRPr="00D13881">
        <w:rPr>
          <w:rFonts w:eastAsia="Times New Roman" w:cstheme="minorHAnsi"/>
          <w:sz w:val="28"/>
          <w:szCs w:val="28"/>
          <w:lang w:eastAsia="fr-FR"/>
        </w:rPr>
        <w:t>à l’encontre de leurs confrères</w:t>
      </w:r>
      <w:r w:rsidRPr="005E3442">
        <w:rPr>
          <w:rFonts w:eastAsia="Times New Roman" w:cstheme="minorHAnsi"/>
          <w:sz w:val="28"/>
          <w:szCs w:val="28"/>
          <w:lang w:eastAsia="fr-FR"/>
        </w:rPr>
        <w:t xml:space="preserve"> </w:t>
      </w:r>
      <w:r w:rsidR="0088700D" w:rsidRPr="005E3442">
        <w:rPr>
          <w:rFonts w:eastAsia="Times New Roman" w:cstheme="minorHAnsi"/>
          <w:sz w:val="28"/>
          <w:szCs w:val="28"/>
          <w:lang w:eastAsia="fr-FR"/>
        </w:rPr>
        <w:t>assureurs des responsables</w:t>
      </w:r>
      <w:r w:rsidR="0088700D" w:rsidRPr="00D13881">
        <w:rPr>
          <w:rFonts w:eastAsia="Times New Roman" w:cstheme="minorHAnsi"/>
          <w:sz w:val="28"/>
          <w:szCs w:val="28"/>
          <w:lang w:eastAsia="fr-FR"/>
        </w:rPr>
        <w:t xml:space="preserve"> de </w:t>
      </w:r>
      <w:r w:rsidRPr="005E3442">
        <w:rPr>
          <w:rFonts w:eastAsia="Times New Roman" w:cstheme="minorHAnsi"/>
          <w:sz w:val="28"/>
          <w:szCs w:val="28"/>
          <w:lang w:eastAsia="fr-FR"/>
        </w:rPr>
        <w:t xml:space="preserve">dommages directs. </w:t>
      </w:r>
      <w:r w:rsidR="0088700D" w:rsidRPr="00D13881">
        <w:rPr>
          <w:rFonts w:eastAsia="Times New Roman" w:cstheme="minorHAnsi"/>
          <w:sz w:val="28"/>
          <w:szCs w:val="28"/>
          <w:lang w:eastAsia="fr-FR"/>
        </w:rPr>
        <w:t xml:space="preserve">La persistance d’un tel phénomène peut </w:t>
      </w:r>
      <w:r w:rsidRPr="005E3442">
        <w:rPr>
          <w:rFonts w:eastAsia="Times New Roman" w:cstheme="minorHAnsi"/>
          <w:sz w:val="28"/>
          <w:szCs w:val="28"/>
          <w:lang w:eastAsia="fr-FR"/>
        </w:rPr>
        <w:t>décourager la souscription de la garantie Dommages Tous Accidents</w:t>
      </w:r>
      <w:r w:rsidR="00F83A03">
        <w:rPr>
          <w:rFonts w:eastAsia="Times New Roman" w:cstheme="minorHAnsi"/>
          <w:sz w:val="28"/>
          <w:szCs w:val="28"/>
          <w:lang w:eastAsia="fr-FR"/>
        </w:rPr>
        <w:t> ;</w:t>
      </w:r>
      <w:r w:rsidR="0088700D" w:rsidRPr="00D13881">
        <w:rPr>
          <w:rFonts w:eastAsia="Times New Roman" w:cstheme="minorHAnsi"/>
          <w:sz w:val="28"/>
          <w:szCs w:val="28"/>
          <w:lang w:eastAsia="fr-FR"/>
        </w:rPr>
        <w:t xml:space="preserve"> </w:t>
      </w:r>
    </w:p>
    <w:p w:rsidR="005E3442" w:rsidRPr="005E3442" w:rsidRDefault="005E3442" w:rsidP="00F83A03">
      <w:pPr>
        <w:spacing w:after="0" w:line="240" w:lineRule="auto"/>
        <w:ind w:left="720"/>
        <w:contextualSpacing/>
        <w:jc w:val="both"/>
        <w:rPr>
          <w:rFonts w:eastAsia="Times New Roman" w:cstheme="minorHAnsi"/>
          <w:sz w:val="28"/>
          <w:szCs w:val="28"/>
          <w:lang w:eastAsia="fr-FR"/>
        </w:rPr>
      </w:pPr>
    </w:p>
    <w:p w:rsidR="00DB47C1" w:rsidRPr="00DB47C1" w:rsidRDefault="005E3442" w:rsidP="002844A3">
      <w:pPr>
        <w:pStyle w:val="Paragraphedeliste"/>
        <w:numPr>
          <w:ilvl w:val="0"/>
          <w:numId w:val="28"/>
        </w:numPr>
        <w:spacing w:line="259" w:lineRule="auto"/>
        <w:ind w:right="46"/>
        <w:jc w:val="both"/>
        <w:rPr>
          <w:b/>
        </w:rPr>
      </w:pPr>
      <w:r w:rsidRPr="00DB47C1">
        <w:rPr>
          <w:rFonts w:eastAsia="Times New Roman" w:cstheme="minorHAnsi"/>
          <w:sz w:val="28"/>
          <w:szCs w:val="28"/>
          <w:lang w:eastAsia="fr-FR"/>
        </w:rPr>
        <w:t xml:space="preserve">Les difficultés de récupération notées dans les avances consenties au titre des garanties </w:t>
      </w:r>
      <w:r w:rsidR="00F83A03" w:rsidRPr="00DB47C1">
        <w:rPr>
          <w:rFonts w:eastAsia="Times New Roman" w:cstheme="minorHAnsi"/>
          <w:sz w:val="28"/>
          <w:szCs w:val="28"/>
          <w:lang w:eastAsia="fr-FR"/>
        </w:rPr>
        <w:t>« </w:t>
      </w:r>
      <w:r w:rsidRPr="00DB47C1">
        <w:rPr>
          <w:rFonts w:eastAsia="Times New Roman" w:cstheme="minorHAnsi"/>
          <w:sz w:val="28"/>
          <w:szCs w:val="28"/>
          <w:lang w:eastAsia="fr-FR"/>
        </w:rPr>
        <w:t>Avance sur Recours ou Substitution Débiteurs</w:t>
      </w:r>
      <w:r w:rsidR="00F83A03" w:rsidRPr="00DB47C1">
        <w:rPr>
          <w:rFonts w:eastAsia="Times New Roman" w:cstheme="minorHAnsi"/>
          <w:sz w:val="28"/>
          <w:szCs w:val="28"/>
          <w:lang w:eastAsia="fr-FR"/>
        </w:rPr>
        <w:t> »</w:t>
      </w:r>
      <w:r w:rsidRPr="00DB47C1">
        <w:rPr>
          <w:rFonts w:eastAsia="Times New Roman" w:cstheme="minorHAnsi"/>
          <w:sz w:val="28"/>
          <w:szCs w:val="28"/>
          <w:lang w:eastAsia="fr-FR"/>
        </w:rPr>
        <w:t xml:space="preserve">, dont la persistance pourrait favoriser la perte d’intérêt pour les assureurs à commercialiser ledit </w:t>
      </w:r>
      <w:r w:rsidR="0088700D" w:rsidRPr="00DB47C1">
        <w:rPr>
          <w:rFonts w:eastAsia="Times New Roman" w:cstheme="minorHAnsi"/>
          <w:sz w:val="28"/>
          <w:szCs w:val="28"/>
          <w:lang w:eastAsia="fr-FR"/>
        </w:rPr>
        <w:t>produit</w:t>
      </w:r>
      <w:r w:rsidR="00EC74BA" w:rsidRPr="00DB47C1">
        <w:rPr>
          <w:rFonts w:eastAsia="Times New Roman" w:cstheme="minorHAnsi"/>
          <w:sz w:val="28"/>
          <w:szCs w:val="28"/>
          <w:lang w:eastAsia="fr-FR"/>
        </w:rPr>
        <w:t> ;</w:t>
      </w:r>
      <w:bookmarkStart w:id="16" w:name="_Toc113021123"/>
    </w:p>
    <w:p w:rsidR="00AC2A27" w:rsidRDefault="00AC2A27" w:rsidP="00DB47C1">
      <w:pPr>
        <w:spacing w:line="259" w:lineRule="auto"/>
        <w:ind w:left="708" w:right="46"/>
        <w:jc w:val="both"/>
        <w:rPr>
          <w:rFonts w:ascii="Book Antiqua" w:eastAsia="Book Antiqua" w:hAnsi="Book Antiqua" w:cs="Book Antiqua"/>
          <w:b/>
          <w:i/>
        </w:rPr>
      </w:pPr>
    </w:p>
    <w:p w:rsidR="00AC2A27" w:rsidRDefault="00AC2A27" w:rsidP="00DB47C1">
      <w:pPr>
        <w:spacing w:line="259" w:lineRule="auto"/>
        <w:ind w:left="708" w:right="46"/>
        <w:jc w:val="both"/>
        <w:rPr>
          <w:rFonts w:ascii="Book Antiqua" w:eastAsia="Book Antiqua" w:hAnsi="Book Antiqua" w:cs="Book Antiqua"/>
          <w:b/>
          <w:i/>
        </w:rPr>
      </w:pPr>
    </w:p>
    <w:p w:rsidR="00AC2A27" w:rsidRDefault="00AC2A27" w:rsidP="00DB47C1">
      <w:pPr>
        <w:spacing w:line="259" w:lineRule="auto"/>
        <w:ind w:left="708" w:right="46"/>
        <w:jc w:val="both"/>
        <w:rPr>
          <w:rFonts w:ascii="Book Antiqua" w:eastAsia="Book Antiqua" w:hAnsi="Book Antiqua" w:cs="Book Antiqua"/>
          <w:b/>
          <w:i/>
        </w:rPr>
      </w:pPr>
    </w:p>
    <w:p w:rsidR="007B7218" w:rsidRDefault="007B7218" w:rsidP="00DB47C1">
      <w:pPr>
        <w:spacing w:line="259" w:lineRule="auto"/>
        <w:ind w:left="708" w:right="46"/>
        <w:jc w:val="both"/>
        <w:rPr>
          <w:rFonts w:ascii="Book Antiqua" w:eastAsia="Book Antiqua" w:hAnsi="Book Antiqua" w:cs="Book Antiqua"/>
          <w:b/>
          <w:i/>
        </w:rPr>
      </w:pPr>
      <w:r w:rsidRPr="00DB47C1">
        <w:rPr>
          <w:rFonts w:ascii="Book Antiqua" w:eastAsia="Book Antiqua" w:hAnsi="Book Antiqua" w:cs="Book Antiqua"/>
          <w:b/>
          <w:i/>
        </w:rPr>
        <w:lastRenderedPageBreak/>
        <w:t>Tableau</w:t>
      </w:r>
      <w:r w:rsidR="00121B5F" w:rsidRPr="00DB47C1">
        <w:rPr>
          <w:rFonts w:ascii="Book Antiqua" w:eastAsia="Book Antiqua" w:hAnsi="Book Antiqua" w:cs="Book Antiqua"/>
          <w:b/>
          <w:i/>
        </w:rPr>
        <w:t xml:space="preserve"> </w:t>
      </w:r>
      <w:proofErr w:type="gramStart"/>
      <w:r w:rsidR="00121B5F" w:rsidRPr="00DB47C1">
        <w:rPr>
          <w:rFonts w:ascii="Book Antiqua" w:eastAsia="Book Antiqua" w:hAnsi="Book Antiqua" w:cs="Book Antiqua"/>
          <w:b/>
          <w:i/>
        </w:rPr>
        <w:t>2</w:t>
      </w:r>
      <w:r w:rsidRPr="00DB47C1">
        <w:rPr>
          <w:rFonts w:ascii="Book Antiqua" w:eastAsia="Book Antiqua" w:hAnsi="Book Antiqua" w:cs="Book Antiqua"/>
          <w:b/>
          <w:i/>
        </w:rPr>
        <w:t>:</w:t>
      </w:r>
      <w:proofErr w:type="gramEnd"/>
      <w:r w:rsidRPr="00DB47C1">
        <w:rPr>
          <w:rFonts w:ascii="Book Antiqua" w:eastAsia="Book Antiqua" w:hAnsi="Book Antiqua" w:cs="Book Antiqua"/>
          <w:b/>
          <w:i/>
        </w:rPr>
        <w:t xml:space="preserve"> Répartition des saisines par source de réclamation</w:t>
      </w:r>
      <w:bookmarkEnd w:id="16"/>
      <w:r w:rsidRPr="00DB47C1">
        <w:rPr>
          <w:rFonts w:ascii="Book Antiqua" w:eastAsia="Book Antiqua" w:hAnsi="Book Antiqua" w:cs="Book Antiqua"/>
          <w:b/>
          <w:i/>
        </w:rPr>
        <w:t xml:space="preserve"> </w:t>
      </w:r>
    </w:p>
    <w:p w:rsidR="00AC2A27" w:rsidRPr="00DB47C1" w:rsidRDefault="00AC2A27" w:rsidP="00DB47C1">
      <w:pPr>
        <w:spacing w:line="259" w:lineRule="auto"/>
        <w:ind w:left="708" w:right="46"/>
        <w:jc w:val="both"/>
        <w:rPr>
          <w:b/>
        </w:rPr>
      </w:pPr>
    </w:p>
    <w:tbl>
      <w:tblPr>
        <w:tblStyle w:val="TableGrid"/>
        <w:tblW w:w="7608" w:type="dxa"/>
        <w:tblInd w:w="70" w:type="dxa"/>
        <w:tblCellMar>
          <w:top w:w="56" w:type="dxa"/>
          <w:left w:w="65" w:type="dxa"/>
          <w:bottom w:w="7" w:type="dxa"/>
          <w:right w:w="10" w:type="dxa"/>
        </w:tblCellMar>
        <w:tblLook w:val="04A0" w:firstRow="1" w:lastRow="0" w:firstColumn="1" w:lastColumn="0" w:noHBand="0" w:noVBand="1"/>
      </w:tblPr>
      <w:tblGrid>
        <w:gridCol w:w="1474"/>
        <w:gridCol w:w="1740"/>
        <w:gridCol w:w="1327"/>
        <w:gridCol w:w="1742"/>
        <w:gridCol w:w="1325"/>
      </w:tblGrid>
      <w:tr w:rsidR="007B7218" w:rsidRPr="00EB0FE1" w:rsidTr="00EA03F0">
        <w:trPr>
          <w:trHeight w:val="348"/>
        </w:trPr>
        <w:tc>
          <w:tcPr>
            <w:tcW w:w="1474" w:type="dxa"/>
            <w:vMerge w:val="restart"/>
            <w:tcBorders>
              <w:top w:val="single" w:sz="8" w:space="0" w:color="181717"/>
              <w:left w:val="single" w:sz="8" w:space="0" w:color="181717"/>
              <w:bottom w:val="single" w:sz="8" w:space="0" w:color="181717"/>
              <w:right w:val="single" w:sz="8" w:space="0" w:color="181717"/>
            </w:tcBorders>
            <w:shd w:val="clear" w:color="auto" w:fill="BFBFBF"/>
            <w:vAlign w:val="bottom"/>
          </w:tcPr>
          <w:p w:rsidR="007B7218" w:rsidRPr="00EB0FE1" w:rsidRDefault="007B7218" w:rsidP="00F83A03">
            <w:pPr>
              <w:spacing w:line="259" w:lineRule="auto"/>
              <w:jc w:val="both"/>
            </w:pPr>
            <w:r w:rsidRPr="00EB0FE1">
              <w:rPr>
                <w:rFonts w:ascii="Book Antiqua" w:eastAsia="Book Antiqua" w:hAnsi="Book Antiqua" w:cs="Book Antiqua"/>
                <w:b/>
              </w:rPr>
              <w:t xml:space="preserve">Statut du réclamant </w:t>
            </w:r>
          </w:p>
        </w:tc>
        <w:tc>
          <w:tcPr>
            <w:tcW w:w="3067" w:type="dxa"/>
            <w:gridSpan w:val="2"/>
            <w:tcBorders>
              <w:top w:val="single" w:sz="8" w:space="0" w:color="181717"/>
              <w:left w:val="single" w:sz="8" w:space="0" w:color="181717"/>
              <w:bottom w:val="single" w:sz="8" w:space="0" w:color="181717"/>
              <w:right w:val="single" w:sz="8" w:space="0" w:color="181717"/>
            </w:tcBorders>
            <w:shd w:val="clear" w:color="auto" w:fill="BFBFBF"/>
          </w:tcPr>
          <w:p w:rsidR="007B7218" w:rsidRPr="00EB0FE1" w:rsidRDefault="007B7218" w:rsidP="00F83A03">
            <w:pPr>
              <w:spacing w:line="259" w:lineRule="auto"/>
              <w:ind w:right="55"/>
              <w:jc w:val="both"/>
            </w:pPr>
            <w:r w:rsidRPr="00EB0FE1">
              <w:t>20</w:t>
            </w:r>
            <w:r w:rsidR="00EB0FE1" w:rsidRPr="00EB0FE1">
              <w:t>20</w:t>
            </w:r>
          </w:p>
        </w:tc>
        <w:tc>
          <w:tcPr>
            <w:tcW w:w="3067" w:type="dxa"/>
            <w:gridSpan w:val="2"/>
            <w:tcBorders>
              <w:top w:val="single" w:sz="8" w:space="0" w:color="181717"/>
              <w:left w:val="single" w:sz="8" w:space="0" w:color="181717"/>
              <w:bottom w:val="single" w:sz="8" w:space="0" w:color="181717"/>
              <w:right w:val="single" w:sz="8" w:space="0" w:color="181717"/>
            </w:tcBorders>
            <w:shd w:val="clear" w:color="auto" w:fill="BFBFBF"/>
          </w:tcPr>
          <w:p w:rsidR="007B7218" w:rsidRPr="00EB0FE1" w:rsidRDefault="007B7218" w:rsidP="00F83A03">
            <w:pPr>
              <w:spacing w:line="259" w:lineRule="auto"/>
              <w:ind w:right="45"/>
              <w:jc w:val="both"/>
            </w:pPr>
            <w:r w:rsidRPr="00EB0FE1">
              <w:t>202</w:t>
            </w:r>
            <w:r w:rsidR="00EB0FE1" w:rsidRPr="00EB0FE1">
              <w:t>1</w:t>
            </w:r>
            <w:r w:rsidRPr="00EB0FE1">
              <w:t xml:space="preserve"> </w:t>
            </w:r>
          </w:p>
        </w:tc>
      </w:tr>
      <w:tr w:rsidR="007B7218" w:rsidRPr="00EB0FE1" w:rsidTr="00EA03F0">
        <w:trPr>
          <w:trHeight w:val="598"/>
        </w:trPr>
        <w:tc>
          <w:tcPr>
            <w:tcW w:w="0" w:type="auto"/>
            <w:vMerge/>
            <w:tcBorders>
              <w:top w:val="nil"/>
              <w:left w:val="single" w:sz="8" w:space="0" w:color="181717"/>
              <w:bottom w:val="single" w:sz="8" w:space="0" w:color="181717"/>
              <w:right w:val="single" w:sz="8" w:space="0" w:color="181717"/>
            </w:tcBorders>
          </w:tcPr>
          <w:p w:rsidR="007B7218" w:rsidRPr="00EB0FE1" w:rsidRDefault="007B7218" w:rsidP="00F83A03">
            <w:pPr>
              <w:spacing w:after="160" w:line="259" w:lineRule="auto"/>
              <w:jc w:val="both"/>
            </w:pPr>
          </w:p>
        </w:tc>
        <w:tc>
          <w:tcPr>
            <w:tcW w:w="1740" w:type="dxa"/>
            <w:tcBorders>
              <w:top w:val="single" w:sz="8" w:space="0" w:color="181717"/>
              <w:left w:val="single" w:sz="8" w:space="0" w:color="181717"/>
              <w:bottom w:val="single" w:sz="8" w:space="0" w:color="181717"/>
              <w:right w:val="single" w:sz="8" w:space="0" w:color="181717"/>
            </w:tcBorders>
            <w:shd w:val="clear" w:color="auto" w:fill="BFBFBF"/>
          </w:tcPr>
          <w:p w:rsidR="007B7218" w:rsidRPr="00EB0FE1" w:rsidRDefault="007B7218" w:rsidP="00F83A03">
            <w:pPr>
              <w:spacing w:line="259" w:lineRule="auto"/>
              <w:jc w:val="both"/>
            </w:pPr>
            <w:r w:rsidRPr="00EB0FE1">
              <w:rPr>
                <w:rFonts w:ascii="Book Antiqua" w:eastAsia="Book Antiqua" w:hAnsi="Book Antiqua" w:cs="Book Antiqua"/>
                <w:b/>
              </w:rPr>
              <w:t xml:space="preserve">Nombre de réclamants </w:t>
            </w:r>
          </w:p>
        </w:tc>
        <w:tc>
          <w:tcPr>
            <w:tcW w:w="1327" w:type="dxa"/>
            <w:tcBorders>
              <w:top w:val="single" w:sz="8" w:space="0" w:color="181717"/>
              <w:left w:val="single" w:sz="8" w:space="0" w:color="181717"/>
              <w:bottom w:val="single" w:sz="8" w:space="0" w:color="181717"/>
              <w:right w:val="single" w:sz="8" w:space="0" w:color="181717"/>
            </w:tcBorders>
            <w:shd w:val="clear" w:color="auto" w:fill="BFBFBF"/>
            <w:vAlign w:val="bottom"/>
          </w:tcPr>
          <w:p w:rsidR="007B7218" w:rsidRPr="00EB0FE1" w:rsidRDefault="007B7218" w:rsidP="00F83A03">
            <w:pPr>
              <w:spacing w:line="259" w:lineRule="auto"/>
              <w:ind w:left="7"/>
              <w:jc w:val="both"/>
            </w:pPr>
            <w:r w:rsidRPr="00EB0FE1">
              <w:rPr>
                <w:rFonts w:ascii="Book Antiqua" w:eastAsia="Book Antiqua" w:hAnsi="Book Antiqua" w:cs="Book Antiqua"/>
                <w:b/>
              </w:rPr>
              <w:t xml:space="preserve">Proportion </w:t>
            </w:r>
          </w:p>
        </w:tc>
        <w:tc>
          <w:tcPr>
            <w:tcW w:w="1742" w:type="dxa"/>
            <w:tcBorders>
              <w:top w:val="single" w:sz="8" w:space="0" w:color="181717"/>
              <w:left w:val="single" w:sz="8" w:space="0" w:color="181717"/>
              <w:bottom w:val="single" w:sz="8" w:space="0" w:color="181717"/>
              <w:right w:val="single" w:sz="8" w:space="0" w:color="181717"/>
            </w:tcBorders>
            <w:shd w:val="clear" w:color="auto" w:fill="BFBFBF"/>
          </w:tcPr>
          <w:p w:rsidR="007B7218" w:rsidRPr="00EB0FE1" w:rsidRDefault="007B7218" w:rsidP="00F83A03">
            <w:pPr>
              <w:spacing w:line="259" w:lineRule="auto"/>
              <w:jc w:val="both"/>
            </w:pPr>
            <w:r w:rsidRPr="00EB0FE1">
              <w:rPr>
                <w:rFonts w:ascii="Book Antiqua" w:eastAsia="Book Antiqua" w:hAnsi="Book Antiqua" w:cs="Book Antiqua"/>
                <w:b/>
              </w:rPr>
              <w:t xml:space="preserve">Nombre de réclamants </w:t>
            </w:r>
          </w:p>
        </w:tc>
        <w:tc>
          <w:tcPr>
            <w:tcW w:w="1325" w:type="dxa"/>
            <w:tcBorders>
              <w:top w:val="single" w:sz="8" w:space="0" w:color="181717"/>
              <w:left w:val="single" w:sz="8" w:space="0" w:color="181717"/>
              <w:bottom w:val="single" w:sz="8" w:space="0" w:color="181717"/>
              <w:right w:val="single" w:sz="8" w:space="0" w:color="181717"/>
            </w:tcBorders>
            <w:shd w:val="clear" w:color="auto" w:fill="BFBFBF"/>
            <w:vAlign w:val="bottom"/>
          </w:tcPr>
          <w:p w:rsidR="007B7218" w:rsidRPr="00EB0FE1" w:rsidRDefault="007B7218" w:rsidP="00F83A03">
            <w:pPr>
              <w:spacing w:line="259" w:lineRule="auto"/>
              <w:ind w:left="5"/>
              <w:jc w:val="both"/>
            </w:pPr>
            <w:r w:rsidRPr="00EB0FE1">
              <w:rPr>
                <w:rFonts w:ascii="Book Antiqua" w:eastAsia="Book Antiqua" w:hAnsi="Book Antiqua" w:cs="Book Antiqua"/>
                <w:b/>
              </w:rPr>
              <w:t xml:space="preserve">Proportion </w:t>
            </w:r>
          </w:p>
        </w:tc>
      </w:tr>
      <w:tr w:rsidR="007B7218" w:rsidRPr="00EB0FE1" w:rsidTr="00EA03F0">
        <w:trPr>
          <w:trHeight w:val="353"/>
        </w:trPr>
        <w:tc>
          <w:tcPr>
            <w:tcW w:w="1474" w:type="dxa"/>
            <w:tcBorders>
              <w:top w:val="single" w:sz="8" w:space="0" w:color="181717"/>
              <w:left w:val="single" w:sz="8" w:space="0" w:color="181717"/>
              <w:bottom w:val="single" w:sz="8" w:space="0" w:color="181717"/>
              <w:right w:val="single" w:sz="8" w:space="0" w:color="181717"/>
            </w:tcBorders>
          </w:tcPr>
          <w:p w:rsidR="007B7218" w:rsidRPr="00EB0FE1" w:rsidRDefault="007B7218" w:rsidP="00F83A03">
            <w:pPr>
              <w:spacing w:line="259" w:lineRule="auto"/>
              <w:jc w:val="both"/>
            </w:pPr>
            <w:r w:rsidRPr="00EB0FE1">
              <w:t xml:space="preserve">Tiers lésés </w:t>
            </w:r>
          </w:p>
        </w:tc>
        <w:tc>
          <w:tcPr>
            <w:tcW w:w="1740" w:type="dxa"/>
            <w:tcBorders>
              <w:top w:val="single" w:sz="8" w:space="0" w:color="181717"/>
              <w:left w:val="single" w:sz="8" w:space="0" w:color="181717"/>
              <w:bottom w:val="single" w:sz="8" w:space="0" w:color="181717"/>
              <w:right w:val="single" w:sz="8" w:space="0" w:color="181717"/>
            </w:tcBorders>
          </w:tcPr>
          <w:p w:rsidR="007B7218" w:rsidRPr="00EB0FE1" w:rsidRDefault="00EC74BA" w:rsidP="00F83A03">
            <w:pPr>
              <w:spacing w:line="259" w:lineRule="auto"/>
              <w:ind w:right="53"/>
              <w:jc w:val="both"/>
            </w:pPr>
            <w:r w:rsidRPr="00EB0FE1">
              <w:t>97</w:t>
            </w:r>
            <w:r w:rsidR="007B7218" w:rsidRPr="00EB0FE1">
              <w:t xml:space="preserve"> </w:t>
            </w:r>
          </w:p>
        </w:tc>
        <w:tc>
          <w:tcPr>
            <w:tcW w:w="1327" w:type="dxa"/>
            <w:tcBorders>
              <w:top w:val="single" w:sz="8" w:space="0" w:color="181717"/>
              <w:left w:val="single" w:sz="8" w:space="0" w:color="181717"/>
              <w:bottom w:val="single" w:sz="8" w:space="0" w:color="181717"/>
              <w:right w:val="single" w:sz="8" w:space="0" w:color="181717"/>
            </w:tcBorders>
          </w:tcPr>
          <w:p w:rsidR="007B7218" w:rsidRPr="00EB0FE1" w:rsidRDefault="00EC74BA" w:rsidP="00F83A03">
            <w:pPr>
              <w:spacing w:line="259" w:lineRule="auto"/>
              <w:ind w:right="58"/>
              <w:jc w:val="both"/>
            </w:pPr>
            <w:r w:rsidRPr="00EB0FE1">
              <w:t>66</w:t>
            </w:r>
            <w:r w:rsidR="007B7218" w:rsidRPr="00EB0FE1">
              <w:t xml:space="preserve">% </w:t>
            </w:r>
          </w:p>
        </w:tc>
        <w:tc>
          <w:tcPr>
            <w:tcW w:w="1742" w:type="dxa"/>
            <w:tcBorders>
              <w:top w:val="single" w:sz="8" w:space="0" w:color="181717"/>
              <w:left w:val="single" w:sz="8" w:space="0" w:color="181717"/>
              <w:bottom w:val="single" w:sz="8" w:space="0" w:color="181717"/>
              <w:right w:val="single" w:sz="8" w:space="0" w:color="181717"/>
            </w:tcBorders>
          </w:tcPr>
          <w:p w:rsidR="007B7218" w:rsidRPr="00EB0FE1" w:rsidRDefault="00E22FB8" w:rsidP="00F83A03">
            <w:pPr>
              <w:spacing w:line="259" w:lineRule="auto"/>
              <w:ind w:right="46"/>
              <w:jc w:val="both"/>
            </w:pPr>
            <w:r w:rsidRPr="00EB0FE1">
              <w:t>10</w:t>
            </w:r>
          </w:p>
        </w:tc>
        <w:tc>
          <w:tcPr>
            <w:tcW w:w="1325" w:type="dxa"/>
            <w:tcBorders>
              <w:top w:val="single" w:sz="8" w:space="0" w:color="181717"/>
              <w:left w:val="single" w:sz="8" w:space="0" w:color="181717"/>
              <w:bottom w:val="single" w:sz="8" w:space="0" w:color="181717"/>
              <w:right w:val="single" w:sz="8" w:space="0" w:color="181717"/>
            </w:tcBorders>
          </w:tcPr>
          <w:p w:rsidR="007B7218" w:rsidRPr="00EB0FE1" w:rsidRDefault="00891FC2" w:rsidP="00F83A03">
            <w:pPr>
              <w:spacing w:line="259" w:lineRule="auto"/>
              <w:ind w:right="60"/>
              <w:jc w:val="both"/>
            </w:pPr>
            <w:r w:rsidRPr="00EB0FE1">
              <w:t>22</w:t>
            </w:r>
            <w:r w:rsidR="007B7218" w:rsidRPr="00EB0FE1">
              <w:t xml:space="preserve">% </w:t>
            </w:r>
          </w:p>
        </w:tc>
      </w:tr>
      <w:tr w:rsidR="007B7218" w:rsidRPr="00EB0FE1" w:rsidTr="00EA03F0">
        <w:trPr>
          <w:trHeight w:val="350"/>
        </w:trPr>
        <w:tc>
          <w:tcPr>
            <w:tcW w:w="1474" w:type="dxa"/>
            <w:tcBorders>
              <w:top w:val="single" w:sz="8" w:space="0" w:color="181717"/>
              <w:left w:val="single" w:sz="8" w:space="0" w:color="181717"/>
              <w:bottom w:val="single" w:sz="8" w:space="0" w:color="181717"/>
              <w:right w:val="single" w:sz="8" w:space="0" w:color="181717"/>
            </w:tcBorders>
          </w:tcPr>
          <w:p w:rsidR="007B7218" w:rsidRPr="00EB0FE1" w:rsidRDefault="007B7218" w:rsidP="00F83A03">
            <w:pPr>
              <w:spacing w:line="259" w:lineRule="auto"/>
              <w:jc w:val="both"/>
            </w:pPr>
            <w:r w:rsidRPr="00EB0FE1">
              <w:t xml:space="preserve">Courtiers </w:t>
            </w:r>
          </w:p>
        </w:tc>
        <w:tc>
          <w:tcPr>
            <w:tcW w:w="1740" w:type="dxa"/>
            <w:tcBorders>
              <w:top w:val="single" w:sz="8" w:space="0" w:color="181717"/>
              <w:left w:val="single" w:sz="8" w:space="0" w:color="181717"/>
              <w:bottom w:val="single" w:sz="8" w:space="0" w:color="181717"/>
              <w:right w:val="single" w:sz="8" w:space="0" w:color="181717"/>
            </w:tcBorders>
          </w:tcPr>
          <w:p w:rsidR="007B7218" w:rsidRPr="00EB0FE1" w:rsidRDefault="00EC74BA" w:rsidP="00F83A03">
            <w:pPr>
              <w:spacing w:line="259" w:lineRule="auto"/>
              <w:ind w:right="54"/>
              <w:jc w:val="both"/>
            </w:pPr>
            <w:r w:rsidRPr="00EB0FE1">
              <w:t>22</w:t>
            </w:r>
          </w:p>
        </w:tc>
        <w:tc>
          <w:tcPr>
            <w:tcW w:w="1327" w:type="dxa"/>
            <w:tcBorders>
              <w:top w:val="single" w:sz="8" w:space="0" w:color="181717"/>
              <w:left w:val="single" w:sz="8" w:space="0" w:color="181717"/>
              <w:bottom w:val="single" w:sz="8" w:space="0" w:color="181717"/>
              <w:right w:val="single" w:sz="8" w:space="0" w:color="181717"/>
            </w:tcBorders>
          </w:tcPr>
          <w:p w:rsidR="007B7218" w:rsidRPr="00EB0FE1" w:rsidRDefault="00E22FB8" w:rsidP="00F83A03">
            <w:pPr>
              <w:spacing w:line="259" w:lineRule="auto"/>
              <w:ind w:right="59"/>
              <w:jc w:val="both"/>
            </w:pPr>
            <w:r w:rsidRPr="00EB0FE1">
              <w:t>15</w:t>
            </w:r>
            <w:r w:rsidR="007B7218" w:rsidRPr="00EB0FE1">
              <w:t xml:space="preserve">% </w:t>
            </w:r>
          </w:p>
        </w:tc>
        <w:tc>
          <w:tcPr>
            <w:tcW w:w="1742" w:type="dxa"/>
            <w:tcBorders>
              <w:top w:val="single" w:sz="8" w:space="0" w:color="181717"/>
              <w:left w:val="single" w:sz="8" w:space="0" w:color="181717"/>
              <w:bottom w:val="single" w:sz="8" w:space="0" w:color="181717"/>
              <w:right w:val="single" w:sz="8" w:space="0" w:color="181717"/>
            </w:tcBorders>
          </w:tcPr>
          <w:p w:rsidR="007B7218" w:rsidRPr="00EB0FE1" w:rsidRDefault="00F350E1" w:rsidP="00F83A03">
            <w:pPr>
              <w:spacing w:line="259" w:lineRule="auto"/>
              <w:ind w:right="47"/>
              <w:jc w:val="both"/>
            </w:pPr>
            <w:r>
              <w:t>2</w:t>
            </w:r>
          </w:p>
        </w:tc>
        <w:tc>
          <w:tcPr>
            <w:tcW w:w="1325" w:type="dxa"/>
            <w:tcBorders>
              <w:top w:val="single" w:sz="8" w:space="0" w:color="181717"/>
              <w:left w:val="single" w:sz="8" w:space="0" w:color="181717"/>
              <w:bottom w:val="single" w:sz="8" w:space="0" w:color="181717"/>
              <w:right w:val="single" w:sz="8" w:space="0" w:color="181717"/>
            </w:tcBorders>
          </w:tcPr>
          <w:p w:rsidR="007B7218" w:rsidRPr="00EB0FE1" w:rsidRDefault="00891FC2" w:rsidP="00F83A03">
            <w:pPr>
              <w:spacing w:line="259" w:lineRule="auto"/>
              <w:ind w:right="62"/>
              <w:jc w:val="both"/>
            </w:pPr>
            <w:r w:rsidRPr="00EB0FE1">
              <w:t>4</w:t>
            </w:r>
            <w:r w:rsidR="007B7218" w:rsidRPr="00EB0FE1">
              <w:t xml:space="preserve">% </w:t>
            </w:r>
          </w:p>
        </w:tc>
      </w:tr>
      <w:tr w:rsidR="007B7218" w:rsidRPr="00EB0FE1" w:rsidTr="00EA03F0">
        <w:trPr>
          <w:trHeight w:val="346"/>
        </w:trPr>
        <w:tc>
          <w:tcPr>
            <w:tcW w:w="1474" w:type="dxa"/>
            <w:tcBorders>
              <w:top w:val="single" w:sz="8" w:space="0" w:color="181717"/>
              <w:left w:val="single" w:sz="8" w:space="0" w:color="181717"/>
              <w:bottom w:val="single" w:sz="8" w:space="0" w:color="181717"/>
              <w:right w:val="single" w:sz="8" w:space="0" w:color="181717"/>
            </w:tcBorders>
          </w:tcPr>
          <w:p w:rsidR="007B7218" w:rsidRPr="00EB0FE1" w:rsidRDefault="007B7218" w:rsidP="00F83A03">
            <w:pPr>
              <w:spacing w:line="259" w:lineRule="auto"/>
              <w:jc w:val="both"/>
            </w:pPr>
            <w:r w:rsidRPr="00EB0FE1">
              <w:t xml:space="preserve">Compagnie </w:t>
            </w:r>
          </w:p>
        </w:tc>
        <w:tc>
          <w:tcPr>
            <w:tcW w:w="1740" w:type="dxa"/>
            <w:tcBorders>
              <w:top w:val="single" w:sz="8" w:space="0" w:color="181717"/>
              <w:left w:val="single" w:sz="8" w:space="0" w:color="181717"/>
              <w:bottom w:val="single" w:sz="8" w:space="0" w:color="181717"/>
              <w:right w:val="single" w:sz="8" w:space="0" w:color="181717"/>
            </w:tcBorders>
          </w:tcPr>
          <w:p w:rsidR="007B7218" w:rsidRPr="00EB0FE1" w:rsidRDefault="00EC74BA" w:rsidP="00F83A03">
            <w:pPr>
              <w:spacing w:line="259" w:lineRule="auto"/>
              <w:ind w:right="52"/>
              <w:jc w:val="both"/>
            </w:pPr>
            <w:r w:rsidRPr="00EB0FE1">
              <w:t>23</w:t>
            </w:r>
            <w:r w:rsidR="007B7218" w:rsidRPr="00EB0FE1">
              <w:t xml:space="preserve"> </w:t>
            </w:r>
          </w:p>
        </w:tc>
        <w:tc>
          <w:tcPr>
            <w:tcW w:w="1327" w:type="dxa"/>
            <w:tcBorders>
              <w:top w:val="single" w:sz="8" w:space="0" w:color="181717"/>
              <w:left w:val="single" w:sz="8" w:space="0" w:color="181717"/>
              <w:bottom w:val="single" w:sz="8" w:space="0" w:color="181717"/>
              <w:right w:val="single" w:sz="8" w:space="0" w:color="181717"/>
            </w:tcBorders>
          </w:tcPr>
          <w:p w:rsidR="007B7218" w:rsidRPr="00EB0FE1" w:rsidRDefault="00E22FB8" w:rsidP="00F83A03">
            <w:pPr>
              <w:spacing w:line="259" w:lineRule="auto"/>
              <w:ind w:right="57"/>
              <w:jc w:val="both"/>
            </w:pPr>
            <w:r w:rsidRPr="00EB0FE1">
              <w:t>16</w:t>
            </w:r>
            <w:r w:rsidR="007B7218" w:rsidRPr="00EB0FE1">
              <w:t xml:space="preserve">% </w:t>
            </w:r>
          </w:p>
        </w:tc>
        <w:tc>
          <w:tcPr>
            <w:tcW w:w="1742" w:type="dxa"/>
            <w:tcBorders>
              <w:top w:val="single" w:sz="8" w:space="0" w:color="181717"/>
              <w:left w:val="single" w:sz="8" w:space="0" w:color="181717"/>
              <w:bottom w:val="single" w:sz="8" w:space="0" w:color="181717"/>
              <w:right w:val="single" w:sz="8" w:space="0" w:color="181717"/>
            </w:tcBorders>
          </w:tcPr>
          <w:p w:rsidR="007B7218" w:rsidRPr="00EB0FE1" w:rsidRDefault="00E22FB8" w:rsidP="00F83A03">
            <w:pPr>
              <w:spacing w:line="259" w:lineRule="auto"/>
              <w:ind w:right="45"/>
              <w:jc w:val="both"/>
            </w:pPr>
            <w:r w:rsidRPr="00EB0FE1">
              <w:t>34</w:t>
            </w:r>
            <w:r w:rsidR="007B7218" w:rsidRPr="00EB0FE1">
              <w:t xml:space="preserve"> </w:t>
            </w:r>
          </w:p>
        </w:tc>
        <w:tc>
          <w:tcPr>
            <w:tcW w:w="1325" w:type="dxa"/>
            <w:tcBorders>
              <w:top w:val="single" w:sz="8" w:space="0" w:color="181717"/>
              <w:left w:val="single" w:sz="8" w:space="0" w:color="181717"/>
              <w:bottom w:val="single" w:sz="8" w:space="0" w:color="181717"/>
              <w:right w:val="single" w:sz="8" w:space="0" w:color="181717"/>
            </w:tcBorders>
          </w:tcPr>
          <w:p w:rsidR="007B7218" w:rsidRPr="00EB0FE1" w:rsidRDefault="00891FC2" w:rsidP="00F83A03">
            <w:pPr>
              <w:spacing w:line="259" w:lineRule="auto"/>
              <w:ind w:right="60"/>
              <w:jc w:val="both"/>
            </w:pPr>
            <w:r w:rsidRPr="00EB0FE1">
              <w:t>74</w:t>
            </w:r>
            <w:r w:rsidR="007B7218" w:rsidRPr="00EB0FE1">
              <w:t xml:space="preserve">% </w:t>
            </w:r>
          </w:p>
        </w:tc>
      </w:tr>
      <w:tr w:rsidR="007B7218" w:rsidRPr="00EB0FE1" w:rsidTr="00EA03F0">
        <w:trPr>
          <w:trHeight w:val="355"/>
        </w:trPr>
        <w:tc>
          <w:tcPr>
            <w:tcW w:w="1474" w:type="dxa"/>
            <w:tcBorders>
              <w:top w:val="single" w:sz="8" w:space="0" w:color="181717"/>
              <w:left w:val="single" w:sz="8" w:space="0" w:color="181717"/>
              <w:bottom w:val="single" w:sz="8" w:space="0" w:color="181717"/>
              <w:right w:val="single" w:sz="8" w:space="0" w:color="181717"/>
            </w:tcBorders>
          </w:tcPr>
          <w:p w:rsidR="007B7218" w:rsidRPr="00EB0FE1" w:rsidRDefault="007B7218" w:rsidP="00F83A03">
            <w:pPr>
              <w:spacing w:line="259" w:lineRule="auto"/>
              <w:jc w:val="both"/>
            </w:pPr>
            <w:r w:rsidRPr="00EB0FE1">
              <w:t xml:space="preserve">Ayant droit </w:t>
            </w:r>
          </w:p>
        </w:tc>
        <w:tc>
          <w:tcPr>
            <w:tcW w:w="1740" w:type="dxa"/>
            <w:tcBorders>
              <w:top w:val="single" w:sz="8" w:space="0" w:color="181717"/>
              <w:left w:val="single" w:sz="8" w:space="0" w:color="181717"/>
              <w:bottom w:val="single" w:sz="8" w:space="0" w:color="181717"/>
              <w:right w:val="single" w:sz="8" w:space="0" w:color="181717"/>
            </w:tcBorders>
          </w:tcPr>
          <w:p w:rsidR="007B7218" w:rsidRPr="00EB0FE1" w:rsidRDefault="00EC74BA" w:rsidP="00F83A03">
            <w:pPr>
              <w:spacing w:line="259" w:lineRule="auto"/>
              <w:ind w:right="60"/>
              <w:jc w:val="both"/>
            </w:pPr>
            <w:r w:rsidRPr="00EB0FE1">
              <w:t>5</w:t>
            </w:r>
            <w:r w:rsidR="007B7218" w:rsidRPr="00EB0FE1">
              <w:t xml:space="preserve"> </w:t>
            </w:r>
          </w:p>
        </w:tc>
        <w:tc>
          <w:tcPr>
            <w:tcW w:w="1327" w:type="dxa"/>
            <w:tcBorders>
              <w:top w:val="single" w:sz="8" w:space="0" w:color="181717"/>
              <w:left w:val="single" w:sz="8" w:space="0" w:color="181717"/>
              <w:bottom w:val="single" w:sz="8" w:space="0" w:color="181717"/>
              <w:right w:val="single" w:sz="8" w:space="0" w:color="181717"/>
            </w:tcBorders>
          </w:tcPr>
          <w:p w:rsidR="007B7218" w:rsidRPr="00EB0FE1" w:rsidRDefault="00E22FB8" w:rsidP="00F83A03">
            <w:pPr>
              <w:spacing w:line="259" w:lineRule="auto"/>
              <w:ind w:right="55"/>
              <w:jc w:val="both"/>
            </w:pPr>
            <w:r w:rsidRPr="00EB0FE1">
              <w:t>3</w:t>
            </w:r>
            <w:r w:rsidR="007B7218" w:rsidRPr="00EB0FE1">
              <w:t xml:space="preserve">% </w:t>
            </w:r>
          </w:p>
        </w:tc>
        <w:tc>
          <w:tcPr>
            <w:tcW w:w="1742" w:type="dxa"/>
            <w:tcBorders>
              <w:top w:val="single" w:sz="8" w:space="0" w:color="181717"/>
              <w:left w:val="single" w:sz="8" w:space="0" w:color="181717"/>
              <w:bottom w:val="single" w:sz="8" w:space="0" w:color="181717"/>
              <w:right w:val="single" w:sz="8" w:space="0" w:color="181717"/>
            </w:tcBorders>
          </w:tcPr>
          <w:p w:rsidR="007B7218" w:rsidRPr="00EB0FE1" w:rsidRDefault="007B7218" w:rsidP="00F83A03">
            <w:pPr>
              <w:spacing w:line="259" w:lineRule="auto"/>
              <w:ind w:right="53"/>
              <w:jc w:val="both"/>
            </w:pPr>
            <w:r w:rsidRPr="00EB0FE1">
              <w:t xml:space="preserve"> </w:t>
            </w:r>
          </w:p>
        </w:tc>
        <w:tc>
          <w:tcPr>
            <w:tcW w:w="1325" w:type="dxa"/>
            <w:tcBorders>
              <w:top w:val="single" w:sz="8" w:space="0" w:color="181717"/>
              <w:left w:val="single" w:sz="8" w:space="0" w:color="181717"/>
              <w:bottom w:val="single" w:sz="8" w:space="0" w:color="181717"/>
              <w:right w:val="single" w:sz="8" w:space="0" w:color="181717"/>
            </w:tcBorders>
          </w:tcPr>
          <w:p w:rsidR="007B7218" w:rsidRPr="00EB0FE1" w:rsidRDefault="00891FC2" w:rsidP="00F83A03">
            <w:pPr>
              <w:spacing w:line="259" w:lineRule="auto"/>
              <w:ind w:right="58"/>
              <w:jc w:val="both"/>
            </w:pPr>
            <w:r w:rsidRPr="00EB0FE1">
              <w:t>0</w:t>
            </w:r>
            <w:r w:rsidR="007B7218" w:rsidRPr="00EB0FE1">
              <w:t xml:space="preserve">% </w:t>
            </w:r>
          </w:p>
        </w:tc>
      </w:tr>
      <w:tr w:rsidR="007B7218" w:rsidTr="00EA03F0">
        <w:trPr>
          <w:trHeight w:val="329"/>
        </w:trPr>
        <w:tc>
          <w:tcPr>
            <w:tcW w:w="1474" w:type="dxa"/>
            <w:tcBorders>
              <w:top w:val="single" w:sz="8" w:space="0" w:color="181717"/>
              <w:left w:val="single" w:sz="8" w:space="0" w:color="181717"/>
              <w:bottom w:val="single" w:sz="8" w:space="0" w:color="181717"/>
              <w:right w:val="single" w:sz="8" w:space="0" w:color="181717"/>
            </w:tcBorders>
            <w:shd w:val="clear" w:color="auto" w:fill="BFBFBF"/>
          </w:tcPr>
          <w:p w:rsidR="007B7218" w:rsidRPr="00EB0FE1" w:rsidRDefault="007B7218" w:rsidP="00F83A03">
            <w:pPr>
              <w:spacing w:line="259" w:lineRule="auto"/>
              <w:jc w:val="both"/>
            </w:pPr>
            <w:r w:rsidRPr="00EB0FE1">
              <w:rPr>
                <w:rFonts w:ascii="Book Antiqua" w:eastAsia="Book Antiqua" w:hAnsi="Book Antiqua" w:cs="Book Antiqua"/>
                <w:b/>
              </w:rPr>
              <w:t xml:space="preserve">TOTAL </w:t>
            </w:r>
          </w:p>
        </w:tc>
        <w:tc>
          <w:tcPr>
            <w:tcW w:w="1740" w:type="dxa"/>
            <w:tcBorders>
              <w:top w:val="single" w:sz="8" w:space="0" w:color="181717"/>
              <w:left w:val="single" w:sz="8" w:space="0" w:color="181717"/>
              <w:bottom w:val="single" w:sz="8" w:space="0" w:color="181717"/>
              <w:right w:val="single" w:sz="8" w:space="0" w:color="181717"/>
            </w:tcBorders>
            <w:shd w:val="clear" w:color="auto" w:fill="BFBFBF"/>
          </w:tcPr>
          <w:p w:rsidR="007B7218" w:rsidRPr="00EB0FE1" w:rsidRDefault="007B7218" w:rsidP="00DB47C1">
            <w:pPr>
              <w:spacing w:line="259" w:lineRule="auto"/>
              <w:ind w:right="57"/>
              <w:jc w:val="both"/>
            </w:pPr>
            <w:r w:rsidRPr="00EB0FE1">
              <w:rPr>
                <w:rFonts w:ascii="Book Antiqua" w:eastAsia="Book Antiqua" w:hAnsi="Book Antiqua" w:cs="Book Antiqua"/>
                <w:b/>
              </w:rPr>
              <w:t>1</w:t>
            </w:r>
            <w:r w:rsidR="00DB47C1">
              <w:rPr>
                <w:rFonts w:ascii="Book Antiqua" w:eastAsia="Book Antiqua" w:hAnsi="Book Antiqua" w:cs="Book Antiqua"/>
                <w:b/>
              </w:rPr>
              <w:t>47</w:t>
            </w:r>
          </w:p>
        </w:tc>
        <w:tc>
          <w:tcPr>
            <w:tcW w:w="1327" w:type="dxa"/>
            <w:tcBorders>
              <w:top w:val="single" w:sz="8" w:space="0" w:color="181717"/>
              <w:left w:val="single" w:sz="8" w:space="0" w:color="181717"/>
              <w:bottom w:val="single" w:sz="8" w:space="0" w:color="181717"/>
              <w:right w:val="single" w:sz="8" w:space="0" w:color="181717"/>
            </w:tcBorders>
            <w:shd w:val="clear" w:color="auto" w:fill="BFBFBF"/>
          </w:tcPr>
          <w:p w:rsidR="007B7218" w:rsidRPr="00EB0FE1" w:rsidRDefault="007B7218" w:rsidP="00F83A03">
            <w:pPr>
              <w:spacing w:line="259" w:lineRule="auto"/>
              <w:ind w:right="53"/>
              <w:jc w:val="both"/>
            </w:pPr>
            <w:r w:rsidRPr="00EB0FE1">
              <w:t xml:space="preserve">100% </w:t>
            </w:r>
          </w:p>
        </w:tc>
        <w:tc>
          <w:tcPr>
            <w:tcW w:w="1742" w:type="dxa"/>
            <w:tcBorders>
              <w:top w:val="single" w:sz="8" w:space="0" w:color="181717"/>
              <w:left w:val="single" w:sz="8" w:space="0" w:color="181717"/>
              <w:bottom w:val="single" w:sz="8" w:space="0" w:color="181717"/>
              <w:right w:val="single" w:sz="8" w:space="0" w:color="181717"/>
            </w:tcBorders>
            <w:shd w:val="clear" w:color="auto" w:fill="BFBFBF"/>
          </w:tcPr>
          <w:p w:rsidR="007B7218" w:rsidRPr="00EB0FE1" w:rsidRDefault="00F350E1" w:rsidP="00F83A03">
            <w:pPr>
              <w:spacing w:line="259" w:lineRule="auto"/>
              <w:ind w:right="50"/>
              <w:jc w:val="both"/>
            </w:pPr>
            <w:r>
              <w:rPr>
                <w:rFonts w:ascii="Book Antiqua" w:eastAsia="Book Antiqua" w:hAnsi="Book Antiqua" w:cs="Book Antiqua"/>
                <w:b/>
              </w:rPr>
              <w:t>46</w:t>
            </w:r>
            <w:r w:rsidR="007B7218" w:rsidRPr="00EB0FE1">
              <w:rPr>
                <w:rFonts w:ascii="Book Antiqua" w:eastAsia="Book Antiqua" w:hAnsi="Book Antiqua" w:cs="Book Antiqua"/>
                <w:b/>
              </w:rPr>
              <w:t xml:space="preserve"> </w:t>
            </w:r>
          </w:p>
        </w:tc>
        <w:tc>
          <w:tcPr>
            <w:tcW w:w="1325" w:type="dxa"/>
            <w:tcBorders>
              <w:top w:val="single" w:sz="8" w:space="0" w:color="181717"/>
              <w:left w:val="single" w:sz="8" w:space="0" w:color="181717"/>
              <w:bottom w:val="single" w:sz="8" w:space="0" w:color="181717"/>
              <w:right w:val="single" w:sz="8" w:space="0" w:color="181717"/>
            </w:tcBorders>
            <w:shd w:val="clear" w:color="auto" w:fill="BFBFBF"/>
          </w:tcPr>
          <w:p w:rsidR="007B7218" w:rsidRDefault="007B7218" w:rsidP="00F83A03">
            <w:pPr>
              <w:spacing w:line="259" w:lineRule="auto"/>
              <w:ind w:right="55"/>
              <w:jc w:val="both"/>
            </w:pPr>
            <w:r w:rsidRPr="00EB0FE1">
              <w:t>100%</w:t>
            </w:r>
            <w:r>
              <w:t xml:space="preserve"> </w:t>
            </w:r>
          </w:p>
        </w:tc>
      </w:tr>
    </w:tbl>
    <w:p w:rsidR="007B7218" w:rsidRDefault="007B7218" w:rsidP="00F83A03">
      <w:pPr>
        <w:spacing w:after="0" w:line="259" w:lineRule="auto"/>
        <w:jc w:val="both"/>
      </w:pPr>
      <w:r>
        <w:t xml:space="preserve"> </w:t>
      </w:r>
    </w:p>
    <w:p w:rsidR="007B7218" w:rsidRPr="007B7218" w:rsidRDefault="007B7218" w:rsidP="00F83A03">
      <w:pPr>
        <w:jc w:val="both"/>
        <w:rPr>
          <w:b/>
          <w:sz w:val="28"/>
          <w:szCs w:val="28"/>
        </w:rPr>
      </w:pPr>
    </w:p>
    <w:p w:rsidR="004A78F5" w:rsidRPr="00F474AA" w:rsidRDefault="004A78F5" w:rsidP="00F83A03">
      <w:pPr>
        <w:pStyle w:val="Paragraphedeliste"/>
        <w:numPr>
          <w:ilvl w:val="0"/>
          <w:numId w:val="9"/>
        </w:numPr>
        <w:jc w:val="both"/>
        <w:rPr>
          <w:b/>
          <w:sz w:val="28"/>
          <w:szCs w:val="28"/>
        </w:rPr>
      </w:pPr>
      <w:r w:rsidRPr="00F474AA">
        <w:rPr>
          <w:b/>
          <w:sz w:val="28"/>
          <w:szCs w:val="28"/>
        </w:rPr>
        <w:t>Profil des requérants VIE</w:t>
      </w:r>
    </w:p>
    <w:p w:rsidR="00AD08CB" w:rsidRDefault="00891FC2" w:rsidP="00F83A03">
      <w:pPr>
        <w:jc w:val="both"/>
        <w:rPr>
          <w:rFonts w:cs="Arial"/>
          <w:sz w:val="28"/>
          <w:szCs w:val="28"/>
        </w:rPr>
      </w:pPr>
      <w:r>
        <w:rPr>
          <w:rFonts w:cs="Arial"/>
          <w:sz w:val="28"/>
          <w:szCs w:val="28"/>
        </w:rPr>
        <w:t>La branche Vie n’a enregistré au cours de l’exercice, qu’un requérant personne physique</w:t>
      </w:r>
      <w:r w:rsidR="00AD08CB">
        <w:rPr>
          <w:rFonts w:cs="Arial"/>
          <w:sz w:val="28"/>
          <w:szCs w:val="28"/>
        </w:rPr>
        <w:t>.</w:t>
      </w:r>
    </w:p>
    <w:p w:rsidR="004A78F5" w:rsidRPr="00F474AA" w:rsidRDefault="004A78F5" w:rsidP="00F83A03">
      <w:pPr>
        <w:ind w:left="720"/>
        <w:jc w:val="both"/>
        <w:outlineLvl w:val="2"/>
        <w:rPr>
          <w:b/>
          <w:sz w:val="28"/>
          <w:szCs w:val="28"/>
        </w:rPr>
      </w:pPr>
      <w:bookmarkStart w:id="17" w:name="_Toc113021124"/>
      <w:r w:rsidRPr="00F474AA">
        <w:rPr>
          <w:b/>
          <w:sz w:val="28"/>
          <w:szCs w:val="28"/>
        </w:rPr>
        <w:t>2.2.2.</w:t>
      </w:r>
      <w:r w:rsidRPr="00F474AA">
        <w:rPr>
          <w:b/>
          <w:sz w:val="28"/>
          <w:szCs w:val="28"/>
        </w:rPr>
        <w:tab/>
        <w:t>Nature des litiges de l’exercice</w:t>
      </w:r>
      <w:bookmarkEnd w:id="17"/>
    </w:p>
    <w:p w:rsidR="004A78F5" w:rsidRPr="00F474AA" w:rsidRDefault="004A78F5" w:rsidP="00F83A03">
      <w:pPr>
        <w:pStyle w:val="Paragraphedeliste"/>
        <w:ind w:left="1080"/>
        <w:jc w:val="both"/>
        <w:rPr>
          <w:rFonts w:cs="Arial"/>
          <w:b/>
          <w:sz w:val="28"/>
          <w:szCs w:val="28"/>
        </w:rPr>
      </w:pPr>
      <w:r w:rsidRPr="00F474AA">
        <w:rPr>
          <w:rFonts w:cs="Arial"/>
          <w:b/>
          <w:sz w:val="28"/>
          <w:szCs w:val="28"/>
        </w:rPr>
        <w:t>2.2.2.1 Recevabilité des saisines IARD</w:t>
      </w:r>
    </w:p>
    <w:p w:rsidR="004A78F5" w:rsidRPr="00F474AA" w:rsidRDefault="004A78F5" w:rsidP="00F83A03">
      <w:pPr>
        <w:jc w:val="both"/>
        <w:rPr>
          <w:rFonts w:cs="Arial"/>
          <w:sz w:val="28"/>
          <w:szCs w:val="28"/>
        </w:rPr>
      </w:pPr>
      <w:r w:rsidRPr="00F474AA">
        <w:rPr>
          <w:rFonts w:cs="Arial"/>
          <w:sz w:val="28"/>
          <w:szCs w:val="28"/>
        </w:rPr>
        <w:t xml:space="preserve">Sur un total de </w:t>
      </w:r>
      <w:r w:rsidR="00AD08CB">
        <w:rPr>
          <w:rFonts w:cs="Arial"/>
          <w:sz w:val="28"/>
          <w:szCs w:val="28"/>
        </w:rPr>
        <w:t>46</w:t>
      </w:r>
      <w:r w:rsidR="00AB3662">
        <w:rPr>
          <w:rFonts w:cs="Arial"/>
          <w:sz w:val="28"/>
          <w:szCs w:val="28"/>
        </w:rPr>
        <w:t xml:space="preserve"> </w:t>
      </w:r>
      <w:r w:rsidRPr="00F474AA">
        <w:rPr>
          <w:rFonts w:cs="Arial"/>
          <w:sz w:val="28"/>
          <w:szCs w:val="28"/>
        </w:rPr>
        <w:t>saisines IARD parvenues à la médiation des assurances au cours de l’exercice 20</w:t>
      </w:r>
      <w:r w:rsidR="00AD08CB">
        <w:rPr>
          <w:rFonts w:cs="Arial"/>
          <w:sz w:val="28"/>
          <w:szCs w:val="28"/>
        </w:rPr>
        <w:t>21</w:t>
      </w:r>
      <w:r w:rsidRPr="00F474AA">
        <w:rPr>
          <w:rFonts w:cs="Arial"/>
          <w:sz w:val="28"/>
          <w:szCs w:val="28"/>
        </w:rPr>
        <w:t xml:space="preserve">, </w:t>
      </w:r>
      <w:r w:rsidR="00AD08CB">
        <w:rPr>
          <w:rFonts w:cs="Arial"/>
          <w:sz w:val="28"/>
          <w:szCs w:val="28"/>
        </w:rPr>
        <w:t>44</w:t>
      </w:r>
      <w:r w:rsidRPr="00F474AA">
        <w:rPr>
          <w:rFonts w:cs="Arial"/>
          <w:sz w:val="28"/>
          <w:szCs w:val="28"/>
        </w:rPr>
        <w:t xml:space="preserve"> sont jugées recevables et ont fait l’objet d’un traitement diligenté par nos services contre </w:t>
      </w:r>
      <w:r w:rsidR="00AD08CB">
        <w:rPr>
          <w:rFonts w:cs="Arial"/>
          <w:sz w:val="28"/>
          <w:szCs w:val="28"/>
        </w:rPr>
        <w:t xml:space="preserve">2 </w:t>
      </w:r>
      <w:r w:rsidRPr="00F474AA">
        <w:rPr>
          <w:rFonts w:cs="Arial"/>
          <w:sz w:val="28"/>
          <w:szCs w:val="28"/>
        </w:rPr>
        <w:t xml:space="preserve">qui n’ont pu être </w:t>
      </w:r>
      <w:r w:rsidR="00AD08CB">
        <w:rPr>
          <w:rFonts w:cs="Arial"/>
          <w:sz w:val="28"/>
          <w:szCs w:val="28"/>
        </w:rPr>
        <w:t xml:space="preserve">car </w:t>
      </w:r>
      <w:r w:rsidRPr="00F474AA">
        <w:rPr>
          <w:rFonts w:cs="Arial"/>
          <w:sz w:val="28"/>
          <w:szCs w:val="28"/>
        </w:rPr>
        <w:t xml:space="preserve">jugés irrecevables, </w:t>
      </w:r>
      <w:r w:rsidRPr="00F474AA">
        <w:rPr>
          <w:rFonts w:cs="Arial"/>
          <w:b/>
          <w:sz w:val="28"/>
          <w:szCs w:val="28"/>
        </w:rPr>
        <w:t>dont</w:t>
      </w:r>
      <w:r w:rsidRPr="00F474AA">
        <w:rPr>
          <w:rFonts w:cs="Arial"/>
          <w:sz w:val="28"/>
          <w:szCs w:val="28"/>
        </w:rPr>
        <w:t> :</w:t>
      </w:r>
    </w:p>
    <w:p w:rsidR="00D13881" w:rsidRDefault="00AD08CB" w:rsidP="00F83A03">
      <w:pPr>
        <w:pStyle w:val="Paragraphedeliste"/>
        <w:numPr>
          <w:ilvl w:val="0"/>
          <w:numId w:val="1"/>
        </w:numPr>
        <w:jc w:val="both"/>
        <w:rPr>
          <w:rFonts w:cs="Arial"/>
          <w:sz w:val="28"/>
          <w:szCs w:val="28"/>
        </w:rPr>
      </w:pPr>
      <w:r w:rsidRPr="00BA38EA">
        <w:rPr>
          <w:rFonts w:cs="Arial"/>
          <w:sz w:val="28"/>
          <w:szCs w:val="28"/>
        </w:rPr>
        <w:t>1 dossier se rapportant à la requête d’un courtier portant sur des arriérés de commission qui lui sont dues</w:t>
      </w:r>
      <w:r w:rsidR="00D13881">
        <w:rPr>
          <w:rFonts w:cs="Arial"/>
          <w:sz w:val="28"/>
          <w:szCs w:val="28"/>
        </w:rPr>
        <w:t> ;</w:t>
      </w:r>
    </w:p>
    <w:p w:rsidR="00D13881" w:rsidRDefault="00D13881" w:rsidP="00F83A03">
      <w:pPr>
        <w:pStyle w:val="Paragraphedeliste"/>
        <w:jc w:val="both"/>
        <w:rPr>
          <w:rFonts w:cs="Arial"/>
          <w:sz w:val="28"/>
          <w:szCs w:val="28"/>
        </w:rPr>
      </w:pPr>
    </w:p>
    <w:p w:rsidR="00BA38EA" w:rsidRPr="00AF684D" w:rsidRDefault="004A78F5" w:rsidP="00F83A03">
      <w:pPr>
        <w:pStyle w:val="Paragraphedeliste"/>
        <w:numPr>
          <w:ilvl w:val="0"/>
          <w:numId w:val="1"/>
        </w:numPr>
        <w:jc w:val="both"/>
        <w:rPr>
          <w:rFonts w:cs="Arial"/>
          <w:sz w:val="28"/>
          <w:szCs w:val="28"/>
        </w:rPr>
      </w:pPr>
      <w:r w:rsidRPr="00BA38EA">
        <w:rPr>
          <w:rFonts w:cs="Arial"/>
          <w:sz w:val="28"/>
          <w:szCs w:val="28"/>
        </w:rPr>
        <w:t xml:space="preserve">1 dossier irrecevable </w:t>
      </w:r>
      <w:r w:rsidR="00BA38EA">
        <w:rPr>
          <w:rFonts w:cs="Arial"/>
          <w:sz w:val="28"/>
          <w:szCs w:val="28"/>
        </w:rPr>
        <w:t>car resté incomplet malgré maintes relances adressées au requérant</w:t>
      </w:r>
      <w:r w:rsidR="00F83A03">
        <w:rPr>
          <w:rFonts w:cs="Arial"/>
          <w:sz w:val="28"/>
          <w:szCs w:val="28"/>
        </w:rPr>
        <w:t>.</w:t>
      </w:r>
    </w:p>
    <w:p w:rsidR="004A78F5" w:rsidRDefault="004A78F5" w:rsidP="00F83A03">
      <w:pPr>
        <w:pStyle w:val="Paragraphedeliste"/>
        <w:ind w:left="1080"/>
        <w:jc w:val="both"/>
        <w:rPr>
          <w:rFonts w:cs="Arial"/>
          <w:b/>
          <w:sz w:val="28"/>
          <w:szCs w:val="28"/>
        </w:rPr>
      </w:pPr>
    </w:p>
    <w:p w:rsidR="00AC2A27" w:rsidRDefault="00AC2A27" w:rsidP="00F83A03">
      <w:pPr>
        <w:pStyle w:val="Paragraphedeliste"/>
        <w:ind w:left="1080"/>
        <w:jc w:val="both"/>
        <w:rPr>
          <w:rFonts w:cs="Arial"/>
          <w:b/>
          <w:sz w:val="28"/>
          <w:szCs w:val="28"/>
        </w:rPr>
      </w:pPr>
    </w:p>
    <w:p w:rsidR="00AC2A27" w:rsidRDefault="00AC2A27" w:rsidP="00F83A03">
      <w:pPr>
        <w:pStyle w:val="Paragraphedeliste"/>
        <w:ind w:left="1080"/>
        <w:jc w:val="both"/>
        <w:rPr>
          <w:rFonts w:cs="Arial"/>
          <w:b/>
          <w:sz w:val="28"/>
          <w:szCs w:val="28"/>
        </w:rPr>
      </w:pPr>
    </w:p>
    <w:p w:rsidR="00AC2A27" w:rsidRDefault="00AC2A27" w:rsidP="00F83A03">
      <w:pPr>
        <w:pStyle w:val="Paragraphedeliste"/>
        <w:ind w:left="1080"/>
        <w:jc w:val="both"/>
        <w:rPr>
          <w:rFonts w:cs="Arial"/>
          <w:b/>
          <w:sz w:val="28"/>
          <w:szCs w:val="28"/>
        </w:rPr>
      </w:pPr>
    </w:p>
    <w:p w:rsidR="004A78F5" w:rsidRPr="00F474AA" w:rsidRDefault="004A78F5" w:rsidP="00F83A03">
      <w:pPr>
        <w:pStyle w:val="Paragraphedeliste"/>
        <w:ind w:left="1080"/>
        <w:jc w:val="both"/>
        <w:rPr>
          <w:rFonts w:cs="Arial"/>
          <w:sz w:val="28"/>
          <w:szCs w:val="28"/>
        </w:rPr>
      </w:pPr>
      <w:r w:rsidRPr="00F474AA">
        <w:rPr>
          <w:rFonts w:cs="Arial"/>
          <w:b/>
          <w:sz w:val="28"/>
          <w:szCs w:val="28"/>
        </w:rPr>
        <w:lastRenderedPageBreak/>
        <w:t>2.2.2.2 Recevabilité des saisines VIE</w:t>
      </w:r>
    </w:p>
    <w:p w:rsidR="004A78F5" w:rsidRPr="00F474AA" w:rsidRDefault="00F83A03" w:rsidP="00F83A03">
      <w:pPr>
        <w:jc w:val="both"/>
        <w:rPr>
          <w:rFonts w:cs="Arial"/>
          <w:sz w:val="28"/>
          <w:szCs w:val="28"/>
        </w:rPr>
      </w:pPr>
      <w:r>
        <w:rPr>
          <w:rFonts w:cs="Arial"/>
          <w:sz w:val="28"/>
          <w:szCs w:val="28"/>
        </w:rPr>
        <w:t xml:space="preserve">La branche </w:t>
      </w:r>
      <w:r w:rsidRPr="00F474AA">
        <w:rPr>
          <w:rFonts w:cs="Arial"/>
          <w:sz w:val="28"/>
          <w:szCs w:val="28"/>
        </w:rPr>
        <w:t>VIE n’a</w:t>
      </w:r>
      <w:r w:rsidR="004A78F5" w:rsidRPr="00F474AA">
        <w:rPr>
          <w:rFonts w:cs="Arial"/>
          <w:sz w:val="28"/>
          <w:szCs w:val="28"/>
        </w:rPr>
        <w:t xml:space="preserve"> été impliquée </w:t>
      </w:r>
      <w:r w:rsidR="00BA38EA">
        <w:rPr>
          <w:rFonts w:cs="Arial"/>
          <w:sz w:val="28"/>
          <w:szCs w:val="28"/>
        </w:rPr>
        <w:t>que dans une saisine qui a été vite réglée</w:t>
      </w:r>
      <w:r w:rsidR="004A78F5" w:rsidRPr="00F474AA">
        <w:rPr>
          <w:rFonts w:cs="Arial"/>
          <w:sz w:val="28"/>
          <w:szCs w:val="28"/>
        </w:rPr>
        <w:t xml:space="preserve"> </w:t>
      </w:r>
      <w:r>
        <w:rPr>
          <w:rFonts w:cs="Arial"/>
          <w:sz w:val="28"/>
          <w:szCs w:val="28"/>
        </w:rPr>
        <w:t>dès qu’</w:t>
      </w:r>
      <w:r w:rsidR="00BA38EA">
        <w:rPr>
          <w:rFonts w:cs="Arial"/>
          <w:sz w:val="28"/>
          <w:szCs w:val="28"/>
        </w:rPr>
        <w:t>elle m’est parvenue</w:t>
      </w:r>
      <w:r w:rsidR="004A78F5" w:rsidRPr="00F474AA">
        <w:rPr>
          <w:rFonts w:cs="Arial"/>
          <w:sz w:val="28"/>
          <w:szCs w:val="28"/>
        </w:rPr>
        <w:t xml:space="preserve"> à mon bureau</w:t>
      </w:r>
    </w:p>
    <w:p w:rsidR="004A78F5" w:rsidRPr="00F474AA" w:rsidRDefault="004A78F5" w:rsidP="00F83A03">
      <w:pPr>
        <w:ind w:left="720"/>
        <w:jc w:val="both"/>
        <w:outlineLvl w:val="2"/>
        <w:rPr>
          <w:b/>
          <w:sz w:val="28"/>
          <w:szCs w:val="28"/>
        </w:rPr>
      </w:pPr>
      <w:bookmarkStart w:id="18" w:name="_Toc113021125"/>
      <w:r w:rsidRPr="00F474AA">
        <w:rPr>
          <w:b/>
          <w:sz w:val="28"/>
          <w:szCs w:val="28"/>
        </w:rPr>
        <w:t>2.2.3.</w:t>
      </w:r>
      <w:r w:rsidRPr="00F474AA">
        <w:rPr>
          <w:b/>
          <w:sz w:val="28"/>
          <w:szCs w:val="28"/>
        </w:rPr>
        <w:tab/>
        <w:t>Compagnies mises en cause</w:t>
      </w:r>
      <w:bookmarkEnd w:id="18"/>
    </w:p>
    <w:p w:rsidR="004A78F5" w:rsidRPr="00F474AA" w:rsidRDefault="004A78F5" w:rsidP="00F83A03">
      <w:pPr>
        <w:ind w:left="720"/>
        <w:jc w:val="both"/>
        <w:rPr>
          <w:b/>
          <w:sz w:val="28"/>
          <w:szCs w:val="28"/>
        </w:rPr>
      </w:pPr>
      <w:r w:rsidRPr="00F474AA">
        <w:rPr>
          <w:b/>
          <w:sz w:val="28"/>
          <w:szCs w:val="28"/>
        </w:rPr>
        <w:t>a) Secteur IARD</w:t>
      </w:r>
    </w:p>
    <w:p w:rsidR="004A78F5" w:rsidRPr="00F474AA" w:rsidRDefault="004A78F5" w:rsidP="00F83A03">
      <w:pPr>
        <w:pStyle w:val="Paragraphedeliste"/>
        <w:ind w:left="360"/>
        <w:jc w:val="both"/>
        <w:rPr>
          <w:rFonts w:cs="Arial"/>
          <w:sz w:val="28"/>
          <w:szCs w:val="28"/>
        </w:rPr>
      </w:pPr>
      <w:r w:rsidRPr="00F474AA">
        <w:rPr>
          <w:rFonts w:cs="Arial"/>
          <w:sz w:val="28"/>
          <w:szCs w:val="28"/>
        </w:rPr>
        <w:t xml:space="preserve">Le dépouillement des litiges ressortant du domaine de l’assurance IARD, met en exergue l’implication de </w:t>
      </w:r>
      <w:r w:rsidR="00190415">
        <w:rPr>
          <w:rFonts w:cs="Arial"/>
          <w:sz w:val="28"/>
          <w:szCs w:val="28"/>
        </w:rPr>
        <w:t>5</w:t>
      </w:r>
      <w:r w:rsidRPr="00F474AA">
        <w:rPr>
          <w:rFonts w:cs="Arial"/>
          <w:sz w:val="28"/>
          <w:szCs w:val="28"/>
        </w:rPr>
        <w:t xml:space="preserve"> compagnies IARD</w:t>
      </w:r>
      <w:r w:rsidR="00F71375">
        <w:rPr>
          <w:rFonts w:cs="Arial"/>
          <w:sz w:val="28"/>
          <w:szCs w:val="28"/>
        </w:rPr>
        <w:t xml:space="preserve"> </w:t>
      </w:r>
      <w:r w:rsidRPr="00F474AA">
        <w:rPr>
          <w:rFonts w:cs="Arial"/>
          <w:sz w:val="28"/>
          <w:szCs w:val="28"/>
        </w:rPr>
        <w:t>sur les dix-</w:t>
      </w:r>
      <w:r w:rsidR="00190415">
        <w:rPr>
          <w:rFonts w:cs="Arial"/>
          <w:sz w:val="28"/>
          <w:szCs w:val="28"/>
        </w:rPr>
        <w:t>neuf (19</w:t>
      </w:r>
      <w:r w:rsidRPr="00F474AA">
        <w:rPr>
          <w:rFonts w:cs="Arial"/>
          <w:sz w:val="28"/>
          <w:szCs w:val="28"/>
        </w:rPr>
        <w:t>) que compte le marché.</w:t>
      </w:r>
    </w:p>
    <w:p w:rsidR="0041515E" w:rsidRDefault="004A78F5" w:rsidP="0041515E">
      <w:pPr>
        <w:pStyle w:val="Paragraphedeliste"/>
        <w:ind w:left="360"/>
        <w:jc w:val="both"/>
        <w:rPr>
          <w:rFonts w:cs="Arial"/>
          <w:sz w:val="28"/>
          <w:szCs w:val="28"/>
        </w:rPr>
      </w:pPr>
      <w:r w:rsidRPr="00F474AA">
        <w:rPr>
          <w:rFonts w:cs="Arial"/>
          <w:sz w:val="28"/>
          <w:szCs w:val="28"/>
        </w:rPr>
        <w:t>Parmi celles-ci, une</w:t>
      </w:r>
      <w:r w:rsidR="00F71375">
        <w:rPr>
          <w:rFonts w:cs="Arial"/>
          <w:sz w:val="28"/>
          <w:szCs w:val="28"/>
        </w:rPr>
        <w:t xml:space="preserve"> </w:t>
      </w:r>
      <w:r w:rsidRPr="00F474AA">
        <w:rPr>
          <w:rFonts w:cs="Arial"/>
          <w:sz w:val="28"/>
          <w:szCs w:val="28"/>
        </w:rPr>
        <w:t>compagnie concentr</w:t>
      </w:r>
      <w:r w:rsidR="0041515E">
        <w:rPr>
          <w:rFonts w:cs="Arial"/>
          <w:sz w:val="28"/>
          <w:szCs w:val="28"/>
        </w:rPr>
        <w:t>e à elle seule 50% des litiges</w:t>
      </w:r>
    </w:p>
    <w:p w:rsidR="0041515E" w:rsidRDefault="0041515E" w:rsidP="0041515E">
      <w:pPr>
        <w:pStyle w:val="Paragraphedeliste"/>
        <w:ind w:left="360"/>
        <w:jc w:val="both"/>
        <w:rPr>
          <w:rFonts w:cs="Arial"/>
          <w:sz w:val="28"/>
          <w:szCs w:val="28"/>
        </w:rPr>
      </w:pPr>
    </w:p>
    <w:p w:rsidR="0041515E" w:rsidRDefault="0041515E" w:rsidP="0041515E">
      <w:pPr>
        <w:pStyle w:val="Paragraphedeliste"/>
        <w:ind w:left="360"/>
        <w:jc w:val="both"/>
        <w:rPr>
          <w:rFonts w:cs="Arial"/>
          <w:sz w:val="28"/>
          <w:szCs w:val="28"/>
        </w:rPr>
      </w:pPr>
    </w:p>
    <w:p w:rsidR="004A78F5" w:rsidRPr="00F474AA" w:rsidRDefault="004A78F5" w:rsidP="0041515E">
      <w:pPr>
        <w:pStyle w:val="Paragraphedeliste"/>
        <w:ind w:left="360"/>
        <w:jc w:val="both"/>
        <w:rPr>
          <w:b/>
          <w:sz w:val="28"/>
          <w:szCs w:val="28"/>
        </w:rPr>
      </w:pPr>
      <w:r w:rsidRPr="00F474AA">
        <w:rPr>
          <w:b/>
          <w:sz w:val="28"/>
          <w:szCs w:val="28"/>
        </w:rPr>
        <w:t>b) Secteur VIE</w:t>
      </w:r>
    </w:p>
    <w:p w:rsidR="004A78F5" w:rsidRPr="00F474AA" w:rsidRDefault="00190415" w:rsidP="00F83A03">
      <w:pPr>
        <w:pStyle w:val="Paragraphedeliste"/>
        <w:ind w:left="360"/>
        <w:jc w:val="both"/>
        <w:rPr>
          <w:rFonts w:cs="Arial"/>
          <w:sz w:val="28"/>
          <w:szCs w:val="28"/>
        </w:rPr>
      </w:pPr>
      <w:r>
        <w:rPr>
          <w:rFonts w:cs="Arial"/>
          <w:sz w:val="28"/>
          <w:szCs w:val="28"/>
        </w:rPr>
        <w:t xml:space="preserve">Seule une </w:t>
      </w:r>
      <w:r w:rsidR="00C40324">
        <w:rPr>
          <w:rFonts w:cs="Arial"/>
          <w:sz w:val="28"/>
          <w:szCs w:val="28"/>
        </w:rPr>
        <w:t>compagnie VIE</w:t>
      </w:r>
      <w:r>
        <w:rPr>
          <w:rFonts w:cs="Arial"/>
          <w:sz w:val="28"/>
          <w:szCs w:val="28"/>
        </w:rPr>
        <w:t xml:space="preserve"> sur les 10</w:t>
      </w:r>
      <w:r w:rsidR="004A78F5" w:rsidRPr="00F474AA">
        <w:rPr>
          <w:rFonts w:cs="Arial"/>
          <w:sz w:val="28"/>
          <w:szCs w:val="28"/>
        </w:rPr>
        <w:t xml:space="preserve"> en activité</w:t>
      </w:r>
      <w:r>
        <w:rPr>
          <w:rFonts w:cs="Arial"/>
          <w:sz w:val="28"/>
          <w:szCs w:val="28"/>
        </w:rPr>
        <w:t> </w:t>
      </w:r>
      <w:r w:rsidR="004A78F5" w:rsidRPr="00F474AA">
        <w:rPr>
          <w:rFonts w:cs="Arial"/>
          <w:sz w:val="28"/>
          <w:szCs w:val="28"/>
        </w:rPr>
        <w:t xml:space="preserve">au cours de l’exercice 2015, </w:t>
      </w:r>
      <w:r>
        <w:rPr>
          <w:rFonts w:cs="Arial"/>
          <w:sz w:val="28"/>
          <w:szCs w:val="28"/>
        </w:rPr>
        <w:t>a été impliquée</w:t>
      </w:r>
      <w:r w:rsidR="004A78F5" w:rsidRPr="00F474AA">
        <w:rPr>
          <w:rFonts w:cs="Arial"/>
          <w:sz w:val="28"/>
          <w:szCs w:val="28"/>
        </w:rPr>
        <w:t xml:space="preserve"> dans </w:t>
      </w:r>
      <w:r>
        <w:rPr>
          <w:rFonts w:cs="Arial"/>
          <w:sz w:val="28"/>
          <w:szCs w:val="28"/>
        </w:rPr>
        <w:t>un</w:t>
      </w:r>
      <w:r w:rsidR="004A78F5" w:rsidRPr="00F474AA">
        <w:rPr>
          <w:rFonts w:cs="Arial"/>
          <w:sz w:val="28"/>
          <w:szCs w:val="28"/>
        </w:rPr>
        <w:t xml:space="preserve"> déclaré</w:t>
      </w:r>
      <w:r>
        <w:rPr>
          <w:rFonts w:cs="Arial"/>
          <w:sz w:val="28"/>
          <w:szCs w:val="28"/>
        </w:rPr>
        <w:t>.</w:t>
      </w:r>
    </w:p>
    <w:p w:rsidR="004A78F5" w:rsidRPr="00F474AA" w:rsidRDefault="004A78F5" w:rsidP="00F83A03">
      <w:pPr>
        <w:ind w:left="357" w:firstLine="351"/>
        <w:jc w:val="both"/>
        <w:outlineLvl w:val="1"/>
        <w:rPr>
          <w:b/>
          <w:sz w:val="28"/>
          <w:szCs w:val="28"/>
        </w:rPr>
      </w:pPr>
      <w:bookmarkStart w:id="19" w:name="_Toc113021126"/>
      <w:r w:rsidRPr="00F474AA">
        <w:rPr>
          <w:b/>
          <w:sz w:val="28"/>
          <w:szCs w:val="28"/>
        </w:rPr>
        <w:t>2.3.</w:t>
      </w:r>
      <w:r w:rsidRPr="00F474AA">
        <w:rPr>
          <w:b/>
          <w:sz w:val="28"/>
          <w:szCs w:val="28"/>
        </w:rPr>
        <w:tab/>
        <w:t>Résultats annuels</w:t>
      </w:r>
      <w:bookmarkEnd w:id="19"/>
    </w:p>
    <w:p w:rsidR="004A78F5" w:rsidRPr="00F474AA" w:rsidRDefault="004A78F5" w:rsidP="00F83A03">
      <w:pPr>
        <w:spacing w:before="240"/>
        <w:jc w:val="both"/>
        <w:rPr>
          <w:rFonts w:cs="Arial"/>
          <w:sz w:val="28"/>
          <w:szCs w:val="28"/>
        </w:rPr>
      </w:pPr>
      <w:r w:rsidRPr="00F474AA">
        <w:rPr>
          <w:rFonts w:cs="Arial"/>
          <w:sz w:val="28"/>
          <w:szCs w:val="28"/>
        </w:rPr>
        <w:t>Courant 20</w:t>
      </w:r>
      <w:r w:rsidR="00190415">
        <w:rPr>
          <w:rFonts w:cs="Arial"/>
          <w:sz w:val="28"/>
          <w:szCs w:val="28"/>
        </w:rPr>
        <w:t>21</w:t>
      </w:r>
      <w:r w:rsidRPr="00F474AA">
        <w:rPr>
          <w:rFonts w:cs="Arial"/>
          <w:sz w:val="28"/>
          <w:szCs w:val="28"/>
        </w:rPr>
        <w:t>, les saisi</w:t>
      </w:r>
      <w:r w:rsidR="00190415">
        <w:rPr>
          <w:rFonts w:cs="Arial"/>
          <w:sz w:val="28"/>
          <w:szCs w:val="28"/>
        </w:rPr>
        <w:t>nes du Médiateur ont porté sur 4</w:t>
      </w:r>
      <w:r w:rsidRPr="00F474AA">
        <w:rPr>
          <w:rFonts w:cs="Arial"/>
          <w:sz w:val="28"/>
          <w:szCs w:val="28"/>
        </w:rPr>
        <w:t xml:space="preserve">7 dossiers contre 127 dossiers enregistrés lors du précédent exercice, soit une baisse de </w:t>
      </w:r>
      <w:r w:rsidR="00F350E1">
        <w:rPr>
          <w:rFonts w:cs="Arial"/>
          <w:sz w:val="28"/>
          <w:szCs w:val="28"/>
        </w:rPr>
        <w:t>70</w:t>
      </w:r>
      <w:r w:rsidRPr="00F474AA">
        <w:rPr>
          <w:rFonts w:cs="Arial"/>
          <w:sz w:val="28"/>
          <w:szCs w:val="28"/>
        </w:rPr>
        <w:t xml:space="preserve">%. Elles se répartissent comme suit : </w:t>
      </w:r>
      <w:r w:rsidR="00190415">
        <w:rPr>
          <w:rFonts w:cs="Arial"/>
          <w:sz w:val="28"/>
          <w:szCs w:val="28"/>
        </w:rPr>
        <w:t>46</w:t>
      </w:r>
      <w:r w:rsidRPr="00F474AA">
        <w:rPr>
          <w:rFonts w:cs="Arial"/>
          <w:sz w:val="28"/>
          <w:szCs w:val="28"/>
        </w:rPr>
        <w:t xml:space="preserve"> relevant de l’assurance IARD et 1 </w:t>
      </w:r>
      <w:r w:rsidR="00246179" w:rsidRPr="00F474AA">
        <w:rPr>
          <w:rFonts w:cs="Arial"/>
          <w:sz w:val="28"/>
          <w:szCs w:val="28"/>
        </w:rPr>
        <w:t>concernant l’assurance</w:t>
      </w:r>
      <w:r w:rsidRPr="00F474AA">
        <w:rPr>
          <w:rFonts w:cs="Arial"/>
          <w:sz w:val="28"/>
          <w:szCs w:val="28"/>
        </w:rPr>
        <w:t xml:space="preserve"> VIE.</w:t>
      </w:r>
    </w:p>
    <w:p w:rsidR="004A78F5" w:rsidRPr="00F474AA" w:rsidRDefault="004A78F5" w:rsidP="00F83A03">
      <w:pPr>
        <w:spacing w:before="240"/>
        <w:jc w:val="both"/>
        <w:rPr>
          <w:rFonts w:cs="Arial"/>
          <w:i/>
          <w:sz w:val="28"/>
          <w:szCs w:val="28"/>
        </w:rPr>
      </w:pPr>
      <w:r w:rsidRPr="00F474AA">
        <w:rPr>
          <w:rFonts w:cs="Arial"/>
          <w:sz w:val="28"/>
          <w:szCs w:val="28"/>
        </w:rPr>
        <w:t>Les règlements de l’exercice ont concerné</w:t>
      </w:r>
      <w:r w:rsidR="00246179">
        <w:rPr>
          <w:rFonts w:cs="Arial"/>
          <w:sz w:val="28"/>
          <w:szCs w:val="28"/>
        </w:rPr>
        <w:t xml:space="preserve"> 18</w:t>
      </w:r>
      <w:r w:rsidRPr="00F474AA">
        <w:rPr>
          <w:rFonts w:cs="Arial"/>
          <w:sz w:val="28"/>
          <w:szCs w:val="28"/>
        </w:rPr>
        <w:t xml:space="preserve"> dossiers IARD et 1 dossier vie sur le total de </w:t>
      </w:r>
      <w:r w:rsidR="00246179">
        <w:rPr>
          <w:rFonts w:cs="Arial"/>
          <w:sz w:val="28"/>
          <w:szCs w:val="28"/>
        </w:rPr>
        <w:t>45</w:t>
      </w:r>
      <w:r w:rsidRPr="00F474AA">
        <w:rPr>
          <w:rFonts w:cs="Arial"/>
          <w:sz w:val="28"/>
          <w:szCs w:val="28"/>
        </w:rPr>
        <w:t xml:space="preserve"> recevables,</w:t>
      </w:r>
      <w:r w:rsidR="00246179">
        <w:rPr>
          <w:rFonts w:cs="Arial"/>
          <w:sz w:val="28"/>
          <w:szCs w:val="28"/>
        </w:rPr>
        <w:t xml:space="preserve"> tandis que 10 </w:t>
      </w:r>
      <w:r w:rsidR="009E5689">
        <w:rPr>
          <w:rFonts w:cs="Arial"/>
          <w:sz w:val="28"/>
          <w:szCs w:val="28"/>
        </w:rPr>
        <w:t xml:space="preserve">accord de règlement dûment conclus entre les parties, </w:t>
      </w:r>
      <w:r w:rsidR="009E5689" w:rsidRPr="00F474AA">
        <w:rPr>
          <w:rFonts w:cs="Arial"/>
          <w:sz w:val="28"/>
          <w:szCs w:val="28"/>
        </w:rPr>
        <w:t>sont</w:t>
      </w:r>
      <w:r w:rsidR="009E5689">
        <w:rPr>
          <w:rFonts w:cs="Arial"/>
          <w:sz w:val="28"/>
          <w:szCs w:val="28"/>
        </w:rPr>
        <w:t xml:space="preserve"> restés lettre morte depuis lors. </w:t>
      </w:r>
      <w:r w:rsidRPr="00F474AA">
        <w:rPr>
          <w:rFonts w:cs="Arial"/>
          <w:sz w:val="28"/>
          <w:szCs w:val="28"/>
        </w:rPr>
        <w:t xml:space="preserve"> </w:t>
      </w:r>
      <w:r w:rsidR="00F350E1">
        <w:rPr>
          <w:rFonts w:cs="Arial"/>
          <w:sz w:val="28"/>
          <w:szCs w:val="28"/>
        </w:rPr>
        <w:t xml:space="preserve">Les 16 dossiers restants sont en attente de l’offre </w:t>
      </w:r>
      <w:r w:rsidR="00F83A03">
        <w:rPr>
          <w:rFonts w:cs="Arial"/>
          <w:sz w:val="28"/>
          <w:szCs w:val="28"/>
        </w:rPr>
        <w:t>d’indemnisation.</w:t>
      </w:r>
    </w:p>
    <w:p w:rsidR="004A78F5" w:rsidRDefault="004A78F5" w:rsidP="00F83A03">
      <w:pPr>
        <w:pStyle w:val="Paragraphedeliste"/>
        <w:spacing w:before="240"/>
        <w:jc w:val="both"/>
        <w:rPr>
          <w:rFonts w:cs="Arial"/>
          <w:sz w:val="28"/>
          <w:szCs w:val="28"/>
        </w:rPr>
      </w:pPr>
    </w:p>
    <w:p w:rsidR="00AC2A27" w:rsidRDefault="00AC2A27" w:rsidP="00F83A03">
      <w:pPr>
        <w:pStyle w:val="Paragraphedeliste"/>
        <w:spacing w:before="240"/>
        <w:jc w:val="both"/>
        <w:rPr>
          <w:rFonts w:cs="Arial"/>
          <w:sz w:val="28"/>
          <w:szCs w:val="28"/>
        </w:rPr>
      </w:pPr>
    </w:p>
    <w:p w:rsidR="00AC2A27" w:rsidRDefault="00AC2A27" w:rsidP="00F83A03">
      <w:pPr>
        <w:pStyle w:val="Paragraphedeliste"/>
        <w:spacing w:before="240"/>
        <w:jc w:val="both"/>
        <w:rPr>
          <w:rFonts w:cs="Arial"/>
          <w:sz w:val="28"/>
          <w:szCs w:val="28"/>
        </w:rPr>
      </w:pPr>
    </w:p>
    <w:p w:rsidR="00AC2A27" w:rsidRPr="00F474AA" w:rsidRDefault="00AC2A27" w:rsidP="00F83A03">
      <w:pPr>
        <w:pStyle w:val="Paragraphedeliste"/>
        <w:spacing w:before="240"/>
        <w:jc w:val="both"/>
        <w:rPr>
          <w:rFonts w:cs="Arial"/>
          <w:sz w:val="28"/>
          <w:szCs w:val="28"/>
        </w:rPr>
      </w:pPr>
    </w:p>
    <w:p w:rsidR="004A78F5" w:rsidRPr="00F474AA" w:rsidRDefault="004A78F5" w:rsidP="00F83A03">
      <w:pPr>
        <w:pStyle w:val="Paragraphedeliste"/>
        <w:spacing w:before="240"/>
        <w:jc w:val="both"/>
        <w:rPr>
          <w:rFonts w:cs="Arial"/>
          <w:sz w:val="28"/>
          <w:szCs w:val="28"/>
        </w:rPr>
      </w:pPr>
    </w:p>
    <w:p w:rsidR="004A78F5" w:rsidRPr="00F474AA" w:rsidRDefault="00170FCA" w:rsidP="00F83A03">
      <w:pPr>
        <w:pStyle w:val="Paragraphedeliste"/>
        <w:numPr>
          <w:ilvl w:val="0"/>
          <w:numId w:val="2"/>
        </w:numPr>
        <w:ind w:left="1077"/>
        <w:jc w:val="both"/>
        <w:outlineLvl w:val="0"/>
        <w:rPr>
          <w:b/>
          <w:sz w:val="28"/>
          <w:szCs w:val="28"/>
        </w:rPr>
      </w:pPr>
      <w:bookmarkStart w:id="20" w:name="_Toc113021127"/>
      <w:r>
        <w:rPr>
          <w:b/>
          <w:sz w:val="28"/>
          <w:szCs w:val="28"/>
        </w:rPr>
        <w:lastRenderedPageBreak/>
        <w:t>Conclusion - Recommandations</w:t>
      </w:r>
      <w:bookmarkEnd w:id="20"/>
    </w:p>
    <w:p w:rsidR="004A78F5" w:rsidRPr="00F474AA" w:rsidRDefault="004A78F5" w:rsidP="00F83A03">
      <w:pPr>
        <w:jc w:val="both"/>
        <w:rPr>
          <w:rFonts w:cs="Arial"/>
          <w:sz w:val="28"/>
          <w:szCs w:val="28"/>
        </w:rPr>
      </w:pPr>
      <w:r w:rsidRPr="00F474AA">
        <w:rPr>
          <w:rFonts w:cs="Arial"/>
          <w:sz w:val="28"/>
          <w:szCs w:val="28"/>
        </w:rPr>
        <w:t xml:space="preserve">De façon générale, on constate une tendance à la régression des </w:t>
      </w:r>
      <w:r w:rsidR="00B036AA">
        <w:rPr>
          <w:rFonts w:cs="Arial"/>
          <w:sz w:val="28"/>
          <w:szCs w:val="28"/>
        </w:rPr>
        <w:t xml:space="preserve">réclamations parvenues au </w:t>
      </w:r>
      <w:r w:rsidR="00E56614">
        <w:rPr>
          <w:rFonts w:cs="Arial"/>
          <w:sz w:val="28"/>
          <w:szCs w:val="28"/>
        </w:rPr>
        <w:t>Médiateur, qui</w:t>
      </w:r>
      <w:r w:rsidR="00B036AA">
        <w:rPr>
          <w:rFonts w:cs="Arial"/>
          <w:sz w:val="28"/>
          <w:szCs w:val="28"/>
        </w:rPr>
        <w:t xml:space="preserve"> nonobstant l’effet </w:t>
      </w:r>
      <w:r w:rsidR="00E56614">
        <w:rPr>
          <w:rFonts w:cs="Arial"/>
          <w:sz w:val="28"/>
          <w:szCs w:val="28"/>
        </w:rPr>
        <w:t>COVID, témoigne</w:t>
      </w:r>
      <w:r w:rsidR="00B00D32">
        <w:rPr>
          <w:rFonts w:cs="Arial"/>
          <w:sz w:val="28"/>
          <w:szCs w:val="28"/>
        </w:rPr>
        <w:t xml:space="preserve"> </w:t>
      </w:r>
      <w:r w:rsidR="00B036AA">
        <w:rPr>
          <w:rFonts w:cs="Arial"/>
          <w:sz w:val="28"/>
          <w:szCs w:val="28"/>
        </w:rPr>
        <w:t>par ailleurs</w:t>
      </w:r>
      <w:r w:rsidR="00E56614">
        <w:rPr>
          <w:rFonts w:cs="Arial"/>
          <w:sz w:val="28"/>
          <w:szCs w:val="28"/>
        </w:rPr>
        <w:t>,</w:t>
      </w:r>
      <w:r w:rsidR="00B036AA">
        <w:rPr>
          <w:rFonts w:cs="Arial"/>
          <w:sz w:val="28"/>
          <w:szCs w:val="28"/>
        </w:rPr>
        <w:t xml:space="preserve"> </w:t>
      </w:r>
      <w:r w:rsidRPr="00F474AA">
        <w:rPr>
          <w:rFonts w:cs="Arial"/>
          <w:sz w:val="28"/>
          <w:szCs w:val="28"/>
        </w:rPr>
        <w:t>de</w:t>
      </w:r>
      <w:r w:rsidR="00B00D32">
        <w:rPr>
          <w:rFonts w:cs="Arial"/>
          <w:sz w:val="28"/>
          <w:szCs w:val="28"/>
        </w:rPr>
        <w:t>s</w:t>
      </w:r>
      <w:r w:rsidRPr="00F474AA">
        <w:rPr>
          <w:rFonts w:cs="Arial"/>
          <w:sz w:val="28"/>
          <w:szCs w:val="28"/>
        </w:rPr>
        <w:t xml:space="preserve"> efforts déployés </w:t>
      </w:r>
      <w:r w:rsidR="00B036AA">
        <w:rPr>
          <w:rFonts w:cs="Arial"/>
          <w:sz w:val="28"/>
          <w:szCs w:val="28"/>
        </w:rPr>
        <w:t>par le</w:t>
      </w:r>
      <w:r w:rsidR="00B00D32">
        <w:rPr>
          <w:rFonts w:cs="Arial"/>
          <w:sz w:val="28"/>
          <w:szCs w:val="28"/>
        </w:rPr>
        <w:t xml:space="preserve">s </w:t>
      </w:r>
      <w:r w:rsidR="00B036AA">
        <w:rPr>
          <w:rFonts w:cs="Arial"/>
          <w:sz w:val="28"/>
          <w:szCs w:val="28"/>
        </w:rPr>
        <w:t>compagnies</w:t>
      </w:r>
      <w:r w:rsidR="00B00D32">
        <w:rPr>
          <w:rFonts w:cs="Arial"/>
          <w:sz w:val="28"/>
          <w:szCs w:val="28"/>
        </w:rPr>
        <w:t xml:space="preserve"> </w:t>
      </w:r>
      <w:r w:rsidRPr="00F474AA">
        <w:rPr>
          <w:rFonts w:cs="Arial"/>
          <w:sz w:val="28"/>
          <w:szCs w:val="28"/>
        </w:rPr>
        <w:t>pour endiguer le contentieux commercial afin de lui trouver des solutions en interne acceptables par le client. C’est d’ailleurs ce qui explique en partie la baisse des saisines</w:t>
      </w:r>
      <w:r w:rsidR="00B00D32">
        <w:rPr>
          <w:rFonts w:cs="Arial"/>
          <w:sz w:val="28"/>
          <w:szCs w:val="28"/>
        </w:rPr>
        <w:t xml:space="preserve"> qui</w:t>
      </w:r>
      <w:r w:rsidRPr="00F474AA">
        <w:rPr>
          <w:rFonts w:cs="Arial"/>
          <w:sz w:val="28"/>
          <w:szCs w:val="28"/>
        </w:rPr>
        <w:t xml:space="preserve"> ont enregistré sur l’exercice un recul de </w:t>
      </w:r>
      <w:r w:rsidR="00E56614">
        <w:rPr>
          <w:rFonts w:cs="Arial"/>
          <w:sz w:val="28"/>
          <w:szCs w:val="28"/>
        </w:rPr>
        <w:t>70</w:t>
      </w:r>
      <w:r w:rsidRPr="00F474AA">
        <w:rPr>
          <w:rFonts w:cs="Arial"/>
          <w:sz w:val="28"/>
          <w:szCs w:val="28"/>
        </w:rPr>
        <w:t>%.</w:t>
      </w:r>
    </w:p>
    <w:p w:rsidR="004A78F5" w:rsidRPr="00F474AA" w:rsidRDefault="004A78F5" w:rsidP="00F83A03">
      <w:pPr>
        <w:jc w:val="both"/>
        <w:rPr>
          <w:rFonts w:cs="Arial"/>
          <w:sz w:val="28"/>
          <w:szCs w:val="28"/>
        </w:rPr>
      </w:pPr>
      <w:r w:rsidRPr="00F474AA">
        <w:rPr>
          <w:rFonts w:cs="Arial"/>
          <w:sz w:val="28"/>
          <w:szCs w:val="28"/>
        </w:rPr>
        <w:t>Cependant, force</w:t>
      </w:r>
      <w:r w:rsidR="006A1A13">
        <w:rPr>
          <w:rFonts w:cs="Arial"/>
          <w:sz w:val="28"/>
          <w:szCs w:val="28"/>
        </w:rPr>
        <w:t xml:space="preserve"> est de constater la récurrence</w:t>
      </w:r>
      <w:r w:rsidRPr="00F474AA">
        <w:rPr>
          <w:rFonts w:cs="Arial"/>
          <w:sz w:val="28"/>
          <w:szCs w:val="28"/>
        </w:rPr>
        <w:t xml:space="preserve"> des mêmes complaintes, </w:t>
      </w:r>
      <w:r w:rsidR="00D13881">
        <w:rPr>
          <w:rFonts w:cs="Arial"/>
          <w:sz w:val="28"/>
          <w:szCs w:val="28"/>
        </w:rPr>
        <w:t xml:space="preserve">dont plus de la </w:t>
      </w:r>
      <w:r w:rsidR="00F83A03">
        <w:rPr>
          <w:rFonts w:cs="Arial"/>
          <w:sz w:val="28"/>
          <w:szCs w:val="28"/>
        </w:rPr>
        <w:t xml:space="preserve">moitié </w:t>
      </w:r>
      <w:r w:rsidR="00F83A03" w:rsidRPr="00F474AA">
        <w:rPr>
          <w:rFonts w:cs="Arial"/>
          <w:sz w:val="28"/>
          <w:szCs w:val="28"/>
        </w:rPr>
        <w:t>à</w:t>
      </w:r>
      <w:r w:rsidRPr="00F474AA">
        <w:rPr>
          <w:rFonts w:cs="Arial"/>
          <w:sz w:val="28"/>
          <w:szCs w:val="28"/>
        </w:rPr>
        <w:t xml:space="preserve"> l’endroit de mêmes compagnies, au nombre de </w:t>
      </w:r>
      <w:r w:rsidR="007D7401">
        <w:rPr>
          <w:rFonts w:cs="Arial"/>
          <w:sz w:val="28"/>
          <w:szCs w:val="28"/>
        </w:rPr>
        <w:t>7</w:t>
      </w:r>
      <w:r w:rsidR="006A1A13">
        <w:rPr>
          <w:rFonts w:cs="Arial"/>
          <w:sz w:val="28"/>
          <w:szCs w:val="28"/>
        </w:rPr>
        <w:t xml:space="preserve"> </w:t>
      </w:r>
      <w:r w:rsidRPr="00F474AA">
        <w:rPr>
          <w:rFonts w:cs="Arial"/>
          <w:sz w:val="28"/>
          <w:szCs w:val="28"/>
        </w:rPr>
        <w:t xml:space="preserve">au total, </w:t>
      </w:r>
      <w:r w:rsidR="006A1A13">
        <w:rPr>
          <w:rFonts w:cs="Arial"/>
          <w:sz w:val="28"/>
          <w:szCs w:val="28"/>
        </w:rPr>
        <w:t xml:space="preserve">dont 3 </w:t>
      </w:r>
      <w:r w:rsidRPr="00F474AA">
        <w:rPr>
          <w:rFonts w:cs="Arial"/>
          <w:sz w:val="28"/>
          <w:szCs w:val="28"/>
        </w:rPr>
        <w:t xml:space="preserve">concentrent à elles seules plus de </w:t>
      </w:r>
      <w:r w:rsidR="007D7401">
        <w:rPr>
          <w:rFonts w:cs="Arial"/>
          <w:sz w:val="28"/>
          <w:szCs w:val="28"/>
        </w:rPr>
        <w:t>9</w:t>
      </w:r>
      <w:r w:rsidRPr="00F474AA">
        <w:rPr>
          <w:rFonts w:cs="Arial"/>
          <w:sz w:val="28"/>
          <w:szCs w:val="28"/>
        </w:rPr>
        <w:t>0</w:t>
      </w:r>
      <w:r w:rsidR="00AC2A27" w:rsidRPr="00F474AA">
        <w:rPr>
          <w:rFonts w:cs="Arial"/>
          <w:sz w:val="28"/>
          <w:szCs w:val="28"/>
        </w:rPr>
        <w:t>% des</w:t>
      </w:r>
      <w:r w:rsidRPr="00F474AA">
        <w:rPr>
          <w:rFonts w:cs="Arial"/>
          <w:sz w:val="28"/>
          <w:szCs w:val="28"/>
        </w:rPr>
        <w:t xml:space="preserve"> récriminations.</w:t>
      </w:r>
    </w:p>
    <w:p w:rsidR="004A78F5" w:rsidRPr="00F474AA" w:rsidRDefault="004A78F5" w:rsidP="00F83A03">
      <w:pPr>
        <w:jc w:val="both"/>
        <w:rPr>
          <w:rFonts w:cs="Arial"/>
          <w:sz w:val="28"/>
          <w:szCs w:val="28"/>
        </w:rPr>
      </w:pPr>
      <w:r w:rsidRPr="00F474AA">
        <w:rPr>
          <w:rFonts w:cs="Arial"/>
          <w:sz w:val="28"/>
          <w:szCs w:val="28"/>
        </w:rPr>
        <w:t>L’analyse de l’éventail des griefs  formulés à l’encontre desdites compagnies, malgré les améliorations notables perceptibles dans la qualité de leurs services après-vente, nous amène à les exhorter davantage à maintenir le cap et à redoubler d’effort pour se mettre aux normes et contribuer ainsi à la restauration de  la confiance des assurés et bénéficiaires de contrats et par-delà, requinquer l’image du secteur, encore entachée par la ténacité des dérives décriées à cor et à cri par les usagers.</w:t>
      </w:r>
    </w:p>
    <w:p w:rsidR="004A78F5" w:rsidRPr="00F474AA" w:rsidRDefault="004A78F5" w:rsidP="00F83A03">
      <w:pPr>
        <w:jc w:val="both"/>
        <w:rPr>
          <w:rFonts w:cs="Arial"/>
          <w:sz w:val="28"/>
          <w:szCs w:val="28"/>
        </w:rPr>
      </w:pPr>
      <w:r w:rsidRPr="00F474AA">
        <w:rPr>
          <w:rFonts w:cs="Arial"/>
          <w:sz w:val="28"/>
          <w:szCs w:val="28"/>
        </w:rPr>
        <w:t>Face à cette situation, il nous revient de rappeler certains grands principes qui fondent la démarche qualité au sein d’une compagnie d’assurance afin de prévenir les litiges et de formuler subséquemment comme à l’accoutumée,</w:t>
      </w:r>
      <w:r w:rsidR="007E3B68">
        <w:rPr>
          <w:rFonts w:cs="Arial"/>
          <w:sz w:val="28"/>
          <w:szCs w:val="28"/>
        </w:rPr>
        <w:t xml:space="preserve"> </w:t>
      </w:r>
      <w:r w:rsidRPr="00F474AA">
        <w:rPr>
          <w:rFonts w:cs="Arial"/>
          <w:sz w:val="28"/>
          <w:szCs w:val="28"/>
        </w:rPr>
        <w:t>les quelques petites recommandations que nous suggère l’analyse de la situation contextuelle.</w:t>
      </w:r>
    </w:p>
    <w:p w:rsidR="004A78F5" w:rsidRPr="00F474AA" w:rsidRDefault="004A78F5" w:rsidP="00F83A03">
      <w:pPr>
        <w:pStyle w:val="Paragraphedeliste"/>
        <w:numPr>
          <w:ilvl w:val="0"/>
          <w:numId w:val="22"/>
        </w:numPr>
        <w:jc w:val="both"/>
        <w:rPr>
          <w:rFonts w:cs="Arial"/>
          <w:b/>
          <w:sz w:val="28"/>
          <w:szCs w:val="28"/>
        </w:rPr>
      </w:pPr>
      <w:r w:rsidRPr="00F474AA">
        <w:rPr>
          <w:rFonts w:cs="Arial"/>
          <w:b/>
          <w:sz w:val="28"/>
          <w:szCs w:val="28"/>
        </w:rPr>
        <w:t>Rappel de quelques principes élémentaires de la démarche qualité pour prévenir les risques de litiges au sein d’une compagnie d’assurance</w:t>
      </w:r>
    </w:p>
    <w:p w:rsidR="004A78F5" w:rsidRPr="00F474AA" w:rsidRDefault="004A78F5" w:rsidP="00F83A03">
      <w:pPr>
        <w:widowControl w:val="0"/>
        <w:numPr>
          <w:ilvl w:val="0"/>
          <w:numId w:val="23"/>
        </w:numPr>
        <w:spacing w:before="120" w:after="0" w:line="360" w:lineRule="auto"/>
        <w:contextualSpacing/>
        <w:jc w:val="both"/>
        <w:rPr>
          <w:rFonts w:eastAsia="Calibri" w:cs="Arial"/>
          <w:sz w:val="28"/>
          <w:szCs w:val="28"/>
        </w:rPr>
      </w:pPr>
      <w:r w:rsidRPr="00F474AA">
        <w:rPr>
          <w:rFonts w:eastAsia="Times New Roman" w:cs="Arial"/>
          <w:sz w:val="28"/>
          <w:szCs w:val="28"/>
          <w:lang w:eastAsia="fr-FR"/>
        </w:rPr>
        <w:t xml:space="preserve">Délivrer systématiquement à l’assuré l’information précontractuelle nécessaire pour éclairer son choix préalablement à la souscription et éviter ainsi </w:t>
      </w:r>
      <w:r w:rsidRPr="00F474AA">
        <w:rPr>
          <w:rFonts w:eastAsia="Calibri" w:cs="Arial"/>
          <w:sz w:val="28"/>
          <w:szCs w:val="28"/>
        </w:rPr>
        <w:t xml:space="preserve">l’asymétrie d’information susceptible de favoriser un consentement non éclairé de l’assuré ou sa </w:t>
      </w:r>
      <w:r w:rsidR="00F83A03" w:rsidRPr="00F474AA">
        <w:rPr>
          <w:rFonts w:eastAsia="Calibri" w:cs="Arial"/>
          <w:sz w:val="28"/>
          <w:szCs w:val="28"/>
        </w:rPr>
        <w:t xml:space="preserve">méconnaissance </w:t>
      </w:r>
      <w:r w:rsidR="00F83A03" w:rsidRPr="00F474AA">
        <w:rPr>
          <w:rFonts w:eastAsia="Times New Roman" w:cs="Arial"/>
          <w:sz w:val="28"/>
          <w:szCs w:val="28"/>
          <w:lang w:eastAsia="fr-FR"/>
        </w:rPr>
        <w:t>de</w:t>
      </w:r>
      <w:r w:rsidRPr="00F474AA">
        <w:rPr>
          <w:rFonts w:eastAsia="Times New Roman" w:cs="Arial"/>
          <w:sz w:val="28"/>
          <w:szCs w:val="28"/>
          <w:lang w:eastAsia="fr-FR"/>
        </w:rPr>
        <w:t xml:space="preserve"> la relation entre la prime et le risque et </w:t>
      </w:r>
      <w:r w:rsidRPr="00F474AA">
        <w:rPr>
          <w:rFonts w:eastAsia="Calibri" w:cs="Arial"/>
          <w:sz w:val="28"/>
          <w:szCs w:val="28"/>
        </w:rPr>
        <w:t>les conditions applicables à son contrat à la souscription</w:t>
      </w:r>
      <w:r w:rsidR="00B00D32">
        <w:rPr>
          <w:rFonts w:eastAsia="Calibri" w:cs="Arial"/>
          <w:sz w:val="28"/>
          <w:szCs w:val="28"/>
        </w:rPr>
        <w:t> ;</w:t>
      </w:r>
      <w:r w:rsidRPr="00F474AA">
        <w:rPr>
          <w:rFonts w:eastAsia="Times New Roman" w:cs="Arial"/>
          <w:sz w:val="28"/>
          <w:szCs w:val="28"/>
          <w:lang w:eastAsia="fr-FR"/>
        </w:rPr>
        <w:t> </w:t>
      </w:r>
    </w:p>
    <w:p w:rsidR="004A78F5" w:rsidRPr="00F474AA" w:rsidRDefault="004A78F5" w:rsidP="00F83A03">
      <w:pPr>
        <w:spacing w:after="120" w:line="360" w:lineRule="auto"/>
        <w:ind w:left="426"/>
        <w:contextualSpacing/>
        <w:jc w:val="both"/>
        <w:rPr>
          <w:rFonts w:eastAsia="Times New Roman" w:cs="Arial"/>
          <w:sz w:val="28"/>
          <w:szCs w:val="28"/>
          <w:lang w:eastAsia="fr-FR"/>
        </w:rPr>
      </w:pPr>
    </w:p>
    <w:p w:rsidR="004A78F5" w:rsidRPr="00B00D32" w:rsidRDefault="004A78F5" w:rsidP="00F83A03">
      <w:pPr>
        <w:pStyle w:val="Paragraphedeliste"/>
        <w:numPr>
          <w:ilvl w:val="0"/>
          <w:numId w:val="23"/>
        </w:numPr>
        <w:spacing w:after="120" w:line="360" w:lineRule="auto"/>
        <w:jc w:val="both"/>
        <w:rPr>
          <w:rFonts w:eastAsia="Times New Roman" w:cs="Arial"/>
          <w:sz w:val="28"/>
          <w:szCs w:val="28"/>
          <w:lang w:eastAsia="fr-FR"/>
        </w:rPr>
      </w:pPr>
      <w:r w:rsidRPr="00B00D32">
        <w:rPr>
          <w:rFonts w:eastAsia="Times New Roman" w:cs="Arial"/>
          <w:sz w:val="28"/>
          <w:szCs w:val="28"/>
          <w:lang w:eastAsia="fr-FR"/>
        </w:rPr>
        <w:t xml:space="preserve">Instaurer la </w:t>
      </w:r>
      <w:r w:rsidR="00F83A03" w:rsidRPr="00B00D32">
        <w:rPr>
          <w:rFonts w:eastAsia="Times New Roman" w:cs="Arial"/>
          <w:sz w:val="28"/>
          <w:szCs w:val="28"/>
          <w:lang w:eastAsia="fr-FR"/>
        </w:rPr>
        <w:t>transparence tarifaire</w:t>
      </w:r>
      <w:r w:rsidRPr="00B00D32">
        <w:rPr>
          <w:rFonts w:eastAsia="Times New Roman" w:cs="Arial"/>
          <w:sz w:val="28"/>
          <w:szCs w:val="28"/>
          <w:lang w:eastAsia="fr-FR"/>
        </w:rPr>
        <w:t xml:space="preserve"> en n’entretenant aucune zone d’ombre dans les modalités d’application des tarifs en vigueur</w:t>
      </w:r>
      <w:r w:rsidR="00B00D32">
        <w:rPr>
          <w:rFonts w:eastAsia="Times New Roman" w:cs="Arial"/>
          <w:sz w:val="28"/>
          <w:szCs w:val="28"/>
          <w:lang w:eastAsia="fr-FR"/>
        </w:rPr>
        <w:t> ;</w:t>
      </w:r>
    </w:p>
    <w:p w:rsidR="004A78F5" w:rsidRPr="00F474AA" w:rsidRDefault="004A78F5" w:rsidP="00F83A03">
      <w:pPr>
        <w:pStyle w:val="Paragraphedeliste"/>
        <w:jc w:val="both"/>
        <w:rPr>
          <w:rFonts w:eastAsia="Times New Roman" w:cs="Arial"/>
          <w:sz w:val="28"/>
          <w:szCs w:val="28"/>
          <w:lang w:eastAsia="fr-FR"/>
        </w:rPr>
      </w:pPr>
    </w:p>
    <w:p w:rsidR="004A78F5" w:rsidRDefault="004A78F5" w:rsidP="00F83A03">
      <w:pPr>
        <w:numPr>
          <w:ilvl w:val="0"/>
          <w:numId w:val="23"/>
        </w:numPr>
        <w:spacing w:after="120" w:line="360" w:lineRule="auto"/>
        <w:ind w:left="426"/>
        <w:contextualSpacing/>
        <w:jc w:val="both"/>
        <w:rPr>
          <w:rFonts w:eastAsia="Times New Roman" w:cs="Arial"/>
          <w:sz w:val="28"/>
          <w:szCs w:val="28"/>
          <w:lang w:eastAsia="fr-FR"/>
        </w:rPr>
      </w:pPr>
      <w:r w:rsidRPr="00F474AA">
        <w:rPr>
          <w:rFonts w:eastAsia="Times New Roman" w:cs="Arial"/>
          <w:sz w:val="28"/>
          <w:szCs w:val="28"/>
          <w:lang w:eastAsia="fr-FR"/>
        </w:rPr>
        <w:t>Réduire les délais de règlement des sinistres et à cet effet procéder à la nomination sans délai des experts dès la survenance du sinistre et leur assigner des délais impératifs de production des rapports ;</w:t>
      </w:r>
    </w:p>
    <w:p w:rsidR="00B00D32" w:rsidRDefault="00B00D32" w:rsidP="00F83A03">
      <w:pPr>
        <w:pStyle w:val="Paragraphedeliste"/>
        <w:jc w:val="both"/>
        <w:rPr>
          <w:rFonts w:eastAsia="Times New Roman" w:cs="Arial"/>
          <w:sz w:val="28"/>
          <w:szCs w:val="28"/>
          <w:lang w:eastAsia="fr-FR"/>
        </w:rPr>
      </w:pPr>
    </w:p>
    <w:p w:rsidR="00D34AB4" w:rsidRDefault="00D34AB4" w:rsidP="00F83A03">
      <w:pPr>
        <w:numPr>
          <w:ilvl w:val="0"/>
          <w:numId w:val="23"/>
        </w:numPr>
        <w:spacing w:after="120" w:line="360" w:lineRule="auto"/>
        <w:ind w:left="426"/>
        <w:contextualSpacing/>
        <w:jc w:val="both"/>
        <w:rPr>
          <w:rFonts w:eastAsia="Times New Roman" w:cs="Arial"/>
          <w:sz w:val="28"/>
          <w:szCs w:val="28"/>
          <w:lang w:eastAsia="fr-FR"/>
        </w:rPr>
      </w:pPr>
      <w:r>
        <w:rPr>
          <w:rFonts w:eastAsia="Times New Roman" w:cs="Arial"/>
          <w:sz w:val="28"/>
          <w:szCs w:val="28"/>
          <w:lang w:eastAsia="fr-FR"/>
        </w:rPr>
        <w:t>Réduire la fréquence et les motifs de contestation d’expertise et à cet égard préciser plus strictement les limites de la mission des experts ;</w:t>
      </w:r>
    </w:p>
    <w:p w:rsidR="004A78F5" w:rsidRDefault="005E6C23" w:rsidP="00F83A03">
      <w:pPr>
        <w:spacing w:after="120" w:line="360" w:lineRule="auto"/>
        <w:jc w:val="both"/>
        <w:rPr>
          <w:rFonts w:eastAsia="Times New Roman" w:cs="Arial"/>
          <w:sz w:val="28"/>
          <w:szCs w:val="28"/>
          <w:lang w:eastAsia="fr-FR"/>
        </w:rPr>
      </w:pPr>
      <w:r>
        <w:rPr>
          <w:rFonts w:eastAsia="Times New Roman" w:cs="Arial"/>
          <w:sz w:val="28"/>
          <w:szCs w:val="28"/>
          <w:lang w:eastAsia="fr-FR"/>
        </w:rPr>
        <w:t xml:space="preserve">-  </w:t>
      </w:r>
      <w:r w:rsidR="00D34AB4">
        <w:rPr>
          <w:rFonts w:eastAsia="Times New Roman" w:cs="Arial"/>
          <w:sz w:val="28"/>
          <w:szCs w:val="28"/>
          <w:lang w:eastAsia="fr-FR"/>
        </w:rPr>
        <w:t xml:space="preserve"> </w:t>
      </w:r>
      <w:r w:rsidR="004A78F5" w:rsidRPr="00F474AA">
        <w:rPr>
          <w:rFonts w:eastAsia="Times New Roman" w:cs="Arial"/>
          <w:sz w:val="28"/>
          <w:szCs w:val="28"/>
          <w:lang w:eastAsia="fr-FR"/>
        </w:rPr>
        <w:t xml:space="preserve">Favoriser la modulation des franchises contractuelles de façon à éviter </w:t>
      </w:r>
      <w:r w:rsidR="00F83A03" w:rsidRPr="00F474AA">
        <w:rPr>
          <w:rFonts w:eastAsia="Times New Roman" w:cs="Arial"/>
          <w:sz w:val="28"/>
          <w:szCs w:val="28"/>
          <w:lang w:eastAsia="fr-FR"/>
        </w:rPr>
        <w:t xml:space="preserve">les </w:t>
      </w:r>
      <w:r w:rsidR="00F83A03">
        <w:rPr>
          <w:rFonts w:eastAsia="Times New Roman" w:cs="Arial"/>
          <w:sz w:val="28"/>
          <w:szCs w:val="28"/>
          <w:lang w:eastAsia="fr-FR"/>
        </w:rPr>
        <w:t>«</w:t>
      </w:r>
      <w:r w:rsidR="004A78F5" w:rsidRPr="00F474AA">
        <w:rPr>
          <w:rFonts w:eastAsia="Times New Roman" w:cs="Arial"/>
          <w:sz w:val="28"/>
          <w:szCs w:val="28"/>
          <w:lang w:eastAsia="fr-FR"/>
        </w:rPr>
        <w:t> sinistres de franchises »</w:t>
      </w:r>
      <w:r w:rsidR="00B00D32">
        <w:rPr>
          <w:rFonts w:eastAsia="Times New Roman" w:cs="Arial"/>
          <w:sz w:val="28"/>
          <w:szCs w:val="28"/>
          <w:lang w:eastAsia="fr-FR"/>
        </w:rPr>
        <w:t> ;</w:t>
      </w:r>
    </w:p>
    <w:p w:rsidR="004A78F5" w:rsidRDefault="00F83A03" w:rsidP="00F83A03">
      <w:pPr>
        <w:widowControl w:val="0"/>
        <w:numPr>
          <w:ilvl w:val="0"/>
          <w:numId w:val="25"/>
        </w:numPr>
        <w:spacing w:before="120" w:after="0" w:line="360" w:lineRule="auto"/>
        <w:ind w:left="357" w:hanging="357"/>
        <w:contextualSpacing/>
        <w:jc w:val="both"/>
        <w:rPr>
          <w:rFonts w:eastAsia="Calibri" w:cs="Arial"/>
          <w:sz w:val="28"/>
          <w:szCs w:val="28"/>
        </w:rPr>
      </w:pPr>
      <w:r w:rsidRPr="00F474AA">
        <w:rPr>
          <w:rFonts w:eastAsia="Calibri" w:cs="Arial"/>
          <w:sz w:val="28"/>
          <w:szCs w:val="28"/>
        </w:rPr>
        <w:t>S’astreindre</w:t>
      </w:r>
      <w:r w:rsidR="004A78F5" w:rsidRPr="00F474AA">
        <w:rPr>
          <w:rFonts w:eastAsia="Calibri" w:cs="Arial"/>
          <w:sz w:val="28"/>
          <w:szCs w:val="28"/>
        </w:rPr>
        <w:t xml:space="preserve"> au respect rigoureux des engagements contractuels : respect des délais de règlement et propositions d’indemnités en adéquation avec les quantums de préjudices subis ; </w:t>
      </w:r>
    </w:p>
    <w:p w:rsidR="00B00D32" w:rsidRPr="00F474AA" w:rsidRDefault="00B00D32" w:rsidP="00F83A03">
      <w:pPr>
        <w:widowControl w:val="0"/>
        <w:spacing w:before="120" w:after="0" w:line="360" w:lineRule="auto"/>
        <w:ind w:left="357"/>
        <w:contextualSpacing/>
        <w:jc w:val="both"/>
        <w:rPr>
          <w:rFonts w:eastAsia="Calibri" w:cs="Arial"/>
          <w:sz w:val="28"/>
          <w:szCs w:val="28"/>
        </w:rPr>
      </w:pPr>
    </w:p>
    <w:p w:rsidR="004A78F5" w:rsidRDefault="00F83A03" w:rsidP="00F83A03">
      <w:pPr>
        <w:widowControl w:val="0"/>
        <w:numPr>
          <w:ilvl w:val="0"/>
          <w:numId w:val="25"/>
        </w:numPr>
        <w:spacing w:before="120" w:after="0" w:line="360" w:lineRule="auto"/>
        <w:ind w:left="357" w:hanging="357"/>
        <w:contextualSpacing/>
        <w:jc w:val="both"/>
        <w:rPr>
          <w:rFonts w:eastAsia="Times New Roman" w:cs="Arial"/>
          <w:sz w:val="28"/>
          <w:szCs w:val="28"/>
          <w:lang w:eastAsia="fr-FR"/>
        </w:rPr>
      </w:pPr>
      <w:r w:rsidRPr="00F474AA">
        <w:rPr>
          <w:rFonts w:eastAsia="Times New Roman" w:cs="Arial"/>
          <w:sz w:val="28"/>
          <w:szCs w:val="28"/>
          <w:lang w:eastAsia="fr-FR"/>
        </w:rPr>
        <w:t>Diligenter le</w:t>
      </w:r>
      <w:r w:rsidR="004A78F5" w:rsidRPr="00F474AA">
        <w:rPr>
          <w:rFonts w:eastAsia="Times New Roman" w:cs="Arial"/>
          <w:sz w:val="28"/>
          <w:szCs w:val="28"/>
          <w:lang w:eastAsia="fr-FR"/>
        </w:rPr>
        <w:t xml:space="preserve"> traitement des requêtes des usagers, notamment celles portant sur des demandes de modifications de contrats ou des demandes d’information ;</w:t>
      </w:r>
    </w:p>
    <w:p w:rsidR="00B00D32" w:rsidRDefault="00B00D32" w:rsidP="00F83A03">
      <w:pPr>
        <w:pStyle w:val="Paragraphedeliste"/>
        <w:jc w:val="both"/>
        <w:rPr>
          <w:rFonts w:eastAsia="Times New Roman" w:cs="Arial"/>
          <w:sz w:val="28"/>
          <w:szCs w:val="28"/>
          <w:lang w:eastAsia="fr-FR"/>
        </w:rPr>
      </w:pPr>
    </w:p>
    <w:p w:rsidR="004A78F5" w:rsidRPr="00B00D32" w:rsidRDefault="004A78F5" w:rsidP="00F83A03">
      <w:pPr>
        <w:widowControl w:val="0"/>
        <w:numPr>
          <w:ilvl w:val="0"/>
          <w:numId w:val="25"/>
        </w:numPr>
        <w:spacing w:before="120" w:after="0" w:line="360" w:lineRule="auto"/>
        <w:ind w:left="357" w:hanging="357"/>
        <w:contextualSpacing/>
        <w:jc w:val="both"/>
        <w:rPr>
          <w:rFonts w:eastAsia="Times New Roman" w:cs="Arial"/>
          <w:b/>
          <w:sz w:val="28"/>
          <w:szCs w:val="28"/>
          <w:lang w:eastAsia="fr-FR"/>
        </w:rPr>
      </w:pPr>
      <w:r w:rsidRPr="00F474AA">
        <w:rPr>
          <w:rFonts w:eastAsia="Times New Roman" w:cs="Arial"/>
          <w:sz w:val="28"/>
          <w:szCs w:val="28"/>
          <w:lang w:eastAsia="fr-FR"/>
        </w:rPr>
        <w:t>Ecourter au minimum les procédures d’instruction des sinistres</w:t>
      </w:r>
      <w:r w:rsidR="00B00D32">
        <w:rPr>
          <w:rFonts w:eastAsia="Times New Roman" w:cs="Arial"/>
          <w:sz w:val="28"/>
          <w:szCs w:val="28"/>
          <w:lang w:eastAsia="fr-FR"/>
        </w:rPr>
        <w:t>, dont les lenteurs</w:t>
      </w:r>
      <w:r w:rsidRPr="00F474AA">
        <w:rPr>
          <w:rFonts w:eastAsia="Times New Roman" w:cs="Arial"/>
          <w:sz w:val="28"/>
          <w:szCs w:val="28"/>
          <w:lang w:eastAsia="fr-FR"/>
        </w:rPr>
        <w:t xml:space="preserve"> p</w:t>
      </w:r>
      <w:r w:rsidR="00B00D32">
        <w:rPr>
          <w:rFonts w:eastAsia="Times New Roman" w:cs="Arial"/>
          <w:sz w:val="28"/>
          <w:szCs w:val="28"/>
          <w:lang w:eastAsia="fr-FR"/>
        </w:rPr>
        <w:t>euvent</w:t>
      </w:r>
      <w:r w:rsidRPr="00F474AA">
        <w:rPr>
          <w:rFonts w:eastAsia="Times New Roman" w:cs="Arial"/>
          <w:sz w:val="28"/>
          <w:szCs w:val="28"/>
          <w:lang w:eastAsia="fr-FR"/>
        </w:rPr>
        <w:t xml:space="preserve"> inciter des assurés à accepter des règlements transactionnels nettement en deçà des engagements contractuels de l’assureur ;</w:t>
      </w:r>
    </w:p>
    <w:p w:rsidR="00B00D32" w:rsidRDefault="00B00D32" w:rsidP="00F83A03">
      <w:pPr>
        <w:pStyle w:val="Paragraphedeliste"/>
        <w:jc w:val="both"/>
        <w:rPr>
          <w:rFonts w:eastAsia="Times New Roman" w:cs="Arial"/>
          <w:b/>
          <w:sz w:val="28"/>
          <w:szCs w:val="28"/>
          <w:lang w:eastAsia="fr-FR"/>
        </w:rPr>
      </w:pPr>
    </w:p>
    <w:p w:rsidR="004A78F5" w:rsidRDefault="004A78F5" w:rsidP="00F83A03">
      <w:pPr>
        <w:pStyle w:val="Paragraphedeliste"/>
        <w:numPr>
          <w:ilvl w:val="0"/>
          <w:numId w:val="25"/>
        </w:numPr>
        <w:spacing w:after="120" w:line="360" w:lineRule="auto"/>
        <w:jc w:val="both"/>
        <w:rPr>
          <w:rFonts w:eastAsia="Times New Roman" w:cs="Arial"/>
          <w:sz w:val="28"/>
          <w:szCs w:val="28"/>
          <w:lang w:eastAsia="fr-FR"/>
        </w:rPr>
      </w:pPr>
      <w:r w:rsidRPr="00F474AA">
        <w:rPr>
          <w:rFonts w:eastAsia="Times New Roman" w:cs="Arial"/>
          <w:sz w:val="28"/>
          <w:szCs w:val="28"/>
          <w:lang w:eastAsia="fr-FR"/>
        </w:rPr>
        <w:lastRenderedPageBreak/>
        <w:t>Transmettre systématiquement aux assurés les résumés des polices, avant leur date de renouvellement ;</w:t>
      </w:r>
    </w:p>
    <w:p w:rsidR="00B00D32" w:rsidRPr="00B00D32" w:rsidRDefault="00B00D32" w:rsidP="00F83A03">
      <w:pPr>
        <w:pStyle w:val="Paragraphedeliste"/>
        <w:jc w:val="both"/>
        <w:rPr>
          <w:rFonts w:eastAsia="Times New Roman" w:cs="Arial"/>
          <w:sz w:val="28"/>
          <w:szCs w:val="28"/>
          <w:lang w:eastAsia="fr-FR"/>
        </w:rPr>
      </w:pPr>
    </w:p>
    <w:p w:rsidR="005E6C23" w:rsidRDefault="00D34AB4" w:rsidP="00F83A03">
      <w:pPr>
        <w:pStyle w:val="Paragraphedeliste"/>
        <w:numPr>
          <w:ilvl w:val="0"/>
          <w:numId w:val="25"/>
        </w:numPr>
        <w:spacing w:after="120" w:line="360" w:lineRule="auto"/>
        <w:jc w:val="both"/>
        <w:rPr>
          <w:rFonts w:eastAsia="Times New Roman" w:cs="Arial"/>
          <w:sz w:val="28"/>
          <w:szCs w:val="28"/>
          <w:lang w:eastAsia="fr-FR"/>
        </w:rPr>
      </w:pPr>
      <w:r>
        <w:rPr>
          <w:rFonts w:eastAsia="Times New Roman" w:cs="Arial"/>
          <w:sz w:val="28"/>
          <w:szCs w:val="28"/>
          <w:lang w:eastAsia="fr-FR"/>
        </w:rPr>
        <w:t>Amél</w:t>
      </w:r>
      <w:r w:rsidR="005E6C23">
        <w:rPr>
          <w:rFonts w:eastAsia="Times New Roman" w:cs="Arial"/>
          <w:sz w:val="28"/>
          <w:szCs w:val="28"/>
          <w:lang w:eastAsia="fr-FR"/>
        </w:rPr>
        <w:t>io</w:t>
      </w:r>
      <w:r>
        <w:rPr>
          <w:rFonts w:eastAsia="Times New Roman" w:cs="Arial"/>
          <w:sz w:val="28"/>
          <w:szCs w:val="28"/>
          <w:lang w:eastAsia="fr-FR"/>
        </w:rPr>
        <w:t>rer la qualité des conseils donnés aux clients grâce au renforcement de la formation des conseillers clientèle, à la multiplication et la systématisation des visites-clientèles ;</w:t>
      </w:r>
    </w:p>
    <w:p w:rsidR="00B00D32" w:rsidRPr="00B00D32" w:rsidRDefault="00B00D32" w:rsidP="00F83A03">
      <w:pPr>
        <w:pStyle w:val="Paragraphedeliste"/>
        <w:jc w:val="both"/>
        <w:rPr>
          <w:rFonts w:eastAsia="Times New Roman" w:cs="Arial"/>
          <w:sz w:val="28"/>
          <w:szCs w:val="28"/>
          <w:lang w:eastAsia="fr-FR"/>
        </w:rPr>
      </w:pPr>
    </w:p>
    <w:p w:rsidR="00B00D32" w:rsidRDefault="00B00D32" w:rsidP="00F83A03">
      <w:pPr>
        <w:pStyle w:val="Paragraphedeliste"/>
        <w:spacing w:after="120" w:line="360" w:lineRule="auto"/>
        <w:ind w:left="360"/>
        <w:jc w:val="both"/>
        <w:rPr>
          <w:rFonts w:eastAsia="Times New Roman" w:cs="Arial"/>
          <w:sz w:val="28"/>
          <w:szCs w:val="28"/>
          <w:lang w:eastAsia="fr-FR"/>
        </w:rPr>
      </w:pPr>
    </w:p>
    <w:p w:rsidR="00EC7E19" w:rsidRDefault="00EC7E19" w:rsidP="00F83A03">
      <w:pPr>
        <w:pStyle w:val="Paragraphedeliste"/>
        <w:spacing w:after="120" w:line="360" w:lineRule="auto"/>
        <w:ind w:left="360"/>
        <w:jc w:val="both"/>
        <w:rPr>
          <w:rFonts w:eastAsia="Times New Roman" w:cs="Arial"/>
          <w:sz w:val="28"/>
          <w:szCs w:val="28"/>
          <w:lang w:eastAsia="fr-FR"/>
        </w:rPr>
      </w:pPr>
    </w:p>
    <w:p w:rsidR="00EC7E19" w:rsidRDefault="00EC7E19" w:rsidP="00F83A03">
      <w:pPr>
        <w:pStyle w:val="Paragraphedeliste"/>
        <w:spacing w:after="120" w:line="360" w:lineRule="auto"/>
        <w:ind w:left="360"/>
        <w:jc w:val="both"/>
        <w:rPr>
          <w:rFonts w:eastAsia="Times New Roman" w:cs="Arial"/>
          <w:sz w:val="28"/>
          <w:szCs w:val="28"/>
          <w:lang w:eastAsia="fr-FR"/>
        </w:rPr>
      </w:pPr>
    </w:p>
    <w:p w:rsidR="00EC7E19" w:rsidRPr="00F474AA" w:rsidRDefault="00EC7E19" w:rsidP="00F83A03">
      <w:pPr>
        <w:pStyle w:val="Paragraphedeliste"/>
        <w:spacing w:after="120" w:line="360" w:lineRule="auto"/>
        <w:ind w:left="360"/>
        <w:jc w:val="both"/>
        <w:rPr>
          <w:rFonts w:eastAsia="Times New Roman" w:cs="Arial"/>
          <w:sz w:val="28"/>
          <w:szCs w:val="28"/>
          <w:lang w:eastAsia="fr-FR"/>
        </w:rPr>
      </w:pPr>
    </w:p>
    <w:p w:rsidR="004A78F5" w:rsidRPr="00F474AA" w:rsidRDefault="004A78F5" w:rsidP="00F83A03">
      <w:pPr>
        <w:pStyle w:val="Paragraphedeliste"/>
        <w:numPr>
          <w:ilvl w:val="0"/>
          <w:numId w:val="22"/>
        </w:numPr>
        <w:jc w:val="both"/>
        <w:rPr>
          <w:rFonts w:cs="Arial"/>
          <w:b/>
          <w:sz w:val="28"/>
          <w:szCs w:val="28"/>
        </w:rPr>
      </w:pPr>
      <w:r w:rsidRPr="00F474AA">
        <w:rPr>
          <w:rFonts w:cs="Arial"/>
          <w:b/>
          <w:sz w:val="28"/>
          <w:szCs w:val="28"/>
        </w:rPr>
        <w:t xml:space="preserve">Recommandations </w:t>
      </w:r>
    </w:p>
    <w:p w:rsidR="004A78F5" w:rsidRDefault="004A78F5" w:rsidP="00F83A03">
      <w:pPr>
        <w:jc w:val="both"/>
        <w:rPr>
          <w:rFonts w:cs="Arial"/>
          <w:sz w:val="28"/>
          <w:szCs w:val="28"/>
        </w:rPr>
      </w:pPr>
      <w:r>
        <w:rPr>
          <w:rFonts w:cs="Arial"/>
          <w:sz w:val="28"/>
          <w:szCs w:val="28"/>
        </w:rPr>
        <w:t>L’analyse des différents problèmes recensés à l’issue du décryptage des dossiers qui nous été soumis pour médiation, nous amène à formuler les quelques recommandations suivantes :</w:t>
      </w:r>
    </w:p>
    <w:p w:rsidR="00E56614" w:rsidRPr="00F474AA" w:rsidRDefault="00E56614" w:rsidP="00F83A03">
      <w:pPr>
        <w:jc w:val="both"/>
        <w:rPr>
          <w:rFonts w:cs="Arial"/>
          <w:sz w:val="28"/>
          <w:szCs w:val="28"/>
        </w:rPr>
      </w:pPr>
    </w:p>
    <w:p w:rsidR="004A78F5" w:rsidRPr="00F474AA" w:rsidRDefault="004A78F5" w:rsidP="00F83A03">
      <w:pPr>
        <w:jc w:val="both"/>
        <w:rPr>
          <w:rFonts w:cs="Arial"/>
          <w:b/>
          <w:sz w:val="28"/>
          <w:szCs w:val="28"/>
        </w:rPr>
      </w:pPr>
      <w:r w:rsidRPr="00F474AA">
        <w:rPr>
          <w:rFonts w:cs="Arial"/>
          <w:b/>
          <w:sz w:val="28"/>
          <w:szCs w:val="28"/>
        </w:rPr>
        <w:t>R.1.Information précontractuelle</w:t>
      </w:r>
    </w:p>
    <w:p w:rsidR="004A78F5" w:rsidRPr="00F474AA" w:rsidRDefault="004A78F5" w:rsidP="00F83A03">
      <w:pPr>
        <w:jc w:val="both"/>
        <w:rPr>
          <w:rFonts w:cs="Arial"/>
          <w:sz w:val="28"/>
          <w:szCs w:val="28"/>
        </w:rPr>
      </w:pPr>
      <w:r w:rsidRPr="00F474AA">
        <w:rPr>
          <w:rFonts w:cs="Arial"/>
          <w:sz w:val="28"/>
          <w:szCs w:val="28"/>
        </w:rPr>
        <w:t>Pour éviter toute méprise de l’assuré sur les conditions applicables à son contrat, les compagnies doivent s’attacher du mieux qu’elles peuvent à fournir aux assurés les informations précontractuelles requises pour cerner l’étendue des garanties et les clauses contractuelles dont elles sont assorties , dont notamment, les modalités de résiliation, les exclusions, les plafonds de couverture, les causes de déchéance et les modalités de règlement de l’indemnité de sinistre ; toutes choses dont la connaissance par l’assuré doit précéder la conclusion du contrat.</w:t>
      </w:r>
    </w:p>
    <w:p w:rsidR="004A78F5" w:rsidRPr="00F474AA" w:rsidRDefault="004A78F5" w:rsidP="00F83A03">
      <w:pPr>
        <w:spacing w:after="0" w:line="240" w:lineRule="auto"/>
        <w:contextualSpacing/>
        <w:jc w:val="both"/>
        <w:rPr>
          <w:rFonts w:cs="Arial"/>
          <w:sz w:val="28"/>
          <w:szCs w:val="28"/>
        </w:rPr>
      </w:pPr>
    </w:p>
    <w:p w:rsidR="004A78F5" w:rsidRPr="00F474AA" w:rsidRDefault="004A78F5" w:rsidP="00F83A03">
      <w:pPr>
        <w:jc w:val="both"/>
        <w:rPr>
          <w:rFonts w:cs="Arial"/>
          <w:b/>
          <w:sz w:val="28"/>
          <w:szCs w:val="28"/>
        </w:rPr>
      </w:pPr>
      <w:r w:rsidRPr="00F474AA">
        <w:rPr>
          <w:rFonts w:cs="Arial"/>
          <w:b/>
          <w:sz w:val="28"/>
          <w:szCs w:val="28"/>
        </w:rPr>
        <w:t xml:space="preserve">R.2.Révision </w:t>
      </w:r>
      <w:r w:rsidR="00F83A03">
        <w:rPr>
          <w:rFonts w:cs="Arial"/>
          <w:b/>
          <w:sz w:val="28"/>
          <w:szCs w:val="28"/>
        </w:rPr>
        <w:t xml:space="preserve">du </w:t>
      </w:r>
      <w:r w:rsidRPr="00F474AA">
        <w:rPr>
          <w:rFonts w:cs="Arial"/>
          <w:b/>
          <w:sz w:val="28"/>
          <w:szCs w:val="28"/>
        </w:rPr>
        <w:t>taux horaire main d’œuvre</w:t>
      </w:r>
    </w:p>
    <w:p w:rsidR="004A78F5" w:rsidRPr="00F474AA" w:rsidRDefault="004A78F5" w:rsidP="00F83A03">
      <w:pPr>
        <w:spacing w:after="0" w:line="360" w:lineRule="auto"/>
        <w:ind w:left="360"/>
        <w:jc w:val="both"/>
        <w:rPr>
          <w:rFonts w:cs="Arial"/>
          <w:sz w:val="28"/>
          <w:szCs w:val="28"/>
        </w:rPr>
      </w:pPr>
      <w:r w:rsidRPr="00F474AA">
        <w:rPr>
          <w:rFonts w:cs="Arial"/>
          <w:sz w:val="28"/>
          <w:szCs w:val="28"/>
        </w:rPr>
        <w:lastRenderedPageBreak/>
        <w:t xml:space="preserve">Les disparités constatées dans la fixation des taux horaires de main d’œuvre sont sources de multiples contestations élevées par les allocataires d’indemnités de réparation par suite de leur implication dans des accidents de circulation.  Ce phénomène qui apparaît aux yeux de ces derniers comme un traitement discriminatoire en matière de vente, doit être jugulé et faire l’objet d’un traitement approprié par les acteurs du secteur, car il est anachronique de constater dans la fixation du taux horaire des écarts variant du simple au triple, voire au quadruple. Pour cette raison, nous en appelons à tous, régulateur, sociétés d’assurances membres de </w:t>
      </w:r>
      <w:r w:rsidR="006A1A13">
        <w:rPr>
          <w:rFonts w:cs="Arial"/>
          <w:sz w:val="28"/>
          <w:szCs w:val="28"/>
        </w:rPr>
        <w:t>L’AAS</w:t>
      </w:r>
      <w:r w:rsidRPr="00F474AA">
        <w:rPr>
          <w:rFonts w:cs="Arial"/>
          <w:sz w:val="28"/>
          <w:szCs w:val="28"/>
        </w:rPr>
        <w:t xml:space="preserve">, experts-évaluateurs, garagistes, concessionnaires pour prendre à bras le corps ce problème </w:t>
      </w:r>
      <w:r w:rsidR="009F1EAE" w:rsidRPr="00F474AA">
        <w:rPr>
          <w:rFonts w:cs="Arial"/>
          <w:sz w:val="28"/>
          <w:szCs w:val="28"/>
        </w:rPr>
        <w:t>et lui</w:t>
      </w:r>
      <w:r w:rsidRPr="00F474AA">
        <w:rPr>
          <w:rFonts w:cs="Arial"/>
          <w:sz w:val="28"/>
          <w:szCs w:val="28"/>
        </w:rPr>
        <w:t xml:space="preserve"> réserver le traitement qu’il mérite. Il est grand temps, que soit rangé aux oubliettes le taux horaire dérisoire de 1750 </w:t>
      </w:r>
      <w:r w:rsidR="00F83A03" w:rsidRPr="00F474AA">
        <w:rPr>
          <w:rFonts w:cs="Arial"/>
          <w:sz w:val="28"/>
          <w:szCs w:val="28"/>
        </w:rPr>
        <w:t>FCFA qui</w:t>
      </w:r>
      <w:r w:rsidRPr="00F474AA">
        <w:rPr>
          <w:rFonts w:cs="Arial"/>
          <w:sz w:val="28"/>
          <w:szCs w:val="28"/>
        </w:rPr>
        <w:t xml:space="preserve"> remonte à plus de 30 ans et dont aucune compagnie n’est convaincue de la pertinence et qu’il soit procédé enfin à son</w:t>
      </w:r>
      <w:r w:rsidR="007E3B68">
        <w:rPr>
          <w:rFonts w:cs="Arial"/>
          <w:sz w:val="28"/>
          <w:szCs w:val="28"/>
        </w:rPr>
        <w:t xml:space="preserve"> </w:t>
      </w:r>
      <w:r w:rsidRPr="00F474AA">
        <w:rPr>
          <w:rFonts w:cs="Arial"/>
          <w:sz w:val="28"/>
          <w:szCs w:val="28"/>
        </w:rPr>
        <w:t>relèvement, à son uniformisation et à son applicabilité</w:t>
      </w:r>
      <w:r w:rsidR="007E3B68">
        <w:rPr>
          <w:rFonts w:cs="Arial"/>
          <w:sz w:val="28"/>
          <w:szCs w:val="28"/>
        </w:rPr>
        <w:t xml:space="preserve"> </w:t>
      </w:r>
      <w:r w:rsidRPr="00F474AA">
        <w:rPr>
          <w:rFonts w:cs="Arial"/>
          <w:sz w:val="28"/>
          <w:szCs w:val="28"/>
        </w:rPr>
        <w:t xml:space="preserve">à toutes les structures en charge de la </w:t>
      </w:r>
      <w:r w:rsidR="00F83A03" w:rsidRPr="00F474AA">
        <w:rPr>
          <w:rFonts w:cs="Arial"/>
          <w:sz w:val="28"/>
          <w:szCs w:val="28"/>
        </w:rPr>
        <w:t>réparation.</w:t>
      </w:r>
    </w:p>
    <w:p w:rsidR="004A78F5" w:rsidRPr="00F474AA" w:rsidRDefault="004A78F5" w:rsidP="00F83A03">
      <w:pPr>
        <w:jc w:val="both"/>
        <w:rPr>
          <w:rFonts w:cs="Arial"/>
          <w:b/>
          <w:sz w:val="28"/>
          <w:szCs w:val="28"/>
        </w:rPr>
      </w:pPr>
    </w:p>
    <w:p w:rsidR="004A78F5" w:rsidRPr="00F474AA" w:rsidRDefault="004A78F5" w:rsidP="00F83A03">
      <w:pPr>
        <w:jc w:val="both"/>
        <w:rPr>
          <w:rFonts w:cs="Arial"/>
          <w:b/>
          <w:sz w:val="28"/>
          <w:szCs w:val="28"/>
        </w:rPr>
      </w:pPr>
      <w:r w:rsidRPr="00F474AA">
        <w:rPr>
          <w:rFonts w:cs="Arial"/>
          <w:b/>
          <w:sz w:val="28"/>
          <w:szCs w:val="28"/>
        </w:rPr>
        <w:t>R.</w:t>
      </w:r>
      <w:r w:rsidR="007D7401">
        <w:rPr>
          <w:rFonts w:cs="Arial"/>
          <w:b/>
          <w:sz w:val="28"/>
          <w:szCs w:val="28"/>
        </w:rPr>
        <w:t>3</w:t>
      </w:r>
      <w:r w:rsidRPr="00F474AA">
        <w:rPr>
          <w:rFonts w:cs="Arial"/>
          <w:b/>
          <w:sz w:val="28"/>
          <w:szCs w:val="28"/>
        </w:rPr>
        <w:t>.Améliorer l’efficacité des procédures de traitement des requêtes des clients, adopter des attitudes standards de prévention et de traitement des litiges.</w:t>
      </w:r>
    </w:p>
    <w:p w:rsidR="004A78F5" w:rsidRPr="00F474AA" w:rsidRDefault="004A78F5" w:rsidP="00F83A03">
      <w:pPr>
        <w:jc w:val="both"/>
        <w:rPr>
          <w:rFonts w:cs="Arial"/>
          <w:sz w:val="28"/>
          <w:szCs w:val="28"/>
        </w:rPr>
      </w:pPr>
      <w:r w:rsidRPr="00F474AA">
        <w:rPr>
          <w:rFonts w:cs="Arial"/>
          <w:sz w:val="28"/>
          <w:szCs w:val="28"/>
        </w:rPr>
        <w:t xml:space="preserve">La prévention et la réduction de ces litiges appellent l’adoption et la mise en œuvre </w:t>
      </w:r>
      <w:r w:rsidR="004D6C53" w:rsidRPr="00F474AA">
        <w:rPr>
          <w:rFonts w:cs="Arial"/>
          <w:sz w:val="28"/>
          <w:szCs w:val="28"/>
        </w:rPr>
        <w:t xml:space="preserve">par les compagnies </w:t>
      </w:r>
      <w:r w:rsidRPr="00F474AA">
        <w:rPr>
          <w:rFonts w:cs="Arial"/>
          <w:sz w:val="28"/>
          <w:szCs w:val="28"/>
        </w:rPr>
        <w:t>de normes standards de « management de la qualité ».</w:t>
      </w:r>
    </w:p>
    <w:p w:rsidR="004A78F5" w:rsidRPr="00F474AA" w:rsidRDefault="004A78F5" w:rsidP="00F83A03">
      <w:pPr>
        <w:jc w:val="both"/>
        <w:rPr>
          <w:rFonts w:cs="Arial"/>
          <w:sz w:val="28"/>
          <w:szCs w:val="28"/>
        </w:rPr>
      </w:pPr>
      <w:r w:rsidRPr="00F474AA">
        <w:rPr>
          <w:rFonts w:cs="Arial"/>
          <w:sz w:val="28"/>
          <w:szCs w:val="28"/>
        </w:rPr>
        <w:t>Il est par ailleurs souhaitable de mettre en place, dans chaque compagnie où il ferait défaut, un service efficient de traitement interne et de suivi des réclamations émanant des clients.</w:t>
      </w:r>
    </w:p>
    <w:p w:rsidR="004A78F5" w:rsidRPr="00F474AA" w:rsidRDefault="004A78F5" w:rsidP="00F83A03">
      <w:pPr>
        <w:jc w:val="both"/>
        <w:rPr>
          <w:rFonts w:cs="Arial"/>
          <w:sz w:val="28"/>
          <w:szCs w:val="28"/>
        </w:rPr>
      </w:pPr>
      <w:r w:rsidRPr="00F474AA">
        <w:rPr>
          <w:rFonts w:cs="Arial"/>
          <w:sz w:val="28"/>
          <w:szCs w:val="28"/>
        </w:rPr>
        <w:t>Il est tout aussi important, dès l’entrée en relation, d’informer le client des mécanismes de recours externes à sa disposition en cas de contentieux.</w:t>
      </w:r>
    </w:p>
    <w:p w:rsidR="004A78F5" w:rsidRPr="00F474AA" w:rsidRDefault="004A78F5" w:rsidP="00F83A03">
      <w:pPr>
        <w:jc w:val="both"/>
        <w:rPr>
          <w:rFonts w:cs="Arial"/>
          <w:sz w:val="28"/>
          <w:szCs w:val="28"/>
        </w:rPr>
      </w:pPr>
      <w:r w:rsidRPr="00F474AA">
        <w:rPr>
          <w:rFonts w:cs="Arial"/>
          <w:sz w:val="28"/>
          <w:szCs w:val="28"/>
        </w:rPr>
        <w:lastRenderedPageBreak/>
        <w:t xml:space="preserve"> A cet égard, les coordonnées du Médiateur des assurances devraient lui être communiquées, à défaut d’être mentionnées dans les contrats et conventions-types de la compagnie.</w:t>
      </w:r>
    </w:p>
    <w:p w:rsidR="004A78F5" w:rsidRPr="00F474AA" w:rsidRDefault="004A78F5" w:rsidP="00F83A03">
      <w:pPr>
        <w:jc w:val="both"/>
        <w:rPr>
          <w:rFonts w:cs="Arial"/>
          <w:sz w:val="28"/>
          <w:szCs w:val="28"/>
        </w:rPr>
      </w:pPr>
    </w:p>
    <w:p w:rsidR="004A78F5" w:rsidRPr="00F474AA" w:rsidRDefault="004A78F5" w:rsidP="00F83A03">
      <w:pPr>
        <w:spacing w:after="0" w:line="312" w:lineRule="auto"/>
        <w:jc w:val="both"/>
        <w:rPr>
          <w:rFonts w:cs="Arial"/>
          <w:b/>
          <w:sz w:val="28"/>
          <w:szCs w:val="28"/>
        </w:rPr>
      </w:pPr>
      <w:r w:rsidRPr="00F474AA">
        <w:rPr>
          <w:rFonts w:cs="Arial"/>
          <w:b/>
          <w:sz w:val="28"/>
          <w:szCs w:val="28"/>
        </w:rPr>
        <w:t>R.</w:t>
      </w:r>
      <w:r w:rsidR="007D7401">
        <w:rPr>
          <w:rFonts w:cs="Arial"/>
          <w:b/>
          <w:sz w:val="28"/>
          <w:szCs w:val="28"/>
        </w:rPr>
        <w:t>4.</w:t>
      </w:r>
      <w:r w:rsidRPr="00F474AA">
        <w:rPr>
          <w:rFonts w:cs="Arial"/>
          <w:b/>
          <w:sz w:val="28"/>
          <w:szCs w:val="28"/>
        </w:rPr>
        <w:t xml:space="preserve"> Réduction </w:t>
      </w:r>
      <w:r w:rsidR="00EC7E19" w:rsidRPr="00F474AA">
        <w:rPr>
          <w:rFonts w:cs="Arial"/>
          <w:b/>
          <w:sz w:val="28"/>
          <w:szCs w:val="28"/>
        </w:rPr>
        <w:t>des délais</w:t>
      </w:r>
      <w:r w:rsidRPr="00F474AA">
        <w:rPr>
          <w:rFonts w:cs="Arial"/>
          <w:b/>
          <w:sz w:val="28"/>
          <w:szCs w:val="28"/>
        </w:rPr>
        <w:t xml:space="preserve"> de règlement des sinistres </w:t>
      </w:r>
    </w:p>
    <w:p w:rsidR="004A78F5" w:rsidRPr="00F474AA" w:rsidRDefault="004A78F5" w:rsidP="00F83A03">
      <w:pPr>
        <w:spacing w:after="0" w:line="312" w:lineRule="auto"/>
        <w:jc w:val="both"/>
        <w:rPr>
          <w:rFonts w:cs="Arial"/>
          <w:sz w:val="28"/>
          <w:szCs w:val="28"/>
        </w:rPr>
      </w:pPr>
    </w:p>
    <w:p w:rsidR="004A78F5" w:rsidRPr="00F474AA" w:rsidRDefault="004A78F5" w:rsidP="00F83A03">
      <w:pPr>
        <w:spacing w:after="0" w:line="312" w:lineRule="auto"/>
        <w:jc w:val="both"/>
        <w:rPr>
          <w:rFonts w:cs="Arial"/>
          <w:sz w:val="28"/>
          <w:szCs w:val="28"/>
        </w:rPr>
      </w:pPr>
      <w:r w:rsidRPr="00F474AA">
        <w:rPr>
          <w:rFonts w:cs="Arial"/>
          <w:sz w:val="28"/>
          <w:szCs w:val="28"/>
        </w:rPr>
        <w:t>Le retard accusé dans le règlement des sinistres est attribué pour l’essentiel à deux principales causes :</w:t>
      </w:r>
    </w:p>
    <w:p w:rsidR="004A78F5" w:rsidRPr="00F474AA" w:rsidRDefault="004A78F5" w:rsidP="00F83A03">
      <w:pPr>
        <w:numPr>
          <w:ilvl w:val="0"/>
          <w:numId w:val="24"/>
        </w:numPr>
        <w:spacing w:after="120" w:line="360" w:lineRule="auto"/>
        <w:ind w:left="714" w:hanging="357"/>
        <w:contextualSpacing/>
        <w:jc w:val="both"/>
        <w:rPr>
          <w:rFonts w:eastAsia="Times New Roman" w:cs="Arial"/>
          <w:sz w:val="28"/>
          <w:szCs w:val="28"/>
          <w:lang w:eastAsia="fr-FR"/>
        </w:rPr>
      </w:pPr>
      <w:proofErr w:type="gramStart"/>
      <w:r w:rsidRPr="00F474AA">
        <w:rPr>
          <w:rFonts w:eastAsia="Times New Roman" w:cs="Arial"/>
          <w:sz w:val="28"/>
          <w:szCs w:val="28"/>
          <w:lang w:eastAsia="fr-FR"/>
        </w:rPr>
        <w:t>le</w:t>
      </w:r>
      <w:proofErr w:type="gramEnd"/>
      <w:r w:rsidRPr="00F474AA">
        <w:rPr>
          <w:rFonts w:eastAsia="Times New Roman" w:cs="Arial"/>
          <w:sz w:val="28"/>
          <w:szCs w:val="28"/>
          <w:lang w:eastAsia="fr-FR"/>
        </w:rPr>
        <w:t xml:space="preserve"> retard accusé dans la désignation des experts ;</w:t>
      </w:r>
    </w:p>
    <w:p w:rsidR="004A78F5" w:rsidRPr="00F474AA" w:rsidRDefault="004A78F5" w:rsidP="00F83A03">
      <w:pPr>
        <w:numPr>
          <w:ilvl w:val="0"/>
          <w:numId w:val="24"/>
        </w:numPr>
        <w:spacing w:after="120" w:line="360" w:lineRule="auto"/>
        <w:ind w:left="714" w:hanging="357"/>
        <w:contextualSpacing/>
        <w:jc w:val="both"/>
        <w:rPr>
          <w:rFonts w:eastAsia="Times New Roman" w:cs="Arial"/>
          <w:sz w:val="28"/>
          <w:szCs w:val="28"/>
          <w:lang w:eastAsia="fr-FR"/>
        </w:rPr>
      </w:pPr>
      <w:proofErr w:type="gramStart"/>
      <w:r w:rsidRPr="00F474AA">
        <w:rPr>
          <w:rFonts w:eastAsia="Times New Roman" w:cs="Arial"/>
          <w:sz w:val="28"/>
          <w:szCs w:val="28"/>
          <w:lang w:eastAsia="fr-FR"/>
        </w:rPr>
        <w:t>les</w:t>
      </w:r>
      <w:proofErr w:type="gramEnd"/>
      <w:r w:rsidRPr="00F474AA">
        <w:rPr>
          <w:rFonts w:eastAsia="Times New Roman" w:cs="Arial"/>
          <w:sz w:val="28"/>
          <w:szCs w:val="28"/>
          <w:lang w:eastAsia="fr-FR"/>
        </w:rPr>
        <w:t xml:space="preserve"> délais mis par les experts désignés, pour produire leurs rapports. </w:t>
      </w:r>
    </w:p>
    <w:p w:rsidR="004A78F5" w:rsidRPr="00F474AA" w:rsidRDefault="004A78F5" w:rsidP="00F83A03">
      <w:pPr>
        <w:spacing w:after="0" w:line="312" w:lineRule="auto"/>
        <w:jc w:val="both"/>
        <w:rPr>
          <w:rFonts w:cs="Arial"/>
          <w:sz w:val="28"/>
          <w:szCs w:val="28"/>
        </w:rPr>
      </w:pPr>
      <w:r w:rsidRPr="00F474AA">
        <w:rPr>
          <w:rFonts w:cs="Arial"/>
          <w:sz w:val="28"/>
          <w:szCs w:val="28"/>
        </w:rPr>
        <w:t>Pour améliorer ces délais, il serait souhaitable de :</w:t>
      </w:r>
    </w:p>
    <w:p w:rsidR="004A78F5" w:rsidRPr="00F474AA" w:rsidRDefault="004A78F5" w:rsidP="00F83A03">
      <w:pPr>
        <w:numPr>
          <w:ilvl w:val="0"/>
          <w:numId w:val="24"/>
        </w:numPr>
        <w:spacing w:after="120" w:line="360" w:lineRule="auto"/>
        <w:ind w:left="714" w:hanging="357"/>
        <w:contextualSpacing/>
        <w:jc w:val="both"/>
        <w:rPr>
          <w:rFonts w:eastAsia="Times New Roman" w:cs="Arial"/>
          <w:sz w:val="28"/>
          <w:szCs w:val="28"/>
          <w:lang w:eastAsia="fr-FR"/>
        </w:rPr>
      </w:pPr>
      <w:r w:rsidRPr="00F474AA">
        <w:rPr>
          <w:rFonts w:eastAsia="Times New Roman" w:cs="Arial"/>
          <w:sz w:val="28"/>
          <w:szCs w:val="28"/>
          <w:lang w:eastAsia="fr-FR"/>
        </w:rPr>
        <w:t xml:space="preserve"> </w:t>
      </w:r>
      <w:proofErr w:type="gramStart"/>
      <w:r w:rsidRPr="00F474AA">
        <w:rPr>
          <w:rFonts w:eastAsia="Times New Roman" w:cs="Arial"/>
          <w:sz w:val="28"/>
          <w:szCs w:val="28"/>
          <w:lang w:eastAsia="fr-FR"/>
        </w:rPr>
        <w:t>procéder</w:t>
      </w:r>
      <w:proofErr w:type="gramEnd"/>
      <w:r w:rsidRPr="00F474AA">
        <w:rPr>
          <w:rFonts w:eastAsia="Times New Roman" w:cs="Arial"/>
          <w:sz w:val="28"/>
          <w:szCs w:val="28"/>
          <w:lang w:eastAsia="fr-FR"/>
        </w:rPr>
        <w:t xml:space="preserve"> à la </w:t>
      </w:r>
      <w:r w:rsidRPr="00F474AA">
        <w:rPr>
          <w:rFonts w:eastAsia="Times New Roman" w:cs="Arial"/>
          <w:i/>
          <w:sz w:val="28"/>
          <w:szCs w:val="28"/>
          <w:lang w:eastAsia="fr-FR"/>
        </w:rPr>
        <w:t>nomination des experts dès connaissance</w:t>
      </w:r>
      <w:r w:rsidRPr="00F474AA">
        <w:rPr>
          <w:rFonts w:eastAsia="Times New Roman" w:cs="Arial"/>
          <w:sz w:val="28"/>
          <w:szCs w:val="28"/>
          <w:lang w:eastAsia="fr-FR"/>
        </w:rPr>
        <w:t xml:space="preserve"> par l’assureur </w:t>
      </w:r>
      <w:r w:rsidRPr="00F474AA">
        <w:rPr>
          <w:rFonts w:eastAsia="Times New Roman" w:cs="Arial"/>
          <w:i/>
          <w:sz w:val="28"/>
          <w:szCs w:val="28"/>
          <w:lang w:eastAsia="fr-FR"/>
        </w:rPr>
        <w:t>de la survenance d’un sinistre</w:t>
      </w:r>
      <w:r w:rsidRPr="00F474AA">
        <w:rPr>
          <w:rFonts w:eastAsia="Times New Roman" w:cs="Arial"/>
          <w:sz w:val="28"/>
          <w:szCs w:val="28"/>
          <w:lang w:eastAsia="fr-FR"/>
        </w:rPr>
        <w:t xml:space="preserve"> couvert,</w:t>
      </w:r>
    </w:p>
    <w:p w:rsidR="004A78F5" w:rsidRPr="00F474AA" w:rsidRDefault="004A78F5" w:rsidP="00F83A03">
      <w:pPr>
        <w:numPr>
          <w:ilvl w:val="0"/>
          <w:numId w:val="24"/>
        </w:numPr>
        <w:spacing w:after="120" w:line="360" w:lineRule="auto"/>
        <w:ind w:left="714" w:hanging="357"/>
        <w:contextualSpacing/>
        <w:jc w:val="both"/>
        <w:rPr>
          <w:rFonts w:eastAsia="Times New Roman" w:cs="Arial"/>
          <w:sz w:val="28"/>
          <w:szCs w:val="28"/>
          <w:lang w:eastAsia="fr-FR"/>
        </w:rPr>
      </w:pPr>
      <w:proofErr w:type="gramStart"/>
      <w:r w:rsidRPr="00F474AA">
        <w:rPr>
          <w:rFonts w:eastAsia="Times New Roman" w:cs="Arial"/>
          <w:i/>
          <w:sz w:val="28"/>
          <w:szCs w:val="28"/>
          <w:lang w:eastAsia="fr-FR"/>
        </w:rPr>
        <w:t>d’assigner</w:t>
      </w:r>
      <w:proofErr w:type="gramEnd"/>
      <w:r w:rsidRPr="00F474AA">
        <w:rPr>
          <w:rFonts w:eastAsia="Times New Roman" w:cs="Arial"/>
          <w:i/>
          <w:sz w:val="28"/>
          <w:szCs w:val="28"/>
          <w:lang w:eastAsia="fr-FR"/>
        </w:rPr>
        <w:t xml:space="preserve"> aux experts des délais impératifs de production des rapports</w:t>
      </w:r>
      <w:r w:rsidRPr="00F474AA">
        <w:rPr>
          <w:rFonts w:eastAsia="Times New Roman" w:cs="Arial"/>
          <w:sz w:val="28"/>
          <w:szCs w:val="28"/>
          <w:lang w:eastAsia="fr-FR"/>
        </w:rPr>
        <w:t xml:space="preserve"> en fonction des catégories de risque et veiller de façon rigoureuse au respect de ces délais.</w:t>
      </w:r>
    </w:p>
    <w:p w:rsidR="004A78F5" w:rsidRPr="00F474AA" w:rsidRDefault="004A78F5" w:rsidP="00F83A03">
      <w:pPr>
        <w:spacing w:after="0" w:line="312" w:lineRule="auto"/>
        <w:jc w:val="both"/>
        <w:rPr>
          <w:rFonts w:cs="Arial"/>
          <w:sz w:val="28"/>
          <w:szCs w:val="28"/>
        </w:rPr>
      </w:pPr>
    </w:p>
    <w:p w:rsidR="004A78F5" w:rsidRPr="00F474AA" w:rsidRDefault="004A78F5" w:rsidP="00F83A03">
      <w:pPr>
        <w:spacing w:after="0" w:line="312" w:lineRule="auto"/>
        <w:jc w:val="both"/>
        <w:rPr>
          <w:rFonts w:cs="Arial"/>
          <w:b/>
          <w:sz w:val="28"/>
          <w:szCs w:val="28"/>
        </w:rPr>
      </w:pPr>
      <w:r w:rsidRPr="00F474AA">
        <w:rPr>
          <w:rFonts w:cs="Arial"/>
          <w:b/>
          <w:sz w:val="28"/>
          <w:szCs w:val="28"/>
        </w:rPr>
        <w:t>R.</w:t>
      </w:r>
      <w:r w:rsidR="007D7401">
        <w:rPr>
          <w:rFonts w:cs="Arial"/>
          <w:b/>
          <w:sz w:val="28"/>
          <w:szCs w:val="28"/>
        </w:rPr>
        <w:t>5</w:t>
      </w:r>
      <w:r w:rsidRPr="00F474AA">
        <w:rPr>
          <w:rFonts w:cs="Arial"/>
          <w:b/>
          <w:sz w:val="28"/>
          <w:szCs w:val="28"/>
        </w:rPr>
        <w:t>. Réduire la fréquence et les motifs de contestation d’expertise</w:t>
      </w:r>
    </w:p>
    <w:p w:rsidR="004A78F5" w:rsidRPr="00F474AA" w:rsidRDefault="004A78F5" w:rsidP="00F83A03">
      <w:pPr>
        <w:jc w:val="both"/>
        <w:rPr>
          <w:rFonts w:cs="Arial"/>
          <w:sz w:val="28"/>
          <w:szCs w:val="28"/>
        </w:rPr>
      </w:pPr>
      <w:r w:rsidRPr="00F474AA">
        <w:rPr>
          <w:rFonts w:cs="Arial"/>
          <w:sz w:val="28"/>
          <w:szCs w:val="28"/>
        </w:rPr>
        <w:t xml:space="preserve">Compte tenu de la fréquence des contestations liées aux divergences d’une part, entre les conclusions des experts et les attentes des clients et d’autre part, entre les évaluations « à dire d’expert » et les montants d’indemnités effectivement réglés, il </w:t>
      </w:r>
      <w:r w:rsidR="006A1A13" w:rsidRPr="00F474AA">
        <w:rPr>
          <w:rFonts w:cs="Arial"/>
          <w:sz w:val="28"/>
          <w:szCs w:val="28"/>
        </w:rPr>
        <w:t>est recommandé</w:t>
      </w:r>
      <w:r w:rsidRPr="00F474AA">
        <w:rPr>
          <w:rFonts w:cs="Arial"/>
          <w:sz w:val="28"/>
          <w:szCs w:val="28"/>
        </w:rPr>
        <w:t xml:space="preserve"> la mise en œuvre des mesures suivantes :</w:t>
      </w:r>
    </w:p>
    <w:p w:rsidR="004A78F5" w:rsidRPr="00F474AA" w:rsidRDefault="009F1EAE" w:rsidP="00F83A03">
      <w:pPr>
        <w:numPr>
          <w:ilvl w:val="0"/>
          <w:numId w:val="24"/>
        </w:numPr>
        <w:spacing w:after="120" w:line="360" w:lineRule="auto"/>
        <w:ind w:left="714" w:hanging="357"/>
        <w:contextualSpacing/>
        <w:jc w:val="both"/>
        <w:rPr>
          <w:rFonts w:eastAsia="Times New Roman" w:cs="Arial"/>
          <w:sz w:val="28"/>
          <w:szCs w:val="28"/>
          <w:lang w:eastAsia="fr-FR"/>
        </w:rPr>
      </w:pPr>
      <w:r w:rsidRPr="00F474AA">
        <w:rPr>
          <w:rFonts w:eastAsia="Times New Roman" w:cs="Arial"/>
          <w:sz w:val="28"/>
          <w:szCs w:val="28"/>
          <w:lang w:eastAsia="fr-FR"/>
        </w:rPr>
        <w:t>Prendre</w:t>
      </w:r>
      <w:r w:rsidR="004A78F5" w:rsidRPr="00F474AA">
        <w:rPr>
          <w:rFonts w:eastAsia="Times New Roman" w:cs="Arial"/>
          <w:sz w:val="28"/>
          <w:szCs w:val="28"/>
          <w:lang w:eastAsia="fr-FR"/>
        </w:rPr>
        <w:t xml:space="preserve"> soin </w:t>
      </w:r>
      <w:r w:rsidR="004A78F5" w:rsidRPr="00F474AA">
        <w:rPr>
          <w:rFonts w:eastAsia="Times New Roman" w:cs="Arial"/>
          <w:i/>
          <w:sz w:val="28"/>
          <w:szCs w:val="28"/>
          <w:lang w:eastAsia="fr-FR"/>
        </w:rPr>
        <w:t>d’expliciter aux assurés les différentes formules de couverture</w:t>
      </w:r>
      <w:r w:rsidR="004A78F5" w:rsidRPr="00F474AA">
        <w:rPr>
          <w:rFonts w:eastAsia="Times New Roman" w:cs="Arial"/>
          <w:sz w:val="28"/>
          <w:szCs w:val="28"/>
          <w:lang w:eastAsia="fr-FR"/>
        </w:rPr>
        <w:t xml:space="preserve"> applicables (couverture en valeur à neuf, en valeur de remplacement vétusté déduite ou en différence du vieux au neuf, etc.</w:t>
      </w:r>
      <w:proofErr w:type="gramStart"/>
      <w:r w:rsidR="004A78F5" w:rsidRPr="00F474AA">
        <w:rPr>
          <w:rFonts w:eastAsia="Times New Roman" w:cs="Arial"/>
          <w:sz w:val="28"/>
          <w:szCs w:val="28"/>
          <w:lang w:eastAsia="fr-FR"/>
        </w:rPr>
        <w:t>),  pour</w:t>
      </w:r>
      <w:proofErr w:type="gramEnd"/>
      <w:r w:rsidR="004A78F5" w:rsidRPr="00F474AA">
        <w:rPr>
          <w:rFonts w:eastAsia="Times New Roman" w:cs="Arial"/>
          <w:sz w:val="28"/>
          <w:szCs w:val="28"/>
          <w:lang w:eastAsia="fr-FR"/>
        </w:rPr>
        <w:t xml:space="preserve"> aider à mieux </w:t>
      </w:r>
      <w:r w:rsidR="004A78F5" w:rsidRPr="00F474AA">
        <w:rPr>
          <w:rFonts w:eastAsia="Times New Roman" w:cs="Arial"/>
          <w:sz w:val="28"/>
          <w:szCs w:val="28"/>
          <w:lang w:eastAsia="fr-FR"/>
        </w:rPr>
        <w:lastRenderedPageBreak/>
        <w:t>appréhender les raisons des écarts souvent importants entre les devis de réparation présentés et le quantum de dommages fixé par l’expert ;</w:t>
      </w:r>
    </w:p>
    <w:p w:rsidR="004A78F5" w:rsidRPr="00F474AA" w:rsidRDefault="009F1EAE" w:rsidP="00F83A03">
      <w:pPr>
        <w:numPr>
          <w:ilvl w:val="0"/>
          <w:numId w:val="24"/>
        </w:numPr>
        <w:spacing w:after="120" w:line="360" w:lineRule="auto"/>
        <w:ind w:left="714" w:hanging="357"/>
        <w:contextualSpacing/>
        <w:jc w:val="both"/>
        <w:rPr>
          <w:rFonts w:eastAsia="Times New Roman" w:cs="Arial"/>
          <w:sz w:val="28"/>
          <w:szCs w:val="28"/>
          <w:lang w:eastAsia="fr-FR"/>
        </w:rPr>
      </w:pPr>
      <w:r w:rsidRPr="00F474AA">
        <w:rPr>
          <w:rFonts w:eastAsia="Times New Roman" w:cs="Arial"/>
          <w:i/>
          <w:sz w:val="28"/>
          <w:szCs w:val="28"/>
          <w:lang w:eastAsia="fr-FR"/>
        </w:rPr>
        <w:t>Inviter</w:t>
      </w:r>
      <w:r w:rsidR="004A78F5" w:rsidRPr="00F474AA">
        <w:rPr>
          <w:rFonts w:eastAsia="Times New Roman" w:cs="Arial"/>
          <w:i/>
          <w:sz w:val="28"/>
          <w:szCs w:val="28"/>
          <w:lang w:eastAsia="fr-FR"/>
        </w:rPr>
        <w:t xml:space="preserve"> les experts à se limiter à l’identification des circonstances du sinistre,</w:t>
      </w:r>
      <w:r w:rsidR="00A51073">
        <w:rPr>
          <w:rFonts w:eastAsia="Times New Roman" w:cs="Arial"/>
          <w:i/>
          <w:sz w:val="28"/>
          <w:szCs w:val="28"/>
          <w:lang w:eastAsia="fr-FR"/>
        </w:rPr>
        <w:t xml:space="preserve"> à</w:t>
      </w:r>
      <w:r w:rsidR="004A78F5" w:rsidRPr="00F474AA">
        <w:rPr>
          <w:rFonts w:eastAsia="Times New Roman" w:cs="Arial"/>
          <w:i/>
          <w:sz w:val="28"/>
          <w:szCs w:val="28"/>
          <w:lang w:eastAsia="fr-FR"/>
        </w:rPr>
        <w:t xml:space="preserve"> la recherche de ses causes et</w:t>
      </w:r>
      <w:r w:rsidR="00A51073">
        <w:rPr>
          <w:rFonts w:eastAsia="Times New Roman" w:cs="Arial"/>
          <w:i/>
          <w:sz w:val="28"/>
          <w:szCs w:val="28"/>
          <w:lang w:eastAsia="fr-FR"/>
        </w:rPr>
        <w:t xml:space="preserve"> </w:t>
      </w:r>
      <w:r>
        <w:rPr>
          <w:rFonts w:eastAsia="Times New Roman" w:cs="Arial"/>
          <w:i/>
          <w:sz w:val="28"/>
          <w:szCs w:val="28"/>
          <w:lang w:eastAsia="fr-FR"/>
        </w:rPr>
        <w:t xml:space="preserve">à </w:t>
      </w:r>
      <w:r w:rsidRPr="00F474AA">
        <w:rPr>
          <w:rFonts w:eastAsia="Times New Roman" w:cs="Arial"/>
          <w:i/>
          <w:sz w:val="28"/>
          <w:szCs w:val="28"/>
          <w:lang w:eastAsia="fr-FR"/>
        </w:rPr>
        <w:t>l’évaluation</w:t>
      </w:r>
      <w:r w:rsidR="004A78F5" w:rsidRPr="00F474AA">
        <w:rPr>
          <w:rFonts w:eastAsia="Times New Roman" w:cs="Arial"/>
          <w:i/>
          <w:sz w:val="28"/>
          <w:szCs w:val="28"/>
          <w:lang w:eastAsia="fr-FR"/>
        </w:rPr>
        <w:t xml:space="preserve"> des dommages</w:t>
      </w:r>
      <w:r w:rsidR="004A78F5" w:rsidRPr="00F474AA">
        <w:rPr>
          <w:rFonts w:eastAsia="Times New Roman" w:cs="Arial"/>
          <w:sz w:val="28"/>
          <w:szCs w:val="28"/>
          <w:lang w:eastAsia="fr-FR"/>
        </w:rPr>
        <w:t xml:space="preserve">. </w:t>
      </w:r>
    </w:p>
    <w:p w:rsidR="004A78F5" w:rsidRPr="00F474AA" w:rsidRDefault="009F1EAE" w:rsidP="00F83A03">
      <w:pPr>
        <w:numPr>
          <w:ilvl w:val="0"/>
          <w:numId w:val="24"/>
        </w:numPr>
        <w:spacing w:after="120" w:line="360" w:lineRule="auto"/>
        <w:ind w:left="714" w:hanging="357"/>
        <w:contextualSpacing/>
        <w:jc w:val="both"/>
        <w:rPr>
          <w:rFonts w:eastAsia="Times New Roman" w:cs="Arial"/>
          <w:sz w:val="28"/>
          <w:szCs w:val="28"/>
          <w:lang w:eastAsia="fr-FR"/>
        </w:rPr>
      </w:pPr>
      <w:r w:rsidRPr="00F474AA">
        <w:rPr>
          <w:rFonts w:eastAsia="Times New Roman" w:cs="Arial"/>
          <w:sz w:val="28"/>
          <w:szCs w:val="28"/>
          <w:lang w:eastAsia="fr-FR"/>
        </w:rPr>
        <w:t>Organiser</w:t>
      </w:r>
      <w:r w:rsidR="004A78F5" w:rsidRPr="00F474AA">
        <w:rPr>
          <w:rFonts w:eastAsia="Times New Roman" w:cs="Arial"/>
          <w:sz w:val="28"/>
          <w:szCs w:val="28"/>
          <w:lang w:eastAsia="fr-FR"/>
        </w:rPr>
        <w:t xml:space="preserve"> sous l’égide de </w:t>
      </w:r>
      <w:r w:rsidR="007D7401">
        <w:rPr>
          <w:rFonts w:eastAsia="Times New Roman" w:cs="Arial"/>
          <w:sz w:val="28"/>
          <w:szCs w:val="28"/>
          <w:lang w:eastAsia="fr-FR"/>
        </w:rPr>
        <w:t>L’AAS</w:t>
      </w:r>
      <w:r w:rsidR="004A78F5" w:rsidRPr="00F474AA">
        <w:rPr>
          <w:rFonts w:eastAsia="Times New Roman" w:cs="Arial"/>
          <w:sz w:val="28"/>
          <w:szCs w:val="28"/>
          <w:lang w:eastAsia="fr-FR"/>
        </w:rPr>
        <w:t xml:space="preserve">, des </w:t>
      </w:r>
      <w:r w:rsidR="004A78F5" w:rsidRPr="00F474AA">
        <w:rPr>
          <w:rFonts w:eastAsia="Times New Roman" w:cs="Arial"/>
          <w:i/>
          <w:sz w:val="28"/>
          <w:szCs w:val="28"/>
          <w:lang w:eastAsia="fr-FR"/>
        </w:rPr>
        <w:t>séances de formation et de sensibilisation des experts</w:t>
      </w:r>
      <w:r w:rsidR="004A78F5" w:rsidRPr="00F474AA">
        <w:rPr>
          <w:rFonts w:eastAsia="Times New Roman" w:cs="Arial"/>
          <w:sz w:val="28"/>
          <w:szCs w:val="28"/>
          <w:lang w:eastAsia="fr-FR"/>
        </w:rPr>
        <w:t xml:space="preserve"> impliqués dans les expertises de risques d’assurance sur les exigences et limites de leurs missions. </w:t>
      </w:r>
    </w:p>
    <w:p w:rsidR="004A78F5" w:rsidRPr="00F474AA" w:rsidRDefault="004A78F5" w:rsidP="00F83A03">
      <w:pPr>
        <w:spacing w:after="0" w:line="312" w:lineRule="auto"/>
        <w:jc w:val="both"/>
        <w:rPr>
          <w:rFonts w:cs="Arial"/>
          <w:b/>
          <w:sz w:val="28"/>
          <w:szCs w:val="28"/>
        </w:rPr>
      </w:pPr>
    </w:p>
    <w:p w:rsidR="004A78F5" w:rsidRPr="00F474AA" w:rsidRDefault="007D7401" w:rsidP="00F83A03">
      <w:pPr>
        <w:jc w:val="both"/>
        <w:rPr>
          <w:rFonts w:cs="Arial"/>
          <w:b/>
          <w:sz w:val="28"/>
          <w:szCs w:val="28"/>
        </w:rPr>
      </w:pPr>
      <w:r>
        <w:rPr>
          <w:rFonts w:cs="Arial"/>
          <w:b/>
          <w:sz w:val="28"/>
          <w:szCs w:val="28"/>
        </w:rPr>
        <w:t>R.6</w:t>
      </w:r>
      <w:r w:rsidR="004A78F5" w:rsidRPr="00F474AA">
        <w:rPr>
          <w:rFonts w:cs="Arial"/>
          <w:b/>
          <w:sz w:val="28"/>
          <w:szCs w:val="28"/>
        </w:rPr>
        <w:t>. Règlement sans délai des sinistres objets d’une offre d’indemnité initiée par l’assureur et approuvée par le bénéficiaire :</w:t>
      </w:r>
    </w:p>
    <w:p w:rsidR="004A78F5" w:rsidRDefault="004A78F5" w:rsidP="00F83A03">
      <w:pPr>
        <w:jc w:val="both"/>
        <w:rPr>
          <w:rFonts w:cs="Arial"/>
          <w:sz w:val="28"/>
          <w:szCs w:val="28"/>
        </w:rPr>
      </w:pPr>
      <w:r w:rsidRPr="00F474AA">
        <w:rPr>
          <w:rFonts w:cs="Arial"/>
          <w:sz w:val="28"/>
          <w:szCs w:val="28"/>
        </w:rPr>
        <w:t>Il a été noté que certaines compagnies éprouvent d’énormes difficultés pour libérer les indemnités dues, après même, qu’il ait été procédé à la validation par l’assuré de l’offre d’indemnité soumise par l’assureur. Ce qui nous amène à réitérer cette recommandation, qui quoique déjà formulée l’anné</w:t>
      </w:r>
      <w:r w:rsidR="001F0576">
        <w:rPr>
          <w:rFonts w:cs="Arial"/>
          <w:sz w:val="28"/>
          <w:szCs w:val="28"/>
        </w:rPr>
        <w:t>e dernière, demeure d’actualité</w:t>
      </w:r>
      <w:r w:rsidRPr="00F474AA">
        <w:rPr>
          <w:rFonts w:cs="Arial"/>
          <w:sz w:val="28"/>
          <w:szCs w:val="28"/>
        </w:rPr>
        <w:t xml:space="preserve"> </w:t>
      </w:r>
      <w:r w:rsidR="001F0576">
        <w:rPr>
          <w:rFonts w:cs="Arial"/>
          <w:sz w:val="28"/>
          <w:szCs w:val="28"/>
        </w:rPr>
        <w:t>car,</w:t>
      </w:r>
      <w:r w:rsidRPr="00F474AA">
        <w:rPr>
          <w:rFonts w:cs="Arial"/>
          <w:sz w:val="28"/>
          <w:szCs w:val="28"/>
        </w:rPr>
        <w:t xml:space="preserve"> ce sont encore les mêmes compagnies qui se complaisent à entretenir cette attitude qui ne fait ruiner la crédibilité du secteur. Il urge de la part du régulateur, de s’impliquer dans la traque des adeptes de ces fausses promesses sans lendemain, que les assurés interprètent comme des signes patents d’insolvabilité.  Outre l’atteinte à l’image qui en résulte, de tels manquements peuvent également être cause de désaffection pour l’assurance, d’autant que le retard tardif d’indemnisation contraint certaines victimes à prendre en charge la réparation de leurs dommages de façon à s’éviter les désagréments susceptibles d’être</w:t>
      </w:r>
      <w:r w:rsidR="007E3B68">
        <w:rPr>
          <w:rFonts w:cs="Arial"/>
          <w:sz w:val="28"/>
          <w:szCs w:val="28"/>
        </w:rPr>
        <w:t xml:space="preserve"> </w:t>
      </w:r>
      <w:r w:rsidRPr="00F474AA">
        <w:rPr>
          <w:rFonts w:cs="Arial"/>
          <w:sz w:val="28"/>
          <w:szCs w:val="28"/>
        </w:rPr>
        <w:t>induits par la paralysie momentanée de leur activité.</w:t>
      </w:r>
    </w:p>
    <w:p w:rsidR="007D7401" w:rsidRDefault="007D7401" w:rsidP="00F83A03">
      <w:pPr>
        <w:jc w:val="both"/>
        <w:rPr>
          <w:rFonts w:cs="Arial"/>
          <w:b/>
          <w:sz w:val="28"/>
          <w:szCs w:val="28"/>
        </w:rPr>
      </w:pPr>
      <w:r>
        <w:rPr>
          <w:rFonts w:cs="Arial"/>
          <w:b/>
          <w:sz w:val="28"/>
          <w:szCs w:val="28"/>
        </w:rPr>
        <w:t>R.7</w:t>
      </w:r>
      <w:r w:rsidRPr="00F474AA">
        <w:rPr>
          <w:rFonts w:cs="Arial"/>
          <w:b/>
          <w:sz w:val="28"/>
          <w:szCs w:val="28"/>
        </w:rPr>
        <w:t xml:space="preserve">. </w:t>
      </w:r>
      <w:r>
        <w:rPr>
          <w:rFonts w:cs="Arial"/>
          <w:b/>
          <w:sz w:val="28"/>
          <w:szCs w:val="28"/>
        </w:rPr>
        <w:t xml:space="preserve">Instauration d’une Chambre de compensation assurantielle </w:t>
      </w:r>
      <w:r w:rsidRPr="007D7401">
        <w:rPr>
          <w:rFonts w:cs="Arial"/>
          <w:sz w:val="28"/>
          <w:szCs w:val="28"/>
        </w:rPr>
        <w:t>(</w:t>
      </w:r>
      <w:r>
        <w:rPr>
          <w:rFonts w:cs="Arial"/>
          <w:b/>
          <w:sz w:val="28"/>
          <w:szCs w:val="28"/>
        </w:rPr>
        <w:t xml:space="preserve">Cf. </w:t>
      </w:r>
      <w:r w:rsidRPr="007D7401">
        <w:rPr>
          <w:rFonts w:cs="Arial"/>
          <w:sz w:val="28"/>
          <w:szCs w:val="28"/>
        </w:rPr>
        <w:t>TDR apprêté par mes soins et annexé au présent rapport</w:t>
      </w:r>
      <w:r>
        <w:rPr>
          <w:rFonts w:cs="Arial"/>
          <w:b/>
          <w:sz w:val="28"/>
          <w:szCs w:val="28"/>
        </w:rPr>
        <w:t>)</w:t>
      </w:r>
    </w:p>
    <w:p w:rsidR="00EA03F0" w:rsidRDefault="00EA03F0" w:rsidP="00F83A03">
      <w:pPr>
        <w:jc w:val="both"/>
        <w:rPr>
          <w:rFonts w:cs="Arial"/>
          <w:b/>
          <w:sz w:val="28"/>
          <w:szCs w:val="28"/>
        </w:rPr>
      </w:pPr>
      <w:r>
        <w:rPr>
          <w:rFonts w:cs="Arial"/>
          <w:b/>
          <w:sz w:val="28"/>
          <w:szCs w:val="28"/>
        </w:rPr>
        <w:t>R.8</w:t>
      </w:r>
      <w:r w:rsidRPr="00F474AA">
        <w:rPr>
          <w:rFonts w:cs="Arial"/>
          <w:b/>
          <w:sz w:val="28"/>
          <w:szCs w:val="28"/>
        </w:rPr>
        <w:t>.</w:t>
      </w:r>
      <w:r>
        <w:rPr>
          <w:rFonts w:cs="Arial"/>
          <w:b/>
          <w:sz w:val="28"/>
          <w:szCs w:val="28"/>
        </w:rPr>
        <w:t xml:space="preserve"> Organisation de Réunions Publiques d’Information à l</w:t>
      </w:r>
      <w:r w:rsidR="00E56614">
        <w:rPr>
          <w:rFonts w:cs="Arial"/>
          <w:b/>
          <w:sz w:val="28"/>
          <w:szCs w:val="28"/>
        </w:rPr>
        <w:t>’échelle nationale pour promouvoir l’inclusion assurantielle et la vulgarisation du dispos</w:t>
      </w:r>
      <w:r w:rsidR="00F83A03">
        <w:rPr>
          <w:rFonts w:cs="Arial"/>
          <w:b/>
          <w:sz w:val="28"/>
          <w:szCs w:val="28"/>
        </w:rPr>
        <w:t>i</w:t>
      </w:r>
      <w:r w:rsidR="00E56614">
        <w:rPr>
          <w:rFonts w:cs="Arial"/>
          <w:b/>
          <w:sz w:val="28"/>
          <w:szCs w:val="28"/>
        </w:rPr>
        <w:t>tif de médiation</w:t>
      </w:r>
    </w:p>
    <w:p w:rsidR="00121B5F" w:rsidRDefault="00121B5F" w:rsidP="00121B5F">
      <w:pPr>
        <w:jc w:val="both"/>
        <w:rPr>
          <w:rFonts w:cs="Arial"/>
          <w:b/>
          <w:sz w:val="28"/>
          <w:szCs w:val="28"/>
        </w:rPr>
      </w:pPr>
      <w:r>
        <w:rPr>
          <w:rFonts w:cs="Arial"/>
          <w:b/>
          <w:sz w:val="28"/>
          <w:szCs w:val="28"/>
        </w:rPr>
        <w:t>R.9</w:t>
      </w:r>
      <w:r w:rsidRPr="00F474AA">
        <w:rPr>
          <w:rFonts w:cs="Arial"/>
          <w:b/>
          <w:sz w:val="28"/>
          <w:szCs w:val="28"/>
        </w:rPr>
        <w:t>.</w:t>
      </w:r>
      <w:r>
        <w:rPr>
          <w:rFonts w:cs="Arial"/>
          <w:b/>
          <w:sz w:val="28"/>
          <w:szCs w:val="28"/>
        </w:rPr>
        <w:t xml:space="preserve"> Parachever les travaux de la Commission de Réforme des Barèmes</w:t>
      </w:r>
    </w:p>
    <w:p w:rsidR="008C6804" w:rsidRPr="00742D75" w:rsidRDefault="008C6804" w:rsidP="00121B5F">
      <w:pPr>
        <w:jc w:val="both"/>
        <w:rPr>
          <w:rFonts w:cs="Arial"/>
          <w:b/>
          <w:color w:val="FF0000"/>
          <w:sz w:val="28"/>
          <w:szCs w:val="28"/>
        </w:rPr>
      </w:pPr>
      <w:r>
        <w:rPr>
          <w:rFonts w:cs="Arial"/>
          <w:b/>
          <w:sz w:val="28"/>
          <w:szCs w:val="28"/>
        </w:rPr>
        <w:lastRenderedPageBreak/>
        <w:t xml:space="preserve">R10. </w:t>
      </w:r>
      <w:r w:rsidRPr="00742D75">
        <w:rPr>
          <w:rFonts w:cs="Arial"/>
          <w:b/>
          <w:color w:val="FF0000"/>
          <w:sz w:val="28"/>
          <w:szCs w:val="28"/>
        </w:rPr>
        <w:t xml:space="preserve">Organisation annuelle d’une grande assemblée générale de bilan de la médiation en invitant tous les acteurs des assurances.  </w:t>
      </w:r>
    </w:p>
    <w:p w:rsidR="00121B5F" w:rsidRPr="00F474AA" w:rsidRDefault="00121B5F" w:rsidP="00121B5F">
      <w:pPr>
        <w:jc w:val="both"/>
        <w:rPr>
          <w:rFonts w:cs="Arial"/>
          <w:sz w:val="28"/>
          <w:szCs w:val="28"/>
        </w:rPr>
      </w:pPr>
    </w:p>
    <w:p w:rsidR="004A78F5" w:rsidRPr="00F474AA" w:rsidRDefault="004A78F5" w:rsidP="00F83A03">
      <w:pPr>
        <w:jc w:val="both"/>
        <w:rPr>
          <w:rFonts w:cs="Arial"/>
          <w:b/>
          <w:sz w:val="28"/>
          <w:szCs w:val="28"/>
        </w:rPr>
      </w:pPr>
      <w:r w:rsidRPr="00F474AA">
        <w:rPr>
          <w:rFonts w:cs="Arial"/>
          <w:b/>
          <w:sz w:val="28"/>
          <w:szCs w:val="28"/>
        </w:rPr>
        <w:br w:type="page"/>
      </w:r>
    </w:p>
    <w:p w:rsidR="00BF41C9" w:rsidRDefault="00BF41C9" w:rsidP="00121B5F">
      <w:pPr>
        <w:pStyle w:val="Paragraphedeliste"/>
        <w:ind w:left="646"/>
        <w:jc w:val="center"/>
        <w:outlineLvl w:val="0"/>
        <w:rPr>
          <w:rFonts w:cs="Arial"/>
          <w:b/>
          <w:sz w:val="28"/>
          <w:szCs w:val="28"/>
        </w:rPr>
      </w:pPr>
      <w:bookmarkStart w:id="21" w:name="_Toc113021128"/>
      <w:r w:rsidRPr="003C6232">
        <w:rPr>
          <w:rFonts w:cs="Arial"/>
          <w:b/>
          <w:sz w:val="28"/>
          <w:szCs w:val="28"/>
        </w:rPr>
        <w:lastRenderedPageBreak/>
        <w:t>ANNEXES</w:t>
      </w:r>
      <w:bookmarkEnd w:id="0"/>
      <w:bookmarkEnd w:id="1"/>
      <w:bookmarkEnd w:id="21"/>
    </w:p>
    <w:p w:rsidR="00EF7D5B" w:rsidRPr="003C6232" w:rsidRDefault="00EF7D5B" w:rsidP="00F83A03">
      <w:pPr>
        <w:pStyle w:val="Paragraphedeliste"/>
        <w:ind w:left="646"/>
        <w:jc w:val="both"/>
        <w:outlineLvl w:val="0"/>
        <w:rPr>
          <w:rFonts w:cs="Arial"/>
          <w:b/>
          <w:sz w:val="28"/>
          <w:szCs w:val="28"/>
        </w:rPr>
      </w:pPr>
    </w:p>
    <w:p w:rsidR="00EA03F0" w:rsidRDefault="00EA03F0" w:rsidP="00F83A03">
      <w:pPr>
        <w:pStyle w:val="Paragraphedeliste"/>
        <w:numPr>
          <w:ilvl w:val="0"/>
          <w:numId w:val="4"/>
        </w:numPr>
        <w:spacing w:line="360" w:lineRule="auto"/>
        <w:ind w:left="641" w:hanging="357"/>
        <w:jc w:val="both"/>
        <w:rPr>
          <w:rFonts w:cs="Arial"/>
          <w:sz w:val="28"/>
          <w:szCs w:val="28"/>
        </w:rPr>
      </w:pPr>
      <w:r>
        <w:rPr>
          <w:rFonts w:cs="Arial"/>
          <w:sz w:val="28"/>
          <w:szCs w:val="28"/>
        </w:rPr>
        <w:t>TDR Elaboration d’un dispositif de compensation assurantielle</w:t>
      </w:r>
    </w:p>
    <w:p w:rsidR="00BF41C9" w:rsidRPr="003C6232" w:rsidRDefault="00BF41C9" w:rsidP="00F83A03">
      <w:pPr>
        <w:pStyle w:val="Paragraphedeliste"/>
        <w:numPr>
          <w:ilvl w:val="0"/>
          <w:numId w:val="4"/>
        </w:numPr>
        <w:spacing w:line="360" w:lineRule="auto"/>
        <w:ind w:left="641" w:hanging="357"/>
        <w:jc w:val="both"/>
        <w:rPr>
          <w:rFonts w:cs="Arial"/>
          <w:sz w:val="28"/>
          <w:szCs w:val="28"/>
        </w:rPr>
      </w:pPr>
      <w:r w:rsidRPr="003C6232">
        <w:rPr>
          <w:rFonts w:cs="Arial"/>
          <w:sz w:val="28"/>
          <w:szCs w:val="28"/>
        </w:rPr>
        <w:t>Décret N° 2009-95 du 06 février 2009 portant Création et Organisation de l’Observatoire de la Qualité des Services Financiers (O.Q.S.F/ Sénégal)</w:t>
      </w:r>
    </w:p>
    <w:p w:rsidR="00BF41C9" w:rsidRPr="003C6232" w:rsidRDefault="009F1EAE" w:rsidP="00F83A03">
      <w:pPr>
        <w:pStyle w:val="Paragraphedeliste"/>
        <w:numPr>
          <w:ilvl w:val="0"/>
          <w:numId w:val="4"/>
        </w:numPr>
        <w:spacing w:line="360" w:lineRule="auto"/>
        <w:ind w:left="641" w:hanging="357"/>
        <w:jc w:val="both"/>
        <w:rPr>
          <w:rFonts w:cs="Arial"/>
          <w:sz w:val="28"/>
          <w:szCs w:val="28"/>
        </w:rPr>
      </w:pPr>
      <w:r w:rsidRPr="003C6232">
        <w:rPr>
          <w:rFonts w:cs="Arial"/>
          <w:sz w:val="28"/>
          <w:szCs w:val="28"/>
        </w:rPr>
        <w:t>Arrêté N</w:t>
      </w:r>
      <w:r w:rsidR="00BF41C9" w:rsidRPr="003C6232">
        <w:rPr>
          <w:rFonts w:cs="Arial"/>
          <w:sz w:val="28"/>
          <w:szCs w:val="28"/>
        </w:rPr>
        <w:t>°2256 du 02 mars 2009 fixant les attributions et conditions de l’activité de médiateur financier</w:t>
      </w:r>
    </w:p>
    <w:p w:rsidR="00BF41C9" w:rsidRPr="003C6232" w:rsidRDefault="00BF41C9" w:rsidP="00F83A03">
      <w:pPr>
        <w:pStyle w:val="Paragraphedeliste"/>
        <w:numPr>
          <w:ilvl w:val="0"/>
          <w:numId w:val="4"/>
        </w:numPr>
        <w:spacing w:line="360" w:lineRule="auto"/>
        <w:ind w:left="641" w:hanging="357"/>
        <w:jc w:val="both"/>
        <w:rPr>
          <w:rFonts w:cs="Arial"/>
          <w:sz w:val="28"/>
          <w:szCs w:val="28"/>
        </w:rPr>
      </w:pPr>
      <w:r w:rsidRPr="003C6232">
        <w:rPr>
          <w:rFonts w:cs="Arial"/>
          <w:sz w:val="28"/>
          <w:szCs w:val="28"/>
        </w:rPr>
        <w:t xml:space="preserve">Charte de la médiation des </w:t>
      </w:r>
      <w:r>
        <w:rPr>
          <w:rFonts w:cs="Arial"/>
          <w:sz w:val="28"/>
          <w:szCs w:val="28"/>
        </w:rPr>
        <w:t>pour les Etablissements de Crédit, Les Systèmes financiers Décentralisés et la Poste</w:t>
      </w:r>
    </w:p>
    <w:p w:rsidR="00BF41C9" w:rsidRPr="00007FC9" w:rsidRDefault="00BF41C9" w:rsidP="00F83A03">
      <w:pPr>
        <w:pStyle w:val="Paragraphedeliste"/>
        <w:ind w:left="644"/>
        <w:jc w:val="both"/>
        <w:rPr>
          <w:rFonts w:cs="Arial"/>
          <w:sz w:val="24"/>
          <w:szCs w:val="28"/>
        </w:rPr>
      </w:pPr>
    </w:p>
    <w:p w:rsidR="00BF41C9" w:rsidRDefault="00BF41C9" w:rsidP="00F83A03">
      <w:pPr>
        <w:jc w:val="both"/>
        <w:rPr>
          <w:rFonts w:eastAsia="Univers" w:cs="Arial"/>
          <w:b/>
          <w:noProof/>
          <w:sz w:val="18"/>
          <w:szCs w:val="18"/>
          <w:u w:val="single"/>
        </w:rPr>
      </w:pPr>
      <w:r>
        <w:rPr>
          <w:rFonts w:eastAsia="Univers" w:cs="Arial"/>
          <w:b/>
          <w:noProof/>
          <w:sz w:val="18"/>
          <w:szCs w:val="18"/>
          <w:u w:val="single"/>
        </w:rPr>
        <w:br w:type="page"/>
      </w:r>
    </w:p>
    <w:p w:rsidR="00EA03F0" w:rsidRPr="00EA03F0" w:rsidRDefault="00EA03F0" w:rsidP="00F83A03">
      <w:pPr>
        <w:ind w:right="-143"/>
        <w:contextualSpacing/>
        <w:jc w:val="both"/>
        <w:rPr>
          <w:rFonts w:ascii="Book Antiqua" w:eastAsia="Univers" w:hAnsi="Book Antiqua" w:cs="Arial"/>
          <w:i/>
          <w:sz w:val="18"/>
          <w:szCs w:val="18"/>
        </w:rPr>
      </w:pPr>
      <w:r w:rsidRPr="00EA03F0">
        <w:rPr>
          <w:rFonts w:ascii="Book Antiqua" w:eastAsia="Univers" w:hAnsi="Book Antiqua" w:cs="Arial"/>
          <w:i/>
          <w:sz w:val="18"/>
          <w:szCs w:val="18"/>
        </w:rPr>
        <w:lastRenderedPageBreak/>
        <w:t>Un Peuple – Un But – Une Foi</w:t>
      </w:r>
    </w:p>
    <w:p w:rsidR="00EA03F0" w:rsidRPr="00EA03F0" w:rsidRDefault="00EA03F0" w:rsidP="00F83A03">
      <w:pPr>
        <w:ind w:right="-143"/>
        <w:contextualSpacing/>
        <w:jc w:val="both"/>
        <w:rPr>
          <w:rFonts w:ascii="Book Antiqua" w:eastAsia="Univers" w:hAnsi="Book Antiqua" w:cs="Arial"/>
          <w:sz w:val="16"/>
          <w:szCs w:val="12"/>
        </w:rPr>
      </w:pPr>
      <w:r w:rsidRPr="00EA03F0">
        <w:rPr>
          <w:rFonts w:ascii="Book Antiqua" w:eastAsia="Univers" w:hAnsi="Book Antiqua" w:cs="Arial"/>
          <w:sz w:val="16"/>
          <w:szCs w:val="12"/>
        </w:rPr>
        <w:t>------------------</w:t>
      </w:r>
    </w:p>
    <w:p w:rsidR="00EA03F0" w:rsidRPr="00EA03F0" w:rsidRDefault="00EA03F0" w:rsidP="00F83A03">
      <w:pPr>
        <w:ind w:right="-143"/>
        <w:contextualSpacing/>
        <w:jc w:val="both"/>
        <w:rPr>
          <w:rFonts w:ascii="Book Antiqua" w:eastAsia="Univers" w:hAnsi="Book Antiqua" w:cs="Arial"/>
          <w:b/>
        </w:rPr>
      </w:pPr>
      <w:r w:rsidRPr="00EA03F0">
        <w:rPr>
          <w:rFonts w:ascii="Book Antiqua" w:eastAsia="Univers" w:hAnsi="Book Antiqua" w:cs="Arial"/>
          <w:b/>
        </w:rPr>
        <w:t xml:space="preserve">MINISTERE </w:t>
      </w:r>
    </w:p>
    <w:p w:rsidR="00EA03F0" w:rsidRPr="00EA03F0" w:rsidRDefault="00EA03F0" w:rsidP="00F83A03">
      <w:pPr>
        <w:ind w:right="-143"/>
        <w:contextualSpacing/>
        <w:jc w:val="both"/>
        <w:rPr>
          <w:rFonts w:ascii="Book Antiqua" w:eastAsia="Univers" w:hAnsi="Book Antiqua" w:cs="Arial"/>
          <w:b/>
        </w:rPr>
      </w:pPr>
      <w:r w:rsidRPr="00EA03F0">
        <w:rPr>
          <w:rFonts w:ascii="Book Antiqua" w:eastAsia="Univers" w:hAnsi="Book Antiqua" w:cs="Arial"/>
          <w:b/>
        </w:rPr>
        <w:t>DES FINANCES ET DU BUDGET</w:t>
      </w:r>
    </w:p>
    <w:p w:rsidR="00EA03F0" w:rsidRPr="00EA03F0" w:rsidRDefault="00EA03F0" w:rsidP="00F83A03">
      <w:pPr>
        <w:ind w:right="-143"/>
        <w:contextualSpacing/>
        <w:jc w:val="both"/>
        <w:rPr>
          <w:rFonts w:ascii="Book Antiqua" w:eastAsia="Univers" w:hAnsi="Book Antiqua" w:cs="Arial"/>
          <w:sz w:val="16"/>
          <w:szCs w:val="12"/>
        </w:rPr>
      </w:pPr>
      <w:r w:rsidRPr="00EA03F0">
        <w:rPr>
          <w:rFonts w:ascii="Book Antiqua" w:eastAsia="Univers" w:hAnsi="Book Antiqua" w:cs="Arial"/>
          <w:sz w:val="16"/>
          <w:szCs w:val="12"/>
        </w:rPr>
        <w:t>------------------</w:t>
      </w:r>
    </w:p>
    <w:p w:rsidR="00EA03F0" w:rsidRPr="00EA03F0" w:rsidRDefault="00EA03F0" w:rsidP="00F83A03">
      <w:pPr>
        <w:ind w:right="-143"/>
        <w:contextualSpacing/>
        <w:jc w:val="both"/>
        <w:rPr>
          <w:rFonts w:ascii="Book Antiqua" w:eastAsia="Univers" w:hAnsi="Book Antiqua" w:cs="Arial"/>
          <w:b/>
        </w:rPr>
      </w:pPr>
      <w:r w:rsidRPr="00EA03F0">
        <w:rPr>
          <w:rFonts w:ascii="Book Antiqua" w:eastAsia="Univers" w:hAnsi="Book Antiqua" w:cs="Arial"/>
          <w:b/>
        </w:rPr>
        <w:t>OBSERVATOIRE DE LA QUALITE</w:t>
      </w:r>
    </w:p>
    <w:p w:rsidR="00EA03F0" w:rsidRPr="00EA03F0" w:rsidRDefault="00EA03F0" w:rsidP="00F83A03">
      <w:pPr>
        <w:ind w:right="-143"/>
        <w:contextualSpacing/>
        <w:jc w:val="both"/>
        <w:rPr>
          <w:rFonts w:ascii="Book Antiqua" w:eastAsia="Univers" w:hAnsi="Book Antiqua" w:cs="Arial"/>
          <w:b/>
        </w:rPr>
      </w:pPr>
      <w:r w:rsidRPr="00EA03F0">
        <w:rPr>
          <w:rFonts w:ascii="Book Antiqua" w:eastAsia="Univers" w:hAnsi="Book Antiqua" w:cs="Arial"/>
          <w:b/>
        </w:rPr>
        <w:t>DES SERVICES FINANCIERS</w:t>
      </w:r>
    </w:p>
    <w:p w:rsidR="00EA03F0" w:rsidRPr="00EA03F0" w:rsidRDefault="00EA03F0" w:rsidP="00F83A03">
      <w:pPr>
        <w:ind w:right="-143"/>
        <w:contextualSpacing/>
        <w:jc w:val="both"/>
        <w:rPr>
          <w:rFonts w:ascii="Book Antiqua" w:eastAsia="Univers" w:hAnsi="Book Antiqua" w:cs="Arial"/>
          <w:b/>
        </w:rPr>
      </w:pPr>
    </w:p>
    <w:p w:rsidR="00EA03F0" w:rsidRPr="00EA03F0" w:rsidRDefault="00EA03F0" w:rsidP="00F83A03">
      <w:pPr>
        <w:jc w:val="both"/>
        <w:rPr>
          <w:rFonts w:ascii="Book Antiqua" w:hAnsi="Book Antiqua"/>
        </w:rPr>
      </w:pPr>
      <w:r w:rsidRPr="00EA03F0">
        <w:rPr>
          <w:rFonts w:ascii="Book Antiqua" w:eastAsia="Univers" w:hAnsi="Book Antiqua" w:cs="Arial"/>
          <w:b/>
          <w:noProof/>
          <w:lang w:eastAsia="fr-FR"/>
        </w:rPr>
        <w:drawing>
          <wp:inline distT="0" distB="0" distL="0" distR="0" wp14:anchorId="7F10D3D9" wp14:editId="439C17F4">
            <wp:extent cx="721609" cy="720000"/>
            <wp:effectExtent l="19050" t="0" r="2291" b="0"/>
            <wp:docPr id="2" name="Image 1" descr="\\Srv\Administration et Finance\OQSF\Communication\Charte graphique\logo\OQSF_Logo v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Administration et Finance\OQSF\Communication\Charte graphique\logo\OQSF_Logo v1.0.JPG"/>
                    <pic:cNvPicPr>
                      <a:picLocks noChangeAspect="1" noChangeArrowheads="1"/>
                    </pic:cNvPicPr>
                  </pic:nvPicPr>
                  <pic:blipFill>
                    <a:blip r:embed="rId8" cstate="print"/>
                    <a:srcRect/>
                    <a:stretch>
                      <a:fillRect/>
                    </a:stretch>
                  </pic:blipFill>
                  <pic:spPr bwMode="auto">
                    <a:xfrm>
                      <a:off x="0" y="0"/>
                      <a:ext cx="721609" cy="720000"/>
                    </a:xfrm>
                    <a:prstGeom prst="rect">
                      <a:avLst/>
                    </a:prstGeom>
                    <a:noFill/>
                    <a:ln w="9525">
                      <a:noFill/>
                      <a:miter lim="800000"/>
                      <a:headEnd/>
                      <a:tailEnd/>
                    </a:ln>
                  </pic:spPr>
                </pic:pic>
              </a:graphicData>
            </a:graphic>
          </wp:inline>
        </w:drawing>
      </w:r>
    </w:p>
    <w:p w:rsidR="00EA03F0" w:rsidRPr="00EA03F0" w:rsidRDefault="00EA03F0" w:rsidP="00F83A03">
      <w:pPr>
        <w:tabs>
          <w:tab w:val="left" w:pos="-720"/>
        </w:tabs>
        <w:suppressAutoHyphens/>
        <w:spacing w:after="0" w:line="240" w:lineRule="auto"/>
        <w:jc w:val="both"/>
        <w:rPr>
          <w:rFonts w:ascii="Arial" w:eastAsia="Times New Roman" w:hAnsi="Arial" w:cs="Arial"/>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sz w:val="24"/>
          <w:szCs w:val="24"/>
          <w:lang w:eastAsia="fr-FR"/>
        </w:rPr>
      </w:pPr>
    </w:p>
    <w:tbl>
      <w:tblPr>
        <w:tblW w:w="0" w:type="auto"/>
        <w:jc w:val="cente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685"/>
      </w:tblGrid>
      <w:tr w:rsidR="00EA03F0" w:rsidRPr="00EA03F0" w:rsidTr="00EA03F0">
        <w:trPr>
          <w:trHeight w:val="963"/>
          <w:jc w:val="center"/>
        </w:trPr>
        <w:tc>
          <w:tcPr>
            <w:tcW w:w="8685" w:type="dxa"/>
            <w:vAlign w:val="center"/>
          </w:tcPr>
          <w:p w:rsidR="00EA03F0" w:rsidRPr="00EA03F0" w:rsidRDefault="00EA03F0" w:rsidP="00F83A03">
            <w:pPr>
              <w:tabs>
                <w:tab w:val="left" w:pos="-720"/>
              </w:tabs>
              <w:suppressAutoHyphens/>
              <w:spacing w:after="0" w:line="264" w:lineRule="auto"/>
              <w:jc w:val="both"/>
              <w:rPr>
                <w:rFonts w:ascii="Arial" w:eastAsia="Times New Roman" w:hAnsi="Arial" w:cs="Arial"/>
                <w:b/>
                <w:bCs/>
                <w:sz w:val="32"/>
                <w:szCs w:val="32"/>
                <w:lang w:eastAsia="fr-FR"/>
              </w:rPr>
            </w:pPr>
            <w:r w:rsidRPr="00EA03F0">
              <w:rPr>
                <w:rFonts w:ascii="Arial" w:eastAsia="Times New Roman" w:hAnsi="Arial" w:cs="Arial"/>
                <w:b/>
                <w:bCs/>
                <w:sz w:val="48"/>
                <w:szCs w:val="48"/>
                <w:lang w:eastAsia="fr-FR"/>
              </w:rPr>
              <w:t>Elaboration d’un dispositif de compensation assurantielle  inter-compagnies au Sénégal</w:t>
            </w:r>
          </w:p>
        </w:tc>
      </w:tr>
    </w:tbl>
    <w:p w:rsidR="00EA03F0" w:rsidRPr="00EA03F0" w:rsidRDefault="00EA03F0" w:rsidP="00F83A03">
      <w:pPr>
        <w:tabs>
          <w:tab w:val="left" w:pos="-720"/>
        </w:tabs>
        <w:suppressAutoHyphens/>
        <w:spacing w:after="0" w:line="240" w:lineRule="auto"/>
        <w:jc w:val="both"/>
        <w:rPr>
          <w:rFonts w:ascii="Arial" w:eastAsia="Times New Roman" w:hAnsi="Arial" w:cs="Arial"/>
          <w:b/>
          <w:spacing w:val="-3"/>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b/>
          <w:spacing w:val="-3"/>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b/>
          <w:spacing w:val="-3"/>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b/>
          <w:spacing w:val="-3"/>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b/>
          <w:spacing w:val="-3"/>
          <w:sz w:val="24"/>
          <w:szCs w:val="24"/>
          <w:lang w:eastAsia="fr-FR"/>
        </w:rPr>
      </w:pPr>
      <w:r w:rsidRPr="00EA03F0">
        <w:rPr>
          <w:rFonts w:ascii="Arial" w:eastAsia="Times New Roman" w:hAnsi="Arial" w:cs="Arial"/>
          <w:b/>
          <w:spacing w:val="-3"/>
          <w:sz w:val="24"/>
          <w:szCs w:val="24"/>
          <w:lang w:eastAsia="fr-FR"/>
        </w:rPr>
        <w:t>TERMES DE REFERENCE</w:t>
      </w:r>
    </w:p>
    <w:p w:rsidR="00EA03F0" w:rsidRPr="00EA03F0" w:rsidRDefault="00EA03F0" w:rsidP="00F83A03">
      <w:pPr>
        <w:tabs>
          <w:tab w:val="left" w:pos="-720"/>
        </w:tabs>
        <w:suppressAutoHyphens/>
        <w:spacing w:after="0" w:line="240" w:lineRule="auto"/>
        <w:jc w:val="both"/>
        <w:rPr>
          <w:rFonts w:ascii="Arial" w:eastAsia="Times New Roman" w:hAnsi="Arial" w:cs="Arial"/>
          <w:b/>
          <w:spacing w:val="-3"/>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b/>
          <w:spacing w:val="-3"/>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b/>
          <w:spacing w:val="-3"/>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b/>
          <w:spacing w:val="-3"/>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b/>
          <w:spacing w:val="-3"/>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b/>
          <w:spacing w:val="-3"/>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b/>
          <w:spacing w:val="-3"/>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b/>
          <w:spacing w:val="-3"/>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b/>
          <w:spacing w:val="-3"/>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b/>
          <w:spacing w:val="-3"/>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b/>
          <w:spacing w:val="-3"/>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b/>
          <w:spacing w:val="-3"/>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b/>
          <w:spacing w:val="-3"/>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b/>
          <w:spacing w:val="-3"/>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b/>
          <w:spacing w:val="-3"/>
          <w:sz w:val="24"/>
          <w:szCs w:val="24"/>
          <w:lang w:eastAsia="fr-FR"/>
        </w:rPr>
      </w:pPr>
    </w:p>
    <w:p w:rsidR="00EA03F0" w:rsidRPr="00EA03F0" w:rsidRDefault="00EA03F0" w:rsidP="00F83A03">
      <w:pPr>
        <w:tabs>
          <w:tab w:val="left" w:pos="-720"/>
        </w:tabs>
        <w:suppressAutoHyphens/>
        <w:spacing w:after="0" w:line="240" w:lineRule="auto"/>
        <w:jc w:val="both"/>
        <w:rPr>
          <w:rFonts w:ascii="Arial" w:eastAsia="Times New Roman" w:hAnsi="Arial" w:cs="Arial"/>
          <w:b/>
          <w:spacing w:val="-3"/>
          <w:szCs w:val="24"/>
          <w:lang w:eastAsia="fr-FR"/>
        </w:rPr>
        <w:sectPr w:rsidR="00EA03F0" w:rsidRPr="00EA03F0" w:rsidSect="00EA03F0">
          <w:footerReference w:type="even" r:id="rId10"/>
          <w:footerReference w:type="default" r:id="rId11"/>
          <w:pgSz w:w="12240" w:h="15840"/>
          <w:pgMar w:top="1440" w:right="1440" w:bottom="1440" w:left="1440" w:header="720" w:footer="720" w:gutter="0"/>
          <w:cols w:space="720"/>
          <w:docGrid w:linePitch="360"/>
        </w:sectPr>
      </w:pPr>
      <w:r w:rsidRPr="00EA03F0">
        <w:rPr>
          <w:rFonts w:ascii="Arial" w:eastAsia="Times New Roman" w:hAnsi="Arial" w:cs="Arial"/>
          <w:b/>
          <w:spacing w:val="-3"/>
          <w:szCs w:val="24"/>
          <w:lang w:eastAsia="fr-FR"/>
        </w:rPr>
        <w:t>JUILLET 2022</w:t>
      </w:r>
    </w:p>
    <w:p w:rsidR="00EA03F0" w:rsidRPr="00EA03F0" w:rsidRDefault="00EA03F0" w:rsidP="00F83A03">
      <w:pPr>
        <w:numPr>
          <w:ilvl w:val="0"/>
          <w:numId w:val="31"/>
        </w:numPr>
        <w:tabs>
          <w:tab w:val="left" w:pos="-720"/>
        </w:tabs>
        <w:suppressAutoHyphens/>
        <w:spacing w:after="0" w:line="312" w:lineRule="auto"/>
        <w:contextualSpacing/>
        <w:jc w:val="both"/>
        <w:rPr>
          <w:rFonts w:ascii="Arial" w:eastAsia="Times New Roman" w:hAnsi="Arial" w:cs="Arial"/>
          <w:b/>
          <w:lang w:eastAsia="fr-FR"/>
        </w:rPr>
      </w:pPr>
      <w:r w:rsidRPr="00EA03F0">
        <w:rPr>
          <w:rFonts w:ascii="Arial" w:eastAsia="Times New Roman" w:hAnsi="Arial" w:cs="Arial"/>
          <w:b/>
          <w:lang w:eastAsia="fr-FR"/>
        </w:rPr>
        <w:lastRenderedPageBreak/>
        <w:t>Contexte et justification</w:t>
      </w:r>
    </w:p>
    <w:p w:rsidR="00EA03F0" w:rsidRPr="00EA03F0" w:rsidRDefault="00EA03F0" w:rsidP="00F83A03">
      <w:pPr>
        <w:spacing w:after="240" w:line="360" w:lineRule="atLeast"/>
        <w:ind w:left="360"/>
        <w:contextualSpacing/>
        <w:jc w:val="both"/>
        <w:rPr>
          <w:rFonts w:ascii="Arial" w:eastAsia="Times New Roman" w:hAnsi="Arial" w:cs="Arial"/>
          <w:lang w:eastAsia="fr-FR"/>
        </w:rPr>
      </w:pPr>
      <w:r w:rsidRPr="00EA03F0">
        <w:rPr>
          <w:rFonts w:ascii="Arial" w:eastAsia="Times New Roman" w:hAnsi="Arial" w:cs="Arial"/>
          <w:lang w:eastAsia="fr-FR"/>
        </w:rPr>
        <w:t>Troisième marché de la zone CIMA, le Sénégal compte à présent 29 sociétés d’assurances, dont 19 sociétés IARD et 10 sociétés VIE qui ont réalisé en 2021 un chiffre d’affaires de 226 milliards FCFA, soit une progression de près de 10% par rapport à 2020.</w:t>
      </w:r>
    </w:p>
    <w:p w:rsidR="00EA03F0" w:rsidRPr="00EA03F0" w:rsidRDefault="00EA03F0" w:rsidP="00F83A03">
      <w:pPr>
        <w:spacing w:after="240" w:line="360" w:lineRule="atLeast"/>
        <w:ind w:left="360"/>
        <w:contextualSpacing/>
        <w:jc w:val="both"/>
        <w:rPr>
          <w:rFonts w:ascii="Arial" w:eastAsia="Times New Roman" w:hAnsi="Arial" w:cs="Arial"/>
          <w:lang w:eastAsia="fr-FR"/>
        </w:rPr>
      </w:pPr>
    </w:p>
    <w:p w:rsidR="00EA03F0" w:rsidRPr="00EA03F0" w:rsidRDefault="00EA03F0" w:rsidP="00F83A03">
      <w:pPr>
        <w:spacing w:after="240" w:line="360" w:lineRule="atLeast"/>
        <w:ind w:left="360"/>
        <w:contextualSpacing/>
        <w:jc w:val="both"/>
        <w:rPr>
          <w:rFonts w:ascii="Arial" w:eastAsia="Times New Roman" w:hAnsi="Arial" w:cs="Arial"/>
          <w:lang w:eastAsia="fr-FR"/>
        </w:rPr>
      </w:pPr>
      <w:r w:rsidRPr="00EA03F0">
        <w:rPr>
          <w:rFonts w:ascii="Arial" w:eastAsia="Times New Roman" w:hAnsi="Arial" w:cs="Arial"/>
          <w:lang w:eastAsia="fr-FR"/>
        </w:rPr>
        <w:t>Ce chiffre d’affaires se répartit à 65% pour l’IARD, soit 146,7 milliards FCFA et 35% pour la VIE soit 79 milliards FCFA. Les assureurs sénégalais ont toujours fait preuve d’un dynamisme assez remarquable qui s’est reflété tant dans la croissance soutenue de leur chiffre d’affaires annuel, avec un taux moyen annuel de croissance de 11,4% au cours de ces 5 dernières années, surpassant nettement, ceux constatables dans les autres pays de la zone CIMA, en l’occurrence la RCI et le Cameroun, qui ont enregistré au cours de la même période, des moyennes respectives de 8,22% et 3,26 %. D’ailleurs, si cette tendance se maintient, le Sénégal se positionnera comme 2</w:t>
      </w:r>
      <w:r w:rsidRPr="00EA03F0">
        <w:rPr>
          <w:rFonts w:ascii="Arial" w:eastAsia="Times New Roman" w:hAnsi="Arial" w:cs="Arial"/>
          <w:vertAlign w:val="superscript"/>
          <w:lang w:eastAsia="fr-FR"/>
        </w:rPr>
        <w:t>ème</w:t>
      </w:r>
      <w:r w:rsidRPr="00EA03F0">
        <w:rPr>
          <w:rFonts w:ascii="Arial" w:eastAsia="Times New Roman" w:hAnsi="Arial" w:cs="Arial"/>
          <w:lang w:eastAsia="fr-FR"/>
        </w:rPr>
        <w:t xml:space="preserve"> marché dès fin 2022 et raccourcira considérablement dans les années à venir, l’écart le séparant de la Côte d’Ivoire, qui assume depuis toujours son statut de 1</w:t>
      </w:r>
      <w:r w:rsidRPr="00EA03F0">
        <w:rPr>
          <w:rFonts w:ascii="Arial" w:eastAsia="Times New Roman" w:hAnsi="Arial" w:cs="Arial"/>
          <w:vertAlign w:val="superscript"/>
          <w:lang w:eastAsia="fr-FR"/>
        </w:rPr>
        <w:t>er</w:t>
      </w:r>
      <w:r w:rsidRPr="00EA03F0">
        <w:rPr>
          <w:rFonts w:ascii="Arial" w:eastAsia="Times New Roman" w:hAnsi="Arial" w:cs="Arial"/>
          <w:lang w:eastAsia="fr-FR"/>
        </w:rPr>
        <w:t xml:space="preserve"> marché de la zone CIMA. </w:t>
      </w:r>
    </w:p>
    <w:p w:rsidR="00EA03F0" w:rsidRPr="00EA03F0" w:rsidRDefault="00EA03F0" w:rsidP="00F83A03">
      <w:pPr>
        <w:spacing w:after="240" w:line="360" w:lineRule="atLeast"/>
        <w:ind w:left="360"/>
        <w:contextualSpacing/>
        <w:jc w:val="both"/>
        <w:rPr>
          <w:rFonts w:ascii="Arial" w:eastAsia="Times New Roman" w:hAnsi="Arial" w:cs="Arial"/>
          <w:lang w:eastAsia="fr-FR"/>
        </w:rPr>
      </w:pPr>
      <w:r w:rsidRPr="00EA03F0">
        <w:rPr>
          <w:rFonts w:ascii="Arial" w:eastAsia="Times New Roman" w:hAnsi="Arial" w:cs="Arial"/>
          <w:lang w:eastAsia="fr-FR"/>
        </w:rPr>
        <w:t>Toutefois, l’avènement de l’ère pétro-gazière qui vient de s’ouvrir pourrait se révéler comme un puissant facteur d’accélération et de</w:t>
      </w:r>
      <w:r w:rsidRPr="00EA03F0">
        <w:rPr>
          <w:rFonts w:ascii="Arial" w:eastAsia="Times New Roman" w:hAnsi="Arial" w:cs="Arial"/>
          <w:color w:val="FF0000"/>
          <w:lang w:eastAsia="fr-FR"/>
        </w:rPr>
        <w:t xml:space="preserve"> </w:t>
      </w:r>
      <w:r w:rsidRPr="00EA03F0">
        <w:rPr>
          <w:rFonts w:ascii="Arial" w:eastAsia="Times New Roman" w:hAnsi="Arial" w:cs="Arial"/>
          <w:lang w:eastAsia="fr-FR"/>
        </w:rPr>
        <w:t>réduction</w:t>
      </w:r>
      <w:r w:rsidRPr="00EA03F0">
        <w:rPr>
          <w:rFonts w:ascii="Arial" w:eastAsia="Times New Roman" w:hAnsi="Arial" w:cs="Arial"/>
          <w:color w:val="FF0000"/>
          <w:lang w:eastAsia="fr-FR"/>
        </w:rPr>
        <w:t xml:space="preserve"> </w:t>
      </w:r>
      <w:r w:rsidRPr="00EA03F0">
        <w:rPr>
          <w:rFonts w:ascii="Arial" w:eastAsia="Times New Roman" w:hAnsi="Arial" w:cs="Arial"/>
          <w:lang w:eastAsia="fr-FR"/>
        </w:rPr>
        <w:t>des délais prévisionnels ainsi avancés.</w:t>
      </w:r>
    </w:p>
    <w:p w:rsidR="00EA03F0" w:rsidRPr="00EA03F0" w:rsidRDefault="00EA03F0" w:rsidP="00F83A03">
      <w:pPr>
        <w:spacing w:after="240" w:line="360" w:lineRule="atLeast"/>
        <w:ind w:left="360"/>
        <w:contextualSpacing/>
        <w:jc w:val="both"/>
        <w:rPr>
          <w:rFonts w:ascii="Arial" w:eastAsia="Times New Roman" w:hAnsi="Arial" w:cs="Arial"/>
          <w:lang w:eastAsia="fr-FR"/>
        </w:rPr>
      </w:pPr>
    </w:p>
    <w:p w:rsidR="00EA03F0" w:rsidRPr="00EA03F0" w:rsidRDefault="00EA03F0" w:rsidP="00F83A03">
      <w:pPr>
        <w:spacing w:after="240" w:line="360" w:lineRule="atLeast"/>
        <w:ind w:left="360"/>
        <w:contextualSpacing/>
        <w:jc w:val="both"/>
        <w:rPr>
          <w:rFonts w:ascii="Arial" w:eastAsia="Times New Roman" w:hAnsi="Arial" w:cs="Arial"/>
          <w:color w:val="FF0000"/>
          <w:lang w:eastAsia="fr-FR"/>
        </w:rPr>
      </w:pPr>
    </w:p>
    <w:p w:rsidR="00EA03F0" w:rsidRPr="00EA03F0" w:rsidRDefault="00EA03F0" w:rsidP="00F83A03">
      <w:pPr>
        <w:spacing w:after="240" w:line="360" w:lineRule="atLeast"/>
        <w:ind w:left="360"/>
        <w:contextualSpacing/>
        <w:jc w:val="both"/>
        <w:rPr>
          <w:rFonts w:ascii="Arial" w:eastAsia="Times New Roman" w:hAnsi="Arial" w:cs="Arial"/>
          <w:lang w:eastAsia="fr-FR"/>
        </w:rPr>
      </w:pPr>
      <w:r w:rsidRPr="00EA03F0">
        <w:rPr>
          <w:rFonts w:ascii="Arial" w:eastAsia="Times New Roman" w:hAnsi="Arial" w:cs="Arial"/>
          <w:lang w:eastAsia="fr-FR"/>
        </w:rPr>
        <w:t>Par ailleurs, les assureurs sénégalais, se sont toujours illustrés par leur capacité innovante et leurs sens de l’organisation, avec comme clef de voute, une organisation corporatiste extrêmement forte, l’Association des Assureurs du Sénégal (L’AAS) qui s’est bonifiée lors des mutations successives ayant jalonné ses cinquante ans d’existence.</w:t>
      </w:r>
    </w:p>
    <w:p w:rsidR="00EA03F0" w:rsidRPr="00EA03F0" w:rsidRDefault="00EA03F0" w:rsidP="00F83A03">
      <w:pPr>
        <w:spacing w:after="240" w:line="360" w:lineRule="atLeast"/>
        <w:ind w:left="360"/>
        <w:contextualSpacing/>
        <w:jc w:val="both"/>
        <w:rPr>
          <w:rFonts w:ascii="Arial" w:eastAsia="Times New Roman" w:hAnsi="Arial" w:cs="Arial"/>
          <w:lang w:eastAsia="fr-FR"/>
        </w:rPr>
      </w:pPr>
    </w:p>
    <w:p w:rsidR="00EA03F0" w:rsidRPr="00EA03F0" w:rsidRDefault="00EA03F0" w:rsidP="00F83A03">
      <w:pPr>
        <w:spacing w:after="240" w:line="360" w:lineRule="atLeast"/>
        <w:ind w:left="360"/>
        <w:contextualSpacing/>
        <w:jc w:val="both"/>
        <w:rPr>
          <w:rFonts w:ascii="Arial" w:eastAsia="Times New Roman" w:hAnsi="Arial" w:cs="Arial"/>
          <w:lang w:eastAsia="fr-FR"/>
        </w:rPr>
      </w:pPr>
      <w:r w:rsidRPr="00EA03F0">
        <w:rPr>
          <w:rFonts w:ascii="Arial" w:eastAsia="Times New Roman" w:hAnsi="Arial" w:cs="Arial"/>
          <w:lang w:eastAsia="fr-FR"/>
        </w:rPr>
        <w:t xml:space="preserve">A ce jour, l’AAS forte d’une trentaine de membres, est génitrice de divers organismes, qu’elle abrite en son sein, dont entre autres : le Pool TPV, la Nouvelle Prévention Routière du Sénégal (NPRS), la Carte Brune CEDEAO, le dispositif de constat amiable </w:t>
      </w:r>
      <w:proofErr w:type="spellStart"/>
      <w:r w:rsidRPr="00EA03F0">
        <w:rPr>
          <w:rFonts w:ascii="Arial" w:eastAsia="Times New Roman" w:hAnsi="Arial" w:cs="Arial"/>
          <w:lang w:eastAsia="fr-FR"/>
        </w:rPr>
        <w:t>Taxawuleen</w:t>
      </w:r>
      <w:proofErr w:type="spellEnd"/>
      <w:r w:rsidRPr="00EA03F0">
        <w:rPr>
          <w:rFonts w:ascii="Arial" w:eastAsia="Times New Roman" w:hAnsi="Arial" w:cs="Arial"/>
          <w:lang w:eastAsia="fr-FR"/>
        </w:rPr>
        <w:t xml:space="preserve"> et le Pool Pétrolier et Gazier, dont chacun, en ce qui le concerne est en charge d’une mission spécifique de résolution d’un problème prégnant, préoccupant la corporation.</w:t>
      </w:r>
    </w:p>
    <w:p w:rsidR="00EA03F0" w:rsidRPr="00EA03F0" w:rsidRDefault="00EA03F0" w:rsidP="00F83A03">
      <w:pPr>
        <w:spacing w:after="240" w:line="360" w:lineRule="atLeast"/>
        <w:ind w:left="360"/>
        <w:contextualSpacing/>
        <w:jc w:val="both"/>
        <w:rPr>
          <w:rFonts w:ascii="Arial" w:eastAsia="Times New Roman" w:hAnsi="Arial" w:cs="Arial"/>
          <w:lang w:eastAsia="fr-FR"/>
        </w:rPr>
      </w:pPr>
      <w:r w:rsidRPr="00EA03F0">
        <w:rPr>
          <w:rFonts w:ascii="Arial" w:eastAsia="Times New Roman" w:hAnsi="Arial" w:cs="Arial"/>
          <w:lang w:eastAsia="fr-FR"/>
        </w:rPr>
        <w:t xml:space="preserve">Par ailleurs, L’AAS a également mis en place huit commissions composites représentatives de ses différents membres, dont chacune est spécialisée dans le traitement de problèmes qui lui sont spécifiques et dont les plus connues sont : </w:t>
      </w:r>
    </w:p>
    <w:p w:rsidR="00EA03F0" w:rsidRPr="00EA03F0" w:rsidRDefault="00EA03F0" w:rsidP="00F83A03">
      <w:pPr>
        <w:numPr>
          <w:ilvl w:val="0"/>
          <w:numId w:val="28"/>
        </w:numPr>
        <w:spacing w:after="240" w:line="360" w:lineRule="atLeast"/>
        <w:contextualSpacing/>
        <w:jc w:val="both"/>
        <w:rPr>
          <w:rFonts w:ascii="Arial" w:eastAsia="Times New Roman" w:hAnsi="Arial" w:cs="Arial"/>
          <w:lang w:eastAsia="fr-FR"/>
        </w:rPr>
      </w:pPr>
      <w:r w:rsidRPr="00EA03F0">
        <w:rPr>
          <w:rFonts w:ascii="Arial" w:eastAsia="Times New Roman" w:hAnsi="Arial" w:cs="Arial"/>
          <w:lang w:eastAsia="fr-FR"/>
        </w:rPr>
        <w:t>La Commission Assurance de Personnes en charge du traitement de toutes les questions techniques ressortant des branches d’assurance Vie ou Assurance Santé ;</w:t>
      </w:r>
    </w:p>
    <w:p w:rsidR="00EA03F0" w:rsidRPr="00EA03F0" w:rsidRDefault="00EA03F0" w:rsidP="00F83A03">
      <w:pPr>
        <w:numPr>
          <w:ilvl w:val="0"/>
          <w:numId w:val="28"/>
        </w:numPr>
        <w:spacing w:after="240" w:line="360" w:lineRule="atLeast"/>
        <w:contextualSpacing/>
        <w:jc w:val="both"/>
        <w:rPr>
          <w:rFonts w:ascii="Arial" w:eastAsia="Times New Roman" w:hAnsi="Arial" w:cs="Arial"/>
          <w:lang w:eastAsia="fr-FR"/>
        </w:rPr>
      </w:pPr>
      <w:r w:rsidRPr="00EA03F0">
        <w:rPr>
          <w:rFonts w:ascii="Arial" w:eastAsia="Times New Roman" w:hAnsi="Arial" w:cs="Arial"/>
          <w:lang w:eastAsia="fr-FR"/>
        </w:rPr>
        <w:lastRenderedPageBreak/>
        <w:t>La Commission Transport, compétente pour connaître de tous les problèmes techniques affectant la branche Transport ;</w:t>
      </w:r>
    </w:p>
    <w:p w:rsidR="00EA03F0" w:rsidRPr="00EA03F0" w:rsidRDefault="00EA03F0" w:rsidP="00F83A03">
      <w:pPr>
        <w:numPr>
          <w:ilvl w:val="0"/>
          <w:numId w:val="28"/>
        </w:numPr>
        <w:spacing w:after="240" w:line="360" w:lineRule="atLeast"/>
        <w:contextualSpacing/>
        <w:jc w:val="both"/>
        <w:rPr>
          <w:rFonts w:ascii="Arial" w:eastAsia="Times New Roman" w:hAnsi="Arial" w:cs="Arial"/>
          <w:lang w:eastAsia="fr-FR"/>
        </w:rPr>
      </w:pPr>
      <w:r w:rsidRPr="00EA03F0">
        <w:rPr>
          <w:rFonts w:ascii="Arial" w:eastAsia="Times New Roman" w:hAnsi="Arial" w:cs="Arial"/>
          <w:lang w:eastAsia="fr-FR"/>
        </w:rPr>
        <w:t>La Commission Technique IARD, spécialisée dans le traitement des questions ressortant des différentes catégories d’assurance IARD ;</w:t>
      </w:r>
    </w:p>
    <w:p w:rsidR="00EA03F0" w:rsidRPr="00EA03F0" w:rsidRDefault="00EA03F0" w:rsidP="00F83A03">
      <w:pPr>
        <w:numPr>
          <w:ilvl w:val="0"/>
          <w:numId w:val="28"/>
        </w:numPr>
        <w:spacing w:after="240" w:line="360" w:lineRule="atLeast"/>
        <w:contextualSpacing/>
        <w:jc w:val="both"/>
        <w:rPr>
          <w:rFonts w:ascii="Arial" w:eastAsia="Times New Roman" w:hAnsi="Arial" w:cs="Arial"/>
          <w:lang w:eastAsia="fr-FR"/>
        </w:rPr>
      </w:pPr>
      <w:r w:rsidRPr="00EA03F0">
        <w:rPr>
          <w:rFonts w:ascii="Arial" w:eastAsia="Times New Roman" w:hAnsi="Arial" w:cs="Arial"/>
          <w:lang w:eastAsia="fr-FR"/>
        </w:rPr>
        <w:t>La Commission Arbitrage et Conciliation, en charge de la résolution amiable des contentieux inter-compagnie ;</w:t>
      </w:r>
    </w:p>
    <w:p w:rsidR="00EA03F0" w:rsidRPr="00EA03F0" w:rsidRDefault="00EA03F0" w:rsidP="00F83A03">
      <w:pPr>
        <w:numPr>
          <w:ilvl w:val="0"/>
          <w:numId w:val="28"/>
        </w:numPr>
        <w:spacing w:after="240" w:line="360" w:lineRule="atLeast"/>
        <w:contextualSpacing/>
        <w:jc w:val="both"/>
        <w:rPr>
          <w:rFonts w:ascii="Arial" w:eastAsia="Times New Roman" w:hAnsi="Arial" w:cs="Arial"/>
          <w:lang w:eastAsia="fr-FR"/>
        </w:rPr>
      </w:pPr>
      <w:r w:rsidRPr="00EA03F0">
        <w:rPr>
          <w:rFonts w:ascii="Arial" w:eastAsia="Times New Roman" w:hAnsi="Arial" w:cs="Arial"/>
          <w:lang w:eastAsia="fr-FR"/>
        </w:rPr>
        <w:t>La Commission Communication en charge de l’élaboration et du suivi de la mise en œuvre du Plan de Communication de l’AAS.</w:t>
      </w:r>
    </w:p>
    <w:p w:rsidR="00EA03F0" w:rsidRPr="00EA03F0" w:rsidRDefault="00EA03F0" w:rsidP="00F83A03">
      <w:pPr>
        <w:spacing w:after="240" w:line="360" w:lineRule="atLeast"/>
        <w:jc w:val="both"/>
        <w:rPr>
          <w:rFonts w:ascii="Arial" w:eastAsia="Times New Roman" w:hAnsi="Arial" w:cs="Arial"/>
          <w:lang w:eastAsia="fr-FR"/>
        </w:rPr>
      </w:pPr>
      <w:r w:rsidRPr="00EA03F0">
        <w:rPr>
          <w:rFonts w:ascii="Arial" w:eastAsia="Times New Roman" w:hAnsi="Arial" w:cs="Arial"/>
          <w:lang w:eastAsia="fr-FR"/>
        </w:rPr>
        <w:t>Malgré l’existence dudit dispositif organisationnel très salutaire qui permet de prendre à bras le corps, la plupart des problèmes, auxquels se heurte la corporation ; force est de constater que certains sujets de préoccupation, non moins importants, n’ont pas encore fait l’objet du traitement qu’ils méritent.</w:t>
      </w:r>
    </w:p>
    <w:p w:rsidR="00EA03F0" w:rsidRPr="00EA03F0" w:rsidRDefault="00EA03F0" w:rsidP="00F83A03">
      <w:pPr>
        <w:spacing w:after="240" w:line="360" w:lineRule="atLeast"/>
        <w:jc w:val="both"/>
        <w:rPr>
          <w:rFonts w:ascii="Arial" w:eastAsia="Times New Roman" w:hAnsi="Arial" w:cs="Arial"/>
          <w:lang w:eastAsia="fr-FR"/>
        </w:rPr>
      </w:pPr>
      <w:r w:rsidRPr="00EA03F0">
        <w:rPr>
          <w:rFonts w:ascii="Arial" w:eastAsia="Times New Roman" w:hAnsi="Arial" w:cs="Arial"/>
          <w:lang w:eastAsia="fr-FR"/>
        </w:rPr>
        <w:t xml:space="preserve"> Parmi ceux-ci, figurent en bonne place :</w:t>
      </w:r>
    </w:p>
    <w:p w:rsidR="00EA03F0" w:rsidRPr="00EA03F0" w:rsidRDefault="00EA03F0" w:rsidP="00F83A03">
      <w:pPr>
        <w:numPr>
          <w:ilvl w:val="0"/>
          <w:numId w:val="28"/>
        </w:numPr>
        <w:spacing w:after="240" w:line="360" w:lineRule="atLeast"/>
        <w:contextualSpacing/>
        <w:jc w:val="both"/>
        <w:rPr>
          <w:rFonts w:ascii="Arial" w:eastAsia="Times New Roman" w:hAnsi="Arial" w:cs="Arial"/>
          <w:lang w:eastAsia="fr-FR"/>
        </w:rPr>
      </w:pPr>
      <w:r w:rsidRPr="00EA03F0">
        <w:rPr>
          <w:rFonts w:ascii="Arial" w:eastAsia="Times New Roman" w:hAnsi="Arial" w:cs="Arial"/>
          <w:lang w:eastAsia="fr-FR"/>
        </w:rPr>
        <w:t xml:space="preserve">Les problèmes liés au traitement des opérations de coassurance, dont les retards vivement décriés, notés tant dans les versements des quotes-parts de sinistres dues par certains </w:t>
      </w:r>
      <w:r w:rsidR="009F1EAE" w:rsidRPr="00EA03F0">
        <w:rPr>
          <w:rFonts w:ascii="Arial" w:eastAsia="Times New Roman" w:hAnsi="Arial" w:cs="Arial"/>
          <w:lang w:eastAsia="fr-FR"/>
        </w:rPr>
        <w:t>Co</w:t>
      </w:r>
      <w:r w:rsidRPr="00EA03F0">
        <w:rPr>
          <w:rFonts w:ascii="Arial" w:eastAsia="Times New Roman" w:hAnsi="Arial" w:cs="Arial"/>
          <w:lang w:eastAsia="fr-FR"/>
        </w:rPr>
        <w:t xml:space="preserve">-assureurs participants, que dans la récupération des </w:t>
      </w:r>
      <w:proofErr w:type="spellStart"/>
      <w:r w:rsidRPr="00EA03F0">
        <w:rPr>
          <w:rFonts w:ascii="Arial" w:eastAsia="Times New Roman" w:hAnsi="Arial" w:cs="Arial"/>
          <w:lang w:eastAsia="fr-FR"/>
        </w:rPr>
        <w:t>quotes</w:t>
      </w:r>
      <w:proofErr w:type="spellEnd"/>
      <w:r w:rsidRPr="00EA03F0">
        <w:rPr>
          <w:rFonts w:ascii="Arial" w:eastAsia="Times New Roman" w:hAnsi="Arial" w:cs="Arial"/>
          <w:lang w:eastAsia="fr-FR"/>
        </w:rPr>
        <w:t xml:space="preserve"> parts de recours encaissés pour compte commun ;</w:t>
      </w:r>
    </w:p>
    <w:p w:rsidR="00EA03F0" w:rsidRPr="00EA03F0" w:rsidRDefault="00EA03F0" w:rsidP="00F83A03">
      <w:pPr>
        <w:spacing w:after="240" w:line="360" w:lineRule="atLeast"/>
        <w:ind w:left="1068"/>
        <w:contextualSpacing/>
        <w:jc w:val="both"/>
        <w:rPr>
          <w:rFonts w:ascii="Arial" w:eastAsia="Times New Roman" w:hAnsi="Arial" w:cs="Arial"/>
          <w:lang w:eastAsia="fr-FR"/>
        </w:rPr>
      </w:pPr>
    </w:p>
    <w:p w:rsidR="00EA03F0" w:rsidRPr="00EA03F0" w:rsidRDefault="00EA03F0" w:rsidP="00F83A03">
      <w:pPr>
        <w:numPr>
          <w:ilvl w:val="0"/>
          <w:numId w:val="28"/>
        </w:numPr>
        <w:spacing w:after="240" w:line="360" w:lineRule="atLeast"/>
        <w:contextualSpacing/>
        <w:jc w:val="both"/>
        <w:rPr>
          <w:rFonts w:ascii="Arial" w:eastAsia="Times New Roman" w:hAnsi="Arial" w:cs="Arial"/>
          <w:lang w:eastAsia="fr-FR"/>
        </w:rPr>
      </w:pPr>
      <w:r w:rsidRPr="00EA03F0">
        <w:rPr>
          <w:rFonts w:ascii="Arial" w:eastAsia="Times New Roman" w:hAnsi="Arial" w:cs="Arial"/>
          <w:lang w:eastAsia="fr-FR"/>
        </w:rPr>
        <w:t>Les retards notés pour faire aboutir triomphalement les recours intentés à l’encontre des assureurs des responsables de sinistres automobile. Il s’agit là, d’une situation extrêmement préoccupante, qui à terme, pourrait conduire à la désaffection de la souscription de la garantie Défense et Recours ;</w:t>
      </w:r>
    </w:p>
    <w:p w:rsidR="00EA03F0" w:rsidRPr="00EA03F0" w:rsidRDefault="00EA03F0" w:rsidP="00F83A03">
      <w:pPr>
        <w:spacing w:after="0" w:line="240" w:lineRule="auto"/>
        <w:ind w:left="720"/>
        <w:contextualSpacing/>
        <w:jc w:val="both"/>
        <w:rPr>
          <w:rFonts w:ascii="Arial" w:eastAsia="Times New Roman" w:hAnsi="Arial" w:cs="Arial"/>
          <w:lang w:eastAsia="fr-FR"/>
        </w:rPr>
      </w:pPr>
    </w:p>
    <w:p w:rsidR="00EA03F0" w:rsidRPr="00EA03F0" w:rsidRDefault="00EA03F0" w:rsidP="00F83A03">
      <w:pPr>
        <w:numPr>
          <w:ilvl w:val="0"/>
          <w:numId w:val="28"/>
        </w:numPr>
        <w:spacing w:after="240" w:line="360" w:lineRule="atLeast"/>
        <w:contextualSpacing/>
        <w:jc w:val="both"/>
        <w:rPr>
          <w:rFonts w:ascii="Arial" w:eastAsia="Times New Roman" w:hAnsi="Arial" w:cs="Arial"/>
          <w:lang w:eastAsia="fr-FR"/>
        </w:rPr>
      </w:pPr>
      <w:r w:rsidRPr="00EA03F0">
        <w:rPr>
          <w:rFonts w:ascii="Arial" w:eastAsia="Times New Roman" w:hAnsi="Arial" w:cs="Arial"/>
          <w:lang w:eastAsia="fr-FR"/>
        </w:rPr>
        <w:t>Les retards notés dans l’aboutissement des recours intentés par les assureurs dommages directs à l’encontre des assureurs des responsables. Une telle situation pourrait en cas d’amplification, décourager la souscription de la garantie Dommages Tous Accidents, autrement appelée Tierce Complète ou plus communément Garantie Tous Risques ;</w:t>
      </w:r>
    </w:p>
    <w:p w:rsidR="00EA03F0" w:rsidRPr="00EA03F0" w:rsidRDefault="00EA03F0" w:rsidP="00F83A03">
      <w:pPr>
        <w:spacing w:after="0" w:line="240" w:lineRule="auto"/>
        <w:ind w:left="720"/>
        <w:contextualSpacing/>
        <w:jc w:val="both"/>
        <w:rPr>
          <w:rFonts w:ascii="Arial" w:eastAsia="Times New Roman" w:hAnsi="Arial" w:cs="Arial"/>
          <w:lang w:eastAsia="fr-FR"/>
        </w:rPr>
      </w:pPr>
    </w:p>
    <w:p w:rsidR="00EA03F0" w:rsidRPr="00EA03F0" w:rsidRDefault="00EA03F0" w:rsidP="00F83A03">
      <w:pPr>
        <w:numPr>
          <w:ilvl w:val="0"/>
          <w:numId w:val="28"/>
        </w:numPr>
        <w:spacing w:after="240" w:line="360" w:lineRule="atLeast"/>
        <w:contextualSpacing/>
        <w:jc w:val="both"/>
        <w:rPr>
          <w:rFonts w:ascii="Arial" w:eastAsia="Times New Roman" w:hAnsi="Arial" w:cs="Arial"/>
          <w:lang w:eastAsia="fr-FR"/>
        </w:rPr>
      </w:pPr>
      <w:r w:rsidRPr="00EA03F0">
        <w:rPr>
          <w:rFonts w:ascii="Arial" w:eastAsia="Times New Roman" w:hAnsi="Arial" w:cs="Arial"/>
          <w:lang w:eastAsia="fr-FR"/>
        </w:rPr>
        <w:t>Les difficultés de récupération notées dans les avances consenties au titre des garanties Avance sur Recours ou Substitution Débiteurs, dont la persistance pourrait favoriser la perte d’intérêt pour les assureurs à commercialiser ledit produit, pourtant très prisé par la clientèle automobile.</w:t>
      </w:r>
    </w:p>
    <w:p w:rsidR="00EA03F0" w:rsidRPr="00EA03F0" w:rsidRDefault="00EA03F0" w:rsidP="00F83A03">
      <w:pPr>
        <w:spacing w:after="240" w:line="360" w:lineRule="atLeast"/>
        <w:jc w:val="both"/>
        <w:rPr>
          <w:rFonts w:ascii="Arial" w:eastAsia="Times New Roman" w:hAnsi="Arial" w:cs="Arial"/>
          <w:lang w:eastAsia="fr-FR"/>
        </w:rPr>
      </w:pPr>
      <w:r w:rsidRPr="00EA03F0">
        <w:rPr>
          <w:rFonts w:ascii="Arial" w:eastAsia="Times New Roman" w:hAnsi="Arial" w:cs="Arial"/>
          <w:lang w:eastAsia="fr-FR"/>
        </w:rPr>
        <w:t>La persistance de tous les problèmes sus évoqués est due à l’absence d’un mécanisme de compensation approprié, bâti sur des bases solides, assises sur des critères rigoureux et consensuels, fixés d’un commun accord entre les parties prenantes.</w:t>
      </w:r>
    </w:p>
    <w:p w:rsidR="00EA03F0" w:rsidRPr="00EA03F0" w:rsidRDefault="00EA03F0" w:rsidP="00F83A03">
      <w:pPr>
        <w:spacing w:after="240" w:line="360" w:lineRule="atLeast"/>
        <w:jc w:val="both"/>
        <w:rPr>
          <w:rFonts w:ascii="Arial" w:eastAsia="Times New Roman" w:hAnsi="Arial" w:cs="Arial"/>
          <w:lang w:eastAsia="fr-FR"/>
        </w:rPr>
      </w:pPr>
      <w:r w:rsidRPr="00EA03F0">
        <w:rPr>
          <w:rFonts w:ascii="Arial" w:eastAsia="Times New Roman" w:hAnsi="Arial" w:cs="Arial"/>
          <w:lang w:eastAsia="fr-FR"/>
        </w:rPr>
        <w:lastRenderedPageBreak/>
        <w:t>Au regard de la situation ainsi décrite, l’OQSF dans sa mission d’accompagnement des principaux acteurs de l’écosystème, sous l’impulsion du Médiateur des Assurances, en est arrivé, après une analyse approfondie de l’état des lieux, à la conclusion que la mise au point d’un mécanisme de compensation au sein du marché est la principale équation à résoudre pour l’assainissement du secteur, la préservation de son image et la restauration de sa crédibilité auprès des usagers.</w:t>
      </w:r>
    </w:p>
    <w:p w:rsidR="00EA03F0" w:rsidRPr="00EA03F0" w:rsidRDefault="00EA03F0" w:rsidP="00F83A03">
      <w:pPr>
        <w:spacing w:after="240" w:line="360" w:lineRule="atLeast"/>
        <w:jc w:val="both"/>
        <w:rPr>
          <w:rFonts w:ascii="Arial" w:eastAsia="Times New Roman" w:hAnsi="Arial" w:cs="Arial"/>
          <w:i/>
          <w:lang w:eastAsia="fr-FR"/>
        </w:rPr>
      </w:pPr>
      <w:r w:rsidRPr="00EA03F0">
        <w:rPr>
          <w:rFonts w:ascii="Arial" w:eastAsia="Times New Roman" w:hAnsi="Arial" w:cs="Arial"/>
          <w:lang w:eastAsia="fr-FR"/>
        </w:rPr>
        <w:t xml:space="preserve">A cet effet, le Médiateur des Assurances, a entrepris en collaboration avec l’Association des Assureurs Sénégalais et la Direction des Assurances, de mettre en route le projet de conception et de mise en œuvre </w:t>
      </w:r>
      <w:r w:rsidRPr="00EA03F0">
        <w:rPr>
          <w:rFonts w:ascii="Arial" w:eastAsia="Times New Roman" w:hAnsi="Arial" w:cs="Arial"/>
          <w:b/>
          <w:lang w:eastAsia="fr-FR"/>
        </w:rPr>
        <w:t>d’un mécanisme de compensation assurantielle</w:t>
      </w:r>
      <w:r w:rsidRPr="00EA03F0">
        <w:rPr>
          <w:rFonts w:ascii="Arial" w:eastAsia="Times New Roman" w:hAnsi="Arial" w:cs="Arial"/>
          <w:lang w:eastAsia="fr-FR"/>
        </w:rPr>
        <w:t>, pour venir définitivement à bout des différents problèmes précédemment recensés, dont la principale cause connue, est l’absence d’un tel dispositif</w:t>
      </w:r>
      <w:r w:rsidRPr="00EA03F0">
        <w:rPr>
          <w:rFonts w:ascii="Arial" w:eastAsia="Times New Roman" w:hAnsi="Arial" w:cs="Arial"/>
          <w:i/>
          <w:lang w:eastAsia="fr-FR"/>
        </w:rPr>
        <w:t>.</w:t>
      </w:r>
    </w:p>
    <w:p w:rsidR="00EA03F0" w:rsidRPr="00EA03F0" w:rsidRDefault="00EA03F0" w:rsidP="00F83A03">
      <w:pPr>
        <w:tabs>
          <w:tab w:val="left" w:pos="-720"/>
        </w:tabs>
        <w:suppressAutoHyphens/>
        <w:spacing w:after="0" w:line="312" w:lineRule="auto"/>
        <w:jc w:val="both"/>
        <w:rPr>
          <w:rFonts w:ascii="Arial" w:eastAsia="Times New Roman" w:hAnsi="Arial" w:cs="Arial"/>
          <w:i/>
          <w:lang w:eastAsia="fr-FR"/>
        </w:rPr>
      </w:pPr>
    </w:p>
    <w:p w:rsidR="00EA03F0" w:rsidRPr="00EA03F0" w:rsidRDefault="00EA03F0" w:rsidP="00F83A03">
      <w:pPr>
        <w:numPr>
          <w:ilvl w:val="0"/>
          <w:numId w:val="31"/>
        </w:numPr>
        <w:tabs>
          <w:tab w:val="left" w:pos="-720"/>
        </w:tabs>
        <w:suppressAutoHyphens/>
        <w:spacing w:after="0" w:line="312" w:lineRule="auto"/>
        <w:contextualSpacing/>
        <w:jc w:val="both"/>
        <w:rPr>
          <w:rFonts w:ascii="Arial" w:eastAsia="Times New Roman" w:hAnsi="Arial" w:cs="Arial"/>
          <w:b/>
          <w:lang w:eastAsia="fr-FR"/>
        </w:rPr>
      </w:pPr>
      <w:r w:rsidRPr="00EA03F0">
        <w:rPr>
          <w:rFonts w:ascii="Arial" w:eastAsia="Times New Roman" w:hAnsi="Arial" w:cs="Arial"/>
          <w:b/>
          <w:lang w:eastAsia="fr-FR"/>
        </w:rPr>
        <w:t xml:space="preserve"> Objectifs du projet</w:t>
      </w:r>
    </w:p>
    <w:p w:rsidR="00EA03F0" w:rsidRPr="00EA03F0" w:rsidRDefault="00EA03F0" w:rsidP="00F83A03">
      <w:pPr>
        <w:tabs>
          <w:tab w:val="left" w:pos="-720"/>
        </w:tabs>
        <w:suppressAutoHyphens/>
        <w:spacing w:after="0" w:line="312" w:lineRule="auto"/>
        <w:ind w:left="1080"/>
        <w:contextualSpacing/>
        <w:jc w:val="both"/>
        <w:rPr>
          <w:rFonts w:ascii="Arial" w:eastAsia="Times New Roman" w:hAnsi="Arial" w:cs="Arial"/>
          <w:b/>
          <w:lang w:eastAsia="fr-FR"/>
        </w:rPr>
      </w:pPr>
    </w:p>
    <w:p w:rsidR="00EA03F0" w:rsidRPr="00EA03F0" w:rsidRDefault="00EA03F0" w:rsidP="00F83A03">
      <w:pPr>
        <w:widowControl w:val="0"/>
        <w:spacing w:after="0" w:line="312" w:lineRule="auto"/>
        <w:jc w:val="both"/>
        <w:rPr>
          <w:rFonts w:ascii="Arial" w:eastAsia="Times New Roman" w:hAnsi="Arial" w:cs="Arial"/>
          <w:lang w:eastAsia="fr-FR"/>
        </w:rPr>
      </w:pPr>
      <w:r w:rsidRPr="00EA03F0">
        <w:rPr>
          <w:rFonts w:ascii="Arial" w:eastAsia="Times New Roman" w:hAnsi="Arial" w:cs="Arial"/>
          <w:lang w:eastAsia="fr-FR"/>
        </w:rPr>
        <w:t xml:space="preserve">                     Le projet ambitionne :</w:t>
      </w:r>
    </w:p>
    <w:p w:rsidR="00EA03F0" w:rsidRPr="00EA03F0" w:rsidRDefault="00EA03F0" w:rsidP="00F83A03">
      <w:pPr>
        <w:numPr>
          <w:ilvl w:val="0"/>
          <w:numId w:val="28"/>
        </w:numPr>
        <w:shd w:val="clear" w:color="auto" w:fill="FFFFFF"/>
        <w:spacing w:after="0" w:line="319" w:lineRule="atLeast"/>
        <w:contextualSpacing/>
        <w:jc w:val="both"/>
        <w:rPr>
          <w:rFonts w:ascii="Arial" w:eastAsia="Times New Roman" w:hAnsi="Arial" w:cs="Arial"/>
          <w:lang w:eastAsia="fr-FR"/>
        </w:rPr>
      </w:pPr>
      <w:r w:rsidRPr="00EA03F0">
        <w:rPr>
          <w:rFonts w:ascii="Arial" w:eastAsia="Times New Roman" w:hAnsi="Arial" w:cs="Arial"/>
          <w:lang w:eastAsia="fr-FR"/>
        </w:rPr>
        <w:t>d’assurer la </w:t>
      </w:r>
      <w:hyperlink r:id="rId12" w:tooltip="Compensation (finance)" w:history="1">
        <w:r w:rsidRPr="00EA03F0">
          <w:rPr>
            <w:rFonts w:ascii="Arial" w:eastAsia="Times New Roman" w:hAnsi="Arial" w:cs="Arial"/>
            <w:lang w:eastAsia="fr-FR"/>
          </w:rPr>
          <w:t>compensation</w:t>
        </w:r>
      </w:hyperlink>
      <w:r w:rsidRPr="00EA03F0">
        <w:rPr>
          <w:rFonts w:ascii="Arial" w:eastAsia="Times New Roman" w:hAnsi="Arial" w:cs="Arial"/>
          <w:lang w:eastAsia="fr-FR"/>
        </w:rPr>
        <w:t> des créances et des dettes nées des opérations intervenues entre l’ensemble des </w:t>
      </w:r>
      <w:hyperlink r:id="rId13" w:tooltip="Banque" w:history="1">
        <w:r w:rsidRPr="00EA03F0">
          <w:rPr>
            <w:rFonts w:ascii="Arial" w:eastAsia="Times New Roman" w:hAnsi="Arial" w:cs="Arial"/>
            <w:lang w:eastAsia="fr-FR"/>
          </w:rPr>
          <w:t>compagnies</w:t>
        </w:r>
      </w:hyperlink>
      <w:r w:rsidRPr="00EA03F0">
        <w:rPr>
          <w:rFonts w:ascii="Arial" w:eastAsia="Times New Roman" w:hAnsi="Arial" w:cs="Arial"/>
          <w:lang w:eastAsia="fr-FR"/>
        </w:rPr>
        <w:t xml:space="preserve"> d’assurances implantées au Sénégal ;</w:t>
      </w:r>
    </w:p>
    <w:p w:rsidR="00EA03F0" w:rsidRPr="00EA03F0" w:rsidRDefault="00EA03F0" w:rsidP="00F83A03">
      <w:pPr>
        <w:shd w:val="clear" w:color="auto" w:fill="FFFFFF"/>
        <w:spacing w:after="0" w:line="319" w:lineRule="atLeast"/>
        <w:jc w:val="both"/>
        <w:rPr>
          <w:rFonts w:ascii="Arial" w:eastAsia="Times New Roman" w:hAnsi="Arial" w:cs="Arial"/>
          <w:lang w:eastAsia="fr-FR"/>
        </w:rPr>
      </w:pPr>
    </w:p>
    <w:p w:rsidR="00EA03F0" w:rsidRPr="00EA03F0" w:rsidRDefault="00EA03F0" w:rsidP="00F83A03">
      <w:pPr>
        <w:numPr>
          <w:ilvl w:val="0"/>
          <w:numId w:val="28"/>
        </w:numPr>
        <w:shd w:val="clear" w:color="auto" w:fill="FFFFFF"/>
        <w:spacing w:after="0" w:line="319" w:lineRule="atLeast"/>
        <w:contextualSpacing/>
        <w:jc w:val="both"/>
        <w:rPr>
          <w:rFonts w:ascii="Arial" w:eastAsia="Times New Roman" w:hAnsi="Arial" w:cs="Arial"/>
          <w:lang w:eastAsia="fr-FR"/>
        </w:rPr>
      </w:pPr>
      <w:proofErr w:type="gramStart"/>
      <w:r w:rsidRPr="00EA03F0">
        <w:rPr>
          <w:rFonts w:ascii="Arial" w:eastAsia="Times New Roman" w:hAnsi="Arial" w:cs="Arial"/>
          <w:lang w:eastAsia="fr-FR"/>
        </w:rPr>
        <w:t>de</w:t>
      </w:r>
      <w:proofErr w:type="gramEnd"/>
      <w:r w:rsidRPr="00EA03F0">
        <w:rPr>
          <w:rFonts w:ascii="Arial" w:eastAsia="Times New Roman" w:hAnsi="Arial" w:cs="Arial"/>
          <w:lang w:eastAsia="fr-FR"/>
        </w:rPr>
        <w:t xml:space="preserve"> déterminer selon une périodicité à définir, les soldes de compensation débiteurs ou créditeurs devant faire l’objet d’un apurement de la part des assureurs concernés dans des délais contraignants ;</w:t>
      </w:r>
    </w:p>
    <w:p w:rsidR="00EA03F0" w:rsidRPr="00EA03F0" w:rsidRDefault="00EA03F0" w:rsidP="00F83A03">
      <w:pPr>
        <w:shd w:val="clear" w:color="auto" w:fill="FFFFFF"/>
        <w:spacing w:after="0" w:line="319" w:lineRule="atLeast"/>
        <w:jc w:val="both"/>
        <w:rPr>
          <w:rFonts w:ascii="Arial" w:eastAsia="Times New Roman" w:hAnsi="Arial" w:cs="Arial"/>
          <w:lang w:eastAsia="fr-FR"/>
        </w:rPr>
      </w:pPr>
    </w:p>
    <w:p w:rsidR="00EA03F0" w:rsidRPr="00EA03F0" w:rsidRDefault="00EA03F0" w:rsidP="00F83A03">
      <w:pPr>
        <w:numPr>
          <w:ilvl w:val="0"/>
          <w:numId w:val="28"/>
        </w:numPr>
        <w:shd w:val="clear" w:color="auto" w:fill="FFFFFF"/>
        <w:spacing w:after="0" w:line="319" w:lineRule="atLeast"/>
        <w:contextualSpacing/>
        <w:jc w:val="both"/>
        <w:rPr>
          <w:rFonts w:ascii="Arial" w:eastAsia="Times New Roman" w:hAnsi="Arial" w:cs="Arial"/>
          <w:lang w:eastAsia="fr-FR"/>
        </w:rPr>
      </w:pPr>
      <w:proofErr w:type="gramStart"/>
      <w:r w:rsidRPr="00EA03F0">
        <w:rPr>
          <w:rFonts w:ascii="Arial" w:eastAsia="Times New Roman" w:hAnsi="Arial" w:cs="Arial"/>
          <w:lang w:eastAsia="fr-FR"/>
        </w:rPr>
        <w:t>d’accroître</w:t>
      </w:r>
      <w:proofErr w:type="gramEnd"/>
      <w:r w:rsidRPr="00EA03F0">
        <w:rPr>
          <w:rFonts w:ascii="Arial" w:eastAsia="Times New Roman" w:hAnsi="Arial" w:cs="Arial"/>
          <w:lang w:eastAsia="fr-FR"/>
        </w:rPr>
        <w:t xml:space="preserve"> le niveau de fiabilité des opérations d’assurances, par une réforme en profondeur des méthodes jugées très informelles, de gestion et de règlement des recours entre compagnies ;</w:t>
      </w:r>
    </w:p>
    <w:p w:rsidR="00EA03F0" w:rsidRPr="00EA03F0" w:rsidRDefault="00EA03F0" w:rsidP="00F83A03">
      <w:pPr>
        <w:shd w:val="clear" w:color="auto" w:fill="FFFFFF"/>
        <w:spacing w:after="0" w:line="319" w:lineRule="atLeast"/>
        <w:jc w:val="both"/>
        <w:rPr>
          <w:rFonts w:ascii="Arial" w:eastAsia="Times New Roman" w:hAnsi="Arial" w:cs="Arial"/>
          <w:lang w:eastAsia="fr-FR"/>
        </w:rPr>
      </w:pPr>
    </w:p>
    <w:p w:rsidR="00EA03F0" w:rsidRPr="00EA03F0" w:rsidRDefault="00EA03F0" w:rsidP="00F83A03">
      <w:pPr>
        <w:numPr>
          <w:ilvl w:val="0"/>
          <w:numId w:val="28"/>
        </w:numPr>
        <w:shd w:val="clear" w:color="auto" w:fill="FFFFFF"/>
        <w:spacing w:after="0" w:line="319" w:lineRule="atLeast"/>
        <w:contextualSpacing/>
        <w:jc w:val="both"/>
        <w:rPr>
          <w:rFonts w:ascii="Arial" w:eastAsia="Times New Roman" w:hAnsi="Arial" w:cs="Arial"/>
          <w:lang w:eastAsia="fr-FR"/>
        </w:rPr>
      </w:pPr>
      <w:proofErr w:type="gramStart"/>
      <w:r w:rsidRPr="00EA03F0">
        <w:rPr>
          <w:rFonts w:ascii="Arial" w:eastAsia="Times New Roman" w:hAnsi="Arial" w:cs="Arial"/>
          <w:lang w:eastAsia="fr-FR"/>
        </w:rPr>
        <w:t>d’éviter</w:t>
      </w:r>
      <w:proofErr w:type="gramEnd"/>
      <w:r w:rsidRPr="00EA03F0">
        <w:rPr>
          <w:rFonts w:ascii="Arial" w:eastAsia="Times New Roman" w:hAnsi="Arial" w:cs="Arial"/>
          <w:lang w:eastAsia="fr-FR"/>
        </w:rPr>
        <w:t xml:space="preserve"> les risques de conflits d'intérêts, en cas de rétention abusive de sommes dues et les risques de contagion systémique susceptibles d’en découler dans l’hypothèse d’une généralisation du phénomène ;</w:t>
      </w:r>
    </w:p>
    <w:p w:rsidR="00EA03F0" w:rsidRPr="00EA03F0" w:rsidRDefault="00EA03F0" w:rsidP="00F83A03">
      <w:pPr>
        <w:shd w:val="clear" w:color="auto" w:fill="FFFFFF"/>
        <w:spacing w:after="0" w:line="319" w:lineRule="atLeast"/>
        <w:jc w:val="both"/>
        <w:rPr>
          <w:rFonts w:ascii="Arial" w:eastAsia="Times New Roman" w:hAnsi="Arial" w:cs="Arial"/>
          <w:lang w:eastAsia="fr-FR"/>
        </w:rPr>
      </w:pPr>
    </w:p>
    <w:p w:rsidR="00EA03F0" w:rsidRPr="00EA03F0" w:rsidRDefault="00EA03F0" w:rsidP="00F83A03">
      <w:pPr>
        <w:numPr>
          <w:ilvl w:val="0"/>
          <w:numId w:val="28"/>
        </w:numPr>
        <w:shd w:val="clear" w:color="auto" w:fill="FFFFFF"/>
        <w:spacing w:after="0" w:line="319" w:lineRule="atLeast"/>
        <w:contextualSpacing/>
        <w:jc w:val="both"/>
        <w:rPr>
          <w:rFonts w:ascii="Arial" w:eastAsia="Times New Roman" w:hAnsi="Arial" w:cs="Arial"/>
          <w:lang w:eastAsia="fr-FR"/>
        </w:rPr>
      </w:pPr>
      <w:proofErr w:type="gramStart"/>
      <w:r w:rsidRPr="00EA03F0">
        <w:rPr>
          <w:rFonts w:ascii="Arial" w:eastAsia="Times New Roman" w:hAnsi="Arial" w:cs="Arial"/>
          <w:lang w:eastAsia="fr-FR"/>
        </w:rPr>
        <w:t>d'encadrer</w:t>
      </w:r>
      <w:proofErr w:type="gramEnd"/>
      <w:r w:rsidRPr="00EA03F0">
        <w:rPr>
          <w:rFonts w:ascii="Arial" w:eastAsia="Times New Roman" w:hAnsi="Arial" w:cs="Arial"/>
          <w:lang w:eastAsia="fr-FR"/>
        </w:rPr>
        <w:t xml:space="preserve"> l'activité de compensation inter assurantielle de façon à assurer la sécurité des transactions et la protection des intérêts des usagers des services d’assurance ;</w:t>
      </w:r>
    </w:p>
    <w:p w:rsidR="00EA03F0" w:rsidRPr="00EA03F0" w:rsidRDefault="00EA03F0" w:rsidP="00F83A03">
      <w:pPr>
        <w:shd w:val="clear" w:color="auto" w:fill="FFFFFF"/>
        <w:spacing w:after="0" w:line="319" w:lineRule="atLeast"/>
        <w:jc w:val="both"/>
        <w:rPr>
          <w:rFonts w:ascii="Arial" w:eastAsia="Times New Roman" w:hAnsi="Arial" w:cs="Arial"/>
          <w:lang w:eastAsia="fr-FR"/>
        </w:rPr>
      </w:pPr>
    </w:p>
    <w:p w:rsidR="00EA03F0" w:rsidRPr="00EA03F0" w:rsidRDefault="00EA03F0" w:rsidP="00F83A03">
      <w:pPr>
        <w:numPr>
          <w:ilvl w:val="0"/>
          <w:numId w:val="28"/>
        </w:numPr>
        <w:shd w:val="clear" w:color="auto" w:fill="FFFFFF"/>
        <w:spacing w:after="0" w:line="319" w:lineRule="atLeast"/>
        <w:contextualSpacing/>
        <w:jc w:val="both"/>
        <w:rPr>
          <w:rFonts w:ascii="Arial" w:eastAsia="Times New Roman" w:hAnsi="Arial" w:cs="Arial"/>
          <w:lang w:eastAsia="fr-FR"/>
        </w:rPr>
      </w:pPr>
      <w:proofErr w:type="gramStart"/>
      <w:r w:rsidRPr="00EA03F0">
        <w:rPr>
          <w:rFonts w:ascii="Arial" w:eastAsia="Times New Roman" w:hAnsi="Arial" w:cs="Arial"/>
          <w:lang w:eastAsia="fr-FR"/>
        </w:rPr>
        <w:t>de</w:t>
      </w:r>
      <w:proofErr w:type="gramEnd"/>
      <w:r w:rsidRPr="00EA03F0">
        <w:rPr>
          <w:rFonts w:ascii="Arial" w:eastAsia="Times New Roman" w:hAnsi="Arial" w:cs="Arial"/>
          <w:lang w:eastAsia="fr-FR"/>
        </w:rPr>
        <w:t xml:space="preserve"> formuler avec l’appui du régulateur, en l’occurrence la DA, des propositions de normes réglementaires,  fixant des délais contraignants de règlement des soldes dus entre  assureurs .</w:t>
      </w:r>
    </w:p>
    <w:p w:rsidR="00EA03F0" w:rsidRPr="00EA03F0" w:rsidRDefault="00EA03F0" w:rsidP="00F83A03">
      <w:pPr>
        <w:shd w:val="clear" w:color="auto" w:fill="FFFFFF"/>
        <w:spacing w:after="0" w:line="319" w:lineRule="atLeast"/>
        <w:jc w:val="both"/>
        <w:rPr>
          <w:rFonts w:ascii="Arial" w:eastAsia="Times New Roman" w:hAnsi="Arial" w:cs="Arial"/>
          <w:lang w:eastAsia="fr-FR"/>
        </w:rPr>
      </w:pPr>
    </w:p>
    <w:p w:rsidR="00EA03F0" w:rsidRPr="00EA03F0" w:rsidRDefault="00EA03F0" w:rsidP="00F83A03">
      <w:pPr>
        <w:shd w:val="clear" w:color="auto" w:fill="FFFFFF"/>
        <w:spacing w:after="0" w:line="319" w:lineRule="atLeast"/>
        <w:jc w:val="both"/>
        <w:rPr>
          <w:rFonts w:ascii="Arial" w:eastAsia="Times New Roman" w:hAnsi="Arial" w:cs="Arial"/>
          <w:lang w:eastAsia="fr-FR"/>
        </w:rPr>
      </w:pPr>
    </w:p>
    <w:p w:rsidR="00EA03F0" w:rsidRPr="00EA03F0" w:rsidRDefault="00EA03F0" w:rsidP="00F83A03">
      <w:pPr>
        <w:shd w:val="clear" w:color="auto" w:fill="FFFFFF"/>
        <w:spacing w:after="0" w:line="319" w:lineRule="atLeast"/>
        <w:jc w:val="both"/>
        <w:rPr>
          <w:rFonts w:ascii="Arial" w:eastAsia="Times New Roman" w:hAnsi="Arial" w:cs="Arial"/>
          <w:lang w:eastAsia="fr-FR"/>
        </w:rPr>
      </w:pPr>
    </w:p>
    <w:p w:rsidR="00EA03F0" w:rsidRPr="00EA03F0" w:rsidRDefault="00EA03F0" w:rsidP="00F83A03">
      <w:pPr>
        <w:shd w:val="clear" w:color="auto" w:fill="FFFFFF"/>
        <w:spacing w:after="0" w:line="319" w:lineRule="atLeast"/>
        <w:jc w:val="both"/>
        <w:rPr>
          <w:rFonts w:ascii="Arial" w:eastAsia="Times New Roman" w:hAnsi="Arial" w:cs="Arial"/>
          <w:lang w:eastAsia="fr-FR"/>
        </w:rPr>
      </w:pPr>
    </w:p>
    <w:p w:rsidR="00EA03F0" w:rsidRPr="00EA03F0" w:rsidRDefault="00EA03F0" w:rsidP="00F83A03">
      <w:pPr>
        <w:shd w:val="clear" w:color="auto" w:fill="FFFFFF"/>
        <w:spacing w:after="0" w:line="319" w:lineRule="atLeast"/>
        <w:jc w:val="both"/>
        <w:rPr>
          <w:rFonts w:ascii="Arial" w:eastAsia="Times New Roman" w:hAnsi="Arial" w:cs="Arial"/>
          <w:lang w:eastAsia="fr-FR"/>
        </w:rPr>
      </w:pPr>
    </w:p>
    <w:p w:rsidR="00EA03F0" w:rsidRPr="00EA03F0" w:rsidRDefault="00EA03F0" w:rsidP="00F83A03">
      <w:pPr>
        <w:numPr>
          <w:ilvl w:val="0"/>
          <w:numId w:val="31"/>
        </w:numPr>
        <w:tabs>
          <w:tab w:val="left" w:pos="-720"/>
        </w:tabs>
        <w:suppressAutoHyphens/>
        <w:spacing w:after="0" w:line="312" w:lineRule="auto"/>
        <w:contextualSpacing/>
        <w:jc w:val="both"/>
        <w:rPr>
          <w:rFonts w:ascii="Arial" w:eastAsia="Times New Roman" w:hAnsi="Arial" w:cs="Arial"/>
          <w:b/>
          <w:lang w:eastAsia="fr-FR"/>
        </w:rPr>
      </w:pPr>
      <w:r w:rsidRPr="00EA03F0">
        <w:rPr>
          <w:rFonts w:ascii="Arial" w:eastAsia="Times New Roman" w:hAnsi="Arial" w:cs="Arial"/>
          <w:b/>
          <w:lang w:eastAsia="fr-FR"/>
        </w:rPr>
        <w:t>Résultats attendus</w:t>
      </w:r>
    </w:p>
    <w:p w:rsidR="00EA03F0" w:rsidRPr="00EA03F0" w:rsidRDefault="00EA03F0" w:rsidP="00F83A03">
      <w:pPr>
        <w:tabs>
          <w:tab w:val="left" w:pos="-720"/>
        </w:tabs>
        <w:suppressAutoHyphens/>
        <w:spacing w:after="0" w:line="312" w:lineRule="auto"/>
        <w:ind w:left="1080"/>
        <w:contextualSpacing/>
        <w:jc w:val="both"/>
        <w:rPr>
          <w:rFonts w:ascii="Arial" w:eastAsia="Times New Roman" w:hAnsi="Arial" w:cs="Arial"/>
          <w:b/>
          <w:lang w:eastAsia="fr-FR"/>
        </w:rPr>
      </w:pPr>
    </w:p>
    <w:p w:rsidR="00EA03F0" w:rsidRPr="00EA03F0" w:rsidRDefault="00EA03F0" w:rsidP="00F83A03">
      <w:pPr>
        <w:tabs>
          <w:tab w:val="left" w:pos="-720"/>
        </w:tabs>
        <w:suppressAutoHyphens/>
        <w:spacing w:after="0" w:line="312" w:lineRule="auto"/>
        <w:jc w:val="both"/>
        <w:rPr>
          <w:rFonts w:ascii="Arial" w:eastAsia="Times New Roman" w:hAnsi="Arial" w:cs="Arial"/>
          <w:i/>
          <w:lang w:eastAsia="fr-FR"/>
        </w:rPr>
      </w:pPr>
      <w:r w:rsidRPr="00EA03F0">
        <w:rPr>
          <w:rFonts w:ascii="Arial" w:eastAsia="Times New Roman" w:hAnsi="Arial" w:cs="Arial"/>
          <w:lang w:eastAsia="fr-FR"/>
        </w:rPr>
        <w:t xml:space="preserve">Les résultats attendus de la </w:t>
      </w:r>
      <w:r w:rsidRPr="00EA03F0">
        <w:rPr>
          <w:rFonts w:ascii="Arial" w:eastAsia="Times New Roman" w:hAnsi="Arial" w:cs="Arial"/>
          <w:i/>
          <w:lang w:eastAsia="fr-FR"/>
        </w:rPr>
        <w:t>mise en œuvre du projet sont les suivants :</w:t>
      </w:r>
    </w:p>
    <w:p w:rsidR="00EA03F0" w:rsidRPr="00EA03F0" w:rsidRDefault="00EA03F0" w:rsidP="00F83A03">
      <w:pPr>
        <w:tabs>
          <w:tab w:val="left" w:pos="-720"/>
        </w:tabs>
        <w:suppressAutoHyphens/>
        <w:spacing w:after="0" w:line="312" w:lineRule="auto"/>
        <w:jc w:val="both"/>
        <w:rPr>
          <w:rFonts w:ascii="Arial" w:eastAsia="Times New Roman" w:hAnsi="Arial" w:cs="Arial"/>
          <w:i/>
          <w:lang w:eastAsia="fr-FR"/>
        </w:rPr>
      </w:pPr>
    </w:p>
    <w:p w:rsidR="00EA03F0" w:rsidRPr="00EA03F0" w:rsidRDefault="00EA03F0" w:rsidP="00F83A03">
      <w:pPr>
        <w:numPr>
          <w:ilvl w:val="0"/>
          <w:numId w:val="29"/>
        </w:numPr>
        <w:tabs>
          <w:tab w:val="left" w:pos="-720"/>
        </w:tabs>
        <w:suppressAutoHyphens/>
        <w:spacing w:after="0" w:line="312" w:lineRule="auto"/>
        <w:contextualSpacing/>
        <w:jc w:val="both"/>
        <w:rPr>
          <w:rFonts w:ascii="Arial" w:eastAsia="Times New Roman" w:hAnsi="Arial" w:cs="Arial"/>
          <w:lang w:eastAsia="fr-FR"/>
        </w:rPr>
      </w:pPr>
      <w:r w:rsidRPr="00EA03F0">
        <w:rPr>
          <w:rFonts w:ascii="Arial" w:eastAsia="Times New Roman" w:hAnsi="Arial" w:cs="Arial"/>
          <w:i/>
          <w:lang w:eastAsia="fr-FR"/>
        </w:rPr>
        <w:t xml:space="preserve">Rendre plus attractif </w:t>
      </w:r>
      <w:r w:rsidRPr="00EA03F0">
        <w:rPr>
          <w:rFonts w:ascii="Arial" w:eastAsia="Times New Roman" w:hAnsi="Arial" w:cs="Arial"/>
          <w:lang w:eastAsia="fr-FR"/>
        </w:rPr>
        <w:t>la commercialisation de la garantie Avance sur Recours ;</w:t>
      </w:r>
    </w:p>
    <w:p w:rsidR="00EA03F0" w:rsidRPr="00EA03F0" w:rsidRDefault="00EA03F0" w:rsidP="00F83A03">
      <w:pPr>
        <w:tabs>
          <w:tab w:val="left" w:pos="-720"/>
        </w:tabs>
        <w:suppressAutoHyphens/>
        <w:spacing w:after="0" w:line="312" w:lineRule="auto"/>
        <w:ind w:left="720"/>
        <w:contextualSpacing/>
        <w:jc w:val="both"/>
        <w:rPr>
          <w:rFonts w:ascii="Arial" w:eastAsia="Times New Roman" w:hAnsi="Arial" w:cs="Arial"/>
          <w:lang w:eastAsia="fr-FR"/>
        </w:rPr>
      </w:pPr>
    </w:p>
    <w:p w:rsidR="00EA03F0" w:rsidRPr="00EA03F0" w:rsidRDefault="00EA03F0" w:rsidP="00F83A03">
      <w:pPr>
        <w:numPr>
          <w:ilvl w:val="0"/>
          <w:numId w:val="29"/>
        </w:numPr>
        <w:tabs>
          <w:tab w:val="left" w:pos="-720"/>
        </w:tabs>
        <w:suppressAutoHyphens/>
        <w:spacing w:after="0" w:line="312" w:lineRule="auto"/>
        <w:contextualSpacing/>
        <w:jc w:val="both"/>
        <w:rPr>
          <w:rFonts w:ascii="Arial" w:eastAsia="Times New Roman" w:hAnsi="Arial" w:cs="Arial"/>
          <w:lang w:eastAsia="fr-FR"/>
        </w:rPr>
      </w:pPr>
      <w:r w:rsidRPr="00EA03F0">
        <w:rPr>
          <w:rFonts w:ascii="Arial" w:eastAsia="Times New Roman" w:hAnsi="Arial" w:cs="Arial"/>
          <w:lang w:eastAsia="fr-FR"/>
        </w:rPr>
        <w:t>Réduire les délais de récupération des paiements pour compte, réalisés dans le cadre des sinistres dommages Tous Accidents (garantie tierce complète), quand l’assureur du responsable est différent de la compagnie de domiciliation du risque couvert ;</w:t>
      </w:r>
    </w:p>
    <w:p w:rsidR="00EA03F0" w:rsidRPr="00EA03F0" w:rsidRDefault="00EA03F0" w:rsidP="00F83A03">
      <w:pPr>
        <w:spacing w:after="0" w:line="240" w:lineRule="auto"/>
        <w:ind w:left="720"/>
        <w:contextualSpacing/>
        <w:jc w:val="both"/>
        <w:rPr>
          <w:rFonts w:ascii="Arial" w:eastAsia="Times New Roman" w:hAnsi="Arial" w:cs="Arial"/>
          <w:lang w:eastAsia="fr-FR"/>
        </w:rPr>
      </w:pPr>
    </w:p>
    <w:p w:rsidR="00EA03F0" w:rsidRPr="00EA03F0" w:rsidRDefault="00EA03F0" w:rsidP="00F83A03">
      <w:pPr>
        <w:numPr>
          <w:ilvl w:val="0"/>
          <w:numId w:val="29"/>
        </w:numPr>
        <w:tabs>
          <w:tab w:val="left" w:pos="-720"/>
        </w:tabs>
        <w:suppressAutoHyphens/>
        <w:spacing w:after="0" w:line="312" w:lineRule="auto"/>
        <w:contextualSpacing/>
        <w:jc w:val="both"/>
        <w:rPr>
          <w:rFonts w:ascii="Arial" w:eastAsia="Times New Roman" w:hAnsi="Arial" w:cs="Arial"/>
          <w:lang w:eastAsia="fr-FR"/>
        </w:rPr>
      </w:pPr>
      <w:r w:rsidRPr="00EA03F0">
        <w:rPr>
          <w:rFonts w:ascii="Arial" w:eastAsia="Times New Roman" w:hAnsi="Arial" w:cs="Arial"/>
          <w:lang w:eastAsia="fr-FR"/>
        </w:rPr>
        <w:t xml:space="preserve">Réduire les délais de réponse et de mise à disposition des quotes-parts de sinistres à la charge des </w:t>
      </w:r>
      <w:proofErr w:type="spellStart"/>
      <w:r w:rsidRPr="00EA03F0">
        <w:rPr>
          <w:rFonts w:ascii="Arial" w:eastAsia="Times New Roman" w:hAnsi="Arial" w:cs="Arial"/>
          <w:lang w:eastAsia="fr-FR"/>
        </w:rPr>
        <w:t>coassureurs</w:t>
      </w:r>
      <w:proofErr w:type="spellEnd"/>
      <w:r w:rsidRPr="00EA03F0">
        <w:rPr>
          <w:rFonts w:ascii="Arial" w:eastAsia="Times New Roman" w:hAnsi="Arial" w:cs="Arial"/>
          <w:lang w:eastAsia="fr-FR"/>
        </w:rPr>
        <w:t> ;</w:t>
      </w:r>
    </w:p>
    <w:p w:rsidR="00EA03F0" w:rsidRPr="00EA03F0" w:rsidRDefault="00EA03F0" w:rsidP="00F83A03">
      <w:pPr>
        <w:tabs>
          <w:tab w:val="left" w:pos="-720"/>
        </w:tabs>
        <w:suppressAutoHyphens/>
        <w:spacing w:after="0" w:line="312" w:lineRule="auto"/>
        <w:ind w:left="720"/>
        <w:contextualSpacing/>
        <w:jc w:val="both"/>
        <w:rPr>
          <w:rFonts w:ascii="Arial" w:eastAsia="Times New Roman" w:hAnsi="Arial" w:cs="Arial"/>
          <w:lang w:eastAsia="fr-FR"/>
        </w:rPr>
      </w:pPr>
    </w:p>
    <w:p w:rsidR="00EA03F0" w:rsidRPr="00EA03F0" w:rsidRDefault="00EA03F0" w:rsidP="00F83A03">
      <w:pPr>
        <w:numPr>
          <w:ilvl w:val="0"/>
          <w:numId w:val="29"/>
        </w:numPr>
        <w:tabs>
          <w:tab w:val="left" w:pos="-720"/>
        </w:tabs>
        <w:suppressAutoHyphens/>
        <w:spacing w:after="0" w:line="312" w:lineRule="auto"/>
        <w:contextualSpacing/>
        <w:jc w:val="both"/>
        <w:rPr>
          <w:rFonts w:ascii="Arial" w:eastAsia="Times New Roman" w:hAnsi="Arial" w:cs="Arial"/>
          <w:lang w:eastAsia="fr-FR"/>
        </w:rPr>
      </w:pPr>
      <w:r w:rsidRPr="00EA03F0">
        <w:rPr>
          <w:rFonts w:ascii="Arial" w:eastAsia="Times New Roman" w:hAnsi="Arial" w:cs="Arial"/>
          <w:lang w:eastAsia="fr-FR"/>
        </w:rPr>
        <w:t xml:space="preserve">Accélérer les procédures de récupération des </w:t>
      </w:r>
      <w:proofErr w:type="spellStart"/>
      <w:r w:rsidRPr="00EA03F0">
        <w:rPr>
          <w:rFonts w:ascii="Arial" w:eastAsia="Times New Roman" w:hAnsi="Arial" w:cs="Arial"/>
          <w:lang w:eastAsia="fr-FR"/>
        </w:rPr>
        <w:t>quotes</w:t>
      </w:r>
      <w:proofErr w:type="spellEnd"/>
      <w:r w:rsidRPr="00EA03F0">
        <w:rPr>
          <w:rFonts w:ascii="Arial" w:eastAsia="Times New Roman" w:hAnsi="Arial" w:cs="Arial"/>
          <w:lang w:eastAsia="fr-FR"/>
        </w:rPr>
        <w:t xml:space="preserve"> parts de recours encaissés pour compte commun des </w:t>
      </w:r>
      <w:proofErr w:type="spellStart"/>
      <w:r w:rsidRPr="00EA03F0">
        <w:rPr>
          <w:rFonts w:ascii="Arial" w:eastAsia="Times New Roman" w:hAnsi="Arial" w:cs="Arial"/>
          <w:lang w:eastAsia="fr-FR"/>
        </w:rPr>
        <w:t>coassureurs</w:t>
      </w:r>
      <w:proofErr w:type="spellEnd"/>
      <w:r w:rsidRPr="00EA03F0">
        <w:rPr>
          <w:rFonts w:ascii="Arial" w:eastAsia="Times New Roman" w:hAnsi="Arial" w:cs="Arial"/>
          <w:lang w:eastAsia="fr-FR"/>
        </w:rPr>
        <w:t xml:space="preserve"> (notamment dans la branche Transport).</w:t>
      </w:r>
    </w:p>
    <w:p w:rsidR="00EA03F0" w:rsidRPr="00EA03F0" w:rsidRDefault="00EA03F0" w:rsidP="00F83A03">
      <w:pPr>
        <w:spacing w:after="0" w:line="240" w:lineRule="auto"/>
        <w:ind w:left="720"/>
        <w:contextualSpacing/>
        <w:jc w:val="both"/>
        <w:rPr>
          <w:rFonts w:ascii="Arial" w:eastAsia="Times New Roman" w:hAnsi="Arial" w:cs="Arial"/>
          <w:lang w:eastAsia="fr-FR"/>
        </w:rPr>
      </w:pPr>
    </w:p>
    <w:p w:rsidR="00EA03F0" w:rsidRPr="00EA03F0" w:rsidRDefault="00EA03F0" w:rsidP="00F83A03">
      <w:pPr>
        <w:numPr>
          <w:ilvl w:val="0"/>
          <w:numId w:val="29"/>
        </w:numPr>
        <w:tabs>
          <w:tab w:val="left" w:pos="-720"/>
        </w:tabs>
        <w:suppressAutoHyphens/>
        <w:spacing w:after="0" w:line="312" w:lineRule="auto"/>
        <w:contextualSpacing/>
        <w:jc w:val="both"/>
        <w:rPr>
          <w:rFonts w:ascii="Arial" w:eastAsia="Times New Roman" w:hAnsi="Arial" w:cs="Arial"/>
          <w:lang w:eastAsia="fr-FR"/>
        </w:rPr>
      </w:pPr>
      <w:r w:rsidRPr="00EA03F0">
        <w:rPr>
          <w:rFonts w:ascii="Arial" w:eastAsia="Times New Roman" w:hAnsi="Arial" w:cs="Arial"/>
          <w:color w:val="202122"/>
          <w:lang w:eastAsia="fr-FR"/>
        </w:rPr>
        <w:t>Juguler les risques financiers et tensions de trésorerie auxquels s’exposent les assureurs, en bute aux résultats infructueux de l’exercice de leurs droits à recours ;</w:t>
      </w:r>
    </w:p>
    <w:p w:rsidR="00EA03F0" w:rsidRPr="00EA03F0" w:rsidRDefault="00EA03F0" w:rsidP="00F83A03">
      <w:pPr>
        <w:spacing w:after="0" w:line="240" w:lineRule="auto"/>
        <w:ind w:left="720"/>
        <w:contextualSpacing/>
        <w:jc w:val="both"/>
        <w:rPr>
          <w:rFonts w:ascii="Arial" w:eastAsia="Times New Roman" w:hAnsi="Arial" w:cs="Arial"/>
          <w:lang w:eastAsia="fr-FR"/>
        </w:rPr>
      </w:pPr>
    </w:p>
    <w:p w:rsidR="00EA03F0" w:rsidRPr="00EA03F0" w:rsidRDefault="00EA03F0" w:rsidP="00F83A03">
      <w:pPr>
        <w:numPr>
          <w:ilvl w:val="0"/>
          <w:numId w:val="29"/>
        </w:numPr>
        <w:tabs>
          <w:tab w:val="left" w:pos="-720"/>
        </w:tabs>
        <w:suppressAutoHyphens/>
        <w:spacing w:after="0" w:line="312" w:lineRule="auto"/>
        <w:contextualSpacing/>
        <w:jc w:val="both"/>
        <w:rPr>
          <w:rFonts w:ascii="Arial" w:eastAsia="Times New Roman" w:hAnsi="Arial" w:cs="Arial"/>
          <w:lang w:eastAsia="fr-FR"/>
        </w:rPr>
      </w:pPr>
      <w:r w:rsidRPr="00EA03F0">
        <w:rPr>
          <w:rFonts w:ascii="Arial" w:eastAsia="Times New Roman" w:hAnsi="Arial" w:cs="Arial"/>
          <w:color w:val="202122"/>
          <w:lang w:eastAsia="fr-FR"/>
        </w:rPr>
        <w:t>Mise au point d’un arrêté ministériel encadrant le dispositif, dès après son adoption consensuelle par les différentes parties prenantes (La DA et l’OQSF à travers le Médiateur des Assurances, seront en charge du pilotage de ce formalisme).</w:t>
      </w:r>
    </w:p>
    <w:p w:rsidR="00EA03F0" w:rsidRPr="00EA03F0" w:rsidRDefault="00EA03F0" w:rsidP="00F83A03">
      <w:pPr>
        <w:spacing w:after="0" w:line="240" w:lineRule="auto"/>
        <w:ind w:left="720"/>
        <w:contextualSpacing/>
        <w:jc w:val="both"/>
        <w:rPr>
          <w:rFonts w:ascii="Arial" w:eastAsia="Times New Roman" w:hAnsi="Arial" w:cs="Arial"/>
          <w:lang w:eastAsia="fr-FR"/>
        </w:rPr>
      </w:pPr>
    </w:p>
    <w:p w:rsidR="00EA03F0" w:rsidRPr="00EA03F0" w:rsidRDefault="00EA03F0" w:rsidP="00F83A03">
      <w:pPr>
        <w:tabs>
          <w:tab w:val="left" w:pos="-720"/>
        </w:tabs>
        <w:suppressAutoHyphens/>
        <w:spacing w:after="0" w:line="312" w:lineRule="auto"/>
        <w:jc w:val="both"/>
        <w:rPr>
          <w:rFonts w:ascii="Arial" w:eastAsia="Times New Roman" w:hAnsi="Arial" w:cs="Arial"/>
          <w:lang w:eastAsia="fr-FR"/>
        </w:rPr>
      </w:pPr>
    </w:p>
    <w:p w:rsidR="00EA03F0" w:rsidRPr="00EA03F0" w:rsidRDefault="00EA03F0" w:rsidP="00F83A03">
      <w:pPr>
        <w:tabs>
          <w:tab w:val="left" w:pos="-720"/>
        </w:tabs>
        <w:suppressAutoHyphens/>
        <w:spacing w:after="0" w:line="312" w:lineRule="auto"/>
        <w:jc w:val="both"/>
        <w:rPr>
          <w:rFonts w:ascii="Arial" w:eastAsia="Times New Roman" w:hAnsi="Arial" w:cs="Arial"/>
          <w:lang w:eastAsia="fr-FR"/>
        </w:rPr>
      </w:pPr>
    </w:p>
    <w:p w:rsidR="00EA03F0" w:rsidRPr="00EA03F0" w:rsidRDefault="00EA03F0" w:rsidP="00F83A03">
      <w:pPr>
        <w:tabs>
          <w:tab w:val="left" w:pos="-720"/>
        </w:tabs>
        <w:suppressAutoHyphens/>
        <w:spacing w:after="0" w:line="312" w:lineRule="auto"/>
        <w:jc w:val="both"/>
        <w:rPr>
          <w:rFonts w:ascii="Arial" w:eastAsia="Times New Roman" w:hAnsi="Arial" w:cs="Arial"/>
          <w:lang w:eastAsia="fr-FR"/>
        </w:rPr>
      </w:pPr>
    </w:p>
    <w:p w:rsidR="00EA03F0" w:rsidRPr="00EA03F0" w:rsidRDefault="00EA03F0" w:rsidP="00F83A03">
      <w:pPr>
        <w:numPr>
          <w:ilvl w:val="0"/>
          <w:numId w:val="31"/>
        </w:numPr>
        <w:tabs>
          <w:tab w:val="left" w:pos="-720"/>
        </w:tabs>
        <w:suppressAutoHyphens/>
        <w:spacing w:after="0" w:line="312" w:lineRule="auto"/>
        <w:contextualSpacing/>
        <w:jc w:val="both"/>
        <w:rPr>
          <w:rFonts w:ascii="Arial" w:eastAsia="Times New Roman" w:hAnsi="Arial" w:cs="Arial"/>
          <w:b/>
          <w:lang w:eastAsia="fr-FR"/>
        </w:rPr>
      </w:pPr>
      <w:r w:rsidRPr="00EA03F0">
        <w:rPr>
          <w:rFonts w:ascii="Arial" w:eastAsia="Times New Roman" w:hAnsi="Arial" w:cs="Arial"/>
          <w:b/>
          <w:lang w:eastAsia="fr-FR"/>
        </w:rPr>
        <w:t>Méthodologie</w:t>
      </w:r>
    </w:p>
    <w:p w:rsidR="00EA03F0" w:rsidRPr="00EA03F0" w:rsidRDefault="00EA03F0" w:rsidP="00F83A03">
      <w:pPr>
        <w:spacing w:after="240" w:line="360" w:lineRule="atLeast"/>
        <w:jc w:val="both"/>
        <w:rPr>
          <w:rFonts w:ascii="Arial" w:eastAsia="Times New Roman" w:hAnsi="Arial" w:cs="Arial"/>
          <w:color w:val="202122"/>
          <w:lang w:eastAsia="fr-FR"/>
        </w:rPr>
      </w:pPr>
      <w:r w:rsidRPr="00EA03F0">
        <w:rPr>
          <w:rFonts w:ascii="Arial" w:eastAsia="Times New Roman" w:hAnsi="Arial" w:cs="Arial"/>
          <w:color w:val="202122"/>
          <w:lang w:eastAsia="fr-FR"/>
        </w:rPr>
        <w:t>La méthodologie préconisée regroupe les différentes séquences suivantes :</w:t>
      </w:r>
    </w:p>
    <w:p w:rsidR="00EA03F0" w:rsidRPr="00EA03F0" w:rsidRDefault="00EA03F0" w:rsidP="00F83A03">
      <w:pPr>
        <w:numPr>
          <w:ilvl w:val="0"/>
          <w:numId w:val="30"/>
        </w:numPr>
        <w:spacing w:after="240" w:line="360" w:lineRule="atLeast"/>
        <w:contextualSpacing/>
        <w:jc w:val="both"/>
        <w:rPr>
          <w:rFonts w:ascii="Arial" w:eastAsia="Times New Roman" w:hAnsi="Arial" w:cs="Arial"/>
          <w:color w:val="202122"/>
          <w:lang w:eastAsia="fr-FR"/>
        </w:rPr>
      </w:pPr>
      <w:r w:rsidRPr="00EA03F0">
        <w:rPr>
          <w:rFonts w:ascii="Arial" w:eastAsia="Times New Roman" w:hAnsi="Arial" w:cs="Arial"/>
          <w:color w:val="202122"/>
          <w:lang w:eastAsia="fr-FR"/>
        </w:rPr>
        <w:t xml:space="preserve"> Recensement des différentes catégories d’opérations éligibles à la compensation assurantielle, en complétant celles déjà citées plus haut ;</w:t>
      </w:r>
    </w:p>
    <w:p w:rsidR="00EA03F0" w:rsidRPr="00EA03F0" w:rsidRDefault="00EA03F0" w:rsidP="00F83A03">
      <w:pPr>
        <w:spacing w:after="240" w:line="360" w:lineRule="atLeast"/>
        <w:ind w:left="720"/>
        <w:contextualSpacing/>
        <w:jc w:val="both"/>
        <w:rPr>
          <w:rFonts w:ascii="Arial" w:eastAsia="Times New Roman" w:hAnsi="Arial" w:cs="Arial"/>
          <w:color w:val="202122"/>
          <w:lang w:eastAsia="fr-FR"/>
        </w:rPr>
      </w:pPr>
    </w:p>
    <w:p w:rsidR="00EA03F0" w:rsidRPr="00EA03F0" w:rsidRDefault="00EA03F0" w:rsidP="00F83A03">
      <w:pPr>
        <w:numPr>
          <w:ilvl w:val="0"/>
          <w:numId w:val="30"/>
        </w:numPr>
        <w:spacing w:after="240" w:line="360" w:lineRule="atLeast"/>
        <w:contextualSpacing/>
        <w:jc w:val="both"/>
        <w:rPr>
          <w:rFonts w:ascii="Arial" w:eastAsia="Times New Roman" w:hAnsi="Arial" w:cs="Arial"/>
          <w:color w:val="202122"/>
          <w:lang w:eastAsia="fr-FR"/>
        </w:rPr>
      </w:pPr>
      <w:r w:rsidRPr="00EA03F0">
        <w:rPr>
          <w:rFonts w:ascii="Arial" w:eastAsia="Times New Roman" w:hAnsi="Arial" w:cs="Arial"/>
          <w:color w:val="202122"/>
          <w:lang w:eastAsia="fr-FR"/>
        </w:rPr>
        <w:t>Mise en place d’un mécanisme permettant l’agrégation par catégorie d’opérations de tous les paiements dus ou sommes à encaisser pour chaque assureur à l’égard de ses autres confrères, faisant ressortir le solde résiduel dû par l’une ou l’autre des parties (selon leur position débitrice ou créditrice) ;</w:t>
      </w:r>
    </w:p>
    <w:p w:rsidR="00EA03F0" w:rsidRPr="00EA03F0" w:rsidRDefault="00EA03F0" w:rsidP="00F83A03">
      <w:pPr>
        <w:spacing w:after="240" w:line="360" w:lineRule="atLeast"/>
        <w:ind w:left="720"/>
        <w:contextualSpacing/>
        <w:jc w:val="both"/>
        <w:rPr>
          <w:rFonts w:ascii="Arial" w:eastAsia="Times New Roman" w:hAnsi="Arial" w:cs="Arial"/>
          <w:color w:val="202122"/>
          <w:lang w:eastAsia="fr-FR"/>
        </w:rPr>
      </w:pPr>
    </w:p>
    <w:p w:rsidR="00EA03F0" w:rsidRPr="00EA03F0" w:rsidRDefault="00EA03F0" w:rsidP="00F83A03">
      <w:pPr>
        <w:numPr>
          <w:ilvl w:val="0"/>
          <w:numId w:val="30"/>
        </w:numPr>
        <w:spacing w:after="240" w:line="360" w:lineRule="atLeast"/>
        <w:contextualSpacing/>
        <w:jc w:val="both"/>
        <w:rPr>
          <w:rFonts w:ascii="Arial" w:eastAsia="Times New Roman" w:hAnsi="Arial" w:cs="Arial"/>
          <w:color w:val="202122"/>
          <w:lang w:eastAsia="fr-FR"/>
        </w:rPr>
      </w:pPr>
      <w:r w:rsidRPr="00EA03F0">
        <w:rPr>
          <w:rFonts w:ascii="Arial" w:eastAsia="Times New Roman" w:hAnsi="Arial" w:cs="Arial"/>
          <w:color w:val="202122"/>
          <w:lang w:eastAsia="fr-FR"/>
        </w:rPr>
        <w:lastRenderedPageBreak/>
        <w:t>Constitution d’une somme séquestre initiale d’un montant prédéfini, issue des contributions respectives des différents assureurs, selon une clef de répartition à définir d’accord parties. Ladite somme devant servir à diligenter les règlements de soldes et à gérer les risques de contrepartie ;</w:t>
      </w:r>
    </w:p>
    <w:p w:rsidR="00EA03F0" w:rsidRPr="00EA03F0" w:rsidRDefault="00EA03F0" w:rsidP="00F83A03">
      <w:pPr>
        <w:spacing w:after="240" w:line="360" w:lineRule="atLeast"/>
        <w:ind w:left="720"/>
        <w:contextualSpacing/>
        <w:jc w:val="both"/>
        <w:rPr>
          <w:rFonts w:ascii="Arial" w:eastAsia="Times New Roman" w:hAnsi="Arial" w:cs="Arial"/>
          <w:color w:val="202122"/>
          <w:lang w:eastAsia="fr-FR"/>
        </w:rPr>
      </w:pPr>
    </w:p>
    <w:p w:rsidR="00EA03F0" w:rsidRPr="00EA03F0" w:rsidRDefault="00EA03F0" w:rsidP="00F83A03">
      <w:pPr>
        <w:numPr>
          <w:ilvl w:val="0"/>
          <w:numId w:val="30"/>
        </w:numPr>
        <w:spacing w:after="240" w:line="360" w:lineRule="atLeast"/>
        <w:contextualSpacing/>
        <w:jc w:val="both"/>
        <w:rPr>
          <w:rFonts w:ascii="Arial" w:eastAsia="Times New Roman" w:hAnsi="Arial" w:cs="Arial"/>
          <w:color w:val="202122"/>
          <w:lang w:eastAsia="fr-FR"/>
        </w:rPr>
      </w:pPr>
      <w:r w:rsidRPr="00EA03F0">
        <w:rPr>
          <w:rFonts w:ascii="Arial" w:eastAsia="Times New Roman" w:hAnsi="Arial" w:cs="Arial"/>
          <w:color w:val="202122"/>
          <w:lang w:eastAsia="fr-FR"/>
        </w:rPr>
        <w:t>Fixation des jours dédiés aux opérations de compensation et détermination de la périodicité de la liquidation des soldes exigibles ;</w:t>
      </w:r>
    </w:p>
    <w:p w:rsidR="00EA03F0" w:rsidRPr="00EA03F0" w:rsidRDefault="00EA03F0" w:rsidP="00F83A03">
      <w:pPr>
        <w:spacing w:after="0" w:line="240" w:lineRule="auto"/>
        <w:ind w:left="720"/>
        <w:contextualSpacing/>
        <w:jc w:val="both"/>
        <w:rPr>
          <w:rFonts w:ascii="Arial" w:eastAsia="Times New Roman" w:hAnsi="Arial" w:cs="Arial"/>
          <w:color w:val="202122"/>
          <w:lang w:eastAsia="fr-FR"/>
        </w:rPr>
      </w:pPr>
    </w:p>
    <w:p w:rsidR="00EA03F0" w:rsidRPr="00EA03F0" w:rsidRDefault="00EA03F0" w:rsidP="00F83A03">
      <w:pPr>
        <w:numPr>
          <w:ilvl w:val="0"/>
          <w:numId w:val="30"/>
        </w:numPr>
        <w:spacing w:after="240" w:line="360" w:lineRule="atLeast"/>
        <w:contextualSpacing/>
        <w:jc w:val="both"/>
        <w:rPr>
          <w:rFonts w:ascii="Arial" w:eastAsia="Times New Roman" w:hAnsi="Arial" w:cs="Arial"/>
          <w:color w:val="202122"/>
          <w:lang w:eastAsia="fr-FR"/>
        </w:rPr>
      </w:pPr>
      <w:r w:rsidRPr="00EA03F0">
        <w:rPr>
          <w:rFonts w:ascii="Arial" w:eastAsia="Times New Roman" w:hAnsi="Arial" w:cs="Arial"/>
          <w:color w:val="202122"/>
          <w:lang w:eastAsia="fr-FR"/>
        </w:rPr>
        <w:t xml:space="preserve"> Mise en place d’une plateforme qui centralise toutes les opérations éligibles, détermine les soldes exigibles et propose les paiements à exécuter.</w:t>
      </w:r>
    </w:p>
    <w:p w:rsidR="00EA03F0" w:rsidRPr="00EA03F0" w:rsidRDefault="00EA03F0" w:rsidP="00F83A03">
      <w:pPr>
        <w:spacing w:after="0" w:line="240" w:lineRule="auto"/>
        <w:ind w:left="720"/>
        <w:contextualSpacing/>
        <w:jc w:val="both"/>
        <w:rPr>
          <w:rFonts w:ascii="Arial" w:eastAsia="Times New Roman" w:hAnsi="Arial" w:cs="Arial"/>
          <w:color w:val="202122"/>
          <w:lang w:eastAsia="fr-FR"/>
        </w:rPr>
      </w:pPr>
    </w:p>
    <w:p w:rsidR="00EA03F0" w:rsidRPr="00EA03F0" w:rsidRDefault="00EA03F0" w:rsidP="00F83A03">
      <w:pPr>
        <w:spacing w:after="240" w:line="360" w:lineRule="atLeast"/>
        <w:jc w:val="both"/>
        <w:rPr>
          <w:rFonts w:ascii="Arial" w:eastAsia="Times New Roman" w:hAnsi="Arial" w:cs="Arial"/>
          <w:color w:val="202122"/>
          <w:lang w:eastAsia="fr-FR"/>
        </w:rPr>
      </w:pPr>
      <w:r w:rsidRPr="00EA03F0">
        <w:rPr>
          <w:rFonts w:ascii="Arial" w:eastAsia="Times New Roman" w:hAnsi="Arial" w:cs="Arial"/>
          <w:b/>
          <w:color w:val="202122"/>
          <w:u w:val="single"/>
          <w:lang w:eastAsia="fr-FR"/>
        </w:rPr>
        <w:t>Précision de taille</w:t>
      </w:r>
      <w:r w:rsidRPr="00EA03F0">
        <w:rPr>
          <w:rFonts w:ascii="Arial" w:eastAsia="Times New Roman" w:hAnsi="Arial" w:cs="Arial"/>
          <w:color w:val="202122"/>
          <w:lang w:eastAsia="fr-FR"/>
        </w:rPr>
        <w:t> : le projet sera porté par l’AAS, L’OQSF à travers le Médiateur des Assurances et la Direction des Assurances qui assureront leur rôle de facilitateurs en tant que forces de réflexion et de propositions pour pousser à l’action. Après achèvement du projet, ils peuvent se muer en organes de suivi de la bonne marche du dispositif ainsi que du respect des dispositions de l’arrêté ministériel encadrant la mise en œuvre du projet et pour l’élaboration duquel, ils auront été parties prenantes.</w:t>
      </w:r>
    </w:p>
    <w:p w:rsidR="00EA03F0" w:rsidRPr="00EA03F0" w:rsidRDefault="00EA03F0" w:rsidP="00F83A03">
      <w:pPr>
        <w:spacing w:after="240" w:line="360" w:lineRule="atLeast"/>
        <w:ind w:left="720"/>
        <w:contextualSpacing/>
        <w:jc w:val="both"/>
        <w:rPr>
          <w:rFonts w:ascii="Arial" w:eastAsia="Times New Roman" w:hAnsi="Arial" w:cs="Arial"/>
          <w:color w:val="202122"/>
          <w:sz w:val="18"/>
          <w:szCs w:val="18"/>
          <w:lang w:eastAsia="fr-FR"/>
        </w:rPr>
      </w:pPr>
    </w:p>
    <w:p w:rsidR="00EA03F0" w:rsidRDefault="00EA03F0" w:rsidP="00F83A03">
      <w:pPr>
        <w:ind w:right="-286"/>
        <w:jc w:val="both"/>
        <w:rPr>
          <w:rFonts w:eastAsia="Univers" w:cs="Arial"/>
          <w:b/>
          <w:noProof/>
          <w:szCs w:val="18"/>
          <w:u w:val="single"/>
        </w:rPr>
      </w:pPr>
    </w:p>
    <w:p w:rsidR="00EA03F0" w:rsidRDefault="00EA03F0" w:rsidP="00F83A03">
      <w:pPr>
        <w:ind w:right="-286"/>
        <w:jc w:val="both"/>
        <w:rPr>
          <w:rFonts w:eastAsia="Univers" w:cs="Arial"/>
          <w:b/>
          <w:noProof/>
          <w:szCs w:val="18"/>
          <w:u w:val="single"/>
        </w:rPr>
      </w:pPr>
    </w:p>
    <w:p w:rsidR="00EA03F0" w:rsidRDefault="00EA03F0" w:rsidP="00F83A03">
      <w:pPr>
        <w:ind w:right="-286"/>
        <w:jc w:val="both"/>
        <w:rPr>
          <w:rFonts w:eastAsia="Univers" w:cs="Arial"/>
          <w:b/>
          <w:noProof/>
          <w:szCs w:val="18"/>
          <w:u w:val="single"/>
        </w:rPr>
      </w:pPr>
    </w:p>
    <w:p w:rsidR="00EA03F0" w:rsidRDefault="00EA03F0" w:rsidP="00F83A03">
      <w:pPr>
        <w:ind w:right="-286"/>
        <w:jc w:val="both"/>
        <w:rPr>
          <w:rFonts w:eastAsia="Univers" w:cs="Arial"/>
          <w:b/>
          <w:noProof/>
          <w:szCs w:val="18"/>
          <w:u w:val="single"/>
        </w:rPr>
      </w:pPr>
    </w:p>
    <w:p w:rsidR="00EA03F0" w:rsidRDefault="00EA03F0" w:rsidP="00F83A03">
      <w:pPr>
        <w:ind w:right="-286"/>
        <w:jc w:val="both"/>
        <w:rPr>
          <w:rFonts w:eastAsia="Univers" w:cs="Arial"/>
          <w:b/>
          <w:noProof/>
          <w:szCs w:val="18"/>
          <w:u w:val="single"/>
        </w:rPr>
      </w:pPr>
    </w:p>
    <w:p w:rsidR="00EA03F0" w:rsidRDefault="00EA03F0" w:rsidP="00F83A03">
      <w:pPr>
        <w:ind w:right="-286"/>
        <w:jc w:val="both"/>
        <w:rPr>
          <w:rFonts w:eastAsia="Univers" w:cs="Arial"/>
          <w:b/>
          <w:noProof/>
          <w:szCs w:val="18"/>
          <w:u w:val="single"/>
        </w:rPr>
      </w:pPr>
    </w:p>
    <w:p w:rsidR="00EA03F0" w:rsidRDefault="00EA03F0" w:rsidP="00F83A03">
      <w:pPr>
        <w:ind w:right="-286"/>
        <w:jc w:val="both"/>
        <w:rPr>
          <w:rFonts w:eastAsia="Univers" w:cs="Arial"/>
          <w:b/>
          <w:noProof/>
          <w:szCs w:val="18"/>
          <w:u w:val="single"/>
        </w:rPr>
      </w:pPr>
    </w:p>
    <w:p w:rsidR="00EA03F0" w:rsidRDefault="00EA03F0" w:rsidP="00F83A03">
      <w:pPr>
        <w:ind w:right="-286"/>
        <w:jc w:val="both"/>
        <w:rPr>
          <w:rFonts w:eastAsia="Univers" w:cs="Arial"/>
          <w:b/>
          <w:noProof/>
          <w:szCs w:val="18"/>
          <w:u w:val="single"/>
        </w:rPr>
      </w:pPr>
    </w:p>
    <w:p w:rsidR="00EA03F0" w:rsidRDefault="00EA03F0" w:rsidP="00F83A03">
      <w:pPr>
        <w:ind w:right="-286"/>
        <w:jc w:val="both"/>
        <w:rPr>
          <w:rFonts w:eastAsia="Univers" w:cs="Arial"/>
          <w:b/>
          <w:noProof/>
          <w:szCs w:val="18"/>
          <w:u w:val="single"/>
        </w:rPr>
      </w:pPr>
    </w:p>
    <w:p w:rsidR="00EA03F0" w:rsidRDefault="00EA03F0" w:rsidP="00F83A03">
      <w:pPr>
        <w:ind w:right="-286"/>
        <w:jc w:val="both"/>
        <w:rPr>
          <w:rFonts w:eastAsia="Univers" w:cs="Arial"/>
          <w:b/>
          <w:noProof/>
          <w:szCs w:val="18"/>
          <w:u w:val="single"/>
        </w:rPr>
      </w:pPr>
    </w:p>
    <w:p w:rsidR="00EA03F0" w:rsidRDefault="00EA03F0" w:rsidP="00F83A03">
      <w:pPr>
        <w:ind w:right="-286"/>
        <w:jc w:val="both"/>
        <w:rPr>
          <w:rFonts w:eastAsia="Univers" w:cs="Arial"/>
          <w:b/>
          <w:noProof/>
          <w:szCs w:val="18"/>
          <w:u w:val="single"/>
        </w:rPr>
      </w:pPr>
    </w:p>
    <w:p w:rsidR="00EA03F0" w:rsidRDefault="00EA03F0" w:rsidP="00F83A03">
      <w:pPr>
        <w:ind w:right="-286"/>
        <w:jc w:val="both"/>
        <w:rPr>
          <w:rFonts w:eastAsia="Univers" w:cs="Arial"/>
          <w:b/>
          <w:noProof/>
          <w:szCs w:val="18"/>
          <w:u w:val="single"/>
        </w:rPr>
      </w:pPr>
    </w:p>
    <w:p w:rsidR="00EA03F0" w:rsidRDefault="00EA03F0" w:rsidP="00F83A03">
      <w:pPr>
        <w:ind w:right="-286"/>
        <w:jc w:val="both"/>
        <w:rPr>
          <w:rFonts w:eastAsia="Univers" w:cs="Arial"/>
          <w:b/>
          <w:noProof/>
          <w:szCs w:val="18"/>
          <w:u w:val="single"/>
        </w:rPr>
      </w:pPr>
    </w:p>
    <w:p w:rsidR="00BF41C9" w:rsidRPr="00612E13" w:rsidRDefault="00BF41C9" w:rsidP="00F83A03">
      <w:pPr>
        <w:ind w:right="-286"/>
        <w:jc w:val="both"/>
        <w:rPr>
          <w:rFonts w:eastAsia="Univers" w:cs="Arial"/>
          <w:b/>
          <w:noProof/>
          <w:szCs w:val="18"/>
        </w:rPr>
      </w:pPr>
      <w:r w:rsidRPr="00612E13">
        <w:rPr>
          <w:rFonts w:eastAsia="Univers" w:cs="Arial"/>
          <w:b/>
          <w:noProof/>
          <w:szCs w:val="18"/>
          <w:u w:val="single"/>
        </w:rPr>
        <w:lastRenderedPageBreak/>
        <w:t xml:space="preserve">DECRET </w:t>
      </w:r>
      <w:r w:rsidRPr="00612E13">
        <w:rPr>
          <w:rFonts w:eastAsia="Univers" w:cs="Arial"/>
          <w:b/>
          <w:noProof/>
          <w:szCs w:val="18"/>
        </w:rPr>
        <w:t>Portant Création et Organisation de l’Observatoire de la Qualité des Services Financiers (O.Q.S.F./Sénégal)</w:t>
      </w:r>
    </w:p>
    <w:p w:rsidR="00BF41C9" w:rsidRPr="00E32324" w:rsidRDefault="00BF41C9" w:rsidP="00F83A03">
      <w:pPr>
        <w:spacing w:before="360" w:after="360"/>
        <w:jc w:val="both"/>
        <w:rPr>
          <w:rFonts w:eastAsia="Univers" w:cs="Arial"/>
          <w:b/>
          <w:noProof/>
          <w:sz w:val="18"/>
          <w:szCs w:val="18"/>
        </w:rPr>
      </w:pPr>
      <w:r w:rsidRPr="00E32324">
        <w:rPr>
          <w:rFonts w:eastAsia="Univers" w:cs="Arial"/>
          <w:b/>
          <w:noProof/>
          <w:sz w:val="18"/>
          <w:szCs w:val="18"/>
        </w:rPr>
        <w:t>LE PRESIDENT DE LA REPUBLIQUE,</w:t>
      </w:r>
    </w:p>
    <w:p w:rsidR="00BF41C9" w:rsidRPr="00E32324" w:rsidRDefault="00BF41C9" w:rsidP="00F83A03">
      <w:pPr>
        <w:spacing w:before="360" w:after="240"/>
        <w:jc w:val="both"/>
        <w:rPr>
          <w:rFonts w:eastAsia="Univers" w:cs="Arial"/>
          <w:noProof/>
          <w:sz w:val="18"/>
          <w:szCs w:val="18"/>
        </w:rPr>
      </w:pPr>
      <w:r w:rsidRPr="00E32324">
        <w:rPr>
          <w:rFonts w:eastAsia="Univers" w:cs="Arial"/>
          <w:noProof/>
          <w:sz w:val="18"/>
          <w:szCs w:val="18"/>
        </w:rPr>
        <w:t xml:space="preserve">VU </w:t>
      </w:r>
      <w:r w:rsidRPr="00E32324">
        <w:rPr>
          <w:rFonts w:eastAsia="Univers" w:cs="Arial"/>
          <w:noProof/>
          <w:sz w:val="18"/>
          <w:szCs w:val="18"/>
        </w:rPr>
        <w:tab/>
        <w:t>la Constitution ;</w:t>
      </w:r>
    </w:p>
    <w:p w:rsidR="00BF41C9" w:rsidRPr="00E32324" w:rsidRDefault="00BF41C9" w:rsidP="00F83A03">
      <w:pPr>
        <w:spacing w:before="360" w:after="240"/>
        <w:ind w:left="705" w:hanging="705"/>
        <w:jc w:val="both"/>
        <w:rPr>
          <w:rFonts w:eastAsia="Univers" w:cs="Arial"/>
          <w:noProof/>
          <w:sz w:val="18"/>
          <w:szCs w:val="18"/>
        </w:rPr>
      </w:pPr>
      <w:r w:rsidRPr="00E32324">
        <w:rPr>
          <w:rFonts w:eastAsia="Univers" w:cs="Arial"/>
          <w:noProof/>
          <w:sz w:val="18"/>
          <w:szCs w:val="18"/>
        </w:rPr>
        <w:t xml:space="preserve">VU </w:t>
      </w:r>
      <w:r w:rsidRPr="00E32324">
        <w:rPr>
          <w:rFonts w:eastAsia="Univers" w:cs="Arial"/>
          <w:noProof/>
          <w:sz w:val="18"/>
          <w:szCs w:val="18"/>
        </w:rPr>
        <w:tab/>
        <w:t>le Traité de la Conférence Interafricaine des Marchés d’Assurances signé à Yaoundé le 10 juillet 1992 et instituant un Code unique des assurances des Etats membres de la CIMA notamment en ses livres I, II et III relatifs aux entreprises d’assurances ;</w:t>
      </w:r>
    </w:p>
    <w:p w:rsidR="00BF41C9" w:rsidRPr="00E32324" w:rsidRDefault="00BF41C9" w:rsidP="00F83A03">
      <w:pPr>
        <w:spacing w:before="360" w:after="240"/>
        <w:jc w:val="both"/>
        <w:rPr>
          <w:rFonts w:eastAsia="Univers" w:cs="Arial"/>
          <w:noProof/>
          <w:sz w:val="18"/>
          <w:szCs w:val="18"/>
        </w:rPr>
      </w:pPr>
      <w:r w:rsidRPr="00E32324">
        <w:rPr>
          <w:rFonts w:eastAsia="Univers" w:cs="Arial"/>
          <w:noProof/>
          <w:sz w:val="18"/>
          <w:szCs w:val="18"/>
        </w:rPr>
        <w:t xml:space="preserve">VU </w:t>
      </w:r>
      <w:r w:rsidRPr="00E32324">
        <w:rPr>
          <w:rFonts w:eastAsia="Univers" w:cs="Arial"/>
          <w:noProof/>
          <w:sz w:val="18"/>
          <w:szCs w:val="18"/>
        </w:rPr>
        <w:tab/>
        <w:t>la loi n° 90-06 du 26 juin 1990  portant réglementation bancaire ;</w:t>
      </w:r>
    </w:p>
    <w:p w:rsidR="00BF41C9" w:rsidRPr="00E32324" w:rsidRDefault="00BF41C9" w:rsidP="00F83A03">
      <w:pPr>
        <w:spacing w:before="360" w:after="240"/>
        <w:ind w:left="705" w:hanging="705"/>
        <w:jc w:val="both"/>
        <w:rPr>
          <w:rFonts w:eastAsia="Univers" w:cs="Arial"/>
          <w:noProof/>
          <w:sz w:val="18"/>
          <w:szCs w:val="18"/>
        </w:rPr>
      </w:pPr>
      <w:r w:rsidRPr="00E32324">
        <w:rPr>
          <w:rFonts w:eastAsia="Univers" w:cs="Arial"/>
          <w:noProof/>
          <w:sz w:val="18"/>
          <w:szCs w:val="18"/>
        </w:rPr>
        <w:t xml:space="preserve">VU </w:t>
      </w:r>
      <w:r w:rsidRPr="00E32324">
        <w:rPr>
          <w:rFonts w:eastAsia="Univers" w:cs="Arial"/>
          <w:noProof/>
          <w:sz w:val="18"/>
          <w:szCs w:val="18"/>
        </w:rPr>
        <w:tab/>
        <w:t>la loi n° 95-03 du 05 janvier 1995 portant réglementation desIinstitutions Mutualistes ou Coopératives d’Epargnes et de Crédit ;</w:t>
      </w:r>
    </w:p>
    <w:p w:rsidR="00BF41C9" w:rsidRPr="00E32324" w:rsidRDefault="00BF41C9" w:rsidP="00F83A03">
      <w:pPr>
        <w:spacing w:before="360" w:after="240"/>
        <w:ind w:left="705" w:hanging="705"/>
        <w:jc w:val="both"/>
        <w:rPr>
          <w:rFonts w:eastAsia="Univers" w:cs="Arial"/>
          <w:noProof/>
          <w:sz w:val="18"/>
          <w:szCs w:val="18"/>
        </w:rPr>
      </w:pPr>
      <w:r w:rsidRPr="00E32324">
        <w:rPr>
          <w:rFonts w:eastAsia="Univers" w:cs="Arial"/>
          <w:noProof/>
          <w:sz w:val="18"/>
          <w:szCs w:val="18"/>
        </w:rPr>
        <w:t xml:space="preserve">VU </w:t>
      </w:r>
      <w:r w:rsidRPr="00E32324">
        <w:rPr>
          <w:rFonts w:eastAsia="Univers" w:cs="Arial"/>
          <w:noProof/>
          <w:sz w:val="18"/>
          <w:szCs w:val="18"/>
        </w:rPr>
        <w:tab/>
        <w:t>la loi n° 95-24 du 29 août 1995 autorisant la création de la Société Nationale La Poste ;</w:t>
      </w:r>
    </w:p>
    <w:p w:rsidR="00BF41C9" w:rsidRPr="00E32324" w:rsidRDefault="00BF41C9" w:rsidP="00F83A03">
      <w:pPr>
        <w:spacing w:before="360" w:after="240"/>
        <w:jc w:val="both"/>
        <w:rPr>
          <w:rFonts w:eastAsia="Univers" w:cs="Arial"/>
          <w:noProof/>
          <w:sz w:val="18"/>
          <w:szCs w:val="18"/>
        </w:rPr>
      </w:pPr>
      <w:r w:rsidRPr="00E32324">
        <w:rPr>
          <w:rFonts w:eastAsia="Univers" w:cs="Arial"/>
          <w:noProof/>
          <w:sz w:val="18"/>
          <w:szCs w:val="18"/>
        </w:rPr>
        <w:t xml:space="preserve">VU </w:t>
      </w:r>
      <w:r w:rsidRPr="00E32324">
        <w:rPr>
          <w:rFonts w:eastAsia="Univers" w:cs="Arial"/>
          <w:noProof/>
          <w:sz w:val="18"/>
          <w:szCs w:val="18"/>
        </w:rPr>
        <w:tab/>
        <w:t>le décret n° 2007-826 du 19 juin 2007 portant nomination du Premier Ministre ;</w:t>
      </w:r>
    </w:p>
    <w:p w:rsidR="00BF41C9" w:rsidRPr="00E32324" w:rsidRDefault="00BF41C9" w:rsidP="00F83A03">
      <w:pPr>
        <w:spacing w:before="360" w:after="240"/>
        <w:ind w:left="705" w:hanging="705"/>
        <w:jc w:val="both"/>
        <w:rPr>
          <w:rFonts w:eastAsia="Univers" w:cs="Arial"/>
          <w:noProof/>
          <w:sz w:val="18"/>
          <w:szCs w:val="18"/>
        </w:rPr>
      </w:pPr>
      <w:r w:rsidRPr="00E32324">
        <w:rPr>
          <w:rFonts w:eastAsia="Univers" w:cs="Arial"/>
          <w:noProof/>
          <w:sz w:val="18"/>
          <w:szCs w:val="18"/>
        </w:rPr>
        <w:t xml:space="preserve">VU </w:t>
      </w:r>
      <w:r w:rsidRPr="00E32324">
        <w:rPr>
          <w:rFonts w:eastAsia="Univers" w:cs="Arial"/>
          <w:noProof/>
          <w:sz w:val="18"/>
          <w:szCs w:val="18"/>
        </w:rPr>
        <w:tab/>
        <w:t>le décret n° 2008-1026 du 10 septembre 2008 portant répartition des services de l’Etat et du contrôle des établissements publics, des sociétés nationales et des sociétés à participation publique entre la Présidence de la République, la Primature et les ministères ;</w:t>
      </w:r>
    </w:p>
    <w:p w:rsidR="00BF41C9" w:rsidRPr="00E32324" w:rsidRDefault="00BF41C9" w:rsidP="00F83A03">
      <w:pPr>
        <w:spacing w:before="360" w:after="240"/>
        <w:ind w:left="705" w:hanging="705"/>
        <w:jc w:val="both"/>
        <w:rPr>
          <w:rFonts w:eastAsia="Univers" w:cs="Arial"/>
          <w:noProof/>
          <w:sz w:val="18"/>
          <w:szCs w:val="18"/>
        </w:rPr>
      </w:pPr>
      <w:r w:rsidRPr="00E32324">
        <w:rPr>
          <w:rFonts w:eastAsia="Univers" w:cs="Arial"/>
          <w:noProof/>
          <w:sz w:val="18"/>
          <w:szCs w:val="18"/>
        </w:rPr>
        <w:t xml:space="preserve">VU </w:t>
      </w:r>
      <w:r w:rsidRPr="00E32324">
        <w:rPr>
          <w:rFonts w:eastAsia="Univers" w:cs="Arial"/>
          <w:noProof/>
          <w:sz w:val="18"/>
          <w:szCs w:val="18"/>
        </w:rPr>
        <w:tab/>
        <w:t>le décret n° 2008-1302 du 13 novembre 2008 nommant un Ministre d’Etat et fixant la composition du Gouvernement ;</w:t>
      </w:r>
    </w:p>
    <w:p w:rsidR="00BF41C9" w:rsidRPr="00E32324" w:rsidRDefault="00BF41C9" w:rsidP="00F83A03">
      <w:pPr>
        <w:spacing w:before="360" w:after="240"/>
        <w:ind w:left="705" w:hanging="705"/>
        <w:jc w:val="both"/>
        <w:rPr>
          <w:rFonts w:eastAsia="Univers" w:cs="Arial"/>
          <w:noProof/>
          <w:sz w:val="18"/>
          <w:szCs w:val="18"/>
        </w:rPr>
      </w:pPr>
      <w:r w:rsidRPr="00E32324">
        <w:rPr>
          <w:rFonts w:eastAsia="Univers" w:cs="Arial"/>
          <w:noProof/>
          <w:sz w:val="18"/>
          <w:szCs w:val="18"/>
        </w:rPr>
        <w:t>SUR</w:t>
      </w:r>
      <w:r w:rsidRPr="00E32324">
        <w:rPr>
          <w:rFonts w:eastAsia="Univers" w:cs="Arial"/>
          <w:noProof/>
          <w:sz w:val="18"/>
          <w:szCs w:val="18"/>
        </w:rPr>
        <w:tab/>
        <w:t>le rapport du Ministre d’Etat, Ministre de l’Economie et des Finances. </w:t>
      </w:r>
    </w:p>
    <w:p w:rsidR="00BF41C9" w:rsidRPr="00E32324" w:rsidRDefault="00BF41C9" w:rsidP="00F83A03">
      <w:pPr>
        <w:jc w:val="both"/>
        <w:rPr>
          <w:rFonts w:eastAsia="Univers" w:cs="Arial"/>
          <w:b/>
          <w:noProof/>
          <w:sz w:val="18"/>
          <w:szCs w:val="18"/>
          <w:u w:val="single"/>
        </w:rPr>
      </w:pPr>
      <w:r w:rsidRPr="00E32324">
        <w:rPr>
          <w:rFonts w:eastAsia="Univers" w:cs="Arial"/>
          <w:noProof/>
          <w:sz w:val="18"/>
          <w:szCs w:val="18"/>
        </w:rPr>
        <w:br w:type="page"/>
      </w:r>
      <w:r w:rsidRPr="00E32324">
        <w:rPr>
          <w:rFonts w:eastAsia="Univers" w:cs="Arial"/>
          <w:b/>
          <w:noProof/>
          <w:sz w:val="18"/>
          <w:szCs w:val="18"/>
          <w:u w:val="single"/>
        </w:rPr>
        <w:lastRenderedPageBreak/>
        <w:t>DECRETE</w:t>
      </w:r>
    </w:p>
    <w:p w:rsidR="00BF41C9" w:rsidRPr="00E32324" w:rsidRDefault="00BF41C9" w:rsidP="00F83A03">
      <w:pPr>
        <w:spacing w:before="360" w:after="240"/>
        <w:jc w:val="both"/>
        <w:rPr>
          <w:rFonts w:eastAsia="Univers" w:cs="Arial"/>
          <w:noProof/>
          <w:sz w:val="18"/>
          <w:szCs w:val="18"/>
        </w:rPr>
      </w:pPr>
      <w:r w:rsidRPr="00E32324">
        <w:rPr>
          <w:rFonts w:eastAsia="Univers" w:cs="Arial"/>
          <w:b/>
          <w:noProof/>
          <w:sz w:val="18"/>
          <w:szCs w:val="18"/>
          <w:u w:val="single"/>
        </w:rPr>
        <w:t>Article premier</w:t>
      </w:r>
      <w:r w:rsidRPr="00E32324">
        <w:rPr>
          <w:rFonts w:eastAsia="Univers" w:cs="Arial"/>
          <w:noProof/>
          <w:sz w:val="18"/>
          <w:szCs w:val="18"/>
        </w:rPr>
        <w:t> : Il est créé, au sein du Ministère de l’Economie et des Finances, un observatoire dénommé « Observatoire de la Qualité des Services Financiers du Sénégal (O.Q.S.F./Sénégal) » placé sous l’autorité du Ministre de l’Economie et des Finances.</w:t>
      </w:r>
    </w:p>
    <w:p w:rsidR="00BF41C9" w:rsidRPr="00E32324" w:rsidRDefault="00BF41C9" w:rsidP="00F83A03">
      <w:pPr>
        <w:spacing w:before="360" w:after="240"/>
        <w:jc w:val="both"/>
        <w:rPr>
          <w:rFonts w:eastAsia="Univers" w:cs="Arial"/>
          <w:noProof/>
          <w:sz w:val="18"/>
          <w:szCs w:val="18"/>
        </w:rPr>
      </w:pPr>
      <w:r w:rsidRPr="00E32324">
        <w:rPr>
          <w:rFonts w:eastAsia="Univers" w:cs="Arial"/>
          <w:b/>
          <w:noProof/>
          <w:sz w:val="18"/>
          <w:szCs w:val="18"/>
          <w:u w:val="single"/>
        </w:rPr>
        <w:t>Article 2</w:t>
      </w:r>
      <w:r w:rsidRPr="00E32324">
        <w:rPr>
          <w:rFonts w:eastAsia="Univers" w:cs="Arial"/>
          <w:noProof/>
          <w:sz w:val="18"/>
          <w:szCs w:val="18"/>
        </w:rPr>
        <w:t> : Au sens du présent décret, les Services Financiers regroupent les services offerts par les institutions suivantes :</w:t>
      </w:r>
    </w:p>
    <w:p w:rsidR="00BF41C9" w:rsidRPr="00E32324" w:rsidRDefault="00BF41C9" w:rsidP="00F83A03">
      <w:pPr>
        <w:pStyle w:val="Paragraphedeliste"/>
        <w:numPr>
          <w:ilvl w:val="0"/>
          <w:numId w:val="15"/>
        </w:numPr>
        <w:spacing w:before="120" w:after="120" w:line="240" w:lineRule="auto"/>
        <w:ind w:left="714" w:hanging="357"/>
        <w:jc w:val="both"/>
        <w:rPr>
          <w:rFonts w:eastAsia="Univers" w:cs="Arial"/>
          <w:noProof/>
          <w:sz w:val="18"/>
          <w:szCs w:val="18"/>
        </w:rPr>
      </w:pPr>
      <w:r w:rsidRPr="00E32324">
        <w:rPr>
          <w:rFonts w:eastAsia="Univers" w:cs="Arial"/>
          <w:noProof/>
          <w:sz w:val="18"/>
          <w:szCs w:val="18"/>
        </w:rPr>
        <w:t xml:space="preserve">les banques et les établissements financiers tels que définis par la loi portant </w:t>
      </w:r>
    </w:p>
    <w:p w:rsidR="00BF41C9" w:rsidRPr="00E32324" w:rsidRDefault="00BF41C9" w:rsidP="00F83A03">
      <w:pPr>
        <w:pStyle w:val="Paragraphedeliste"/>
        <w:spacing w:before="120" w:after="120"/>
        <w:ind w:left="714"/>
        <w:jc w:val="both"/>
        <w:rPr>
          <w:rFonts w:eastAsia="Univers" w:cs="Arial"/>
          <w:noProof/>
          <w:sz w:val="18"/>
          <w:szCs w:val="18"/>
        </w:rPr>
      </w:pPr>
      <w:r w:rsidRPr="00E32324">
        <w:rPr>
          <w:rFonts w:eastAsia="Univers" w:cs="Arial"/>
          <w:noProof/>
          <w:sz w:val="18"/>
          <w:szCs w:val="18"/>
        </w:rPr>
        <w:t>réglementation bancaire ;</w:t>
      </w:r>
    </w:p>
    <w:p w:rsidR="00BF41C9" w:rsidRPr="00E32324" w:rsidRDefault="00BF41C9" w:rsidP="00F83A03">
      <w:pPr>
        <w:pStyle w:val="Paragraphedeliste"/>
        <w:numPr>
          <w:ilvl w:val="0"/>
          <w:numId w:val="15"/>
        </w:numPr>
        <w:spacing w:before="120" w:after="120" w:line="320" w:lineRule="atLeast"/>
        <w:ind w:left="714" w:hanging="357"/>
        <w:jc w:val="both"/>
        <w:rPr>
          <w:rFonts w:eastAsia="Univers" w:cs="Arial"/>
          <w:noProof/>
          <w:sz w:val="18"/>
          <w:szCs w:val="18"/>
        </w:rPr>
      </w:pPr>
      <w:r w:rsidRPr="00E32324">
        <w:rPr>
          <w:rFonts w:eastAsia="Univers" w:cs="Arial"/>
          <w:noProof/>
          <w:sz w:val="18"/>
          <w:szCs w:val="18"/>
        </w:rPr>
        <w:t>les sociétés d’assurances ;</w:t>
      </w:r>
    </w:p>
    <w:p w:rsidR="00BF41C9" w:rsidRPr="00E32324" w:rsidRDefault="00BF41C9" w:rsidP="00F83A03">
      <w:pPr>
        <w:pStyle w:val="Paragraphedeliste"/>
        <w:numPr>
          <w:ilvl w:val="0"/>
          <w:numId w:val="15"/>
        </w:numPr>
        <w:spacing w:before="120" w:after="120" w:line="320" w:lineRule="atLeast"/>
        <w:jc w:val="both"/>
        <w:rPr>
          <w:rFonts w:eastAsia="Univers" w:cs="Arial"/>
          <w:noProof/>
          <w:sz w:val="18"/>
          <w:szCs w:val="18"/>
        </w:rPr>
      </w:pPr>
      <w:r w:rsidRPr="00E32324">
        <w:rPr>
          <w:rFonts w:eastAsia="Univers" w:cs="Arial"/>
          <w:noProof/>
          <w:sz w:val="18"/>
          <w:szCs w:val="18"/>
        </w:rPr>
        <w:t>les institutions de microfinance ;</w:t>
      </w:r>
    </w:p>
    <w:p w:rsidR="00BF41C9" w:rsidRPr="00E32324" w:rsidRDefault="00BF41C9" w:rsidP="00F83A03">
      <w:pPr>
        <w:pStyle w:val="Paragraphedeliste"/>
        <w:numPr>
          <w:ilvl w:val="0"/>
          <w:numId w:val="15"/>
        </w:numPr>
        <w:spacing w:before="120" w:after="120" w:line="320" w:lineRule="atLeast"/>
        <w:ind w:left="714" w:hanging="357"/>
        <w:jc w:val="both"/>
        <w:rPr>
          <w:rFonts w:eastAsia="Univers" w:cs="Arial"/>
          <w:noProof/>
          <w:sz w:val="18"/>
          <w:szCs w:val="18"/>
        </w:rPr>
      </w:pPr>
      <w:r w:rsidRPr="00E32324">
        <w:rPr>
          <w:rFonts w:eastAsia="Univers" w:cs="Arial"/>
          <w:noProof/>
          <w:sz w:val="18"/>
          <w:szCs w:val="18"/>
        </w:rPr>
        <w:t>la Société Nationale La Poste ainsi que ses filiales financières POSTFINANCES en particulier.</w:t>
      </w:r>
    </w:p>
    <w:p w:rsidR="00BF41C9" w:rsidRPr="00E32324" w:rsidRDefault="00BF41C9" w:rsidP="00F83A03">
      <w:pPr>
        <w:spacing w:before="240" w:after="240"/>
        <w:jc w:val="both"/>
        <w:rPr>
          <w:rFonts w:eastAsia="Univers" w:cs="Arial"/>
          <w:noProof/>
          <w:sz w:val="18"/>
          <w:szCs w:val="18"/>
        </w:rPr>
      </w:pPr>
      <w:r w:rsidRPr="00E32324">
        <w:rPr>
          <w:rFonts w:eastAsia="Univers" w:cs="Arial"/>
          <w:noProof/>
          <w:sz w:val="18"/>
          <w:szCs w:val="18"/>
        </w:rPr>
        <w:t>En tant que de besoin, cette liste pourra être élargie à d’autres catégories d’institutions proposant au public des produits financiers ou assimilés.</w:t>
      </w:r>
    </w:p>
    <w:p w:rsidR="00BF41C9" w:rsidRPr="00E32324" w:rsidRDefault="00BF41C9" w:rsidP="00F83A03">
      <w:pPr>
        <w:spacing w:before="240" w:after="240"/>
        <w:jc w:val="both"/>
        <w:rPr>
          <w:rFonts w:eastAsia="Univers" w:cs="Arial"/>
          <w:noProof/>
          <w:sz w:val="18"/>
          <w:szCs w:val="18"/>
        </w:rPr>
      </w:pPr>
      <w:r w:rsidRPr="00E32324">
        <w:rPr>
          <w:rFonts w:eastAsia="Univers" w:cs="Arial"/>
          <w:b/>
          <w:noProof/>
          <w:sz w:val="18"/>
          <w:szCs w:val="18"/>
          <w:u w:val="single"/>
        </w:rPr>
        <w:t>Article 3</w:t>
      </w:r>
      <w:r w:rsidRPr="00E32324">
        <w:rPr>
          <w:rFonts w:eastAsia="Univers" w:cs="Arial"/>
          <w:noProof/>
          <w:sz w:val="18"/>
          <w:szCs w:val="18"/>
        </w:rPr>
        <w:t> : l’Observatoire de la Qualité des Services Financiers a pour objet d’assurer notamment :</w:t>
      </w:r>
    </w:p>
    <w:p w:rsidR="00BF41C9" w:rsidRPr="00E32324" w:rsidRDefault="00BF41C9" w:rsidP="00F83A03">
      <w:pPr>
        <w:pStyle w:val="Paragraphedeliste"/>
        <w:numPr>
          <w:ilvl w:val="0"/>
          <w:numId w:val="15"/>
        </w:numPr>
        <w:spacing w:before="100" w:beforeAutospacing="1" w:after="0" w:line="240" w:lineRule="auto"/>
        <w:ind w:left="714" w:hanging="357"/>
        <w:contextualSpacing w:val="0"/>
        <w:jc w:val="both"/>
        <w:rPr>
          <w:rFonts w:eastAsia="Univers" w:cs="Arial"/>
          <w:noProof/>
          <w:sz w:val="18"/>
          <w:szCs w:val="18"/>
        </w:rPr>
      </w:pPr>
      <w:r w:rsidRPr="00E32324">
        <w:rPr>
          <w:rFonts w:eastAsia="Univers" w:cs="Arial"/>
          <w:noProof/>
          <w:sz w:val="18"/>
          <w:szCs w:val="18"/>
        </w:rPr>
        <w:t>le suivi de la qualité des services rendus à la clientèle par les institutions visées à l’article 2 ;</w:t>
      </w:r>
    </w:p>
    <w:p w:rsidR="00BF41C9" w:rsidRPr="00E32324" w:rsidRDefault="00BF41C9" w:rsidP="00F83A03">
      <w:pPr>
        <w:pStyle w:val="Paragraphedeliste"/>
        <w:numPr>
          <w:ilvl w:val="0"/>
          <w:numId w:val="15"/>
        </w:numPr>
        <w:spacing w:before="100" w:beforeAutospacing="1" w:after="0" w:line="360" w:lineRule="atLeast"/>
        <w:ind w:left="714" w:hanging="357"/>
        <w:contextualSpacing w:val="0"/>
        <w:jc w:val="both"/>
        <w:rPr>
          <w:rFonts w:eastAsia="Univers" w:cs="Arial"/>
          <w:noProof/>
          <w:sz w:val="18"/>
          <w:szCs w:val="18"/>
        </w:rPr>
      </w:pPr>
      <w:r w:rsidRPr="00E32324">
        <w:rPr>
          <w:rFonts w:eastAsia="Univers" w:cs="Arial"/>
          <w:noProof/>
          <w:sz w:val="18"/>
          <w:szCs w:val="18"/>
        </w:rPr>
        <w:t>l’information et le renseignement du public sur les services financiers ;</w:t>
      </w:r>
    </w:p>
    <w:p w:rsidR="00BF41C9" w:rsidRPr="00E32324" w:rsidRDefault="00BF41C9" w:rsidP="00F83A03">
      <w:pPr>
        <w:pStyle w:val="Paragraphedeliste"/>
        <w:numPr>
          <w:ilvl w:val="0"/>
          <w:numId w:val="15"/>
        </w:numPr>
        <w:spacing w:before="100" w:beforeAutospacing="1" w:after="0" w:line="240" w:lineRule="auto"/>
        <w:ind w:left="714" w:hanging="357"/>
        <w:contextualSpacing w:val="0"/>
        <w:jc w:val="both"/>
        <w:rPr>
          <w:rFonts w:eastAsia="Univers" w:cs="Arial"/>
          <w:noProof/>
          <w:sz w:val="18"/>
          <w:szCs w:val="18"/>
        </w:rPr>
      </w:pPr>
      <w:r w:rsidRPr="00E32324">
        <w:rPr>
          <w:rFonts w:eastAsia="Univers" w:cs="Arial"/>
          <w:noProof/>
          <w:sz w:val="18"/>
          <w:szCs w:val="18"/>
        </w:rPr>
        <w:t>l’élaboration de publications périodiques sur les services financiers en vue de les vulgariser auprès du public et de diffuser les meilleures pratiques en la mantière ;</w:t>
      </w:r>
    </w:p>
    <w:p w:rsidR="00BF41C9" w:rsidRPr="00E32324" w:rsidRDefault="00BF41C9" w:rsidP="00F83A03">
      <w:pPr>
        <w:pStyle w:val="Paragraphedeliste"/>
        <w:numPr>
          <w:ilvl w:val="0"/>
          <w:numId w:val="15"/>
        </w:numPr>
        <w:spacing w:before="100" w:beforeAutospacing="1" w:after="0" w:line="360" w:lineRule="atLeast"/>
        <w:ind w:left="714" w:hanging="357"/>
        <w:contextualSpacing w:val="0"/>
        <w:jc w:val="both"/>
        <w:rPr>
          <w:rFonts w:eastAsia="Univers" w:cs="Arial"/>
          <w:noProof/>
          <w:sz w:val="18"/>
          <w:szCs w:val="18"/>
        </w:rPr>
      </w:pPr>
      <w:r w:rsidRPr="00E32324">
        <w:rPr>
          <w:rFonts w:eastAsia="Univers" w:cs="Arial"/>
          <w:noProof/>
          <w:sz w:val="18"/>
          <w:szCs w:val="18"/>
        </w:rPr>
        <w:t>la formulation de recommandation portant sur les services financiers ;</w:t>
      </w:r>
    </w:p>
    <w:p w:rsidR="00BF41C9" w:rsidRPr="00E32324" w:rsidRDefault="00BF41C9" w:rsidP="00F83A03">
      <w:pPr>
        <w:pStyle w:val="Paragraphedeliste"/>
        <w:numPr>
          <w:ilvl w:val="0"/>
          <w:numId w:val="15"/>
        </w:numPr>
        <w:spacing w:before="100" w:beforeAutospacing="1" w:after="0" w:line="360" w:lineRule="atLeast"/>
        <w:ind w:left="714" w:hanging="357"/>
        <w:contextualSpacing w:val="0"/>
        <w:jc w:val="both"/>
        <w:rPr>
          <w:rFonts w:eastAsia="Univers" w:cs="Arial"/>
          <w:noProof/>
          <w:sz w:val="18"/>
          <w:szCs w:val="18"/>
        </w:rPr>
      </w:pPr>
      <w:r w:rsidRPr="00E32324">
        <w:rPr>
          <w:rFonts w:eastAsia="Univers" w:cs="Arial"/>
          <w:noProof/>
          <w:sz w:val="18"/>
          <w:szCs w:val="18"/>
        </w:rPr>
        <w:t>le suivi du dispositif de la Médiation.</w:t>
      </w:r>
    </w:p>
    <w:p w:rsidR="00BF41C9" w:rsidRPr="00E32324" w:rsidRDefault="00BF41C9" w:rsidP="00F83A03">
      <w:pPr>
        <w:spacing w:before="240" w:after="240"/>
        <w:jc w:val="both"/>
        <w:rPr>
          <w:rFonts w:eastAsia="Univers" w:cs="Arial"/>
          <w:noProof/>
          <w:sz w:val="18"/>
          <w:szCs w:val="18"/>
        </w:rPr>
      </w:pPr>
      <w:r w:rsidRPr="00E32324">
        <w:rPr>
          <w:rFonts w:eastAsia="Univers" w:cs="Arial"/>
          <w:b/>
          <w:noProof/>
          <w:sz w:val="18"/>
          <w:szCs w:val="18"/>
          <w:u w:val="single"/>
        </w:rPr>
        <w:t>Article 4</w:t>
      </w:r>
      <w:r w:rsidRPr="00E32324">
        <w:rPr>
          <w:rFonts w:eastAsia="Univers" w:cs="Arial"/>
          <w:noProof/>
          <w:sz w:val="18"/>
          <w:szCs w:val="18"/>
        </w:rPr>
        <w:t> : Pour la réalisation de ces missions, l’Observatoire procède à la collecte des renseignements requis par le biais d’études, d’enquêtes et de consultations, à leur traitement, à l’élaboration d’indicateurs pertinents et à l’analyse de l’ensemble des données disponibles, de manière à apprécier la qualité des prestations offertes par les institutions ciblées.</w:t>
      </w:r>
    </w:p>
    <w:p w:rsidR="00BF41C9" w:rsidRPr="00E32324" w:rsidRDefault="00BF41C9" w:rsidP="00F83A03">
      <w:pPr>
        <w:spacing w:before="240" w:after="240"/>
        <w:jc w:val="both"/>
        <w:rPr>
          <w:rFonts w:eastAsia="Univers" w:cs="Arial"/>
          <w:noProof/>
          <w:sz w:val="18"/>
          <w:szCs w:val="18"/>
        </w:rPr>
      </w:pPr>
      <w:r w:rsidRPr="00E32324">
        <w:rPr>
          <w:rFonts w:eastAsia="Univers" w:cs="Arial"/>
          <w:noProof/>
          <w:sz w:val="18"/>
          <w:szCs w:val="18"/>
        </w:rPr>
        <w:t>L’Observatoire est également destinataire des rapports des Médiateurs et peut être saisi, pour information par tout client d’une des institutions concernées, des éventuels dysfonctionnement du dispositif de Médiation.</w:t>
      </w:r>
    </w:p>
    <w:p w:rsidR="00BF41C9" w:rsidRPr="00E32324" w:rsidRDefault="00BF41C9" w:rsidP="00F83A03">
      <w:pPr>
        <w:spacing w:before="240" w:after="240"/>
        <w:jc w:val="both"/>
        <w:rPr>
          <w:rFonts w:eastAsia="Univers" w:cs="Arial"/>
          <w:noProof/>
          <w:sz w:val="18"/>
          <w:szCs w:val="18"/>
        </w:rPr>
      </w:pPr>
      <w:r w:rsidRPr="00E32324">
        <w:rPr>
          <w:rFonts w:eastAsia="Univers" w:cs="Arial"/>
          <w:b/>
          <w:noProof/>
          <w:sz w:val="18"/>
          <w:szCs w:val="18"/>
          <w:u w:val="single"/>
        </w:rPr>
        <w:t>Article 5</w:t>
      </w:r>
      <w:r w:rsidRPr="00E32324">
        <w:rPr>
          <w:rFonts w:eastAsia="Univers" w:cs="Arial"/>
          <w:noProof/>
          <w:sz w:val="18"/>
          <w:szCs w:val="18"/>
        </w:rPr>
        <w:t xml:space="preserve"> : </w:t>
      </w:r>
    </w:p>
    <w:p w:rsidR="00BF41C9" w:rsidRDefault="00BF41C9" w:rsidP="00F83A03">
      <w:pPr>
        <w:jc w:val="both"/>
        <w:rPr>
          <w:rFonts w:eastAsia="Univers" w:cs="Arial"/>
          <w:b/>
          <w:noProof/>
          <w:sz w:val="18"/>
          <w:szCs w:val="18"/>
          <w:u w:val="single"/>
        </w:rPr>
      </w:pPr>
      <w:r w:rsidRPr="00E32324">
        <w:rPr>
          <w:rFonts w:eastAsia="Univers" w:cs="Arial"/>
          <w:noProof/>
          <w:sz w:val="18"/>
          <w:szCs w:val="18"/>
        </w:rPr>
        <w:t>L’Observatoire de la Qualité des Services Financiers est administré par un Secrétaire Exécutif sous la supervision d’un Conseil d’Orientation.</w:t>
      </w:r>
    </w:p>
    <w:p w:rsidR="00BF41C9" w:rsidRPr="00E32324" w:rsidRDefault="00BF41C9" w:rsidP="00F83A03">
      <w:pPr>
        <w:jc w:val="both"/>
        <w:rPr>
          <w:rFonts w:eastAsia="Univers" w:cs="Arial"/>
          <w:noProof/>
          <w:sz w:val="18"/>
          <w:szCs w:val="18"/>
        </w:rPr>
      </w:pPr>
      <w:r w:rsidRPr="00E32324">
        <w:rPr>
          <w:rFonts w:eastAsia="Univers" w:cs="Arial"/>
          <w:b/>
          <w:noProof/>
          <w:sz w:val="18"/>
          <w:szCs w:val="18"/>
          <w:u w:val="single"/>
        </w:rPr>
        <w:t>Article 6</w:t>
      </w:r>
      <w:r w:rsidRPr="00E32324">
        <w:rPr>
          <w:rFonts w:eastAsia="Univers" w:cs="Arial"/>
          <w:noProof/>
          <w:sz w:val="18"/>
          <w:szCs w:val="18"/>
        </w:rPr>
        <w:t xml:space="preserve"> : Le Conseil d’Orientation de l’Observatoire de la Qualité des Services Financiers est chargé entre autres : </w:t>
      </w:r>
    </w:p>
    <w:p w:rsidR="00BF41C9" w:rsidRPr="00E32324" w:rsidRDefault="00BF41C9" w:rsidP="00F83A03">
      <w:pPr>
        <w:pStyle w:val="Paragraphedeliste"/>
        <w:numPr>
          <w:ilvl w:val="0"/>
          <w:numId w:val="15"/>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de définir les orientations de l’Observatoire ;</w:t>
      </w:r>
    </w:p>
    <w:p w:rsidR="00BF41C9" w:rsidRPr="00E32324" w:rsidRDefault="00BF41C9" w:rsidP="00F83A03">
      <w:pPr>
        <w:pStyle w:val="Paragraphedeliste"/>
        <w:numPr>
          <w:ilvl w:val="0"/>
          <w:numId w:val="16"/>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d’approuver le programme d’activités, d’études et d’enquêtes de l’Observatoire ;</w:t>
      </w:r>
    </w:p>
    <w:p w:rsidR="00BF41C9" w:rsidRPr="00E32324" w:rsidRDefault="00BF41C9" w:rsidP="00F83A03">
      <w:pPr>
        <w:pStyle w:val="Paragraphedeliste"/>
        <w:numPr>
          <w:ilvl w:val="0"/>
          <w:numId w:val="16"/>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d’adopter le budget et d’arrêter les comptes et les états financiers annuels ;</w:t>
      </w:r>
    </w:p>
    <w:p w:rsidR="00BF41C9" w:rsidRPr="00E32324" w:rsidRDefault="00BF41C9" w:rsidP="00F83A03">
      <w:pPr>
        <w:pStyle w:val="Paragraphedeliste"/>
        <w:numPr>
          <w:ilvl w:val="0"/>
          <w:numId w:val="16"/>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d’examiner le rapport d’activités du Secrétaire Exécutif et les rapports annuels des Médiateurs ;</w:t>
      </w:r>
    </w:p>
    <w:p w:rsidR="00BF41C9" w:rsidRPr="00E32324" w:rsidRDefault="00BF41C9" w:rsidP="00F83A03">
      <w:pPr>
        <w:pStyle w:val="Paragraphedeliste"/>
        <w:numPr>
          <w:ilvl w:val="0"/>
          <w:numId w:val="16"/>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d’adresser des recommandations aux Médiateurs, aux opérateurs des services financiers et aux autorités compétentes du secteur financier ;</w:t>
      </w:r>
    </w:p>
    <w:p w:rsidR="00BF41C9" w:rsidRPr="00E32324" w:rsidRDefault="00BF41C9" w:rsidP="00F83A03">
      <w:pPr>
        <w:pStyle w:val="Paragraphedeliste"/>
        <w:numPr>
          <w:ilvl w:val="0"/>
          <w:numId w:val="16"/>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de proposer des réformes ou réaménagements des dispositions réglementaires en vigueur notamment en vue d’une amélioration de la qualité des services financiers.</w:t>
      </w:r>
    </w:p>
    <w:p w:rsidR="00BF41C9" w:rsidRPr="00E32324" w:rsidRDefault="00BF41C9" w:rsidP="00F83A03">
      <w:pPr>
        <w:spacing w:before="100" w:beforeAutospacing="1" w:after="100" w:afterAutospacing="1"/>
        <w:jc w:val="both"/>
        <w:rPr>
          <w:rFonts w:eastAsia="Univers" w:cs="Arial"/>
          <w:noProof/>
          <w:sz w:val="18"/>
          <w:szCs w:val="18"/>
        </w:rPr>
      </w:pPr>
    </w:p>
    <w:p w:rsidR="00BF41C9" w:rsidRPr="00E32324" w:rsidRDefault="00BF41C9" w:rsidP="00F83A03">
      <w:pPr>
        <w:spacing w:before="100" w:beforeAutospacing="1" w:after="100" w:afterAutospacing="1"/>
        <w:jc w:val="both"/>
        <w:rPr>
          <w:rFonts w:eastAsia="Univers" w:cs="Arial"/>
          <w:noProof/>
          <w:sz w:val="18"/>
          <w:szCs w:val="18"/>
        </w:rPr>
      </w:pPr>
      <w:r w:rsidRPr="00E32324">
        <w:rPr>
          <w:rFonts w:eastAsia="Univers" w:cs="Arial"/>
          <w:b/>
          <w:noProof/>
          <w:sz w:val="18"/>
          <w:szCs w:val="18"/>
          <w:u w:val="single"/>
        </w:rPr>
        <w:lastRenderedPageBreak/>
        <w:t>Article 7</w:t>
      </w:r>
      <w:r w:rsidRPr="00E32324">
        <w:rPr>
          <w:rFonts w:eastAsia="Univers" w:cs="Arial"/>
          <w:noProof/>
          <w:sz w:val="18"/>
          <w:szCs w:val="18"/>
        </w:rPr>
        <w:t> : Le Conseil d’Orientation de L’Observatoire de la Qualité des Services Financiers est composé comme suit :</w:t>
      </w:r>
    </w:p>
    <w:p w:rsidR="00BF41C9" w:rsidRPr="00E32324" w:rsidRDefault="00BF41C9" w:rsidP="00F83A03">
      <w:pPr>
        <w:pStyle w:val="Paragraphedeliste"/>
        <w:numPr>
          <w:ilvl w:val="0"/>
          <w:numId w:val="15"/>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deux représentants du Ministre de l’Economie et des Finances ;</w:t>
      </w:r>
    </w:p>
    <w:p w:rsidR="00BF41C9" w:rsidRPr="00E32324" w:rsidRDefault="00BF41C9" w:rsidP="00F83A03">
      <w:pPr>
        <w:pStyle w:val="Paragraphedeliste"/>
        <w:numPr>
          <w:ilvl w:val="0"/>
          <w:numId w:val="15"/>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le Directeur National de la BCEAO ou son représentant ;</w:t>
      </w:r>
    </w:p>
    <w:p w:rsidR="00BF41C9" w:rsidRPr="00E32324" w:rsidRDefault="00BF41C9" w:rsidP="00F83A03">
      <w:pPr>
        <w:pStyle w:val="Paragraphedeliste"/>
        <w:numPr>
          <w:ilvl w:val="0"/>
          <w:numId w:val="15"/>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le Directeur de la Monnaie et du Crédit (DMC) ;</w:t>
      </w:r>
    </w:p>
    <w:p w:rsidR="00BF41C9" w:rsidRPr="00E32324" w:rsidRDefault="00BF41C9" w:rsidP="00F83A03">
      <w:pPr>
        <w:pStyle w:val="Paragraphedeliste"/>
        <w:numPr>
          <w:ilvl w:val="0"/>
          <w:numId w:val="15"/>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le Directeur de l’Appui au Secteur Privé (DASP) ;</w:t>
      </w:r>
    </w:p>
    <w:p w:rsidR="00BF41C9" w:rsidRPr="00E32324" w:rsidRDefault="00BF41C9" w:rsidP="00F83A03">
      <w:pPr>
        <w:pStyle w:val="Paragraphedeliste"/>
        <w:numPr>
          <w:ilvl w:val="0"/>
          <w:numId w:val="15"/>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le Directeur des Assurances ;</w:t>
      </w:r>
    </w:p>
    <w:p w:rsidR="00BF41C9" w:rsidRPr="00E32324" w:rsidRDefault="00BF41C9" w:rsidP="00F83A03">
      <w:pPr>
        <w:pStyle w:val="Paragraphedeliste"/>
        <w:numPr>
          <w:ilvl w:val="0"/>
          <w:numId w:val="15"/>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le Directeur Général de la Poste ;</w:t>
      </w:r>
    </w:p>
    <w:p w:rsidR="00BF41C9" w:rsidRPr="00E32324" w:rsidRDefault="00BF41C9" w:rsidP="00F83A03">
      <w:pPr>
        <w:pStyle w:val="Paragraphedeliste"/>
        <w:numPr>
          <w:ilvl w:val="0"/>
          <w:numId w:val="15"/>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le Directeur chargé de la Réglementation et de la Supervision des Systèmes Financiers Décentralisés ;</w:t>
      </w:r>
    </w:p>
    <w:p w:rsidR="00BF41C9" w:rsidRPr="00E32324" w:rsidRDefault="00BF41C9" w:rsidP="00F83A03">
      <w:pPr>
        <w:pStyle w:val="Paragraphedeliste"/>
        <w:numPr>
          <w:ilvl w:val="0"/>
          <w:numId w:val="15"/>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le Président de l’Association Professionnelle des Banques et Etablissements Financiers (APBEF) ;</w:t>
      </w:r>
    </w:p>
    <w:p w:rsidR="00BF41C9" w:rsidRPr="00E32324" w:rsidRDefault="00BF41C9" w:rsidP="00F83A03">
      <w:pPr>
        <w:pStyle w:val="Paragraphedeliste"/>
        <w:numPr>
          <w:ilvl w:val="0"/>
          <w:numId w:val="15"/>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le Président de la Fédération Sénégalaise des Sociétés d’Assurances (FSSA) ;</w:t>
      </w:r>
    </w:p>
    <w:p w:rsidR="00BF41C9" w:rsidRPr="00E32324" w:rsidRDefault="00BF41C9" w:rsidP="00F83A03">
      <w:pPr>
        <w:pStyle w:val="Paragraphedeliste"/>
        <w:numPr>
          <w:ilvl w:val="0"/>
          <w:numId w:val="15"/>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le représentant de l’Association Professionnelle des Systèmes Financiers Décentralisés ;</w:t>
      </w:r>
    </w:p>
    <w:p w:rsidR="00BF41C9" w:rsidRPr="00E32324" w:rsidRDefault="00BF41C9" w:rsidP="00F83A03">
      <w:pPr>
        <w:pStyle w:val="Paragraphedeliste"/>
        <w:numPr>
          <w:ilvl w:val="0"/>
          <w:numId w:val="15"/>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le représentant de la Chambre de Commerce et d’Industrie de Dakar ;</w:t>
      </w:r>
    </w:p>
    <w:p w:rsidR="00BF41C9" w:rsidRPr="00E32324" w:rsidRDefault="00BF41C9" w:rsidP="00F83A03">
      <w:pPr>
        <w:pStyle w:val="Paragraphedeliste"/>
        <w:numPr>
          <w:ilvl w:val="0"/>
          <w:numId w:val="15"/>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deux (02) représentants des Organisations de défense du consommateur ;</w:t>
      </w:r>
    </w:p>
    <w:p w:rsidR="00BF41C9" w:rsidRPr="00E32324" w:rsidRDefault="00BF41C9" w:rsidP="00F83A03">
      <w:pPr>
        <w:pStyle w:val="Paragraphedeliste"/>
        <w:numPr>
          <w:ilvl w:val="0"/>
          <w:numId w:val="15"/>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deux experts, dont un juriste et un (01) chercheur désignés par arrêté du Ministre de l’Economie et des Finances.</w:t>
      </w:r>
    </w:p>
    <w:p w:rsidR="00BF41C9" w:rsidRPr="00E32324" w:rsidRDefault="00BF41C9" w:rsidP="00F83A03">
      <w:pPr>
        <w:spacing w:before="100" w:beforeAutospacing="1" w:after="100" w:afterAutospacing="1"/>
        <w:jc w:val="both"/>
        <w:rPr>
          <w:rFonts w:eastAsia="Univers" w:cs="Arial"/>
          <w:noProof/>
          <w:sz w:val="18"/>
          <w:szCs w:val="18"/>
        </w:rPr>
      </w:pPr>
      <w:r w:rsidRPr="00E32324">
        <w:rPr>
          <w:rFonts w:eastAsia="Univers" w:cs="Arial"/>
          <w:noProof/>
          <w:sz w:val="18"/>
          <w:szCs w:val="18"/>
        </w:rPr>
        <w:t>Le Secrétaire Exécutif assiste à toutes les réunions et assure les fonctions de secrétaire du Conseil d’Orientation avec voix consultative.</w:t>
      </w:r>
    </w:p>
    <w:p w:rsidR="00BF41C9" w:rsidRPr="00E32324" w:rsidRDefault="00BF41C9" w:rsidP="00F83A03">
      <w:pPr>
        <w:spacing w:before="240" w:after="240"/>
        <w:jc w:val="both"/>
        <w:rPr>
          <w:rFonts w:eastAsia="Univers" w:cs="Arial"/>
          <w:noProof/>
          <w:sz w:val="18"/>
          <w:szCs w:val="18"/>
        </w:rPr>
      </w:pPr>
      <w:r w:rsidRPr="00E32324">
        <w:rPr>
          <w:rFonts w:eastAsia="Univers" w:cs="Arial"/>
          <w:b/>
          <w:noProof/>
          <w:sz w:val="18"/>
          <w:szCs w:val="18"/>
          <w:u w:val="single"/>
        </w:rPr>
        <w:t>Article 8</w:t>
      </w:r>
      <w:r w:rsidRPr="00E32324">
        <w:rPr>
          <w:rFonts w:eastAsia="Univers" w:cs="Arial"/>
          <w:noProof/>
          <w:sz w:val="18"/>
          <w:szCs w:val="18"/>
        </w:rPr>
        <w:t> : Sur proposition de ses membres, le président du Conseil d’Orientation est nommé par arrêté du Ministre de l’Economie et des Finances.</w:t>
      </w:r>
    </w:p>
    <w:p w:rsidR="00BF41C9" w:rsidRPr="00E32324" w:rsidRDefault="00BF41C9" w:rsidP="00F83A03">
      <w:pPr>
        <w:spacing w:before="240" w:after="240"/>
        <w:jc w:val="both"/>
        <w:rPr>
          <w:rFonts w:eastAsia="Univers" w:cs="Arial"/>
          <w:noProof/>
          <w:sz w:val="18"/>
          <w:szCs w:val="18"/>
        </w:rPr>
      </w:pPr>
      <w:r w:rsidRPr="00E32324">
        <w:rPr>
          <w:rFonts w:eastAsia="Univers" w:cs="Arial"/>
          <w:b/>
          <w:noProof/>
          <w:sz w:val="18"/>
          <w:szCs w:val="18"/>
          <w:u w:val="single"/>
        </w:rPr>
        <w:t>Article 9</w:t>
      </w:r>
      <w:r w:rsidRPr="00E32324">
        <w:rPr>
          <w:rFonts w:eastAsia="Univers" w:cs="Arial"/>
          <w:noProof/>
          <w:sz w:val="18"/>
          <w:szCs w:val="18"/>
        </w:rPr>
        <w:t> : Le Président et les membres du Conseil d’Orientation de l’Observatoire perçoivent une indemnité de session dont le taux et les conditions d’octroi seront fixés par arrêté du Ministre de l’Economie et des Finances.</w:t>
      </w:r>
    </w:p>
    <w:p w:rsidR="00BF41C9" w:rsidRPr="00E32324" w:rsidRDefault="00BF41C9" w:rsidP="00F83A03">
      <w:pPr>
        <w:spacing w:before="240" w:after="240"/>
        <w:jc w:val="both"/>
        <w:rPr>
          <w:rFonts w:eastAsia="Univers" w:cs="Arial"/>
          <w:noProof/>
          <w:sz w:val="18"/>
          <w:szCs w:val="18"/>
        </w:rPr>
      </w:pPr>
      <w:r w:rsidRPr="00E32324">
        <w:rPr>
          <w:rFonts w:eastAsia="Univers" w:cs="Arial"/>
          <w:b/>
          <w:noProof/>
          <w:sz w:val="18"/>
          <w:szCs w:val="18"/>
          <w:u w:val="single"/>
        </w:rPr>
        <w:t>Article 10</w:t>
      </w:r>
      <w:r w:rsidRPr="00E32324">
        <w:rPr>
          <w:rFonts w:eastAsia="Univers" w:cs="Arial"/>
          <w:noProof/>
          <w:sz w:val="18"/>
          <w:szCs w:val="18"/>
        </w:rPr>
        <w:t> : Le Secrétaire Exécutif de l’Observatoire de la Qualité des Services Financiers est nommé par le Ministre de l’Economie et des Finances après sélection sur appel à candidature.</w:t>
      </w:r>
    </w:p>
    <w:p w:rsidR="00BF41C9" w:rsidRPr="00E32324" w:rsidRDefault="00BF41C9" w:rsidP="00F83A03">
      <w:pPr>
        <w:spacing w:before="240" w:after="240"/>
        <w:jc w:val="both"/>
        <w:rPr>
          <w:rFonts w:eastAsia="Univers" w:cs="Arial"/>
          <w:noProof/>
          <w:sz w:val="18"/>
          <w:szCs w:val="18"/>
        </w:rPr>
      </w:pPr>
      <w:r w:rsidRPr="00E32324">
        <w:rPr>
          <w:rFonts w:eastAsia="Univers" w:cs="Arial"/>
          <w:noProof/>
          <w:sz w:val="18"/>
          <w:szCs w:val="18"/>
        </w:rPr>
        <w:t>Le Secrétaire Exécutif est assisté par des experts choisis au terme d’un appel à candidature et par un personnel d’appui.</w:t>
      </w:r>
    </w:p>
    <w:p w:rsidR="00BF41C9" w:rsidRPr="00E32324" w:rsidRDefault="00BF41C9" w:rsidP="00F83A03">
      <w:pPr>
        <w:spacing w:before="240" w:after="240"/>
        <w:jc w:val="both"/>
        <w:rPr>
          <w:rFonts w:eastAsia="Univers" w:cs="Arial"/>
          <w:noProof/>
          <w:sz w:val="18"/>
          <w:szCs w:val="18"/>
        </w:rPr>
      </w:pPr>
      <w:r w:rsidRPr="00E32324">
        <w:rPr>
          <w:rFonts w:eastAsia="Univers" w:cs="Arial"/>
          <w:b/>
          <w:noProof/>
          <w:sz w:val="18"/>
          <w:szCs w:val="18"/>
          <w:u w:val="single"/>
        </w:rPr>
        <w:t>Article 11</w:t>
      </w:r>
      <w:r w:rsidRPr="00E32324">
        <w:rPr>
          <w:rFonts w:eastAsia="Univers" w:cs="Arial"/>
          <w:noProof/>
          <w:sz w:val="18"/>
          <w:szCs w:val="18"/>
        </w:rPr>
        <w:t> : Le Secrétaire Exécutif assure la bonne exécution de l’ensemble des missions de l’Observatoire de la Qualité des Services Financiers. A ce titre, il est chargé notamment :</w:t>
      </w:r>
    </w:p>
    <w:p w:rsidR="00BF41C9" w:rsidRPr="00E32324" w:rsidRDefault="00BF41C9" w:rsidP="00F83A03">
      <w:pPr>
        <w:pStyle w:val="Paragraphedeliste"/>
        <w:numPr>
          <w:ilvl w:val="0"/>
          <w:numId w:val="15"/>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de préparer le budget et les états financiers de l’Observatoire et de les soumettre au Conseil d’Orientation ;</w:t>
      </w:r>
    </w:p>
    <w:p w:rsidR="00BF41C9" w:rsidRPr="00E32324" w:rsidRDefault="00BF41C9" w:rsidP="00F83A03">
      <w:pPr>
        <w:pStyle w:val="Paragraphedeliste"/>
        <w:numPr>
          <w:ilvl w:val="0"/>
          <w:numId w:val="15"/>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d’élaborer les programmes d’activités, d’études et d’enquêtes de l’Observatoire ;</w:t>
      </w:r>
    </w:p>
    <w:p w:rsidR="00BF41C9" w:rsidRPr="00E32324" w:rsidRDefault="00BF41C9" w:rsidP="00F83A03">
      <w:pPr>
        <w:pStyle w:val="Paragraphedeliste"/>
        <w:numPr>
          <w:ilvl w:val="0"/>
          <w:numId w:val="15"/>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de rédiger les rapports d’activités ;</w:t>
      </w:r>
    </w:p>
    <w:p w:rsidR="00BF41C9" w:rsidRPr="00E32324" w:rsidRDefault="00BF41C9" w:rsidP="00F83A03">
      <w:pPr>
        <w:pStyle w:val="Paragraphedeliste"/>
        <w:numPr>
          <w:ilvl w:val="0"/>
          <w:numId w:val="15"/>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de recruter, d’administrer et de gérer le personnel conformément à la réglementation en vigueur ;</w:t>
      </w:r>
    </w:p>
    <w:p w:rsidR="00BF41C9" w:rsidRPr="00E32324" w:rsidRDefault="00BF41C9" w:rsidP="00F83A03">
      <w:pPr>
        <w:pStyle w:val="Paragraphedeliste"/>
        <w:numPr>
          <w:ilvl w:val="0"/>
          <w:numId w:val="15"/>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de préparer, en rapport avec le Président du Conseil d’Orientation, l’ordre du jour des différentes dudit conseil ainsi que les convocations y afférentes, les comptes rendus des délibérations et d’exécuter les décisions du Conseil d’Orientation ;</w:t>
      </w:r>
    </w:p>
    <w:p w:rsidR="00BF41C9" w:rsidRPr="00E32324" w:rsidRDefault="00BF41C9" w:rsidP="00F83A03">
      <w:pPr>
        <w:pStyle w:val="Paragraphedeliste"/>
        <w:numPr>
          <w:ilvl w:val="0"/>
          <w:numId w:val="15"/>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d’assurer la gestion administrative et financière de l’Observatoire ;</w:t>
      </w:r>
    </w:p>
    <w:p w:rsidR="00BF41C9" w:rsidRPr="00E32324" w:rsidRDefault="00BF41C9" w:rsidP="00F83A03">
      <w:pPr>
        <w:pStyle w:val="Paragraphedeliste"/>
        <w:numPr>
          <w:ilvl w:val="0"/>
          <w:numId w:val="15"/>
        </w:numPr>
        <w:spacing w:before="100" w:beforeAutospacing="1" w:after="100" w:afterAutospacing="1"/>
        <w:ind w:left="714" w:hanging="357"/>
        <w:jc w:val="both"/>
        <w:rPr>
          <w:rFonts w:eastAsia="Univers" w:cs="Arial"/>
          <w:noProof/>
          <w:sz w:val="18"/>
          <w:szCs w:val="18"/>
        </w:rPr>
      </w:pPr>
      <w:r w:rsidRPr="00E32324">
        <w:rPr>
          <w:rFonts w:eastAsia="Univers" w:cs="Arial"/>
          <w:noProof/>
          <w:sz w:val="18"/>
          <w:szCs w:val="18"/>
        </w:rPr>
        <w:t>de représenter l’Observatoire dans les actes de la vie civile et en justice.</w:t>
      </w:r>
    </w:p>
    <w:p w:rsidR="00BF41C9" w:rsidRPr="00E32324" w:rsidRDefault="00BF41C9" w:rsidP="00F83A03">
      <w:pPr>
        <w:spacing w:before="100" w:beforeAutospacing="1" w:after="100" w:afterAutospacing="1"/>
        <w:jc w:val="both"/>
        <w:rPr>
          <w:rFonts w:eastAsia="Univers" w:cs="Arial"/>
          <w:noProof/>
          <w:sz w:val="18"/>
          <w:szCs w:val="18"/>
        </w:rPr>
      </w:pPr>
      <w:r w:rsidRPr="00E32324">
        <w:rPr>
          <w:rFonts w:eastAsia="Univers" w:cs="Arial"/>
          <w:b/>
          <w:noProof/>
          <w:sz w:val="18"/>
          <w:szCs w:val="18"/>
          <w:u w:val="single"/>
        </w:rPr>
        <w:t>Article 12</w:t>
      </w:r>
      <w:r w:rsidRPr="00E32324">
        <w:rPr>
          <w:rFonts w:eastAsia="Univers" w:cs="Arial"/>
          <w:noProof/>
          <w:sz w:val="18"/>
          <w:szCs w:val="18"/>
        </w:rPr>
        <w:t> : Il est institué la fonction de médiateur financier ayant pour mission de favoriser le règlement amiable des litiges individuels qui naissent entre les organismes financiers et la clientèle dans le domaine des services offerts, à l’exclusion des différends relatifs à leur politique commerciale (politique tarifaire, taux d’intérêt sur crédit, décision de refus de crédit etc…).</w:t>
      </w:r>
    </w:p>
    <w:p w:rsidR="00BF41C9" w:rsidRPr="00E32324" w:rsidRDefault="00BF41C9" w:rsidP="00F83A03">
      <w:pPr>
        <w:spacing w:before="100" w:beforeAutospacing="1" w:after="100" w:afterAutospacing="1"/>
        <w:jc w:val="both"/>
        <w:rPr>
          <w:rFonts w:eastAsia="Univers" w:cs="Arial"/>
          <w:noProof/>
          <w:sz w:val="18"/>
          <w:szCs w:val="18"/>
        </w:rPr>
      </w:pPr>
      <w:r w:rsidRPr="00E32324">
        <w:rPr>
          <w:rFonts w:eastAsia="Univers" w:cs="Arial"/>
          <w:noProof/>
          <w:sz w:val="18"/>
          <w:szCs w:val="18"/>
        </w:rPr>
        <w:t>Les médiateurs financiers sont nommés par arrêtés du Ministre de l’Economie et des Finances.</w:t>
      </w:r>
    </w:p>
    <w:p w:rsidR="00BF41C9" w:rsidRPr="00E32324" w:rsidRDefault="00BF41C9" w:rsidP="00F83A03">
      <w:pPr>
        <w:spacing w:before="100" w:beforeAutospacing="1" w:after="100" w:afterAutospacing="1"/>
        <w:jc w:val="both"/>
        <w:rPr>
          <w:rFonts w:eastAsia="Univers" w:cs="Arial"/>
          <w:noProof/>
          <w:sz w:val="18"/>
          <w:szCs w:val="18"/>
        </w:rPr>
      </w:pPr>
      <w:r w:rsidRPr="00E32324">
        <w:rPr>
          <w:rFonts w:eastAsia="Univers" w:cs="Arial"/>
          <w:b/>
          <w:noProof/>
          <w:sz w:val="18"/>
          <w:szCs w:val="18"/>
          <w:u w:val="single"/>
        </w:rPr>
        <w:t>Article 13</w:t>
      </w:r>
      <w:r w:rsidRPr="00E32324">
        <w:rPr>
          <w:rFonts w:eastAsia="Univers" w:cs="Arial"/>
          <w:noProof/>
          <w:sz w:val="18"/>
          <w:szCs w:val="18"/>
        </w:rPr>
        <w:t> : Les attributions et conditions d’exercice de l’activité ainsi que les modalités de rémunération des médiateurs financiers sont définies par arrêté du Minsitre de l’Economie et des Finances.</w:t>
      </w:r>
    </w:p>
    <w:p w:rsidR="00BF41C9" w:rsidRPr="00E32324" w:rsidRDefault="00BF41C9" w:rsidP="00F83A03">
      <w:pPr>
        <w:spacing w:before="100" w:beforeAutospacing="1" w:after="100" w:afterAutospacing="1"/>
        <w:jc w:val="both"/>
        <w:rPr>
          <w:rFonts w:eastAsia="Univers" w:cs="Arial"/>
          <w:noProof/>
          <w:sz w:val="18"/>
          <w:szCs w:val="18"/>
        </w:rPr>
      </w:pPr>
      <w:r w:rsidRPr="00E32324">
        <w:rPr>
          <w:rFonts w:eastAsia="Univers" w:cs="Arial"/>
          <w:b/>
          <w:noProof/>
          <w:sz w:val="18"/>
          <w:szCs w:val="18"/>
          <w:u w:val="single"/>
        </w:rPr>
        <w:lastRenderedPageBreak/>
        <w:t>Article 14</w:t>
      </w:r>
      <w:r w:rsidRPr="00E32324">
        <w:rPr>
          <w:rFonts w:eastAsia="Univers" w:cs="Arial"/>
          <w:noProof/>
          <w:sz w:val="18"/>
          <w:szCs w:val="18"/>
        </w:rPr>
        <w:t> : Les rémunérations des Médiateurs, du Secrétaire Exécutif et du personnel du Secrétariat Exécutif sont à la charge exclusive de l’Observatoire de la Qualité des Services financiers. Les modalités de fixation de ces rémunérations seront définies par arrêté du Ministre de l’Economie et des Finances.</w:t>
      </w:r>
    </w:p>
    <w:p w:rsidR="00BF41C9" w:rsidRPr="00E32324" w:rsidRDefault="00BF41C9" w:rsidP="00F83A03">
      <w:pPr>
        <w:spacing w:before="100" w:beforeAutospacing="1" w:after="100" w:afterAutospacing="1"/>
        <w:jc w:val="both"/>
        <w:rPr>
          <w:rFonts w:eastAsia="Univers" w:cs="Arial"/>
          <w:noProof/>
          <w:sz w:val="18"/>
          <w:szCs w:val="18"/>
        </w:rPr>
      </w:pPr>
      <w:r w:rsidRPr="00E32324">
        <w:rPr>
          <w:rFonts w:eastAsia="Univers" w:cs="Arial"/>
          <w:b/>
          <w:noProof/>
          <w:sz w:val="18"/>
          <w:szCs w:val="18"/>
          <w:u w:val="single"/>
        </w:rPr>
        <w:t>Article 15</w:t>
      </w:r>
      <w:r w:rsidRPr="00E32324">
        <w:rPr>
          <w:rFonts w:eastAsia="Univers" w:cs="Arial"/>
          <w:noProof/>
          <w:sz w:val="18"/>
          <w:szCs w:val="18"/>
        </w:rPr>
        <w:t> : Les ressources nécessaires à l’Observatoire de la Qualité des Services Financiers et à l’exécution de ses missions proviennent des contributions de l’Etat etdes institutions visées à l’article 2 établies sur le territoire de la République du Sénégal.</w:t>
      </w:r>
    </w:p>
    <w:p w:rsidR="00BF41C9" w:rsidRPr="00E32324" w:rsidRDefault="00BF41C9" w:rsidP="00F83A03">
      <w:pPr>
        <w:spacing w:before="100" w:beforeAutospacing="1" w:after="100" w:afterAutospacing="1"/>
        <w:jc w:val="both"/>
        <w:rPr>
          <w:rFonts w:eastAsia="Univers" w:cs="Arial"/>
          <w:noProof/>
          <w:sz w:val="18"/>
          <w:szCs w:val="18"/>
        </w:rPr>
      </w:pPr>
      <w:r w:rsidRPr="00E32324">
        <w:rPr>
          <w:rFonts w:eastAsia="Univers" w:cs="Arial"/>
          <w:b/>
          <w:noProof/>
          <w:sz w:val="18"/>
          <w:szCs w:val="18"/>
          <w:u w:val="single"/>
        </w:rPr>
        <w:t>Article 16</w:t>
      </w:r>
      <w:r w:rsidRPr="00E32324">
        <w:rPr>
          <w:rFonts w:eastAsia="Univers" w:cs="Arial"/>
          <w:noProof/>
          <w:sz w:val="18"/>
          <w:szCs w:val="18"/>
        </w:rPr>
        <w:t> : Un règlement intérieur adopté par le Conseil d’Orientation et approuvé par le Ministre de l’Economie et des Finances définit les règles de fonctionnement de l’Observatoire de la Qualité des Services Financiers.</w:t>
      </w:r>
    </w:p>
    <w:p w:rsidR="00BF41C9" w:rsidRPr="00E32324" w:rsidRDefault="00BF41C9" w:rsidP="00F83A03">
      <w:pPr>
        <w:spacing w:before="100" w:beforeAutospacing="1" w:after="100" w:afterAutospacing="1"/>
        <w:jc w:val="both"/>
        <w:rPr>
          <w:rFonts w:eastAsia="Univers" w:cs="Arial"/>
          <w:noProof/>
          <w:sz w:val="18"/>
          <w:szCs w:val="18"/>
        </w:rPr>
      </w:pPr>
      <w:r w:rsidRPr="00E32324">
        <w:rPr>
          <w:rFonts w:eastAsia="Univers" w:cs="Arial"/>
          <w:b/>
          <w:noProof/>
          <w:sz w:val="18"/>
          <w:szCs w:val="18"/>
          <w:u w:val="single"/>
        </w:rPr>
        <w:t>Article 17</w:t>
      </w:r>
      <w:r w:rsidRPr="00E32324">
        <w:rPr>
          <w:rFonts w:eastAsia="Univers" w:cs="Arial"/>
          <w:noProof/>
          <w:sz w:val="18"/>
          <w:szCs w:val="18"/>
        </w:rPr>
        <w:t> : Le Ministre d’Etat, Ministre de l’Economie et des Finances, est chargé de l’exécution du présent décret qui sera publié au Journal Officiel de la République du Sénégal.</w:t>
      </w:r>
    </w:p>
    <w:p w:rsidR="00BF41C9" w:rsidRPr="00E32324" w:rsidRDefault="00BF41C9" w:rsidP="00F83A03">
      <w:pPr>
        <w:spacing w:before="100" w:beforeAutospacing="1" w:after="100" w:afterAutospacing="1"/>
        <w:jc w:val="both"/>
        <w:rPr>
          <w:rFonts w:eastAsia="Univers" w:cs="Arial"/>
          <w:noProof/>
          <w:sz w:val="18"/>
          <w:szCs w:val="18"/>
        </w:rPr>
      </w:pPr>
      <w:r w:rsidRPr="00E32324">
        <w:rPr>
          <w:rFonts w:eastAsia="Univers" w:cs="Arial"/>
          <w:noProof/>
          <w:sz w:val="18"/>
          <w:szCs w:val="18"/>
        </w:rPr>
        <w:t>Fait à Dakar, le 06 février 2009</w:t>
      </w:r>
    </w:p>
    <w:p w:rsidR="00BF41C9" w:rsidRPr="00E32324" w:rsidRDefault="00BF41C9" w:rsidP="00F83A03">
      <w:pPr>
        <w:jc w:val="both"/>
        <w:rPr>
          <w:rFonts w:eastAsia="Univers" w:cs="Arial"/>
          <w:noProof/>
          <w:sz w:val="18"/>
          <w:szCs w:val="18"/>
        </w:rPr>
      </w:pPr>
      <w:r w:rsidRPr="00E32324">
        <w:rPr>
          <w:rFonts w:eastAsia="Univers" w:cs="Arial"/>
          <w:noProof/>
          <w:sz w:val="18"/>
          <w:szCs w:val="18"/>
        </w:rPr>
        <w:br w:type="page"/>
      </w:r>
    </w:p>
    <w:p w:rsidR="00BF41C9" w:rsidRDefault="00BF41C9" w:rsidP="00F83A03">
      <w:pPr>
        <w:spacing w:before="100" w:beforeAutospacing="1" w:after="100" w:afterAutospacing="1" w:line="240" w:lineRule="auto"/>
        <w:contextualSpacing/>
        <w:jc w:val="both"/>
        <w:rPr>
          <w:rFonts w:cs="Arial"/>
          <w:b/>
          <w:sz w:val="18"/>
          <w:szCs w:val="18"/>
        </w:rPr>
      </w:pPr>
      <w:r w:rsidRPr="00612E13">
        <w:rPr>
          <w:b/>
          <w:sz w:val="18"/>
          <w:szCs w:val="18"/>
        </w:rPr>
        <w:lastRenderedPageBreak/>
        <w:t xml:space="preserve">ARRETE N°02256 du 02.03.2009 </w:t>
      </w:r>
      <w:r w:rsidRPr="00612E13">
        <w:rPr>
          <w:rFonts w:cs="Arial"/>
          <w:b/>
          <w:sz w:val="18"/>
          <w:szCs w:val="18"/>
        </w:rPr>
        <w:t xml:space="preserve">Fixant les attributions et conditions </w:t>
      </w:r>
    </w:p>
    <w:p w:rsidR="00BF41C9" w:rsidRPr="00612E13" w:rsidRDefault="00BF41C9" w:rsidP="00F83A03">
      <w:pPr>
        <w:spacing w:before="100" w:beforeAutospacing="1" w:after="100" w:afterAutospacing="1" w:line="240" w:lineRule="auto"/>
        <w:contextualSpacing/>
        <w:jc w:val="both"/>
        <w:rPr>
          <w:rFonts w:cs="Arial"/>
          <w:b/>
          <w:sz w:val="18"/>
          <w:szCs w:val="18"/>
        </w:rPr>
      </w:pPr>
      <w:proofErr w:type="gramStart"/>
      <w:r w:rsidRPr="00612E13">
        <w:rPr>
          <w:rFonts w:cs="Arial"/>
          <w:b/>
          <w:sz w:val="18"/>
          <w:szCs w:val="18"/>
        </w:rPr>
        <w:t>d’exercice</w:t>
      </w:r>
      <w:proofErr w:type="gramEnd"/>
      <w:r w:rsidRPr="00612E13">
        <w:rPr>
          <w:rFonts w:cs="Arial"/>
          <w:b/>
          <w:sz w:val="18"/>
          <w:szCs w:val="18"/>
        </w:rPr>
        <w:t xml:space="preserve"> de l’activité de médiateur financier.</w:t>
      </w:r>
    </w:p>
    <w:p w:rsidR="00BF41C9" w:rsidRPr="00E32324" w:rsidRDefault="00BF41C9" w:rsidP="00F83A03">
      <w:pPr>
        <w:spacing w:before="100" w:beforeAutospacing="1" w:after="100" w:afterAutospacing="1" w:line="240" w:lineRule="auto"/>
        <w:ind w:left="3540"/>
        <w:contextualSpacing/>
        <w:jc w:val="both"/>
        <w:rPr>
          <w:rFonts w:cs="Arial"/>
          <w:sz w:val="18"/>
          <w:szCs w:val="18"/>
        </w:rPr>
      </w:pP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LE MINISTRE D’ETAT, MINISTRE DE L’ECONOMIE ET DES FINANCES,</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VU   la Constitution</w:t>
      </w:r>
      <w:r>
        <w:rPr>
          <w:sz w:val="18"/>
          <w:szCs w:val="18"/>
        </w:rPr>
        <w:t> ;</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VU   le Traité de la Conférence interafricaine des Marchés d’Assurances signé à</w:t>
      </w:r>
      <w:r w:rsidR="00936776">
        <w:rPr>
          <w:sz w:val="18"/>
          <w:szCs w:val="18"/>
        </w:rPr>
        <w:t xml:space="preserve"> </w:t>
      </w:r>
      <w:r w:rsidRPr="00E32324">
        <w:rPr>
          <w:sz w:val="18"/>
          <w:szCs w:val="18"/>
        </w:rPr>
        <w:t xml:space="preserve">Yaoundé le 10 Juillet 1992 et instituant un code unique des assurances des Etats membres de </w:t>
      </w:r>
      <w:r w:rsidR="009F1EAE" w:rsidRPr="00E32324">
        <w:rPr>
          <w:sz w:val="18"/>
          <w:szCs w:val="18"/>
        </w:rPr>
        <w:t>la CIMA</w:t>
      </w:r>
      <w:r w:rsidRPr="00E32324">
        <w:rPr>
          <w:sz w:val="18"/>
          <w:szCs w:val="18"/>
        </w:rPr>
        <w:t>, notamment en ses livres I, II et III relatifs aux entreprises d’assurances ;</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9F1EAE" w:rsidP="00F83A03">
      <w:pPr>
        <w:spacing w:before="100" w:beforeAutospacing="1" w:after="100" w:afterAutospacing="1" w:line="240" w:lineRule="auto"/>
        <w:contextualSpacing/>
        <w:jc w:val="both"/>
        <w:rPr>
          <w:sz w:val="18"/>
          <w:szCs w:val="18"/>
        </w:rPr>
      </w:pPr>
      <w:r w:rsidRPr="00E32324">
        <w:rPr>
          <w:sz w:val="18"/>
          <w:szCs w:val="18"/>
        </w:rPr>
        <w:t>VU la</w:t>
      </w:r>
      <w:r w:rsidR="00BF41C9" w:rsidRPr="00E32324">
        <w:rPr>
          <w:sz w:val="18"/>
          <w:szCs w:val="18"/>
        </w:rPr>
        <w:t xml:space="preserve"> loi n° 90-06 du 26 Juin 1990 portant réglementation bancaire ;</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VU la loi n° 2008-47 portant réglementation des systèmes financiers décentralisés ;</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9F1EAE" w:rsidP="00F83A03">
      <w:pPr>
        <w:spacing w:before="100" w:beforeAutospacing="1" w:after="100" w:afterAutospacing="1" w:line="240" w:lineRule="auto"/>
        <w:contextualSpacing/>
        <w:jc w:val="both"/>
        <w:rPr>
          <w:sz w:val="18"/>
          <w:szCs w:val="18"/>
        </w:rPr>
      </w:pPr>
      <w:r w:rsidRPr="00E32324">
        <w:rPr>
          <w:sz w:val="18"/>
          <w:szCs w:val="18"/>
        </w:rPr>
        <w:t>VU la</w:t>
      </w:r>
      <w:r w:rsidR="00BF41C9" w:rsidRPr="00E32324">
        <w:rPr>
          <w:sz w:val="18"/>
          <w:szCs w:val="18"/>
        </w:rPr>
        <w:t xml:space="preserve"> loi n° 95-24 du 29 aout 1995 autorisant la création de la Société Nationale « la Poste » ;</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VU le Décret n° 2007-826 du 19 Juin 2007 portant nomination du Premier Ministre ;</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VU le décret n° 2008-1026 du 10 septembre 2008 portant répartition des services de l’Etat et du contrôle des établissements public</w:t>
      </w:r>
      <w:r>
        <w:rPr>
          <w:sz w:val="18"/>
          <w:szCs w:val="18"/>
        </w:rPr>
        <w:t>s</w:t>
      </w:r>
      <w:r w:rsidRPr="00E32324">
        <w:rPr>
          <w:sz w:val="18"/>
          <w:szCs w:val="18"/>
        </w:rPr>
        <w:t>, des sociétés nationales et des sociétés à participation publique entre la Présidence de la République,</w:t>
      </w:r>
      <w:r>
        <w:rPr>
          <w:sz w:val="18"/>
          <w:szCs w:val="18"/>
        </w:rPr>
        <w:t xml:space="preserve"> la Primature et les ministères ;</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9F1EAE" w:rsidP="00F83A03">
      <w:pPr>
        <w:spacing w:before="100" w:beforeAutospacing="1" w:after="100" w:afterAutospacing="1" w:line="240" w:lineRule="auto"/>
        <w:contextualSpacing/>
        <w:jc w:val="both"/>
        <w:rPr>
          <w:sz w:val="18"/>
          <w:szCs w:val="18"/>
        </w:rPr>
      </w:pPr>
      <w:r w:rsidRPr="00E32324">
        <w:rPr>
          <w:sz w:val="18"/>
          <w:szCs w:val="18"/>
        </w:rPr>
        <w:t>VU le</w:t>
      </w:r>
      <w:r w:rsidR="00BF41C9" w:rsidRPr="00E32324">
        <w:rPr>
          <w:sz w:val="18"/>
          <w:szCs w:val="18"/>
        </w:rPr>
        <w:t xml:space="preserve"> décret n° 2008-1302 du 13 novembre 2008 nommant un Ministre d’Etat et fixant la </w:t>
      </w:r>
      <w:r w:rsidRPr="00E32324">
        <w:rPr>
          <w:sz w:val="18"/>
          <w:szCs w:val="18"/>
        </w:rPr>
        <w:t>composition du</w:t>
      </w:r>
      <w:r w:rsidR="00BF41C9" w:rsidRPr="00E32324">
        <w:rPr>
          <w:sz w:val="18"/>
          <w:szCs w:val="18"/>
        </w:rPr>
        <w:t xml:space="preserve"> Gouvernement ;</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9F1EAE" w:rsidP="00F83A03">
      <w:pPr>
        <w:spacing w:before="100" w:beforeAutospacing="1" w:after="100" w:afterAutospacing="1" w:line="240" w:lineRule="auto"/>
        <w:contextualSpacing/>
        <w:jc w:val="both"/>
        <w:rPr>
          <w:sz w:val="18"/>
          <w:szCs w:val="18"/>
        </w:rPr>
      </w:pPr>
      <w:r w:rsidRPr="00E32324">
        <w:rPr>
          <w:sz w:val="18"/>
          <w:szCs w:val="18"/>
        </w:rPr>
        <w:t>VU le</w:t>
      </w:r>
      <w:r w:rsidR="00BF41C9" w:rsidRPr="00E32324">
        <w:rPr>
          <w:sz w:val="18"/>
          <w:szCs w:val="18"/>
        </w:rPr>
        <w:t xml:space="preserve"> décret n° 2009-95 du 06 février 2009 portant création et organisation de l’Observatoire de la Qualité des Services Financiers (OQSF).</w:t>
      </w:r>
    </w:p>
    <w:p w:rsidR="00BF41C9" w:rsidRPr="00E32324" w:rsidRDefault="00BF41C9" w:rsidP="00F83A03">
      <w:pPr>
        <w:spacing w:before="100" w:beforeAutospacing="1" w:after="100" w:afterAutospacing="1" w:line="240" w:lineRule="auto"/>
        <w:contextualSpacing/>
        <w:jc w:val="both"/>
        <w:rPr>
          <w:sz w:val="18"/>
          <w:szCs w:val="18"/>
        </w:rPr>
      </w:pPr>
    </w:p>
    <w:p w:rsidR="00BF41C9" w:rsidRDefault="00BF41C9" w:rsidP="00F83A03">
      <w:pPr>
        <w:jc w:val="both"/>
        <w:rPr>
          <w:rFonts w:cs="Arial"/>
          <w:b/>
          <w:sz w:val="18"/>
          <w:szCs w:val="18"/>
          <w:u w:val="single"/>
        </w:rPr>
      </w:pPr>
      <w:r>
        <w:rPr>
          <w:rFonts w:cs="Arial"/>
          <w:b/>
          <w:sz w:val="18"/>
          <w:szCs w:val="18"/>
          <w:u w:val="single"/>
        </w:rPr>
        <w:br w:type="page"/>
      </w:r>
    </w:p>
    <w:p w:rsidR="00BF41C9" w:rsidRPr="00E32324" w:rsidRDefault="00BF41C9" w:rsidP="00F83A03">
      <w:pPr>
        <w:spacing w:before="100" w:beforeAutospacing="1" w:after="100" w:afterAutospacing="1" w:line="240" w:lineRule="auto"/>
        <w:contextualSpacing/>
        <w:jc w:val="both"/>
        <w:rPr>
          <w:rFonts w:cs="Arial"/>
          <w:b/>
          <w:sz w:val="18"/>
          <w:szCs w:val="18"/>
          <w:u w:val="single"/>
        </w:rPr>
      </w:pPr>
      <w:r w:rsidRPr="00E32324">
        <w:rPr>
          <w:rFonts w:cs="Arial"/>
          <w:b/>
          <w:sz w:val="18"/>
          <w:szCs w:val="18"/>
          <w:u w:val="single"/>
        </w:rPr>
        <w:lastRenderedPageBreak/>
        <w:t>ARRETE</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b/>
          <w:sz w:val="18"/>
          <w:szCs w:val="18"/>
          <w:u w:val="single"/>
        </w:rPr>
        <w:t>Article premier</w:t>
      </w:r>
      <w:r w:rsidRPr="00E32324">
        <w:rPr>
          <w:sz w:val="18"/>
          <w:szCs w:val="18"/>
        </w:rPr>
        <w:t xml:space="preserve"> – En application de l’article 13 du décret n°2009-95 du 06 février 2009 portant création et organisation de l’Observatoire de la Qualité des Services Financiers, il est institué deux (02) médiateurs dans le secteur financier :</w:t>
      </w:r>
    </w:p>
    <w:p w:rsidR="00BF41C9" w:rsidRPr="00E32324" w:rsidRDefault="00BF41C9" w:rsidP="00F83A03">
      <w:pPr>
        <w:pStyle w:val="Paragraphedeliste"/>
        <w:numPr>
          <w:ilvl w:val="0"/>
          <w:numId w:val="14"/>
        </w:numPr>
        <w:spacing w:before="100" w:beforeAutospacing="1" w:after="100" w:afterAutospacing="1" w:line="240" w:lineRule="auto"/>
        <w:jc w:val="both"/>
        <w:rPr>
          <w:sz w:val="18"/>
          <w:szCs w:val="18"/>
        </w:rPr>
      </w:pPr>
      <w:r w:rsidRPr="00E32324">
        <w:rPr>
          <w:sz w:val="18"/>
          <w:szCs w:val="18"/>
        </w:rPr>
        <w:t>Un médiateur unique pour les banques, les établissements financiers, les systèmes financiers décentralisés et la Poste ;</w:t>
      </w:r>
    </w:p>
    <w:p w:rsidR="00BF41C9" w:rsidRPr="00E32324" w:rsidRDefault="00BF41C9" w:rsidP="00F83A03">
      <w:pPr>
        <w:pStyle w:val="Paragraphedeliste"/>
        <w:numPr>
          <w:ilvl w:val="0"/>
          <w:numId w:val="14"/>
        </w:numPr>
        <w:spacing w:before="100" w:beforeAutospacing="1" w:after="100" w:afterAutospacing="1" w:line="240" w:lineRule="auto"/>
        <w:jc w:val="both"/>
        <w:rPr>
          <w:sz w:val="18"/>
          <w:szCs w:val="18"/>
        </w:rPr>
      </w:pPr>
      <w:r w:rsidRPr="00E32324">
        <w:rPr>
          <w:sz w:val="18"/>
          <w:szCs w:val="18"/>
        </w:rPr>
        <w:t>Un médiateur pour les assurances.</w:t>
      </w: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Les médiateurs ont pour mission de favoriser le règlement amiable des litiges individuels qui naissent entre les organismes ci-dessus cités et la clientèle dans le domaine des services financiers à l’exclusion des différends relatifs à la politique commerciale des services financiers (politique tarifaire, taux d’intérêt sur crédit, décision de refus de crédit etc.).</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Toutefois, dans le cadre du traitement des réclamations, les médiateurs sont compétents pour vérifier les conditions de tarification et notamment leur conformité aux guides tarifaires de l’établissement, aux pratiques usuelles du secteur financier et aux règles édictées par les autorités de supervision et de contrôle compétentes en la matière.</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b/>
          <w:sz w:val="18"/>
          <w:szCs w:val="18"/>
          <w:u w:val="single"/>
        </w:rPr>
        <w:t xml:space="preserve">Article 2 </w:t>
      </w:r>
      <w:r w:rsidRPr="00E32324">
        <w:rPr>
          <w:sz w:val="18"/>
          <w:szCs w:val="18"/>
        </w:rPr>
        <w:t>- les médiateurs sont indépendants des services financiers, ils sont nommés par arrêté du Ministre de l’Economie et de Finances pour une période de trois années renouvelable une fois.</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 xml:space="preserve">Il ne peut être mis fin aux fonctions des médiateurs avant l’expiration de ce délai qu’en </w:t>
      </w:r>
      <w:r w:rsidR="009F1EAE" w:rsidRPr="00E32324">
        <w:rPr>
          <w:sz w:val="18"/>
          <w:szCs w:val="18"/>
        </w:rPr>
        <w:t>cas d’empêchement</w:t>
      </w:r>
      <w:r w:rsidRPr="00E32324">
        <w:rPr>
          <w:sz w:val="18"/>
          <w:szCs w:val="18"/>
        </w:rPr>
        <w:t xml:space="preserve"> constaté par le Ministre de l’Economie et des finances ou de faute grave.</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b/>
          <w:sz w:val="18"/>
          <w:szCs w:val="18"/>
          <w:u w:val="single"/>
        </w:rPr>
        <w:t>Article 3</w:t>
      </w:r>
      <w:r w:rsidRPr="00E32324">
        <w:rPr>
          <w:sz w:val="18"/>
          <w:szCs w:val="18"/>
        </w:rPr>
        <w:t xml:space="preserve"> - les rémunérations de médiateurs ainsi que tous autres avantages financiers ou en nature liés à leur fonction sont fixés par </w:t>
      </w:r>
      <w:r w:rsidR="009F1EAE" w:rsidRPr="00E32324">
        <w:rPr>
          <w:sz w:val="18"/>
          <w:szCs w:val="18"/>
        </w:rPr>
        <w:t>arrêté du</w:t>
      </w:r>
      <w:r w:rsidRPr="00E32324">
        <w:rPr>
          <w:sz w:val="18"/>
          <w:szCs w:val="18"/>
        </w:rPr>
        <w:t xml:space="preserve"> Ministre de l’Economie et des Finances.</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b/>
          <w:sz w:val="18"/>
          <w:szCs w:val="18"/>
          <w:u w:val="single"/>
        </w:rPr>
        <w:t>Article 4</w:t>
      </w:r>
      <w:r w:rsidRPr="00E32324">
        <w:rPr>
          <w:sz w:val="18"/>
          <w:szCs w:val="18"/>
        </w:rPr>
        <w:t xml:space="preserve"> – les médiateurs peuvent être saisis par toute personne physique ou morale répondant aux critères de la Petite Entreprise définie dans la loi d’orientation relative à la promotion et au développement des Petites et Moyennes Entreprises, d’un différend à caractère individuel l’opposant à un service financier dans le cadre des prestations qui lui sont offertes.</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La saisine du médiateur est faite par écrit et est gratuite.</w:t>
      </w:r>
    </w:p>
    <w:p w:rsidR="00BF41C9" w:rsidRPr="00FC31A7"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b/>
          <w:sz w:val="18"/>
          <w:szCs w:val="18"/>
          <w:u w:val="single"/>
        </w:rPr>
        <w:t>Article 5</w:t>
      </w:r>
      <w:r w:rsidRPr="00E32324">
        <w:rPr>
          <w:sz w:val="18"/>
          <w:szCs w:val="18"/>
        </w:rPr>
        <w:t xml:space="preserve"> -la demande adressée au médiateur n’est recevable que si elle est accompagnée de la preuve de l’épuisement des voies de recours internes prévues à cet effet au niveau d l’organisme financier concerné.</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La demande du client est recevable dans l’un des cas ci-après :</w:t>
      </w:r>
    </w:p>
    <w:p w:rsidR="00BF41C9" w:rsidRPr="00E32324" w:rsidRDefault="00BF41C9" w:rsidP="00F83A03">
      <w:pPr>
        <w:pStyle w:val="Paragraphedeliste"/>
        <w:numPr>
          <w:ilvl w:val="0"/>
          <w:numId w:val="13"/>
        </w:numPr>
        <w:spacing w:before="100" w:beforeAutospacing="1" w:after="100" w:afterAutospacing="1" w:line="240" w:lineRule="auto"/>
        <w:jc w:val="both"/>
        <w:rPr>
          <w:sz w:val="18"/>
          <w:szCs w:val="18"/>
        </w:rPr>
      </w:pPr>
      <w:r w:rsidRPr="00E32324">
        <w:rPr>
          <w:sz w:val="18"/>
          <w:szCs w:val="18"/>
        </w:rPr>
        <w:t>Rejet total ou partiel d’une réclamation</w:t>
      </w:r>
      <w:r>
        <w:rPr>
          <w:sz w:val="18"/>
          <w:szCs w:val="18"/>
        </w:rPr>
        <w:t xml:space="preserve"> auprès des services financiers ;</w:t>
      </w:r>
    </w:p>
    <w:p w:rsidR="00BF41C9" w:rsidRPr="00E32324" w:rsidRDefault="00BF41C9" w:rsidP="00F83A03">
      <w:pPr>
        <w:pStyle w:val="Paragraphedeliste"/>
        <w:numPr>
          <w:ilvl w:val="0"/>
          <w:numId w:val="13"/>
        </w:numPr>
        <w:spacing w:before="100" w:beforeAutospacing="1" w:after="100" w:afterAutospacing="1" w:line="240" w:lineRule="auto"/>
        <w:jc w:val="both"/>
        <w:rPr>
          <w:sz w:val="18"/>
          <w:szCs w:val="18"/>
        </w:rPr>
      </w:pPr>
      <w:r w:rsidRPr="00E32324">
        <w:rPr>
          <w:sz w:val="18"/>
          <w:szCs w:val="18"/>
        </w:rPr>
        <w:t>Absence de réaction du service financier dans le délai de soixante (60) jours à compter de réc</w:t>
      </w:r>
      <w:r>
        <w:rPr>
          <w:sz w:val="18"/>
          <w:szCs w:val="18"/>
        </w:rPr>
        <w:t>eption de la requête du client ;</w:t>
      </w:r>
    </w:p>
    <w:p w:rsidR="00BF41C9" w:rsidRPr="00E32324" w:rsidRDefault="00BF41C9" w:rsidP="00F83A03">
      <w:pPr>
        <w:pStyle w:val="Paragraphedeliste"/>
        <w:numPr>
          <w:ilvl w:val="0"/>
          <w:numId w:val="13"/>
        </w:numPr>
        <w:spacing w:before="100" w:beforeAutospacing="1" w:after="100" w:afterAutospacing="1" w:line="240" w:lineRule="auto"/>
        <w:jc w:val="both"/>
        <w:rPr>
          <w:sz w:val="18"/>
          <w:szCs w:val="18"/>
        </w:rPr>
      </w:pPr>
      <w:r w:rsidRPr="00E32324">
        <w:rPr>
          <w:sz w:val="18"/>
          <w:szCs w:val="18"/>
        </w:rPr>
        <w:t>Non satisfaction du client sur la proposition faite par le service financier.</w:t>
      </w:r>
    </w:p>
    <w:p w:rsidR="00BF41C9" w:rsidRPr="00E32324" w:rsidRDefault="00BF41C9" w:rsidP="00F83A03">
      <w:pPr>
        <w:spacing w:before="100" w:beforeAutospacing="1" w:after="100" w:afterAutospacing="1" w:line="240" w:lineRule="auto"/>
        <w:contextualSpacing/>
        <w:jc w:val="both"/>
        <w:rPr>
          <w:sz w:val="18"/>
          <w:szCs w:val="18"/>
        </w:rPr>
      </w:pPr>
      <w:r w:rsidRPr="00E32324">
        <w:rPr>
          <w:b/>
          <w:sz w:val="18"/>
          <w:szCs w:val="18"/>
          <w:u w:val="single"/>
        </w:rPr>
        <w:t>Article 6</w:t>
      </w:r>
      <w:r w:rsidRPr="00E32324">
        <w:rPr>
          <w:sz w:val="18"/>
          <w:szCs w:val="18"/>
        </w:rPr>
        <w:t xml:space="preserve"> -Toutes les demandes recevables doivent être examinées par le médiateur.</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Le médiateur financier statue sur la recevabilité d’une demande qui lui est soumise par décision motivée.</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Cette décision doit être notifiée aux parties dans le délai d’une semaine</w:t>
      </w: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ab/>
        <w:t>.</w:t>
      </w:r>
    </w:p>
    <w:p w:rsidR="00BF41C9" w:rsidRPr="00E32324" w:rsidRDefault="00BF41C9" w:rsidP="00F83A03">
      <w:pPr>
        <w:spacing w:before="100" w:beforeAutospacing="1" w:after="100" w:afterAutospacing="1" w:line="240" w:lineRule="auto"/>
        <w:contextualSpacing/>
        <w:jc w:val="both"/>
        <w:rPr>
          <w:sz w:val="18"/>
          <w:szCs w:val="18"/>
        </w:rPr>
      </w:pPr>
      <w:r w:rsidRPr="00E32324">
        <w:rPr>
          <w:b/>
          <w:sz w:val="18"/>
          <w:szCs w:val="18"/>
          <w:u w:val="single"/>
        </w:rPr>
        <w:t>Article 7</w:t>
      </w:r>
      <w:r w:rsidRPr="00E32324">
        <w:rPr>
          <w:sz w:val="18"/>
          <w:szCs w:val="18"/>
        </w:rPr>
        <w:t xml:space="preserve"> -La demande doit être introduite auprès du médiateur par requête écrite, signée par la partie qui a pris l’initiative, comptant </w:t>
      </w:r>
      <w:r w:rsidR="009F1EAE" w:rsidRPr="00E32324">
        <w:rPr>
          <w:sz w:val="18"/>
          <w:szCs w:val="18"/>
        </w:rPr>
        <w:t>ses réclamations accompagnées</w:t>
      </w:r>
      <w:r w:rsidRPr="00E32324">
        <w:rPr>
          <w:sz w:val="18"/>
          <w:szCs w:val="18"/>
        </w:rPr>
        <w:t xml:space="preserve"> des justificatifs éventuels.</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b/>
          <w:sz w:val="18"/>
          <w:szCs w:val="18"/>
          <w:u w:val="single"/>
        </w:rPr>
        <w:t>Article 8</w:t>
      </w:r>
      <w:r w:rsidRPr="00E32324">
        <w:rPr>
          <w:sz w:val="18"/>
          <w:szCs w:val="18"/>
        </w:rPr>
        <w:t xml:space="preserve"> -Le médiateur peut demander au service financier et au client de lui communiquer tous les documents et informations nécessaires à la conduite de sa mission.</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Dans le cadre de la procédure, il entend le service financier et le client chaque fois que nécessaire. Il peut également interroger toute personne morale à même de l’éclairer en particulier les autorités de contrôle et de supervision du secteur.</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b/>
          <w:sz w:val="18"/>
          <w:szCs w:val="18"/>
          <w:u w:val="single"/>
        </w:rPr>
        <w:t>Article 9</w:t>
      </w:r>
      <w:r w:rsidRPr="00E32324">
        <w:rPr>
          <w:sz w:val="18"/>
          <w:szCs w:val="18"/>
        </w:rPr>
        <w:t xml:space="preserve"> – Les moyens nécessaires à l’exercice de l’activité des médiateurs sont inscrits dans le budget de l’Observatoire de la Qualité des Services Financiers.</w:t>
      </w:r>
    </w:p>
    <w:p w:rsidR="00BF41C9" w:rsidRPr="00E32324" w:rsidRDefault="00BF41C9" w:rsidP="00F83A03">
      <w:pPr>
        <w:spacing w:before="100" w:beforeAutospacing="1" w:after="100" w:afterAutospacing="1" w:line="240" w:lineRule="auto"/>
        <w:contextualSpacing/>
        <w:jc w:val="both"/>
        <w:rPr>
          <w:sz w:val="18"/>
          <w:szCs w:val="18"/>
        </w:rPr>
      </w:pPr>
    </w:p>
    <w:p w:rsidR="00BF41C9" w:rsidRDefault="00BF41C9" w:rsidP="00F83A03">
      <w:pPr>
        <w:spacing w:before="100" w:beforeAutospacing="1" w:after="100" w:afterAutospacing="1" w:line="240" w:lineRule="auto"/>
        <w:contextualSpacing/>
        <w:jc w:val="both"/>
        <w:rPr>
          <w:sz w:val="18"/>
          <w:szCs w:val="18"/>
        </w:rPr>
      </w:pPr>
      <w:r w:rsidRPr="00E32324">
        <w:rPr>
          <w:sz w:val="18"/>
          <w:szCs w:val="18"/>
        </w:rPr>
        <w:t>Dans l’exercice de leur mission, les médiateurs peuvent recourir en tant que de besoin aux services des experts de l’Observatoire de la Qualité de Services Financiers.</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b/>
          <w:sz w:val="18"/>
          <w:szCs w:val="18"/>
          <w:u w:val="single"/>
        </w:rPr>
        <w:t>Article 10</w:t>
      </w:r>
      <w:r w:rsidRPr="00E32324">
        <w:rPr>
          <w:sz w:val="18"/>
          <w:szCs w:val="18"/>
        </w:rPr>
        <w:t xml:space="preserve"> – Le médiateur et les deux parties sont tenue</w:t>
      </w:r>
      <w:r>
        <w:rPr>
          <w:sz w:val="18"/>
          <w:szCs w:val="18"/>
        </w:rPr>
        <w:t>s</w:t>
      </w:r>
      <w:r w:rsidRPr="00E32324">
        <w:rPr>
          <w:sz w:val="18"/>
          <w:szCs w:val="18"/>
        </w:rPr>
        <w:t xml:space="preserve"> à la confidentialité des informations résultant de la médiation ou relatives à celles-ci en préservant le secret sur l’identité des parties</w:t>
      </w:r>
      <w:r w:rsidRPr="00E32324">
        <w:rPr>
          <w:sz w:val="18"/>
          <w:szCs w:val="18"/>
        </w:rPr>
        <w:tab/>
      </w: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ab/>
      </w: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 xml:space="preserve">Toutefois, tout en préservant l’identité des parties, les rapports des médiateurs doivent être rendus publics.  </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b/>
          <w:sz w:val="18"/>
          <w:szCs w:val="18"/>
          <w:u w:val="single"/>
        </w:rPr>
        <w:t>Article 11</w:t>
      </w:r>
      <w:r w:rsidRPr="00E32324">
        <w:rPr>
          <w:sz w:val="18"/>
          <w:szCs w:val="18"/>
        </w:rPr>
        <w:t xml:space="preserve"> -Le médiateur statue en droit et/</w:t>
      </w:r>
      <w:r w:rsidR="00825217" w:rsidRPr="00E32324">
        <w:rPr>
          <w:sz w:val="18"/>
          <w:szCs w:val="18"/>
        </w:rPr>
        <w:t>ou en</w:t>
      </w:r>
      <w:r w:rsidRPr="00E32324">
        <w:rPr>
          <w:sz w:val="18"/>
          <w:szCs w:val="18"/>
        </w:rPr>
        <w:t xml:space="preserve"> équité et donne un avis dans un délai maximum de deux (02) mois à compter de la date de sa saisine.</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Dans les cas où ce délai se révèle insuffisant, il en informe de façon motivée les deux (02) parties et s’engage à donner son avis dans un délai qu’il notifie à ses dernières.</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Le médiateur informe simultanément, par écrit le service financier et le client de son avis.</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b/>
          <w:sz w:val="18"/>
          <w:szCs w:val="18"/>
          <w:u w:val="single"/>
        </w:rPr>
        <w:t>Article 12</w:t>
      </w:r>
      <w:r w:rsidRPr="00E32324">
        <w:rPr>
          <w:sz w:val="18"/>
          <w:szCs w:val="18"/>
        </w:rPr>
        <w:t xml:space="preserve"> -Le service finan</w:t>
      </w:r>
      <w:r>
        <w:rPr>
          <w:sz w:val="18"/>
          <w:szCs w:val="18"/>
        </w:rPr>
        <w:t>cier et le client doivent dans l</w:t>
      </w:r>
      <w:r w:rsidRPr="00E32324">
        <w:rPr>
          <w:sz w:val="18"/>
          <w:szCs w:val="18"/>
        </w:rPr>
        <w:t xml:space="preserve">es dix jours ouvrables à partir de cette information, faire connaître au </w:t>
      </w:r>
      <w:r w:rsidR="00825217" w:rsidRPr="00E32324">
        <w:rPr>
          <w:sz w:val="18"/>
          <w:szCs w:val="18"/>
        </w:rPr>
        <w:t>médiateur l’acceptation</w:t>
      </w:r>
      <w:r w:rsidRPr="00E32324">
        <w:rPr>
          <w:sz w:val="18"/>
          <w:szCs w:val="18"/>
        </w:rPr>
        <w:t xml:space="preserve"> ou le refus de cet avis</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b/>
          <w:sz w:val="18"/>
          <w:szCs w:val="18"/>
          <w:u w:val="single"/>
        </w:rPr>
        <w:t>Article 13</w:t>
      </w:r>
      <w:r w:rsidRPr="00E32324">
        <w:rPr>
          <w:sz w:val="18"/>
          <w:szCs w:val="18"/>
        </w:rPr>
        <w:t xml:space="preserve"> - Chacune des parties conserve le droit de porter le litige devant les tribunaux à tout moment de la procédure de règlement à l’amiable. Cette saisine met fin à intervention du médiateur.</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b/>
          <w:sz w:val="18"/>
          <w:szCs w:val="18"/>
          <w:u w:val="single"/>
        </w:rPr>
        <w:t>Article 14</w:t>
      </w:r>
      <w:r w:rsidRPr="00E32324">
        <w:rPr>
          <w:sz w:val="18"/>
          <w:szCs w:val="18"/>
        </w:rPr>
        <w:t xml:space="preserve"> – La médiation n’est pas possible si une procédure judiciaire est engagée, un jugement prononcé, ou une enquête des autorités de supervision et de contrôle compétentes en la matière est ouverte sur les faits objet du litige.</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b/>
          <w:sz w:val="18"/>
          <w:szCs w:val="18"/>
        </w:rPr>
        <w:t>Article 15</w:t>
      </w:r>
      <w:r w:rsidRPr="00E32324">
        <w:rPr>
          <w:sz w:val="18"/>
          <w:szCs w:val="18"/>
        </w:rPr>
        <w:t xml:space="preserve"> - Les constatations et les déclarations qui peuvent être effectuées ou recueillies à l’occasion de la médiation ainsi que l’avis du médiateur ne peuvent être invoqués dans une procédure judiciaire civile.</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Il est interdit au médiateur d’intervenir dans une procédure engagée devant une juridiction ou de représenter l’une des parties devant la justice à propos du litige.</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b/>
          <w:sz w:val="18"/>
          <w:szCs w:val="18"/>
          <w:u w:val="single"/>
        </w:rPr>
        <w:t>Article 16</w:t>
      </w:r>
      <w:r w:rsidRPr="00E32324">
        <w:rPr>
          <w:sz w:val="18"/>
          <w:szCs w:val="18"/>
        </w:rPr>
        <w:t xml:space="preserve"> - La durée de la médiation ne doit pas excéder un an à compter du moment où tous les éléments utiles ont été communiqués au médiateur par l’une et l’autre des parties au litige.</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La médiation prend fin par :</w:t>
      </w:r>
    </w:p>
    <w:p w:rsidR="00BF41C9" w:rsidRPr="00E32324" w:rsidRDefault="00BF41C9" w:rsidP="00F83A03">
      <w:pPr>
        <w:pStyle w:val="Paragraphedeliste"/>
        <w:spacing w:before="100" w:beforeAutospacing="1" w:after="100" w:afterAutospacing="1" w:line="240" w:lineRule="auto"/>
        <w:jc w:val="both"/>
        <w:rPr>
          <w:sz w:val="18"/>
          <w:szCs w:val="18"/>
        </w:rPr>
      </w:pPr>
      <w:r>
        <w:rPr>
          <w:sz w:val="18"/>
          <w:szCs w:val="18"/>
        </w:rPr>
        <w:t xml:space="preserve">- </w:t>
      </w:r>
      <w:r w:rsidRPr="00E32324">
        <w:rPr>
          <w:sz w:val="18"/>
          <w:szCs w:val="18"/>
        </w:rPr>
        <w:t>la signature d’un accord amiable,</w:t>
      </w:r>
    </w:p>
    <w:p w:rsidR="00BF41C9" w:rsidRPr="00E32324" w:rsidRDefault="00BF41C9" w:rsidP="00F83A03">
      <w:pPr>
        <w:pStyle w:val="Paragraphedeliste"/>
        <w:spacing w:before="100" w:beforeAutospacing="1" w:after="100" w:afterAutospacing="1" w:line="240" w:lineRule="auto"/>
        <w:jc w:val="both"/>
        <w:rPr>
          <w:sz w:val="18"/>
          <w:szCs w:val="18"/>
        </w:rPr>
      </w:pPr>
      <w:r>
        <w:rPr>
          <w:sz w:val="18"/>
          <w:szCs w:val="18"/>
        </w:rPr>
        <w:t>-</w:t>
      </w:r>
      <w:r w:rsidRPr="00E32324">
        <w:rPr>
          <w:sz w:val="18"/>
          <w:szCs w:val="18"/>
        </w:rPr>
        <w:t>le constat d’un désaccord persistant entre les parties,</w:t>
      </w:r>
    </w:p>
    <w:p w:rsidR="00BF41C9" w:rsidRPr="00E32324" w:rsidRDefault="00BF41C9" w:rsidP="00F83A03">
      <w:pPr>
        <w:pStyle w:val="Paragraphedeliste"/>
        <w:spacing w:before="100" w:beforeAutospacing="1" w:after="100" w:afterAutospacing="1" w:line="240" w:lineRule="auto"/>
        <w:jc w:val="both"/>
        <w:rPr>
          <w:sz w:val="18"/>
          <w:szCs w:val="18"/>
        </w:rPr>
      </w:pPr>
      <w:r>
        <w:rPr>
          <w:sz w:val="18"/>
          <w:szCs w:val="18"/>
        </w:rPr>
        <w:t>-</w:t>
      </w:r>
      <w:r w:rsidR="00341238">
        <w:rPr>
          <w:sz w:val="18"/>
          <w:szCs w:val="18"/>
        </w:rPr>
        <w:t xml:space="preserve"> l</w:t>
      </w:r>
      <w:r w:rsidRPr="00E32324">
        <w:rPr>
          <w:sz w:val="18"/>
          <w:szCs w:val="18"/>
        </w:rPr>
        <w:t>e désistement de l’une des parties.</w:t>
      </w:r>
      <w:r w:rsidRPr="00E32324">
        <w:rPr>
          <w:sz w:val="18"/>
          <w:szCs w:val="18"/>
        </w:rPr>
        <w:tab/>
      </w:r>
      <w:r w:rsidRPr="00E32324">
        <w:rPr>
          <w:sz w:val="18"/>
          <w:szCs w:val="18"/>
        </w:rPr>
        <w:tab/>
      </w: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 xml:space="preserve">Quelle que soit l’issue de la procédure, le médiateur informe, par écrit les parties de la </w:t>
      </w:r>
      <w:r w:rsidR="00825217" w:rsidRPr="00E32324">
        <w:rPr>
          <w:sz w:val="18"/>
          <w:szCs w:val="18"/>
        </w:rPr>
        <w:t>fin de</w:t>
      </w:r>
      <w:r w:rsidRPr="00E32324">
        <w:rPr>
          <w:sz w:val="18"/>
          <w:szCs w:val="18"/>
        </w:rPr>
        <w:t xml:space="preserve"> sa mission.</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sz w:val="18"/>
          <w:szCs w:val="18"/>
        </w:rPr>
        <w:t>Le médiateur et les parties sont tenus à la plus stricte confidentialité.</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E32324" w:rsidRDefault="00BF41C9" w:rsidP="00F83A03">
      <w:pPr>
        <w:spacing w:before="100" w:beforeAutospacing="1" w:after="100" w:afterAutospacing="1" w:line="240" w:lineRule="auto"/>
        <w:contextualSpacing/>
        <w:jc w:val="both"/>
        <w:rPr>
          <w:sz w:val="18"/>
          <w:szCs w:val="18"/>
        </w:rPr>
      </w:pPr>
      <w:r w:rsidRPr="00E32324">
        <w:rPr>
          <w:b/>
          <w:sz w:val="18"/>
          <w:szCs w:val="18"/>
          <w:u w:val="single"/>
        </w:rPr>
        <w:t>Article 17</w:t>
      </w:r>
      <w:r w:rsidRPr="00E32324">
        <w:rPr>
          <w:sz w:val="18"/>
          <w:szCs w:val="18"/>
        </w:rPr>
        <w:t xml:space="preserve"> - Les médiateurs adressent, au plus tard le 31 mars de chaque année, à l’Observation de la Qualité des Services Financiers (OQSF), au Ministère de l’Economie et des Finances et au Président du Conseil d’Orientation de l’OQSF un rapport annuel sur leurs activités, </w:t>
      </w:r>
    </w:p>
    <w:p w:rsidR="00BF41C9" w:rsidRPr="00E32324" w:rsidRDefault="00BF41C9" w:rsidP="00F83A03">
      <w:pPr>
        <w:spacing w:before="100" w:beforeAutospacing="1" w:after="100" w:afterAutospacing="1" w:line="240" w:lineRule="auto"/>
        <w:contextualSpacing/>
        <w:jc w:val="both"/>
        <w:rPr>
          <w:sz w:val="18"/>
          <w:szCs w:val="18"/>
        </w:rPr>
      </w:pPr>
    </w:p>
    <w:p w:rsidR="00BF41C9" w:rsidRPr="00825217" w:rsidRDefault="00BF41C9" w:rsidP="00825217">
      <w:pPr>
        <w:spacing w:before="100" w:beforeAutospacing="1" w:after="100" w:afterAutospacing="1" w:line="240" w:lineRule="auto"/>
        <w:contextualSpacing/>
        <w:jc w:val="both"/>
        <w:rPr>
          <w:sz w:val="18"/>
          <w:szCs w:val="18"/>
        </w:rPr>
      </w:pPr>
      <w:r w:rsidRPr="00E32324">
        <w:rPr>
          <w:b/>
          <w:sz w:val="18"/>
          <w:szCs w:val="18"/>
          <w:u w:val="single"/>
        </w:rPr>
        <w:t>Article18</w:t>
      </w:r>
      <w:r w:rsidRPr="00E32324">
        <w:rPr>
          <w:sz w:val="18"/>
          <w:szCs w:val="18"/>
        </w:rPr>
        <w:t xml:space="preserve"> – Le Directeur de la Monnaie et du Crédit, le Directeur des Assurances, et le Directeur de la Réglementation et de </w:t>
      </w:r>
      <w:r w:rsidRPr="00B63141">
        <w:rPr>
          <w:sz w:val="18"/>
          <w:szCs w:val="18"/>
        </w:rPr>
        <w:t>la Supervision des Systèmes Financiers Décentralisés, sont chargés chacun en ce qui le concerne de l’exécution du présent arrêté qui sera publié au journal Officie</w:t>
      </w:r>
      <w:r w:rsidR="00825217">
        <w:rPr>
          <w:sz w:val="18"/>
          <w:szCs w:val="18"/>
        </w:rPr>
        <w:t xml:space="preserve">l de la République du Sénégal. </w:t>
      </w:r>
    </w:p>
    <w:sectPr w:rsidR="00BF41C9" w:rsidRPr="00825217" w:rsidSect="007310FE">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E56" w:rsidRDefault="00576E56" w:rsidP="00C53ECC">
      <w:pPr>
        <w:spacing w:after="0" w:line="240" w:lineRule="auto"/>
      </w:pPr>
      <w:r>
        <w:separator/>
      </w:r>
    </w:p>
  </w:endnote>
  <w:endnote w:type="continuationSeparator" w:id="0">
    <w:p w:rsidR="00576E56" w:rsidRDefault="00576E56" w:rsidP="00C5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4A3" w:rsidRDefault="002844A3" w:rsidP="009316CA">
    <w:pPr>
      <w:pStyle w:val="Pieddepage"/>
      <w:rPr>
        <w:szCs w:val="20"/>
      </w:rPr>
    </w:pPr>
    <w:r>
      <w:rPr>
        <w:rFonts w:ascii="Book Antiqua" w:hAnsi="Book Antiqua"/>
        <w:sz w:val="18"/>
        <w:szCs w:val="18"/>
      </w:rPr>
      <w:pict>
        <v:rect id="_x0000_i1025" style="width:453.6pt;height:1.5pt" o:hralign="center" o:hrstd="t" o:hrnoshade="t" o:hr="t" fillcolor="#00b050" stroked="f"/>
      </w:pic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7"/>
      <w:gridCol w:w="3155"/>
    </w:tblGrid>
    <w:tr w:rsidR="002844A3" w:rsidTr="003A2A92">
      <w:trPr>
        <w:trHeight w:val="142"/>
      </w:trPr>
      <w:tc>
        <w:tcPr>
          <w:tcW w:w="6096" w:type="dxa"/>
          <w:vAlign w:val="center"/>
        </w:tcPr>
        <w:p w:rsidR="002844A3" w:rsidRPr="005A38A6" w:rsidRDefault="002844A3" w:rsidP="00394CAF">
          <w:pPr>
            <w:pStyle w:val="Pieddepage"/>
            <w:rPr>
              <w:rFonts w:ascii="Arial" w:hAnsi="Arial" w:cs="Arial"/>
              <w:i/>
              <w:sz w:val="18"/>
              <w:szCs w:val="20"/>
            </w:rPr>
          </w:pPr>
          <w:r>
            <w:rPr>
              <w:rFonts w:ascii="Arial" w:hAnsi="Arial" w:cs="Arial"/>
              <w:i/>
              <w:sz w:val="16"/>
              <w:szCs w:val="20"/>
            </w:rPr>
            <w:t>Rapport annuel du Médiateur des Assurances-2021</w:t>
          </w:r>
        </w:p>
      </w:tc>
      <w:tc>
        <w:tcPr>
          <w:tcW w:w="3264" w:type="dxa"/>
          <w:vAlign w:val="center"/>
        </w:tcPr>
        <w:p w:rsidR="002844A3" w:rsidRDefault="002844A3" w:rsidP="009316CA">
          <w:pPr>
            <w:pStyle w:val="En-tte"/>
          </w:pPr>
        </w:p>
      </w:tc>
    </w:tr>
  </w:tbl>
  <w:p w:rsidR="002844A3" w:rsidRPr="00140B5F" w:rsidRDefault="002844A3" w:rsidP="009316CA">
    <w:pPr>
      <w:pStyle w:val="Pieddepage"/>
      <w:rPr>
        <w:sz w:val="2"/>
      </w:rPr>
    </w:pPr>
  </w:p>
  <w:p w:rsidR="002844A3" w:rsidRPr="009316CA" w:rsidRDefault="002844A3" w:rsidP="009316C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4A3" w:rsidRDefault="002844A3" w:rsidP="00EA03F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844A3" w:rsidRDefault="002844A3" w:rsidP="00EA03F0">
    <w:pPr>
      <w:pStyle w:val="Pieddepag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1236"/>
      <w:docPartObj>
        <w:docPartGallery w:val="Page Numbers (Bottom of Page)"/>
        <w:docPartUnique/>
      </w:docPartObj>
    </w:sdtPr>
    <w:sdtContent>
      <w:p w:rsidR="002844A3" w:rsidRDefault="002844A3">
        <w:pPr>
          <w:pStyle w:val="Pieddepage"/>
          <w:jc w:val="center"/>
        </w:pPr>
        <w:r>
          <w:rPr>
            <w:noProof/>
          </w:rPr>
          <w:fldChar w:fldCharType="begin"/>
        </w:r>
        <w:r>
          <w:rPr>
            <w:noProof/>
          </w:rPr>
          <w:instrText xml:space="preserve"> PAGE   \* MERGEFORMAT </w:instrText>
        </w:r>
        <w:r>
          <w:rPr>
            <w:noProof/>
          </w:rPr>
          <w:fldChar w:fldCharType="separate"/>
        </w:r>
        <w:r w:rsidR="009F1EAE">
          <w:rPr>
            <w:noProof/>
          </w:rPr>
          <w:t>2</w:t>
        </w:r>
        <w:r>
          <w:rPr>
            <w:noProof/>
          </w:rPr>
          <w:fldChar w:fldCharType="end"/>
        </w:r>
      </w:p>
    </w:sdtContent>
  </w:sdt>
  <w:p w:rsidR="002844A3" w:rsidRDefault="002844A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4A3" w:rsidRDefault="002844A3" w:rsidP="009316CA">
    <w:pPr>
      <w:pStyle w:val="Pieddepage"/>
      <w:rPr>
        <w:szCs w:val="20"/>
      </w:rPr>
    </w:pPr>
    <w:r>
      <w:rPr>
        <w:rFonts w:ascii="Book Antiqua" w:hAnsi="Book Antiqua"/>
        <w:sz w:val="18"/>
        <w:szCs w:val="18"/>
      </w:rPr>
      <w:pict>
        <v:rect id="_x0000_i1027" style="width:453.6pt;height:1.5pt" o:hralign="center" o:hrstd="t" o:hrnoshade="t" o:hr="t" fillcolor="#00b050" stroked="f"/>
      </w:pic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3"/>
      <w:gridCol w:w="2359"/>
    </w:tblGrid>
    <w:tr w:rsidR="002844A3" w:rsidTr="003A2A92">
      <w:tc>
        <w:tcPr>
          <w:tcW w:w="7371" w:type="dxa"/>
          <w:vAlign w:val="center"/>
        </w:tcPr>
        <w:p w:rsidR="002844A3" w:rsidRPr="005A38A6" w:rsidRDefault="002844A3" w:rsidP="004A78F5">
          <w:pPr>
            <w:pStyle w:val="Pieddepage"/>
            <w:rPr>
              <w:rFonts w:ascii="Arial" w:hAnsi="Arial" w:cs="Arial"/>
              <w:i/>
              <w:sz w:val="18"/>
              <w:szCs w:val="20"/>
            </w:rPr>
          </w:pPr>
          <w:r>
            <w:rPr>
              <w:rFonts w:ascii="Arial" w:hAnsi="Arial" w:cs="Arial"/>
              <w:i/>
              <w:sz w:val="16"/>
              <w:szCs w:val="20"/>
            </w:rPr>
            <w:t>Rapport annuel du Médiateur des Assurances-2021</w:t>
          </w:r>
        </w:p>
      </w:tc>
      <w:tc>
        <w:tcPr>
          <w:tcW w:w="2567" w:type="dxa"/>
          <w:vAlign w:val="center"/>
        </w:tcPr>
        <w:p w:rsidR="002844A3" w:rsidRDefault="002844A3" w:rsidP="00CB4BE3">
          <w:pPr>
            <w:pStyle w:val="En-tte"/>
            <w:jc w:val="right"/>
          </w:pPr>
          <w:sdt>
            <w:sdtPr>
              <w:id w:val="1919277638"/>
              <w:docPartObj>
                <w:docPartGallery w:val="Page Numbers (Top of Page)"/>
                <w:docPartUnique/>
              </w:docPartObj>
            </w:sdtPr>
            <w:sdtContent>
              <w:r w:rsidRPr="00144035">
                <w:rPr>
                  <w:rFonts w:ascii="Arial" w:hAnsi="Arial" w:cs="Arial"/>
                  <w:sz w:val="16"/>
                  <w:szCs w:val="16"/>
                </w:rPr>
                <w:t xml:space="preserve">Page </w:t>
              </w:r>
              <w:r w:rsidRPr="00144035">
                <w:rPr>
                  <w:rFonts w:ascii="Arial" w:hAnsi="Arial" w:cs="Arial"/>
                  <w:sz w:val="16"/>
                  <w:szCs w:val="16"/>
                </w:rPr>
                <w:fldChar w:fldCharType="begin"/>
              </w:r>
              <w:r w:rsidRPr="00144035">
                <w:rPr>
                  <w:rFonts w:ascii="Arial" w:hAnsi="Arial" w:cs="Arial"/>
                  <w:sz w:val="16"/>
                  <w:szCs w:val="16"/>
                </w:rPr>
                <w:instrText>PAGE</w:instrText>
              </w:r>
              <w:r w:rsidRPr="00144035">
                <w:rPr>
                  <w:rFonts w:ascii="Arial" w:hAnsi="Arial" w:cs="Arial"/>
                  <w:sz w:val="16"/>
                  <w:szCs w:val="16"/>
                </w:rPr>
                <w:fldChar w:fldCharType="separate"/>
              </w:r>
              <w:r w:rsidR="009F1EAE">
                <w:rPr>
                  <w:rFonts w:ascii="Arial" w:hAnsi="Arial" w:cs="Arial"/>
                  <w:noProof/>
                  <w:sz w:val="16"/>
                  <w:szCs w:val="16"/>
                </w:rPr>
                <w:t>29</w:t>
              </w:r>
              <w:r w:rsidRPr="00144035">
                <w:rPr>
                  <w:rFonts w:ascii="Arial" w:hAnsi="Arial" w:cs="Arial"/>
                  <w:sz w:val="16"/>
                  <w:szCs w:val="16"/>
                </w:rPr>
                <w:fldChar w:fldCharType="end"/>
              </w:r>
              <w:r w:rsidRPr="00144035">
                <w:rPr>
                  <w:rFonts w:ascii="Arial" w:hAnsi="Arial" w:cs="Arial"/>
                  <w:sz w:val="16"/>
                  <w:szCs w:val="16"/>
                </w:rPr>
                <w:t xml:space="preserve"> / </w:t>
              </w:r>
              <w:r>
                <w:rPr>
                  <w:rFonts w:ascii="Arial" w:hAnsi="Arial" w:cs="Arial"/>
                  <w:sz w:val="16"/>
                  <w:szCs w:val="16"/>
                </w:rPr>
                <w:t>49</w:t>
              </w:r>
            </w:sdtContent>
          </w:sdt>
        </w:p>
      </w:tc>
    </w:tr>
  </w:tbl>
  <w:p w:rsidR="002844A3" w:rsidRPr="00140B5F" w:rsidRDefault="002844A3" w:rsidP="009316CA">
    <w:pPr>
      <w:pStyle w:val="Pieddepage"/>
      <w:rPr>
        <w:sz w:val="2"/>
      </w:rPr>
    </w:pPr>
  </w:p>
  <w:p w:rsidR="002844A3" w:rsidRPr="009316CA" w:rsidRDefault="002844A3" w:rsidP="009316C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E56" w:rsidRDefault="00576E56" w:rsidP="00C53ECC">
      <w:pPr>
        <w:spacing w:after="0" w:line="240" w:lineRule="auto"/>
      </w:pPr>
      <w:r>
        <w:separator/>
      </w:r>
    </w:p>
  </w:footnote>
  <w:footnote w:type="continuationSeparator" w:id="0">
    <w:p w:rsidR="00576E56" w:rsidRDefault="00576E56" w:rsidP="00C53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4A3" w:rsidRPr="00B7484D" w:rsidRDefault="002844A3" w:rsidP="009316CA">
    <w:pPr>
      <w:pStyle w:val="En-tte"/>
      <w:rPr>
        <w:rFonts w:ascii="Book Antiqua" w:hAnsi="Book Antiqua"/>
        <w:sz w:val="18"/>
        <w:szCs w:val="18"/>
      </w:rPr>
    </w:pPr>
    <w:r w:rsidRPr="004A363E">
      <w:rPr>
        <w:rFonts w:ascii="Book Antiqua" w:hAnsi="Book Antiqua"/>
        <w:noProof/>
        <w:sz w:val="18"/>
        <w:szCs w:val="18"/>
        <w:lang w:eastAsia="fr-FR"/>
      </w:rPr>
      <w:drawing>
        <wp:inline distT="0" distB="0" distL="0" distR="0">
          <wp:extent cx="419100" cy="419100"/>
          <wp:effectExtent l="19050" t="0" r="0" b="0"/>
          <wp:docPr id="3" name="Image 3" descr="\\Srv\Administration et Finance\OQSF\Communication\Charte graphique\logo\OQSF_Logo v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Administration et Finance\OQSF\Communication\Charte graphique\logo\OQSF_Logo v1.0.JPG"/>
                  <pic:cNvPicPr>
                    <a:picLocks noChangeAspect="1" noChangeArrowheads="1"/>
                  </pic:cNvPicPr>
                </pic:nvPicPr>
                <pic:blipFill>
                  <a:blip r:embed="rId1"/>
                  <a:srcRect/>
                  <a:stretch>
                    <a:fillRect/>
                  </a:stretch>
                </pic:blipFill>
                <pic:spPr bwMode="auto">
                  <a:xfrm>
                    <a:off x="0" y="0"/>
                    <a:ext cx="419100" cy="419100"/>
                  </a:xfrm>
                  <a:prstGeom prst="rect">
                    <a:avLst/>
                  </a:prstGeom>
                  <a:noFill/>
                  <a:ln w="9525">
                    <a:noFill/>
                    <a:miter lim="800000"/>
                    <a:headEnd/>
                    <a:tailEnd/>
                  </a:ln>
                </pic:spPr>
              </pic:pic>
            </a:graphicData>
          </a:graphic>
        </wp:inline>
      </w:drawing>
    </w:r>
    <w:r>
      <w:rPr>
        <w:rFonts w:ascii="Book Antiqua" w:hAnsi="Book Antiqua"/>
        <w:sz w:val="18"/>
        <w:szCs w:val="18"/>
      </w:rPr>
      <w:pict>
        <v:rect id="_x0000_i1026" style="width:453.6pt;height:1.5pt" o:hralign="center" o:hrstd="t" o:hrnoshade="t" o:hr="t" fillcolor="#00b050" stroked="f"/>
      </w:pict>
    </w:r>
  </w:p>
  <w:p w:rsidR="002844A3" w:rsidRPr="00950898" w:rsidRDefault="002844A3" w:rsidP="009316CA">
    <w:pPr>
      <w:rPr>
        <w:sz w:val="2"/>
      </w:rPr>
    </w:pPr>
  </w:p>
  <w:p w:rsidR="002844A3" w:rsidRPr="00D77773" w:rsidRDefault="002844A3" w:rsidP="009316CA">
    <w:pPr>
      <w:pStyle w:val="En-tte"/>
      <w:rPr>
        <w:sz w:val="2"/>
      </w:rPr>
    </w:pPr>
  </w:p>
  <w:p w:rsidR="002844A3" w:rsidRPr="009316CA" w:rsidRDefault="002844A3">
    <w:pPr>
      <w:pStyle w:val="En-tte"/>
      <w:rPr>
        <w:sz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016A"/>
    <w:multiLevelType w:val="hybridMultilevel"/>
    <w:tmpl w:val="B5D40D1E"/>
    <w:lvl w:ilvl="0" w:tplc="2BA49A1C">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115529B1"/>
    <w:multiLevelType w:val="hybridMultilevel"/>
    <w:tmpl w:val="525640EE"/>
    <w:lvl w:ilvl="0" w:tplc="8A64C920">
      <w:start w:val="1"/>
      <w:numFmt w:val="upperRoman"/>
      <w:lvlText w:val="%1."/>
      <w:lvlJc w:val="left"/>
      <w:pPr>
        <w:ind w:left="1140" w:hanging="72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 w15:restartNumberingAfterBreak="0">
    <w:nsid w:val="12561D6F"/>
    <w:multiLevelType w:val="hybridMultilevel"/>
    <w:tmpl w:val="B3789AE6"/>
    <w:lvl w:ilvl="0" w:tplc="6AB2A88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973570"/>
    <w:multiLevelType w:val="hybridMultilevel"/>
    <w:tmpl w:val="85D2731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663BD2"/>
    <w:multiLevelType w:val="hybridMultilevel"/>
    <w:tmpl w:val="FE9C5034"/>
    <w:lvl w:ilvl="0" w:tplc="F8AED96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E79302F"/>
    <w:multiLevelType w:val="hybridMultilevel"/>
    <w:tmpl w:val="C8364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AC2173"/>
    <w:multiLevelType w:val="hybridMultilevel"/>
    <w:tmpl w:val="E1FC2380"/>
    <w:lvl w:ilvl="0" w:tplc="040C000B">
      <w:start w:val="1"/>
      <w:numFmt w:val="bullet"/>
      <w:lvlText w:val=""/>
      <w:lvlJc w:val="left"/>
      <w:pPr>
        <w:ind w:left="1505" w:hanging="360"/>
      </w:pPr>
      <w:rPr>
        <w:rFonts w:ascii="Wingdings" w:hAnsi="Wingdings"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7" w15:restartNumberingAfterBreak="0">
    <w:nsid w:val="219F1823"/>
    <w:multiLevelType w:val="hybridMultilevel"/>
    <w:tmpl w:val="CA34B17A"/>
    <w:lvl w:ilvl="0" w:tplc="04880001">
      <w:start w:val="1"/>
      <w:numFmt w:val="bullet"/>
      <w:lvlText w:val=""/>
      <w:lvlJc w:val="left"/>
      <w:pPr>
        <w:tabs>
          <w:tab w:val="num" w:pos="1320"/>
        </w:tabs>
        <w:ind w:left="1320" w:hanging="360"/>
      </w:pPr>
      <w:rPr>
        <w:rFonts w:ascii="Symbol" w:hAnsi="Symbol" w:hint="default"/>
      </w:rPr>
    </w:lvl>
    <w:lvl w:ilvl="1" w:tplc="04880003" w:tentative="1">
      <w:start w:val="1"/>
      <w:numFmt w:val="bullet"/>
      <w:lvlText w:val="o"/>
      <w:lvlJc w:val="left"/>
      <w:pPr>
        <w:tabs>
          <w:tab w:val="num" w:pos="2040"/>
        </w:tabs>
        <w:ind w:left="2040" w:hanging="360"/>
      </w:pPr>
      <w:rPr>
        <w:rFonts w:ascii="Courier New" w:hAnsi="Courier New" w:cs="Courier New" w:hint="default"/>
      </w:rPr>
    </w:lvl>
    <w:lvl w:ilvl="2" w:tplc="04880005" w:tentative="1">
      <w:start w:val="1"/>
      <w:numFmt w:val="bullet"/>
      <w:lvlText w:val=""/>
      <w:lvlJc w:val="left"/>
      <w:pPr>
        <w:tabs>
          <w:tab w:val="num" w:pos="2760"/>
        </w:tabs>
        <w:ind w:left="2760" w:hanging="360"/>
      </w:pPr>
      <w:rPr>
        <w:rFonts w:ascii="Wingdings" w:hAnsi="Wingdings" w:hint="default"/>
      </w:rPr>
    </w:lvl>
    <w:lvl w:ilvl="3" w:tplc="04880001" w:tentative="1">
      <w:start w:val="1"/>
      <w:numFmt w:val="bullet"/>
      <w:lvlText w:val=""/>
      <w:lvlJc w:val="left"/>
      <w:pPr>
        <w:tabs>
          <w:tab w:val="num" w:pos="3480"/>
        </w:tabs>
        <w:ind w:left="3480" w:hanging="360"/>
      </w:pPr>
      <w:rPr>
        <w:rFonts w:ascii="Symbol" w:hAnsi="Symbol" w:hint="default"/>
      </w:rPr>
    </w:lvl>
    <w:lvl w:ilvl="4" w:tplc="04880003" w:tentative="1">
      <w:start w:val="1"/>
      <w:numFmt w:val="bullet"/>
      <w:lvlText w:val="o"/>
      <w:lvlJc w:val="left"/>
      <w:pPr>
        <w:tabs>
          <w:tab w:val="num" w:pos="4200"/>
        </w:tabs>
        <w:ind w:left="4200" w:hanging="360"/>
      </w:pPr>
      <w:rPr>
        <w:rFonts w:ascii="Courier New" w:hAnsi="Courier New" w:cs="Courier New" w:hint="default"/>
      </w:rPr>
    </w:lvl>
    <w:lvl w:ilvl="5" w:tplc="04880005" w:tentative="1">
      <w:start w:val="1"/>
      <w:numFmt w:val="bullet"/>
      <w:lvlText w:val=""/>
      <w:lvlJc w:val="left"/>
      <w:pPr>
        <w:tabs>
          <w:tab w:val="num" w:pos="4920"/>
        </w:tabs>
        <w:ind w:left="4920" w:hanging="360"/>
      </w:pPr>
      <w:rPr>
        <w:rFonts w:ascii="Wingdings" w:hAnsi="Wingdings" w:hint="default"/>
      </w:rPr>
    </w:lvl>
    <w:lvl w:ilvl="6" w:tplc="04880001" w:tentative="1">
      <w:start w:val="1"/>
      <w:numFmt w:val="bullet"/>
      <w:lvlText w:val=""/>
      <w:lvlJc w:val="left"/>
      <w:pPr>
        <w:tabs>
          <w:tab w:val="num" w:pos="5640"/>
        </w:tabs>
        <w:ind w:left="5640" w:hanging="360"/>
      </w:pPr>
      <w:rPr>
        <w:rFonts w:ascii="Symbol" w:hAnsi="Symbol" w:hint="default"/>
      </w:rPr>
    </w:lvl>
    <w:lvl w:ilvl="7" w:tplc="04880003" w:tentative="1">
      <w:start w:val="1"/>
      <w:numFmt w:val="bullet"/>
      <w:lvlText w:val="o"/>
      <w:lvlJc w:val="left"/>
      <w:pPr>
        <w:tabs>
          <w:tab w:val="num" w:pos="6360"/>
        </w:tabs>
        <w:ind w:left="6360" w:hanging="360"/>
      </w:pPr>
      <w:rPr>
        <w:rFonts w:ascii="Courier New" w:hAnsi="Courier New" w:cs="Courier New" w:hint="default"/>
      </w:rPr>
    </w:lvl>
    <w:lvl w:ilvl="8" w:tplc="04880005" w:tentative="1">
      <w:start w:val="1"/>
      <w:numFmt w:val="bullet"/>
      <w:lvlText w:val=""/>
      <w:lvlJc w:val="left"/>
      <w:pPr>
        <w:tabs>
          <w:tab w:val="num" w:pos="7080"/>
        </w:tabs>
        <w:ind w:left="7080" w:hanging="360"/>
      </w:pPr>
      <w:rPr>
        <w:rFonts w:ascii="Wingdings" w:hAnsi="Wingdings" w:hint="default"/>
      </w:rPr>
    </w:lvl>
  </w:abstractNum>
  <w:abstractNum w:abstractNumId="8" w15:restartNumberingAfterBreak="0">
    <w:nsid w:val="241F7712"/>
    <w:multiLevelType w:val="hybridMultilevel"/>
    <w:tmpl w:val="43825618"/>
    <w:lvl w:ilvl="0" w:tplc="6F6879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202603"/>
    <w:multiLevelType w:val="hybridMultilevel"/>
    <w:tmpl w:val="10CE2EF4"/>
    <w:lvl w:ilvl="0" w:tplc="33A82C2E">
      <w:numFmt w:val="bullet"/>
      <w:lvlText w:val="-"/>
      <w:lvlJc w:val="left"/>
      <w:pPr>
        <w:ind w:left="36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68646A"/>
    <w:multiLevelType w:val="hybridMultilevel"/>
    <w:tmpl w:val="38683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B910E9"/>
    <w:multiLevelType w:val="hybridMultilevel"/>
    <w:tmpl w:val="42588762"/>
    <w:lvl w:ilvl="0" w:tplc="2D92B5F6">
      <w:start w:val="1"/>
      <w:numFmt w:val="bullet"/>
      <w:lvlText w:val="-"/>
      <w:lvlJc w:val="left"/>
      <w:pPr>
        <w:ind w:left="720" w:hanging="360"/>
      </w:pPr>
      <w:rPr>
        <w:rFonts w:ascii="Tahoma" w:eastAsia="Times New Roman" w:hAnsi="Tahoma"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E73860"/>
    <w:multiLevelType w:val="hybridMultilevel"/>
    <w:tmpl w:val="2ABCE788"/>
    <w:lvl w:ilvl="0" w:tplc="FA2E71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607FF7"/>
    <w:multiLevelType w:val="hybridMultilevel"/>
    <w:tmpl w:val="3CEA25A6"/>
    <w:lvl w:ilvl="0" w:tplc="D700C0E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AA3888"/>
    <w:multiLevelType w:val="multilevel"/>
    <w:tmpl w:val="DF3800A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FEC02E9"/>
    <w:multiLevelType w:val="hybridMultilevel"/>
    <w:tmpl w:val="FD5C4516"/>
    <w:lvl w:ilvl="0" w:tplc="F648BF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2D4810"/>
    <w:multiLevelType w:val="hybridMultilevel"/>
    <w:tmpl w:val="96524D60"/>
    <w:lvl w:ilvl="0" w:tplc="6AB2A88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4D18AF"/>
    <w:multiLevelType w:val="hybridMultilevel"/>
    <w:tmpl w:val="109A4940"/>
    <w:lvl w:ilvl="0" w:tplc="50F41C60">
      <w:start w:val="1"/>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7FB1AFC"/>
    <w:multiLevelType w:val="hybridMultilevel"/>
    <w:tmpl w:val="48985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F361C7"/>
    <w:multiLevelType w:val="hybridMultilevel"/>
    <w:tmpl w:val="D05A93EE"/>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0" w15:restartNumberingAfterBreak="0">
    <w:nsid w:val="495206F5"/>
    <w:multiLevelType w:val="hybridMultilevel"/>
    <w:tmpl w:val="3328CB96"/>
    <w:lvl w:ilvl="0" w:tplc="2E745F48">
      <w:numFmt w:val="bullet"/>
      <w:lvlText w:val="-"/>
      <w:lvlJc w:val="left"/>
      <w:pPr>
        <w:ind w:left="1070" w:hanging="360"/>
      </w:pPr>
      <w:rPr>
        <w:rFonts w:ascii="Arial" w:eastAsia="Times New Roman" w:hAnsi="Arial" w:cs="Aria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1" w15:restartNumberingAfterBreak="0">
    <w:nsid w:val="49D11566"/>
    <w:multiLevelType w:val="hybridMultilevel"/>
    <w:tmpl w:val="E642F30A"/>
    <w:lvl w:ilvl="0" w:tplc="040C0009">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E1B382D"/>
    <w:multiLevelType w:val="hybridMultilevel"/>
    <w:tmpl w:val="3F10B21C"/>
    <w:lvl w:ilvl="0" w:tplc="5ABA292E">
      <w:start w:val="11"/>
      <w:numFmt w:val="bullet"/>
      <w:lvlText w:val="-"/>
      <w:lvlJc w:val="left"/>
      <w:pPr>
        <w:ind w:left="720" w:hanging="360"/>
      </w:pPr>
      <w:rPr>
        <w:rFonts w:ascii="Arial" w:eastAsia="Calibr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F10E10"/>
    <w:multiLevelType w:val="hybridMultilevel"/>
    <w:tmpl w:val="5DC834A2"/>
    <w:lvl w:ilvl="0" w:tplc="6AB2A88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2B446C"/>
    <w:multiLevelType w:val="hybridMultilevel"/>
    <w:tmpl w:val="0472C4BA"/>
    <w:lvl w:ilvl="0" w:tplc="040C000B">
      <w:start w:val="1"/>
      <w:numFmt w:val="bullet"/>
      <w:lvlText w:val=""/>
      <w:lvlJc w:val="left"/>
      <w:pPr>
        <w:ind w:left="1080" w:hanging="360"/>
      </w:pPr>
      <w:rPr>
        <w:rFonts w:ascii="Wingdings" w:hAnsi="Wingding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817447E"/>
    <w:multiLevelType w:val="hybridMultilevel"/>
    <w:tmpl w:val="F5266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07525C"/>
    <w:multiLevelType w:val="hybridMultilevel"/>
    <w:tmpl w:val="602271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30C6F42"/>
    <w:multiLevelType w:val="hybridMultilevel"/>
    <w:tmpl w:val="B19AE1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4F10175"/>
    <w:multiLevelType w:val="hybridMultilevel"/>
    <w:tmpl w:val="44C47326"/>
    <w:lvl w:ilvl="0" w:tplc="71AEBC3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7247280"/>
    <w:multiLevelType w:val="hybridMultilevel"/>
    <w:tmpl w:val="BE266E1E"/>
    <w:lvl w:ilvl="0" w:tplc="9832589C">
      <w:start w:val="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3F49EA"/>
    <w:multiLevelType w:val="hybridMultilevel"/>
    <w:tmpl w:val="FD5C4516"/>
    <w:lvl w:ilvl="0" w:tplc="F648BF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4"/>
  </w:num>
  <w:num w:numId="4">
    <w:abstractNumId w:val="19"/>
  </w:num>
  <w:num w:numId="5">
    <w:abstractNumId w:val="26"/>
  </w:num>
  <w:num w:numId="6">
    <w:abstractNumId w:val="24"/>
  </w:num>
  <w:num w:numId="7">
    <w:abstractNumId w:val="2"/>
  </w:num>
  <w:num w:numId="8">
    <w:abstractNumId w:val="0"/>
  </w:num>
  <w:num w:numId="9">
    <w:abstractNumId w:val="4"/>
  </w:num>
  <w:num w:numId="10">
    <w:abstractNumId w:val="21"/>
  </w:num>
  <w:num w:numId="11">
    <w:abstractNumId w:val="7"/>
  </w:num>
  <w:num w:numId="12">
    <w:abstractNumId w:val="22"/>
  </w:num>
  <w:num w:numId="13">
    <w:abstractNumId w:val="18"/>
  </w:num>
  <w:num w:numId="14">
    <w:abstractNumId w:val="10"/>
  </w:num>
  <w:num w:numId="15">
    <w:abstractNumId w:val="30"/>
  </w:num>
  <w:num w:numId="16">
    <w:abstractNumId w:val="15"/>
  </w:num>
  <w:num w:numId="17">
    <w:abstractNumId w:val="20"/>
  </w:num>
  <w:num w:numId="18">
    <w:abstractNumId w:val="23"/>
  </w:num>
  <w:num w:numId="19">
    <w:abstractNumId w:val="12"/>
  </w:num>
  <w:num w:numId="20">
    <w:abstractNumId w:val="3"/>
  </w:num>
  <w:num w:numId="21">
    <w:abstractNumId w:val="6"/>
  </w:num>
  <w:num w:numId="22">
    <w:abstractNumId w:val="27"/>
  </w:num>
  <w:num w:numId="23">
    <w:abstractNumId w:val="13"/>
  </w:num>
  <w:num w:numId="24">
    <w:abstractNumId w:val="11"/>
  </w:num>
  <w:num w:numId="25">
    <w:abstractNumId w:val="9"/>
  </w:num>
  <w:num w:numId="26">
    <w:abstractNumId w:val="5"/>
  </w:num>
  <w:num w:numId="27">
    <w:abstractNumId w:val="28"/>
  </w:num>
  <w:num w:numId="28">
    <w:abstractNumId w:val="17"/>
  </w:num>
  <w:num w:numId="29">
    <w:abstractNumId w:val="25"/>
  </w:num>
  <w:num w:numId="30">
    <w:abstractNumId w:val="29"/>
  </w:num>
  <w:num w:numId="31">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5F"/>
    <w:rsid w:val="00004EF4"/>
    <w:rsid w:val="00006431"/>
    <w:rsid w:val="000104C1"/>
    <w:rsid w:val="00013733"/>
    <w:rsid w:val="00014B6B"/>
    <w:rsid w:val="00014DC8"/>
    <w:rsid w:val="00020605"/>
    <w:rsid w:val="0002073E"/>
    <w:rsid w:val="0002187D"/>
    <w:rsid w:val="0003025F"/>
    <w:rsid w:val="00034897"/>
    <w:rsid w:val="000372D1"/>
    <w:rsid w:val="00037FF6"/>
    <w:rsid w:val="00043AAF"/>
    <w:rsid w:val="00047BE3"/>
    <w:rsid w:val="00056602"/>
    <w:rsid w:val="0005673A"/>
    <w:rsid w:val="00062586"/>
    <w:rsid w:val="00067B91"/>
    <w:rsid w:val="00067F4D"/>
    <w:rsid w:val="0007232F"/>
    <w:rsid w:val="00080D4E"/>
    <w:rsid w:val="0008206C"/>
    <w:rsid w:val="00085B38"/>
    <w:rsid w:val="00094E8F"/>
    <w:rsid w:val="000A6DEB"/>
    <w:rsid w:val="000B018C"/>
    <w:rsid w:val="000B4505"/>
    <w:rsid w:val="000B459A"/>
    <w:rsid w:val="000B5235"/>
    <w:rsid w:val="000B5F0C"/>
    <w:rsid w:val="000B655D"/>
    <w:rsid w:val="000C5257"/>
    <w:rsid w:val="000D1632"/>
    <w:rsid w:val="000D52A3"/>
    <w:rsid w:val="000D5521"/>
    <w:rsid w:val="000E0197"/>
    <w:rsid w:val="000E2956"/>
    <w:rsid w:val="000F08D7"/>
    <w:rsid w:val="000F377C"/>
    <w:rsid w:val="000F416C"/>
    <w:rsid w:val="000F638D"/>
    <w:rsid w:val="000F6C39"/>
    <w:rsid w:val="00102F07"/>
    <w:rsid w:val="001065C5"/>
    <w:rsid w:val="00107758"/>
    <w:rsid w:val="00113B98"/>
    <w:rsid w:val="00121B5F"/>
    <w:rsid w:val="001263F5"/>
    <w:rsid w:val="00127442"/>
    <w:rsid w:val="00135449"/>
    <w:rsid w:val="00152171"/>
    <w:rsid w:val="00163F94"/>
    <w:rsid w:val="001645B2"/>
    <w:rsid w:val="00165655"/>
    <w:rsid w:val="00165D79"/>
    <w:rsid w:val="001663B0"/>
    <w:rsid w:val="001673D9"/>
    <w:rsid w:val="00170CA2"/>
    <w:rsid w:val="00170FCA"/>
    <w:rsid w:val="00171F09"/>
    <w:rsid w:val="0017474B"/>
    <w:rsid w:val="001824CE"/>
    <w:rsid w:val="001858FD"/>
    <w:rsid w:val="00186ACD"/>
    <w:rsid w:val="00190415"/>
    <w:rsid w:val="00192E92"/>
    <w:rsid w:val="00194ECF"/>
    <w:rsid w:val="001974AD"/>
    <w:rsid w:val="001A5F30"/>
    <w:rsid w:val="001C11E3"/>
    <w:rsid w:val="001C4C99"/>
    <w:rsid w:val="001C5BC8"/>
    <w:rsid w:val="001C65F3"/>
    <w:rsid w:val="001D16C6"/>
    <w:rsid w:val="001E07EB"/>
    <w:rsid w:val="001E64ED"/>
    <w:rsid w:val="001F0576"/>
    <w:rsid w:val="001F1F11"/>
    <w:rsid w:val="001F2E30"/>
    <w:rsid w:val="0020000C"/>
    <w:rsid w:val="002009BE"/>
    <w:rsid w:val="0020383D"/>
    <w:rsid w:val="00203B89"/>
    <w:rsid w:val="002063E0"/>
    <w:rsid w:val="00210BDE"/>
    <w:rsid w:val="00220B50"/>
    <w:rsid w:val="00220EF2"/>
    <w:rsid w:val="00222189"/>
    <w:rsid w:val="002424B0"/>
    <w:rsid w:val="0024496A"/>
    <w:rsid w:val="00246179"/>
    <w:rsid w:val="0025162E"/>
    <w:rsid w:val="00255FB7"/>
    <w:rsid w:val="00256E70"/>
    <w:rsid w:val="002602DE"/>
    <w:rsid w:val="00261E2A"/>
    <w:rsid w:val="00265E45"/>
    <w:rsid w:val="0026779F"/>
    <w:rsid w:val="002724DE"/>
    <w:rsid w:val="00275FDB"/>
    <w:rsid w:val="00277080"/>
    <w:rsid w:val="002800B0"/>
    <w:rsid w:val="00280F0B"/>
    <w:rsid w:val="0028325A"/>
    <w:rsid w:val="002844A3"/>
    <w:rsid w:val="002A6C2D"/>
    <w:rsid w:val="002A75C1"/>
    <w:rsid w:val="002C01EE"/>
    <w:rsid w:val="002C239A"/>
    <w:rsid w:val="002C42FF"/>
    <w:rsid w:val="002D73E5"/>
    <w:rsid w:val="002E3561"/>
    <w:rsid w:val="002E76FA"/>
    <w:rsid w:val="002F0430"/>
    <w:rsid w:val="002F23C7"/>
    <w:rsid w:val="002F6140"/>
    <w:rsid w:val="002F647D"/>
    <w:rsid w:val="003016C4"/>
    <w:rsid w:val="00301A38"/>
    <w:rsid w:val="00302C74"/>
    <w:rsid w:val="00314A1D"/>
    <w:rsid w:val="00316688"/>
    <w:rsid w:val="0032090A"/>
    <w:rsid w:val="00322FBF"/>
    <w:rsid w:val="0033017E"/>
    <w:rsid w:val="00334AB1"/>
    <w:rsid w:val="003367F2"/>
    <w:rsid w:val="00341238"/>
    <w:rsid w:val="003434FD"/>
    <w:rsid w:val="00344A1B"/>
    <w:rsid w:val="003500E8"/>
    <w:rsid w:val="00354D69"/>
    <w:rsid w:val="00355967"/>
    <w:rsid w:val="0036176C"/>
    <w:rsid w:val="00362362"/>
    <w:rsid w:val="00364B4B"/>
    <w:rsid w:val="00365F0A"/>
    <w:rsid w:val="003738CD"/>
    <w:rsid w:val="00374643"/>
    <w:rsid w:val="0037536D"/>
    <w:rsid w:val="003779B5"/>
    <w:rsid w:val="00382EF1"/>
    <w:rsid w:val="003843FE"/>
    <w:rsid w:val="00385CC1"/>
    <w:rsid w:val="00385F00"/>
    <w:rsid w:val="0039121E"/>
    <w:rsid w:val="0039165B"/>
    <w:rsid w:val="00394CAF"/>
    <w:rsid w:val="00396194"/>
    <w:rsid w:val="003A0DEC"/>
    <w:rsid w:val="003A2A92"/>
    <w:rsid w:val="003C1D60"/>
    <w:rsid w:val="003C3235"/>
    <w:rsid w:val="003C5E62"/>
    <w:rsid w:val="003D1F52"/>
    <w:rsid w:val="003E4D96"/>
    <w:rsid w:val="003F1AA1"/>
    <w:rsid w:val="003F2377"/>
    <w:rsid w:val="003F66A8"/>
    <w:rsid w:val="00405704"/>
    <w:rsid w:val="00407E31"/>
    <w:rsid w:val="00410967"/>
    <w:rsid w:val="00411B67"/>
    <w:rsid w:val="0041515E"/>
    <w:rsid w:val="004200FB"/>
    <w:rsid w:val="00420210"/>
    <w:rsid w:val="00424F88"/>
    <w:rsid w:val="00431741"/>
    <w:rsid w:val="004319F0"/>
    <w:rsid w:val="00432633"/>
    <w:rsid w:val="00436F65"/>
    <w:rsid w:val="0044368F"/>
    <w:rsid w:val="0045013F"/>
    <w:rsid w:val="0045167B"/>
    <w:rsid w:val="00455015"/>
    <w:rsid w:val="0045555E"/>
    <w:rsid w:val="0046785F"/>
    <w:rsid w:val="004724E0"/>
    <w:rsid w:val="00473AC4"/>
    <w:rsid w:val="004743B9"/>
    <w:rsid w:val="00481261"/>
    <w:rsid w:val="00482D32"/>
    <w:rsid w:val="00491D15"/>
    <w:rsid w:val="0049464C"/>
    <w:rsid w:val="00495B77"/>
    <w:rsid w:val="00496428"/>
    <w:rsid w:val="004A40E3"/>
    <w:rsid w:val="004A4981"/>
    <w:rsid w:val="004A78F5"/>
    <w:rsid w:val="004B19BA"/>
    <w:rsid w:val="004B32BA"/>
    <w:rsid w:val="004B350E"/>
    <w:rsid w:val="004B4A00"/>
    <w:rsid w:val="004B79EF"/>
    <w:rsid w:val="004C6132"/>
    <w:rsid w:val="004C75F1"/>
    <w:rsid w:val="004D07A2"/>
    <w:rsid w:val="004D6C53"/>
    <w:rsid w:val="004D78CF"/>
    <w:rsid w:val="004E088A"/>
    <w:rsid w:val="004E2C8B"/>
    <w:rsid w:val="004F4406"/>
    <w:rsid w:val="00502272"/>
    <w:rsid w:val="00505D71"/>
    <w:rsid w:val="00510416"/>
    <w:rsid w:val="00513E55"/>
    <w:rsid w:val="005255BC"/>
    <w:rsid w:val="00525901"/>
    <w:rsid w:val="00526FAC"/>
    <w:rsid w:val="00533175"/>
    <w:rsid w:val="00534796"/>
    <w:rsid w:val="00535D17"/>
    <w:rsid w:val="00543667"/>
    <w:rsid w:val="005455EF"/>
    <w:rsid w:val="005546F7"/>
    <w:rsid w:val="00554A4A"/>
    <w:rsid w:val="00555A0A"/>
    <w:rsid w:val="00565446"/>
    <w:rsid w:val="00570C43"/>
    <w:rsid w:val="005715E0"/>
    <w:rsid w:val="00576E56"/>
    <w:rsid w:val="005848F5"/>
    <w:rsid w:val="00593E9C"/>
    <w:rsid w:val="005A2801"/>
    <w:rsid w:val="005A75AB"/>
    <w:rsid w:val="005B3394"/>
    <w:rsid w:val="005B6773"/>
    <w:rsid w:val="005B786A"/>
    <w:rsid w:val="005B79CF"/>
    <w:rsid w:val="005C5A36"/>
    <w:rsid w:val="005D5422"/>
    <w:rsid w:val="005E1D19"/>
    <w:rsid w:val="005E3442"/>
    <w:rsid w:val="005E37E1"/>
    <w:rsid w:val="005E5B85"/>
    <w:rsid w:val="005E6C23"/>
    <w:rsid w:val="005F1F11"/>
    <w:rsid w:val="00601B66"/>
    <w:rsid w:val="00605778"/>
    <w:rsid w:val="00612841"/>
    <w:rsid w:val="00622ADF"/>
    <w:rsid w:val="00625A71"/>
    <w:rsid w:val="00625FC7"/>
    <w:rsid w:val="00641D13"/>
    <w:rsid w:val="00642CF1"/>
    <w:rsid w:val="00643EBF"/>
    <w:rsid w:val="00651977"/>
    <w:rsid w:val="00665F65"/>
    <w:rsid w:val="0067350C"/>
    <w:rsid w:val="00681FB7"/>
    <w:rsid w:val="006859E8"/>
    <w:rsid w:val="00686863"/>
    <w:rsid w:val="00695CE0"/>
    <w:rsid w:val="006A04D2"/>
    <w:rsid w:val="006A1A13"/>
    <w:rsid w:val="006A55D3"/>
    <w:rsid w:val="006A65E2"/>
    <w:rsid w:val="006A6883"/>
    <w:rsid w:val="006A72C6"/>
    <w:rsid w:val="006B447D"/>
    <w:rsid w:val="006D6553"/>
    <w:rsid w:val="006D6B37"/>
    <w:rsid w:val="006E52F2"/>
    <w:rsid w:val="006F31CC"/>
    <w:rsid w:val="006F4567"/>
    <w:rsid w:val="006F6EC6"/>
    <w:rsid w:val="006F79A0"/>
    <w:rsid w:val="0070332E"/>
    <w:rsid w:val="00706041"/>
    <w:rsid w:val="00722098"/>
    <w:rsid w:val="00726B27"/>
    <w:rsid w:val="007310FE"/>
    <w:rsid w:val="00740DC8"/>
    <w:rsid w:val="007416D9"/>
    <w:rsid w:val="00742D75"/>
    <w:rsid w:val="00745354"/>
    <w:rsid w:val="0074778D"/>
    <w:rsid w:val="00756F8E"/>
    <w:rsid w:val="00763192"/>
    <w:rsid w:val="00764263"/>
    <w:rsid w:val="0076468F"/>
    <w:rsid w:val="007709ED"/>
    <w:rsid w:val="00795D70"/>
    <w:rsid w:val="007B0DF2"/>
    <w:rsid w:val="007B16C7"/>
    <w:rsid w:val="007B4394"/>
    <w:rsid w:val="007B56FE"/>
    <w:rsid w:val="007B7218"/>
    <w:rsid w:val="007B7D87"/>
    <w:rsid w:val="007C1499"/>
    <w:rsid w:val="007D489E"/>
    <w:rsid w:val="007D7401"/>
    <w:rsid w:val="007E3B68"/>
    <w:rsid w:val="007E420A"/>
    <w:rsid w:val="007F342F"/>
    <w:rsid w:val="007F3DEE"/>
    <w:rsid w:val="007F7EEE"/>
    <w:rsid w:val="00802470"/>
    <w:rsid w:val="008029A8"/>
    <w:rsid w:val="008121A9"/>
    <w:rsid w:val="008151D2"/>
    <w:rsid w:val="00822ABF"/>
    <w:rsid w:val="008230E9"/>
    <w:rsid w:val="00825182"/>
    <w:rsid w:val="00825217"/>
    <w:rsid w:val="00825E68"/>
    <w:rsid w:val="00831A58"/>
    <w:rsid w:val="00835DFF"/>
    <w:rsid w:val="008455DB"/>
    <w:rsid w:val="0084700D"/>
    <w:rsid w:val="0084722D"/>
    <w:rsid w:val="00852615"/>
    <w:rsid w:val="008566D0"/>
    <w:rsid w:val="00857262"/>
    <w:rsid w:val="00857272"/>
    <w:rsid w:val="008776D7"/>
    <w:rsid w:val="0088700D"/>
    <w:rsid w:val="0088725C"/>
    <w:rsid w:val="00890494"/>
    <w:rsid w:val="00891FC2"/>
    <w:rsid w:val="00892264"/>
    <w:rsid w:val="00897B64"/>
    <w:rsid w:val="00897C8B"/>
    <w:rsid w:val="008A13B1"/>
    <w:rsid w:val="008A2865"/>
    <w:rsid w:val="008A45C3"/>
    <w:rsid w:val="008A6D59"/>
    <w:rsid w:val="008C12A9"/>
    <w:rsid w:val="008C2177"/>
    <w:rsid w:val="008C3E8E"/>
    <w:rsid w:val="008C6804"/>
    <w:rsid w:val="008C75A7"/>
    <w:rsid w:val="008D38DC"/>
    <w:rsid w:val="008D5EFA"/>
    <w:rsid w:val="008D7CA4"/>
    <w:rsid w:val="008E629E"/>
    <w:rsid w:val="008F5216"/>
    <w:rsid w:val="008F555C"/>
    <w:rsid w:val="00900D5A"/>
    <w:rsid w:val="0090703D"/>
    <w:rsid w:val="0091042B"/>
    <w:rsid w:val="00924DB5"/>
    <w:rsid w:val="00926681"/>
    <w:rsid w:val="009267BD"/>
    <w:rsid w:val="009315EF"/>
    <w:rsid w:val="009316CA"/>
    <w:rsid w:val="00932A4B"/>
    <w:rsid w:val="00936776"/>
    <w:rsid w:val="009376FD"/>
    <w:rsid w:val="00937F52"/>
    <w:rsid w:val="00941B91"/>
    <w:rsid w:val="00951209"/>
    <w:rsid w:val="0095443C"/>
    <w:rsid w:val="009A5066"/>
    <w:rsid w:val="009A62B5"/>
    <w:rsid w:val="009B650A"/>
    <w:rsid w:val="009C521F"/>
    <w:rsid w:val="009E229E"/>
    <w:rsid w:val="009E29A9"/>
    <w:rsid w:val="009E5689"/>
    <w:rsid w:val="009F1EAE"/>
    <w:rsid w:val="009F7DE2"/>
    <w:rsid w:val="00A05628"/>
    <w:rsid w:val="00A05E5A"/>
    <w:rsid w:val="00A0719F"/>
    <w:rsid w:val="00A10EB5"/>
    <w:rsid w:val="00A13B17"/>
    <w:rsid w:val="00A2375A"/>
    <w:rsid w:val="00A30E9C"/>
    <w:rsid w:val="00A31621"/>
    <w:rsid w:val="00A323F3"/>
    <w:rsid w:val="00A32E6F"/>
    <w:rsid w:val="00A37774"/>
    <w:rsid w:val="00A40A4B"/>
    <w:rsid w:val="00A47021"/>
    <w:rsid w:val="00A505AF"/>
    <w:rsid w:val="00A51073"/>
    <w:rsid w:val="00A65BE8"/>
    <w:rsid w:val="00A806C3"/>
    <w:rsid w:val="00A83581"/>
    <w:rsid w:val="00A938DD"/>
    <w:rsid w:val="00A940F8"/>
    <w:rsid w:val="00AA09B3"/>
    <w:rsid w:val="00AA4C7C"/>
    <w:rsid w:val="00AA51A9"/>
    <w:rsid w:val="00AA5E55"/>
    <w:rsid w:val="00AA63EE"/>
    <w:rsid w:val="00AA655A"/>
    <w:rsid w:val="00AB3662"/>
    <w:rsid w:val="00AB41FF"/>
    <w:rsid w:val="00AB5CA9"/>
    <w:rsid w:val="00AC2A27"/>
    <w:rsid w:val="00AC326F"/>
    <w:rsid w:val="00AC4D03"/>
    <w:rsid w:val="00AC6B27"/>
    <w:rsid w:val="00AC7099"/>
    <w:rsid w:val="00AD08CB"/>
    <w:rsid w:val="00AD1B35"/>
    <w:rsid w:val="00AE35DB"/>
    <w:rsid w:val="00AE44D9"/>
    <w:rsid w:val="00AE7572"/>
    <w:rsid w:val="00AF241B"/>
    <w:rsid w:val="00AF30B8"/>
    <w:rsid w:val="00AF684D"/>
    <w:rsid w:val="00B00172"/>
    <w:rsid w:val="00B00D32"/>
    <w:rsid w:val="00B036AA"/>
    <w:rsid w:val="00B13D6B"/>
    <w:rsid w:val="00B14510"/>
    <w:rsid w:val="00B14E1D"/>
    <w:rsid w:val="00B16C08"/>
    <w:rsid w:val="00B21B59"/>
    <w:rsid w:val="00B32382"/>
    <w:rsid w:val="00B32941"/>
    <w:rsid w:val="00B33A4E"/>
    <w:rsid w:val="00B33F0A"/>
    <w:rsid w:val="00B36209"/>
    <w:rsid w:val="00B418FA"/>
    <w:rsid w:val="00B42804"/>
    <w:rsid w:val="00B43E45"/>
    <w:rsid w:val="00B44845"/>
    <w:rsid w:val="00B56B8D"/>
    <w:rsid w:val="00B61829"/>
    <w:rsid w:val="00B63273"/>
    <w:rsid w:val="00B73DD7"/>
    <w:rsid w:val="00B7661C"/>
    <w:rsid w:val="00B76B4F"/>
    <w:rsid w:val="00B81B2E"/>
    <w:rsid w:val="00B932C4"/>
    <w:rsid w:val="00B947C9"/>
    <w:rsid w:val="00B94997"/>
    <w:rsid w:val="00B975DC"/>
    <w:rsid w:val="00BA38EA"/>
    <w:rsid w:val="00BA39A8"/>
    <w:rsid w:val="00BA750C"/>
    <w:rsid w:val="00BA7987"/>
    <w:rsid w:val="00BB0478"/>
    <w:rsid w:val="00BC1BF0"/>
    <w:rsid w:val="00BD1328"/>
    <w:rsid w:val="00BE4606"/>
    <w:rsid w:val="00BF41C9"/>
    <w:rsid w:val="00BF4297"/>
    <w:rsid w:val="00BF4BB6"/>
    <w:rsid w:val="00BF6F3F"/>
    <w:rsid w:val="00BF7A3C"/>
    <w:rsid w:val="00C03389"/>
    <w:rsid w:val="00C102D5"/>
    <w:rsid w:val="00C25643"/>
    <w:rsid w:val="00C262E2"/>
    <w:rsid w:val="00C30BC8"/>
    <w:rsid w:val="00C34E8C"/>
    <w:rsid w:val="00C37917"/>
    <w:rsid w:val="00C40324"/>
    <w:rsid w:val="00C409BA"/>
    <w:rsid w:val="00C47513"/>
    <w:rsid w:val="00C51B95"/>
    <w:rsid w:val="00C53ECC"/>
    <w:rsid w:val="00C5522E"/>
    <w:rsid w:val="00C63094"/>
    <w:rsid w:val="00C66B8B"/>
    <w:rsid w:val="00C73521"/>
    <w:rsid w:val="00C73B16"/>
    <w:rsid w:val="00C74FD6"/>
    <w:rsid w:val="00C80477"/>
    <w:rsid w:val="00C808AA"/>
    <w:rsid w:val="00C818ED"/>
    <w:rsid w:val="00C8657F"/>
    <w:rsid w:val="00CB09BC"/>
    <w:rsid w:val="00CB4BE3"/>
    <w:rsid w:val="00CC0F40"/>
    <w:rsid w:val="00CE1329"/>
    <w:rsid w:val="00CE2FA1"/>
    <w:rsid w:val="00CE3450"/>
    <w:rsid w:val="00CE34A7"/>
    <w:rsid w:val="00CF00DF"/>
    <w:rsid w:val="00CF0E36"/>
    <w:rsid w:val="00CF1338"/>
    <w:rsid w:val="00CF191F"/>
    <w:rsid w:val="00CF2F2D"/>
    <w:rsid w:val="00D13881"/>
    <w:rsid w:val="00D15BEF"/>
    <w:rsid w:val="00D160F8"/>
    <w:rsid w:val="00D1668F"/>
    <w:rsid w:val="00D16B67"/>
    <w:rsid w:val="00D312D5"/>
    <w:rsid w:val="00D34AB4"/>
    <w:rsid w:val="00D37397"/>
    <w:rsid w:val="00D41D4B"/>
    <w:rsid w:val="00D43968"/>
    <w:rsid w:val="00D44D8A"/>
    <w:rsid w:val="00D539B3"/>
    <w:rsid w:val="00D569B1"/>
    <w:rsid w:val="00D629FE"/>
    <w:rsid w:val="00D66325"/>
    <w:rsid w:val="00D71EC1"/>
    <w:rsid w:val="00D82178"/>
    <w:rsid w:val="00D83A48"/>
    <w:rsid w:val="00D83E3F"/>
    <w:rsid w:val="00D9071B"/>
    <w:rsid w:val="00D94396"/>
    <w:rsid w:val="00DA1724"/>
    <w:rsid w:val="00DA3B9F"/>
    <w:rsid w:val="00DA5B61"/>
    <w:rsid w:val="00DB47C1"/>
    <w:rsid w:val="00DB50F0"/>
    <w:rsid w:val="00DB6011"/>
    <w:rsid w:val="00DB7098"/>
    <w:rsid w:val="00DC0DF7"/>
    <w:rsid w:val="00DC5B32"/>
    <w:rsid w:val="00DD3423"/>
    <w:rsid w:val="00DD660E"/>
    <w:rsid w:val="00DE6814"/>
    <w:rsid w:val="00E042E2"/>
    <w:rsid w:val="00E0506B"/>
    <w:rsid w:val="00E065E8"/>
    <w:rsid w:val="00E11931"/>
    <w:rsid w:val="00E122D1"/>
    <w:rsid w:val="00E13C11"/>
    <w:rsid w:val="00E1569B"/>
    <w:rsid w:val="00E22FB8"/>
    <w:rsid w:val="00E31B15"/>
    <w:rsid w:val="00E327D2"/>
    <w:rsid w:val="00E33907"/>
    <w:rsid w:val="00E51100"/>
    <w:rsid w:val="00E5153D"/>
    <w:rsid w:val="00E52124"/>
    <w:rsid w:val="00E53610"/>
    <w:rsid w:val="00E56614"/>
    <w:rsid w:val="00E575A3"/>
    <w:rsid w:val="00E66315"/>
    <w:rsid w:val="00E87514"/>
    <w:rsid w:val="00E90F17"/>
    <w:rsid w:val="00E97202"/>
    <w:rsid w:val="00E97AD1"/>
    <w:rsid w:val="00EA0334"/>
    <w:rsid w:val="00EA03F0"/>
    <w:rsid w:val="00EA4E2E"/>
    <w:rsid w:val="00EB0FE1"/>
    <w:rsid w:val="00EB4585"/>
    <w:rsid w:val="00EB7A1B"/>
    <w:rsid w:val="00EC4B55"/>
    <w:rsid w:val="00EC52FE"/>
    <w:rsid w:val="00EC60B7"/>
    <w:rsid w:val="00EC74BA"/>
    <w:rsid w:val="00EC7E19"/>
    <w:rsid w:val="00ED53B0"/>
    <w:rsid w:val="00ED550D"/>
    <w:rsid w:val="00EF0FE0"/>
    <w:rsid w:val="00EF7D5B"/>
    <w:rsid w:val="00F0230A"/>
    <w:rsid w:val="00F1757E"/>
    <w:rsid w:val="00F23DF8"/>
    <w:rsid w:val="00F350E1"/>
    <w:rsid w:val="00F4668F"/>
    <w:rsid w:val="00F46752"/>
    <w:rsid w:val="00F47315"/>
    <w:rsid w:val="00F509CD"/>
    <w:rsid w:val="00F560C3"/>
    <w:rsid w:val="00F56957"/>
    <w:rsid w:val="00F60A2E"/>
    <w:rsid w:val="00F67C2B"/>
    <w:rsid w:val="00F71375"/>
    <w:rsid w:val="00F83A03"/>
    <w:rsid w:val="00F83C8A"/>
    <w:rsid w:val="00F84006"/>
    <w:rsid w:val="00F869C2"/>
    <w:rsid w:val="00FA1812"/>
    <w:rsid w:val="00FA3267"/>
    <w:rsid w:val="00FA607E"/>
    <w:rsid w:val="00FA6A70"/>
    <w:rsid w:val="00FB3589"/>
    <w:rsid w:val="00FB5191"/>
    <w:rsid w:val="00FB71F7"/>
    <w:rsid w:val="00FC2D0D"/>
    <w:rsid w:val="00FC4325"/>
    <w:rsid w:val="00FC55C6"/>
    <w:rsid w:val="00FD0B53"/>
    <w:rsid w:val="00FD4964"/>
    <w:rsid w:val="00FD7694"/>
    <w:rsid w:val="00FE20B5"/>
    <w:rsid w:val="00FF64B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3CA36"/>
  <w15:docId w15:val="{46B21006-AB6C-4351-89CE-0C91FDB4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85F"/>
  </w:style>
  <w:style w:type="paragraph" w:styleId="Titre1">
    <w:name w:val="heading 1"/>
    <w:basedOn w:val="Normal"/>
    <w:next w:val="Normal"/>
    <w:link w:val="Titre1Car"/>
    <w:uiPriority w:val="9"/>
    <w:qFormat/>
    <w:rsid w:val="00A40A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7416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7B72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678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4678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785F"/>
    <w:rPr>
      <w:rFonts w:ascii="Tahoma" w:hAnsi="Tahoma" w:cs="Tahoma"/>
      <w:sz w:val="16"/>
      <w:szCs w:val="16"/>
    </w:rPr>
  </w:style>
  <w:style w:type="paragraph" w:styleId="Paragraphedeliste">
    <w:name w:val="List Paragraph"/>
    <w:basedOn w:val="Normal"/>
    <w:link w:val="ParagraphedelisteCar"/>
    <w:uiPriority w:val="34"/>
    <w:qFormat/>
    <w:rsid w:val="00B14510"/>
    <w:pPr>
      <w:ind w:left="720"/>
      <w:contextualSpacing/>
    </w:pPr>
  </w:style>
  <w:style w:type="paragraph" w:styleId="En-tte">
    <w:name w:val="header"/>
    <w:basedOn w:val="Normal"/>
    <w:link w:val="En-tteCar"/>
    <w:uiPriority w:val="99"/>
    <w:unhideWhenUsed/>
    <w:rsid w:val="00E13C11"/>
    <w:pPr>
      <w:tabs>
        <w:tab w:val="center" w:pos="4536"/>
        <w:tab w:val="right" w:pos="9072"/>
      </w:tabs>
      <w:spacing w:after="0" w:line="240" w:lineRule="auto"/>
    </w:pPr>
  </w:style>
  <w:style w:type="character" w:customStyle="1" w:styleId="En-tteCar">
    <w:name w:val="En-tête Car"/>
    <w:basedOn w:val="Policepardfaut"/>
    <w:link w:val="En-tte"/>
    <w:uiPriority w:val="99"/>
    <w:rsid w:val="00E13C11"/>
  </w:style>
  <w:style w:type="character" w:customStyle="1" w:styleId="ParagraphedelisteCar">
    <w:name w:val="Paragraphe de liste Car"/>
    <w:basedOn w:val="Policepardfaut"/>
    <w:link w:val="Paragraphedeliste"/>
    <w:uiPriority w:val="34"/>
    <w:locked/>
    <w:rsid w:val="00405704"/>
  </w:style>
  <w:style w:type="paragraph" w:styleId="Pieddepage">
    <w:name w:val="footer"/>
    <w:basedOn w:val="Normal"/>
    <w:link w:val="PieddepageCar"/>
    <w:uiPriority w:val="99"/>
    <w:unhideWhenUsed/>
    <w:rsid w:val="00C53E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3ECC"/>
  </w:style>
  <w:style w:type="paragraph" w:styleId="NormalWeb">
    <w:name w:val="Normal (Web)"/>
    <w:basedOn w:val="Normal"/>
    <w:uiPriority w:val="99"/>
    <w:unhideWhenUsed/>
    <w:rsid w:val="00382E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570C43"/>
    <w:rPr>
      <w:sz w:val="16"/>
      <w:szCs w:val="16"/>
    </w:rPr>
  </w:style>
  <w:style w:type="paragraph" w:styleId="Commentaire">
    <w:name w:val="annotation text"/>
    <w:basedOn w:val="Normal"/>
    <w:link w:val="CommentaireCar"/>
    <w:uiPriority w:val="99"/>
    <w:semiHidden/>
    <w:unhideWhenUsed/>
    <w:rsid w:val="00570C43"/>
    <w:pPr>
      <w:spacing w:line="240" w:lineRule="auto"/>
    </w:pPr>
    <w:rPr>
      <w:sz w:val="20"/>
      <w:szCs w:val="20"/>
    </w:rPr>
  </w:style>
  <w:style w:type="character" w:customStyle="1" w:styleId="CommentaireCar">
    <w:name w:val="Commentaire Car"/>
    <w:basedOn w:val="Policepardfaut"/>
    <w:link w:val="Commentaire"/>
    <w:uiPriority w:val="99"/>
    <w:semiHidden/>
    <w:rsid w:val="00570C43"/>
    <w:rPr>
      <w:sz w:val="20"/>
      <w:szCs w:val="20"/>
    </w:rPr>
  </w:style>
  <w:style w:type="paragraph" w:styleId="Objetducommentaire">
    <w:name w:val="annotation subject"/>
    <w:basedOn w:val="Commentaire"/>
    <w:next w:val="Commentaire"/>
    <w:link w:val="ObjetducommentaireCar"/>
    <w:uiPriority w:val="99"/>
    <w:semiHidden/>
    <w:unhideWhenUsed/>
    <w:rsid w:val="00570C43"/>
    <w:rPr>
      <w:b/>
      <w:bCs/>
    </w:rPr>
  </w:style>
  <w:style w:type="character" w:customStyle="1" w:styleId="ObjetducommentaireCar">
    <w:name w:val="Objet du commentaire Car"/>
    <w:basedOn w:val="CommentaireCar"/>
    <w:link w:val="Objetducommentaire"/>
    <w:uiPriority w:val="99"/>
    <w:semiHidden/>
    <w:rsid w:val="00570C43"/>
    <w:rPr>
      <w:b/>
      <w:bCs/>
      <w:sz w:val="20"/>
      <w:szCs w:val="20"/>
    </w:rPr>
  </w:style>
  <w:style w:type="paragraph" w:styleId="Lgende">
    <w:name w:val="caption"/>
    <w:basedOn w:val="Normal"/>
    <w:next w:val="Normal"/>
    <w:uiPriority w:val="35"/>
    <w:unhideWhenUsed/>
    <w:qFormat/>
    <w:rsid w:val="00C5522E"/>
    <w:pPr>
      <w:spacing w:line="240" w:lineRule="auto"/>
    </w:pPr>
    <w:rPr>
      <w:i/>
      <w:iCs/>
      <w:color w:val="1F497D" w:themeColor="text2"/>
      <w:sz w:val="18"/>
      <w:szCs w:val="18"/>
    </w:rPr>
  </w:style>
  <w:style w:type="character" w:customStyle="1" w:styleId="Titre1Car">
    <w:name w:val="Titre 1 Car"/>
    <w:basedOn w:val="Policepardfaut"/>
    <w:link w:val="Titre1"/>
    <w:uiPriority w:val="9"/>
    <w:rsid w:val="00A40A4B"/>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A40A4B"/>
    <w:pPr>
      <w:spacing w:line="259" w:lineRule="auto"/>
      <w:outlineLvl w:val="9"/>
    </w:pPr>
    <w:rPr>
      <w:lang w:eastAsia="fr-FR"/>
    </w:rPr>
  </w:style>
  <w:style w:type="paragraph" w:styleId="TM1">
    <w:name w:val="toc 1"/>
    <w:basedOn w:val="Normal"/>
    <w:next w:val="Normal"/>
    <w:autoRedefine/>
    <w:uiPriority w:val="39"/>
    <w:unhideWhenUsed/>
    <w:rsid w:val="00A40A4B"/>
    <w:pPr>
      <w:spacing w:after="100"/>
    </w:pPr>
  </w:style>
  <w:style w:type="paragraph" w:styleId="TM2">
    <w:name w:val="toc 2"/>
    <w:basedOn w:val="Normal"/>
    <w:next w:val="Normal"/>
    <w:autoRedefine/>
    <w:uiPriority w:val="39"/>
    <w:unhideWhenUsed/>
    <w:rsid w:val="00A40A4B"/>
    <w:pPr>
      <w:spacing w:after="100"/>
      <w:ind w:left="220"/>
    </w:pPr>
  </w:style>
  <w:style w:type="paragraph" w:styleId="TM3">
    <w:name w:val="toc 3"/>
    <w:basedOn w:val="Normal"/>
    <w:next w:val="Normal"/>
    <w:autoRedefine/>
    <w:uiPriority w:val="39"/>
    <w:unhideWhenUsed/>
    <w:rsid w:val="00A40A4B"/>
    <w:pPr>
      <w:spacing w:after="100"/>
      <w:ind w:left="440"/>
    </w:pPr>
  </w:style>
  <w:style w:type="character" w:styleId="Lienhypertexte">
    <w:name w:val="Hyperlink"/>
    <w:basedOn w:val="Policepardfaut"/>
    <w:uiPriority w:val="99"/>
    <w:unhideWhenUsed/>
    <w:rsid w:val="00A40A4B"/>
    <w:rPr>
      <w:color w:val="0000FF" w:themeColor="hyperlink"/>
      <w:u w:val="single"/>
    </w:rPr>
  </w:style>
  <w:style w:type="character" w:customStyle="1" w:styleId="Titre2Car">
    <w:name w:val="Titre 2 Car"/>
    <w:basedOn w:val="Policepardfaut"/>
    <w:link w:val="Titre2"/>
    <w:uiPriority w:val="9"/>
    <w:semiHidden/>
    <w:rsid w:val="007416D9"/>
    <w:rPr>
      <w:rFonts w:asciiTheme="majorHAnsi" w:eastAsiaTheme="majorEastAsia" w:hAnsiTheme="majorHAnsi" w:cstheme="majorBidi"/>
      <w:color w:val="365F91" w:themeColor="accent1" w:themeShade="BF"/>
      <w:sz w:val="26"/>
      <w:szCs w:val="26"/>
    </w:rPr>
  </w:style>
  <w:style w:type="table" w:customStyle="1" w:styleId="TableGrid">
    <w:name w:val="TableGrid"/>
    <w:rsid w:val="007416D9"/>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Titre3Car">
    <w:name w:val="Titre 3 Car"/>
    <w:basedOn w:val="Policepardfaut"/>
    <w:link w:val="Titre3"/>
    <w:uiPriority w:val="9"/>
    <w:semiHidden/>
    <w:rsid w:val="007B7218"/>
    <w:rPr>
      <w:rFonts w:asciiTheme="majorHAnsi" w:eastAsiaTheme="majorEastAsia" w:hAnsiTheme="majorHAnsi" w:cstheme="majorBidi"/>
      <w:color w:val="243F60" w:themeColor="accent1" w:themeShade="7F"/>
      <w:sz w:val="24"/>
      <w:szCs w:val="24"/>
    </w:rPr>
  </w:style>
  <w:style w:type="character" w:styleId="Numrodepage">
    <w:name w:val="page number"/>
    <w:basedOn w:val="Policepardfaut"/>
    <w:rsid w:val="00EA0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6362">
      <w:bodyDiv w:val="1"/>
      <w:marLeft w:val="0"/>
      <w:marRight w:val="0"/>
      <w:marTop w:val="0"/>
      <w:marBottom w:val="0"/>
      <w:divBdr>
        <w:top w:val="none" w:sz="0" w:space="0" w:color="auto"/>
        <w:left w:val="none" w:sz="0" w:space="0" w:color="auto"/>
        <w:bottom w:val="none" w:sz="0" w:space="0" w:color="auto"/>
        <w:right w:val="none" w:sz="0" w:space="0" w:color="auto"/>
      </w:divBdr>
    </w:div>
    <w:div w:id="264312630">
      <w:bodyDiv w:val="1"/>
      <w:marLeft w:val="0"/>
      <w:marRight w:val="0"/>
      <w:marTop w:val="0"/>
      <w:marBottom w:val="0"/>
      <w:divBdr>
        <w:top w:val="none" w:sz="0" w:space="0" w:color="auto"/>
        <w:left w:val="none" w:sz="0" w:space="0" w:color="auto"/>
        <w:bottom w:val="none" w:sz="0" w:space="0" w:color="auto"/>
        <w:right w:val="none" w:sz="0" w:space="0" w:color="auto"/>
      </w:divBdr>
    </w:div>
    <w:div w:id="651061743">
      <w:bodyDiv w:val="1"/>
      <w:marLeft w:val="0"/>
      <w:marRight w:val="0"/>
      <w:marTop w:val="0"/>
      <w:marBottom w:val="0"/>
      <w:divBdr>
        <w:top w:val="none" w:sz="0" w:space="0" w:color="auto"/>
        <w:left w:val="none" w:sz="0" w:space="0" w:color="auto"/>
        <w:bottom w:val="none" w:sz="0" w:space="0" w:color="auto"/>
        <w:right w:val="none" w:sz="0" w:space="0" w:color="auto"/>
      </w:divBdr>
    </w:div>
    <w:div w:id="766005548">
      <w:bodyDiv w:val="1"/>
      <w:marLeft w:val="0"/>
      <w:marRight w:val="0"/>
      <w:marTop w:val="0"/>
      <w:marBottom w:val="0"/>
      <w:divBdr>
        <w:top w:val="none" w:sz="0" w:space="0" w:color="auto"/>
        <w:left w:val="none" w:sz="0" w:space="0" w:color="auto"/>
        <w:bottom w:val="none" w:sz="0" w:space="0" w:color="auto"/>
        <w:right w:val="none" w:sz="0" w:space="0" w:color="auto"/>
      </w:divBdr>
    </w:div>
    <w:div w:id="1097167331">
      <w:bodyDiv w:val="1"/>
      <w:marLeft w:val="0"/>
      <w:marRight w:val="0"/>
      <w:marTop w:val="0"/>
      <w:marBottom w:val="0"/>
      <w:divBdr>
        <w:top w:val="none" w:sz="0" w:space="0" w:color="auto"/>
        <w:left w:val="none" w:sz="0" w:space="0" w:color="auto"/>
        <w:bottom w:val="none" w:sz="0" w:space="0" w:color="auto"/>
        <w:right w:val="none" w:sz="0" w:space="0" w:color="auto"/>
      </w:divBdr>
    </w:div>
    <w:div w:id="1202790885">
      <w:bodyDiv w:val="1"/>
      <w:marLeft w:val="0"/>
      <w:marRight w:val="0"/>
      <w:marTop w:val="0"/>
      <w:marBottom w:val="0"/>
      <w:divBdr>
        <w:top w:val="none" w:sz="0" w:space="0" w:color="auto"/>
        <w:left w:val="none" w:sz="0" w:space="0" w:color="auto"/>
        <w:bottom w:val="none" w:sz="0" w:space="0" w:color="auto"/>
        <w:right w:val="none" w:sz="0" w:space="0" w:color="auto"/>
      </w:divBdr>
    </w:div>
    <w:div w:id="1243371204">
      <w:bodyDiv w:val="1"/>
      <w:marLeft w:val="0"/>
      <w:marRight w:val="0"/>
      <w:marTop w:val="0"/>
      <w:marBottom w:val="0"/>
      <w:divBdr>
        <w:top w:val="none" w:sz="0" w:space="0" w:color="auto"/>
        <w:left w:val="none" w:sz="0" w:space="0" w:color="auto"/>
        <w:bottom w:val="none" w:sz="0" w:space="0" w:color="auto"/>
        <w:right w:val="none" w:sz="0" w:space="0" w:color="auto"/>
      </w:divBdr>
    </w:div>
    <w:div w:id="1399984436">
      <w:bodyDiv w:val="1"/>
      <w:marLeft w:val="0"/>
      <w:marRight w:val="0"/>
      <w:marTop w:val="0"/>
      <w:marBottom w:val="0"/>
      <w:divBdr>
        <w:top w:val="none" w:sz="0" w:space="0" w:color="auto"/>
        <w:left w:val="none" w:sz="0" w:space="0" w:color="auto"/>
        <w:bottom w:val="none" w:sz="0" w:space="0" w:color="auto"/>
        <w:right w:val="none" w:sz="0" w:space="0" w:color="auto"/>
      </w:divBdr>
    </w:div>
    <w:div w:id="1480153085">
      <w:bodyDiv w:val="1"/>
      <w:marLeft w:val="0"/>
      <w:marRight w:val="0"/>
      <w:marTop w:val="0"/>
      <w:marBottom w:val="0"/>
      <w:divBdr>
        <w:top w:val="none" w:sz="0" w:space="0" w:color="auto"/>
        <w:left w:val="none" w:sz="0" w:space="0" w:color="auto"/>
        <w:bottom w:val="none" w:sz="0" w:space="0" w:color="auto"/>
        <w:right w:val="none" w:sz="0" w:space="0" w:color="auto"/>
      </w:divBdr>
    </w:div>
    <w:div w:id="1570265208">
      <w:bodyDiv w:val="1"/>
      <w:marLeft w:val="0"/>
      <w:marRight w:val="0"/>
      <w:marTop w:val="0"/>
      <w:marBottom w:val="0"/>
      <w:divBdr>
        <w:top w:val="none" w:sz="0" w:space="0" w:color="auto"/>
        <w:left w:val="none" w:sz="0" w:space="0" w:color="auto"/>
        <w:bottom w:val="none" w:sz="0" w:space="0" w:color="auto"/>
        <w:right w:val="none" w:sz="0" w:space="0" w:color="auto"/>
      </w:divBdr>
    </w:div>
    <w:div w:id="1617908983">
      <w:bodyDiv w:val="1"/>
      <w:marLeft w:val="0"/>
      <w:marRight w:val="0"/>
      <w:marTop w:val="0"/>
      <w:marBottom w:val="0"/>
      <w:divBdr>
        <w:top w:val="none" w:sz="0" w:space="0" w:color="auto"/>
        <w:left w:val="none" w:sz="0" w:space="0" w:color="auto"/>
        <w:bottom w:val="none" w:sz="0" w:space="0" w:color="auto"/>
        <w:right w:val="none" w:sz="0" w:space="0" w:color="auto"/>
      </w:divBdr>
    </w:div>
    <w:div w:id="1625883369">
      <w:bodyDiv w:val="1"/>
      <w:marLeft w:val="0"/>
      <w:marRight w:val="0"/>
      <w:marTop w:val="0"/>
      <w:marBottom w:val="0"/>
      <w:divBdr>
        <w:top w:val="none" w:sz="0" w:space="0" w:color="auto"/>
        <w:left w:val="none" w:sz="0" w:space="0" w:color="auto"/>
        <w:bottom w:val="none" w:sz="0" w:space="0" w:color="auto"/>
        <w:right w:val="none" w:sz="0" w:space="0" w:color="auto"/>
      </w:divBdr>
    </w:div>
    <w:div w:id="1674140293">
      <w:bodyDiv w:val="1"/>
      <w:marLeft w:val="0"/>
      <w:marRight w:val="0"/>
      <w:marTop w:val="0"/>
      <w:marBottom w:val="0"/>
      <w:divBdr>
        <w:top w:val="none" w:sz="0" w:space="0" w:color="auto"/>
        <w:left w:val="none" w:sz="0" w:space="0" w:color="auto"/>
        <w:bottom w:val="none" w:sz="0" w:space="0" w:color="auto"/>
        <w:right w:val="none" w:sz="0" w:space="0" w:color="auto"/>
      </w:divBdr>
    </w:div>
    <w:div w:id="1748258747">
      <w:bodyDiv w:val="1"/>
      <w:marLeft w:val="0"/>
      <w:marRight w:val="0"/>
      <w:marTop w:val="0"/>
      <w:marBottom w:val="0"/>
      <w:divBdr>
        <w:top w:val="none" w:sz="0" w:space="0" w:color="auto"/>
        <w:left w:val="none" w:sz="0" w:space="0" w:color="auto"/>
        <w:bottom w:val="none" w:sz="0" w:space="0" w:color="auto"/>
        <w:right w:val="none" w:sz="0" w:space="0" w:color="auto"/>
      </w:divBdr>
    </w:div>
    <w:div w:id="1758480111">
      <w:bodyDiv w:val="1"/>
      <w:marLeft w:val="0"/>
      <w:marRight w:val="0"/>
      <w:marTop w:val="0"/>
      <w:marBottom w:val="0"/>
      <w:divBdr>
        <w:top w:val="none" w:sz="0" w:space="0" w:color="auto"/>
        <w:left w:val="none" w:sz="0" w:space="0" w:color="auto"/>
        <w:bottom w:val="none" w:sz="0" w:space="0" w:color="auto"/>
        <w:right w:val="none" w:sz="0" w:space="0" w:color="auto"/>
      </w:divBdr>
    </w:div>
    <w:div w:id="1793747461">
      <w:bodyDiv w:val="1"/>
      <w:marLeft w:val="0"/>
      <w:marRight w:val="0"/>
      <w:marTop w:val="0"/>
      <w:marBottom w:val="0"/>
      <w:divBdr>
        <w:top w:val="none" w:sz="0" w:space="0" w:color="auto"/>
        <w:left w:val="none" w:sz="0" w:space="0" w:color="auto"/>
        <w:bottom w:val="none" w:sz="0" w:space="0" w:color="auto"/>
        <w:right w:val="none" w:sz="0" w:space="0" w:color="auto"/>
      </w:divBdr>
    </w:div>
    <w:div w:id="1871795869">
      <w:bodyDiv w:val="1"/>
      <w:marLeft w:val="0"/>
      <w:marRight w:val="0"/>
      <w:marTop w:val="0"/>
      <w:marBottom w:val="0"/>
      <w:divBdr>
        <w:top w:val="none" w:sz="0" w:space="0" w:color="auto"/>
        <w:left w:val="none" w:sz="0" w:space="0" w:color="auto"/>
        <w:bottom w:val="none" w:sz="0" w:space="0" w:color="auto"/>
        <w:right w:val="none" w:sz="0" w:space="0" w:color="auto"/>
      </w:divBdr>
    </w:div>
    <w:div w:id="1925794171">
      <w:bodyDiv w:val="1"/>
      <w:marLeft w:val="0"/>
      <w:marRight w:val="0"/>
      <w:marTop w:val="0"/>
      <w:marBottom w:val="0"/>
      <w:divBdr>
        <w:top w:val="none" w:sz="0" w:space="0" w:color="auto"/>
        <w:left w:val="none" w:sz="0" w:space="0" w:color="auto"/>
        <w:bottom w:val="none" w:sz="0" w:space="0" w:color="auto"/>
        <w:right w:val="none" w:sz="0" w:space="0" w:color="auto"/>
      </w:divBdr>
    </w:div>
    <w:div w:id="1929461189">
      <w:bodyDiv w:val="1"/>
      <w:marLeft w:val="0"/>
      <w:marRight w:val="0"/>
      <w:marTop w:val="0"/>
      <w:marBottom w:val="0"/>
      <w:divBdr>
        <w:top w:val="none" w:sz="0" w:space="0" w:color="auto"/>
        <w:left w:val="none" w:sz="0" w:space="0" w:color="auto"/>
        <w:bottom w:val="none" w:sz="0" w:space="0" w:color="auto"/>
        <w:right w:val="none" w:sz="0" w:space="0" w:color="auto"/>
      </w:divBdr>
    </w:div>
    <w:div w:id="20162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Banq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Compensation_(fin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7FE14-C811-4AE7-A493-D4072995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38</Pages>
  <Words>9615</Words>
  <Characters>52888</Characters>
  <Application>Microsoft Office Word</Application>
  <DocSecurity>0</DocSecurity>
  <Lines>440</Lines>
  <Paragraphs>124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OQSF</dc:creator>
  <cp:lastModifiedBy>Awa NDOUR</cp:lastModifiedBy>
  <cp:revision>18</cp:revision>
  <cp:lastPrinted>2022-09-08T14:44:00Z</cp:lastPrinted>
  <dcterms:created xsi:type="dcterms:W3CDTF">2022-09-08T14:10:00Z</dcterms:created>
  <dcterms:modified xsi:type="dcterms:W3CDTF">2022-09-08T14:57:00Z</dcterms:modified>
</cp:coreProperties>
</file>