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Override PartName="/word/theme/themeOverride62.xml" ContentType="application/vnd.openxmlformats-officedocument.themeOverride+xml"/>
  <Override PartName="/word/charts/chart149.xml" ContentType="application/vnd.openxmlformats-officedocument.drawingml.chart+xml"/>
  <Override PartName="/word/charts/chart196.xml" ContentType="application/vnd.openxmlformats-officedocument.drawingml.chart+xml"/>
  <Override PartName="/word/theme/themeOverride51.xml" ContentType="application/vnd.openxmlformats-officedocument.themeOverride+xml"/>
  <Override PartName="/word/charts/chart201.xml" ContentType="application/vnd.openxmlformats-officedocument.drawingml.chart+xml"/>
  <Override PartName="/word/charts/chart212.xml" ContentType="application/vnd.openxmlformats-officedocument.drawingml.chart+xml"/>
  <Override PartName="/word/charts/chart59.xml" ContentType="application/vnd.openxmlformats-officedocument.drawingml.chart+xml"/>
  <Override PartName="/word/theme/themeOverride40.xml" ContentType="application/vnd.openxmlformats-officedocument.themeOverride+xml"/>
  <Override PartName="/word/charts/chart138.xml" ContentType="application/vnd.openxmlformats-officedocument.drawingml.chart+xml"/>
  <Override PartName="/word/charts/chart185.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charts/chart174.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152.xml" ContentType="application/vnd.openxmlformats-officedocument.drawingml.chart+xml"/>
  <Override PartName="/word/charts/chart163.xml" ContentType="application/vnd.openxmlformats-officedocument.drawingml.chart+xml"/>
  <Override PartName="/word/charts/chart15.xml" ContentType="application/vnd.openxmlformats-officedocument.drawingml.chart+xml"/>
  <Override PartName="/word/charts/chart62.xml" ContentType="application/vnd.openxmlformats-officedocument.drawingml.chart+xml"/>
  <Override PartName="/word/charts/chart141.xml" ContentType="application/vnd.openxmlformats-officedocument.drawingml.chart+xml"/>
  <Override PartName="/word/charts/chart51.xml" ContentType="application/vnd.openxmlformats-officedocument.drawingml.chart+xml"/>
  <Default Extension="xlsx" ContentType="application/vnd.openxmlformats-officedocument.spreadsheetml.sheet"/>
  <Override PartName="/word/charts/chart130.xml" ContentType="application/vnd.openxmlformats-officedocument.drawingml.chart+xml"/>
  <Override PartName="/word/charts/chart217.xml" ContentType="application/vnd.openxmlformats-officedocument.drawingml.chart+xml"/>
  <Override PartName="/word/charts/chart1.xml" ContentType="application/vnd.openxmlformats-officedocument.drawingml.chart+xml"/>
  <Override PartName="/word/charts/chart40.xml" ContentType="application/vnd.openxmlformats-officedocument.drawingml.chart+xml"/>
  <Override PartName="/word/theme/themeOverride45.xml" ContentType="application/vnd.openxmlformats-officedocument.themeOverride+xml"/>
  <Override PartName="/word/charts/chart206.xml" ContentType="application/vnd.openxmlformats-officedocument.drawingml.chart+xml"/>
  <Override PartName="/word/theme/themeOverride56.xml" ContentType="application/vnd.openxmlformats-officedocument.themeOverride+xml"/>
  <Override PartName="/word/theme/themeOverride34.xml" ContentType="application/vnd.openxmlformats-officedocument.themeOverride+xml"/>
  <Override PartName="/word/charts/chart179.xml" ContentType="application/vnd.openxmlformats-officedocument.drawingml.chart+xml"/>
  <Override PartName="/word/theme/themeOverride2.xml" ContentType="application/vnd.openxmlformats-officedocument.themeOverride+xml"/>
  <Override PartName="/word/theme/themeOverride23.xml" ContentType="application/vnd.openxmlformats-officedocument.themeOverride+xml"/>
  <Override PartName="/word/charts/chart89.xml" ContentType="application/vnd.openxmlformats-officedocument.drawingml.chart+xml"/>
  <Override PartName="/word/charts/chart168.xml" ContentType="application/vnd.openxmlformats-officedocument.drawingml.chart+xml"/>
  <Override PartName="/word/theme/themeOverride12.xml" ContentType="application/vnd.openxmlformats-officedocument.themeOverride+xml"/>
  <Override PartName="/word/charts/chart78.xml" ContentType="application/vnd.openxmlformats-officedocument.drawingml.chart+xml"/>
  <Override PartName="/word/charts/chart157.xml" ContentType="application/vnd.openxmlformats-officedocument.drawingml.chart+xml"/>
  <Override PartName="/word/footer4.xml" ContentType="application/vnd.openxmlformats-officedocument.wordprocessingml.footer+xml"/>
  <Override PartName="/word/charts/chart67.xml" ContentType="application/vnd.openxmlformats-officedocument.drawingml.chart+xml"/>
  <Override PartName="/word/charts/chart135.xml" ContentType="application/vnd.openxmlformats-officedocument.drawingml.chart+xml"/>
  <Override PartName="/word/charts/chart146.xml" ContentType="application/vnd.openxmlformats-officedocument.drawingml.chart+xml"/>
  <Override PartName="/word/charts/chart182.xml" ContentType="application/vnd.openxmlformats-officedocument.drawingml.chart+xml"/>
  <Override PartName="/word/charts/chart193.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92.xml" ContentType="application/vnd.openxmlformats-officedocument.drawingml.chart+xml"/>
  <Override PartName="/word/charts/chart124.xml" ContentType="application/vnd.openxmlformats-officedocument.drawingml.chart+xml"/>
  <Override PartName="/word/charts/chart171.xml" ContentType="application/vnd.openxmlformats-officedocument.drawingml.chart+xml"/>
  <Override PartName="/word/charts/chart34.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charts/chart160.xml" ContentType="application/vnd.openxmlformats-officedocument.drawingml.chart+xml"/>
  <Override PartName="/word/charts/chart23.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theme/themeOverride39.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theme/themeOverride17.xml" ContentType="application/vnd.openxmlformats-officedocument.themeOverride+xml"/>
  <Override PartName="/word/theme/themeOverride28.xml" ContentType="application/vnd.openxmlformats-officedocument.themeOverride+xml"/>
  <Override PartName="/word/footnotes.xml" ContentType="application/vnd.openxmlformats-officedocument.wordprocessingml.footnotes+xml"/>
  <Override PartName="/word/charts/chart198.xml" ContentType="application/vnd.openxmlformats-officedocument.drawingml.chart+xml"/>
  <Override PartName="/word/charts/chart203.xml" ContentType="application/vnd.openxmlformats-officedocument.drawingml.chart+xml"/>
  <Override PartName="/word/theme/themeOverride53.xml" ContentType="application/vnd.openxmlformats-officedocument.themeOverride+xml"/>
  <Override PartName="/word/charts/chart214.xml" ContentType="application/vnd.openxmlformats-officedocument.drawingml.chart+xml"/>
  <Override PartName="/word/theme/themeOverride42.xml" ContentType="application/vnd.openxmlformats-officedocument.themeOverride+xml"/>
  <Override PartName="/word/charts/chart187.xml" ContentType="application/vnd.openxmlformats-officedocument.drawingml.chart+xml"/>
  <Override PartName="/word/theme/themeOverride20.xml" ContentType="application/vnd.openxmlformats-officedocument.themeOverride+xml"/>
  <Override PartName="/word/theme/themeOverride31.xml" ContentType="application/vnd.openxmlformats-officedocument.themeOverride+xml"/>
  <Override PartName="/word/charts/chart97.xml" ContentType="application/vnd.openxmlformats-officedocument.drawingml.chart+xml"/>
  <Override PartName="/word/charts/chart129.xml" ContentType="application/vnd.openxmlformats-officedocument.drawingml.chart+xml"/>
  <Override PartName="/word/charts/chart176.xml" ContentType="application/vnd.openxmlformats-officedocument.drawingml.chart+xml"/>
  <Override PartName="/word/footer5.xml" ContentType="application/vnd.openxmlformats-officedocument.wordprocessingml.footer+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136.xml" ContentType="application/vnd.openxmlformats-officedocument.drawingml.chart+xml"/>
  <Override PartName="/word/charts/chart154.xml" ContentType="application/vnd.openxmlformats-officedocument.drawingml.chart+xml"/>
  <Override PartName="/word/charts/chart165.xml" ContentType="application/vnd.openxmlformats-officedocument.drawingml.chart+xml"/>
  <Override PartName="/word/charts/chart183.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143.xml" ContentType="application/vnd.openxmlformats-officedocument.drawingml.chart+xml"/>
  <Override PartName="/word/charts/chart161.xml" ContentType="application/vnd.openxmlformats-officedocument.drawingml.chart+xml"/>
  <Override PartName="/word/charts/chart172.xml" ContentType="application/vnd.openxmlformats-officedocument.drawingml.chart+xml"/>
  <Override PartName="/word/charts/chart190.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charts/chart132.xml" ContentType="application/vnd.openxmlformats-officedocument.drawingml.chart+xml"/>
  <Override PartName="/word/charts/chart150.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60.xml" ContentType="application/vnd.openxmlformats-officedocument.drawingml.chart+xml"/>
  <Override PartName="/word/charts/chart110.xml" ContentType="application/vnd.openxmlformats-officedocument.drawingml.chart+xml"/>
  <Override PartName="/word/charts/chart121.xml" ContentType="application/vnd.openxmlformats-officedocument.drawingml.chart+xml"/>
  <Override PartName="/word/theme/themeOverride47.xml" ContentType="application/vnd.openxmlformats-officedocument.themeOverride+xml"/>
  <Override PartName="/word/charts/chart208.xml" ContentType="application/vnd.openxmlformats-officedocument.drawingml.chart+xml"/>
  <Override PartName="/word/theme/themeOverride58.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charts/chart215.xml" ContentType="application/vnd.openxmlformats-officedocument.drawingml.chart+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charts/chart199.xml" ContentType="application/vnd.openxmlformats-officedocument.drawingml.chart+xml"/>
  <Override PartName="/word/charts/chart204.xml" ContentType="application/vnd.openxmlformats-officedocument.drawingml.chart+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charts/chart98.xml" ContentType="application/vnd.openxmlformats-officedocument.drawingml.chart+xml"/>
  <Override PartName="/word/charts/chart159.xml" ContentType="application/vnd.openxmlformats-officedocument.drawingml.chart+xml"/>
  <Override PartName="/word/charts/chart177.xml" ContentType="application/vnd.openxmlformats-officedocument.drawingml.chart+xml"/>
  <Override PartName="/word/charts/chart188.xml" ContentType="application/vnd.openxmlformats-officedocument.drawingml.chart+xml"/>
  <Override PartName="/word/charts/chart211.xml" ContentType="application/vnd.openxmlformats-officedocument.drawingml.chart+xml"/>
  <Override PartName="/word/theme/themeOverride61.xml" ContentType="application/vnd.openxmlformats-officedocument.themeOverride+xml"/>
  <Default Extension="jpeg" ContentType="image/jpeg"/>
  <Override PartName="/word/theme/themeOverride21.xml" ContentType="application/vnd.openxmlformats-officedocument.themeOverride+xml"/>
  <Override PartName="/word/charts/chart69.xml" ContentType="application/vnd.openxmlformats-officedocument.drawingml.chart+xml"/>
  <Override PartName="/word/charts/chart87.xml" ContentType="application/vnd.openxmlformats-officedocument.drawingml.chart+xml"/>
  <Override PartName="/word/charts/chart119.xml" ContentType="application/vnd.openxmlformats-officedocument.drawingml.chart+xml"/>
  <Override PartName="/word/charts/chart137.xml" ContentType="application/vnd.openxmlformats-officedocument.drawingml.chart+xml"/>
  <Override PartName="/word/charts/chart148.xml" ContentType="application/vnd.openxmlformats-officedocument.drawingml.chart+xml"/>
  <Override PartName="/word/charts/chart166.xml" ContentType="application/vnd.openxmlformats-officedocument.drawingml.chart+xml"/>
  <Override PartName="/word/charts/chart184.xml" ContentType="application/vnd.openxmlformats-officedocument.drawingml.chart+xml"/>
  <Override PartName="/word/charts/chart195.xml" ContentType="application/vnd.openxmlformats-officedocument.drawingml.chart+xml"/>
  <Override PartName="/word/theme/themeOverride50.xml" ContentType="application/vnd.openxmlformats-officedocument.themeOverride+xml"/>
  <Override PartName="/word/charts/chart200.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charts/chart155.xml" ContentType="application/vnd.openxmlformats-officedocument.drawingml.chart+xml"/>
  <Override PartName="/word/charts/chart173.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charts/chart133.xml" ContentType="application/vnd.openxmlformats-officedocument.drawingml.chart+xml"/>
  <Override PartName="/word/charts/chart144.xml" ContentType="application/vnd.openxmlformats-officedocument.drawingml.chart+xml"/>
  <Override PartName="/word/charts/chart162.xml" ContentType="application/vnd.openxmlformats-officedocument.drawingml.chart+xml"/>
  <Override PartName="/word/charts/chart180.xml" ContentType="application/vnd.openxmlformats-officedocument.drawingml.chart+xml"/>
  <Override PartName="/word/charts/chart191.xml" ContentType="application/vnd.openxmlformats-officedocument.drawingml.chart+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22.xml" ContentType="application/vnd.openxmlformats-officedocument.drawingml.chart+xml"/>
  <Override PartName="/word/charts/chart151.xml" ContentType="application/vnd.openxmlformats-officedocument.drawingml.chart+xml"/>
  <Override PartName="/word/theme/themeOverride59.xml" ContentType="application/vnd.openxmlformats-officedocument.themeOverride+xml"/>
  <Override PartName="/word/theme/theme1.xml" ContentType="application/vnd.openxmlformats-officedocument.theme+xml"/>
  <Override PartName="/word/charts/chart14.xml" ContentType="application/vnd.openxmlformats-officedocument.drawingml.chart+xml"/>
  <Override PartName="/word/theme/themeOverride9.xml" ContentType="application/vnd.openxmlformats-officedocument.themeOverride+xml"/>
  <Override PartName="/word/theme/themeOverride19.xml" ContentType="application/vnd.openxmlformats-officedocument.themeOverride+xml"/>
  <Override PartName="/word/charts/chart32.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111.xml" ContentType="application/vnd.openxmlformats-officedocument.drawingml.chart+xml"/>
  <Override PartName="/word/charts/chart140.xml" ContentType="application/vnd.openxmlformats-officedocument.drawingml.chart+xml"/>
  <Override PartName="/word/theme/themeOverride48.xml" ContentType="application/vnd.openxmlformats-officedocument.themeOverride+xml"/>
  <Override PartName="/word/charts/chart209.xml" ContentType="application/vnd.openxmlformats-officedocument.drawingml.chart+xml"/>
  <Override PartName="/word/charts/chart21.xml" ContentType="application/vnd.openxmlformats-officedocument.drawingml.chart+xml"/>
  <Override PartName="/word/charts/chart100.xml" ContentType="application/vnd.openxmlformats-officedocument.drawingml.chart+xml"/>
  <Override PartName="/word/theme/themeOverride37.xml" ContentType="application/vnd.openxmlformats-officedocument.themeOverride+xml"/>
  <Override PartName="/word/charts/chart205.xml" ContentType="application/vnd.openxmlformats-officedocument.drawingml.chart+xml"/>
  <Override PartName="/word/theme/themeOverride55.xml" ContentType="application/vnd.openxmlformats-officedocument.themeOverride+xml"/>
  <Override PartName="/word/charts/chart216.xml" ContentType="application/vnd.openxmlformats-officedocument.drawingml.chart+xml"/>
  <Override PartName="/word/theme/themeOverride44.xml" ContentType="application/vnd.openxmlformats-officedocument.themeOverride+xml"/>
  <Override PartName="/word/charts/chart189.xml" ContentType="application/vnd.openxmlformats-officedocument.drawingml.chart+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charts/chart99.xml" ContentType="application/vnd.openxmlformats-officedocument.drawingml.chart+xml"/>
  <Override PartName="/word/charts/chart178.xml" ContentType="application/vnd.openxmlformats-officedocument.drawingml.chart+xml"/>
  <Override PartName="/word/theme/themeOverride1.xml" ContentType="application/vnd.openxmlformats-officedocument.themeOverride+xml"/>
  <Override PartName="/word/theme/themeOverride11.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charts/chart156.xml" ContentType="application/vnd.openxmlformats-officedocument.drawingml.chart+xml"/>
  <Override PartName="/word/charts/chart167.xml" ContentType="application/vnd.openxmlformats-officedocument.drawingml.chart+xml"/>
  <Override PartName="/word/charts/chart19.xml" ContentType="application/vnd.openxmlformats-officedocument.drawingml.chart+xml"/>
  <Override PartName="/word/charts/chart66.xml" ContentType="application/vnd.openxmlformats-officedocument.drawingml.chart+xml"/>
  <Override PartName="/word/charts/chart145.xml" ContentType="application/vnd.openxmlformats-officedocument.drawingml.chart+xml"/>
  <Override PartName="/word/charts/chart192.xml" ContentType="application/vnd.openxmlformats-officedocument.drawingml.chart+xml"/>
  <Override PartName="/word/footer3.xml" ContentType="application/vnd.openxmlformats-officedocument.wordprocessingml.footer+xml"/>
  <Override PartName="/word/charts/chart55.xml" ContentType="application/vnd.openxmlformats-officedocument.drawingml.chart+xml"/>
  <Override PartName="/word/charts/chart134.xml" ContentType="application/vnd.openxmlformats-officedocument.drawingml.chart+xml"/>
  <Override PartName="/word/charts/chart181.xml" ContentType="application/vnd.openxmlformats-officedocument.drawingml.chart+xml"/>
  <Override PartName="/word/charts/chart5.xml" ContentType="application/vnd.openxmlformats-officedocument.drawingml.chart+xml"/>
  <Override PartName="/word/charts/chart44.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charts/chart170.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theme/themeOverride27.xml" ContentType="application/vnd.openxmlformats-officedocument.themeOverride+xml"/>
  <Override PartName="/word/theme/themeOverride16.xml" ContentType="application/vnd.openxmlformats-officedocument.themeOverride+xml"/>
  <Override PartName="/word/charts/chart213.xml" ContentType="application/vnd.openxmlformats-officedocument.drawingml.chart+xml"/>
  <Override PartName="/word/theme/themeOverride41.xml" ContentType="application/vnd.openxmlformats-officedocument.themeOverride+xml"/>
  <Override PartName="/word/charts/chart197.xml" ContentType="application/vnd.openxmlformats-officedocument.drawingml.chart+xml"/>
  <Override PartName="/word/charts/chart202.xml" ContentType="application/vnd.openxmlformats-officedocument.drawingml.chart+xml"/>
  <Override PartName="/word/theme/themeOverride5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Override PartName="/word/charts/chart175.xml" ContentType="application/vnd.openxmlformats-officedocument.drawingml.chart+xml"/>
  <Override PartName="/word/charts/chart186.xml" ContentType="application/vnd.openxmlformats-officedocument.drawingml.chart+xml"/>
  <Override PartName="/word/charts/chart38.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charts/chart164.xml" ContentType="application/vnd.openxmlformats-officedocument.drawingml.chart+xml"/>
  <Override PartName="/word/charts/chart27.xml" ContentType="application/vnd.openxmlformats-officedocument.drawingml.chart+xml"/>
  <Override PartName="/word/charts/chart74.xml" ContentType="application/vnd.openxmlformats-officedocument.drawingml.chart+xml"/>
  <Override PartName="/word/charts/chart106.xml" ContentType="application/vnd.openxmlformats-officedocument.drawingml.chart+xml"/>
  <Override PartName="/word/charts/chart153.xml" ContentType="application/vnd.openxmlformats-officedocument.drawingml.chart+xml"/>
  <Override PartName="/word/charts/chart16.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131.xml" ContentType="application/vnd.openxmlformats-officedocument.drawingml.chart+xml"/>
  <Override PartName="/word/charts/chart142.xml" ContentType="application/vnd.openxmlformats-officedocument.drawingml.chart+xml"/>
  <Override PartName="/word/charts/chart2.xml" ContentType="application/vnd.openxmlformats-officedocument.drawingml.chart+xml"/>
  <Override PartName="/word/charts/chart41.xml" ContentType="application/vnd.openxmlformats-officedocument.drawingml.chart+xml"/>
  <Override PartName="/word/charts/chart120.xml" ContentType="application/vnd.openxmlformats-officedocument.drawingml.chart+xml"/>
  <Override PartName="/word/charts/chart207.xml" ContentType="application/vnd.openxmlformats-officedocument.drawingml.chart+xml"/>
  <Override PartName="/word/theme/themeOverride57.xml" ContentType="application/vnd.openxmlformats-officedocument.themeOverride+xml"/>
  <Override PartName="/word/charts/chart218.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30.xml" ContentType="application/vnd.openxmlformats-officedocument.drawingml.chart+xml"/>
  <Override PartName="/word/theme/themeOverride46.xml" ContentType="application/vnd.openxmlformats-officedocument.themeOverride+xml"/>
  <Override PartName="/docProps/core.xml" ContentType="application/vnd.openxmlformats-package.core-properti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charts/chart158.xml" ContentType="application/vnd.openxmlformats-officedocument.drawingml.chart+xml"/>
  <Override PartName="/word/charts/chart169.xml" ContentType="application/vnd.openxmlformats-officedocument.drawingml.chart+xml"/>
  <Override PartName="/word/theme/themeOverride60.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Override PartName="/word/charts/chart147.xml" ContentType="application/vnd.openxmlformats-officedocument.drawingml.chart+xml"/>
  <Override PartName="/word/charts/chart194.xml" ContentType="application/vnd.openxmlformats-officedocument.drawingml.chart+xml"/>
  <Override PartName="/word/charts/chart210.xml" ContentType="application/vnd.openxmlformats-officedocument.drawingml.chart+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E8C" w:rsidRPr="00B23E8C" w:rsidRDefault="00B23E8C" w:rsidP="00B23E8C">
      <w:pPr>
        <w:jc w:val="center"/>
        <w:rPr>
          <w:rFonts w:ascii="Book Antiqua" w:hAnsi="Book Antiqua" w:cstheme="minorBidi"/>
        </w:rPr>
      </w:pPr>
      <w:r w:rsidRPr="00B23E8C">
        <w:rPr>
          <w:rFonts w:ascii="Book Antiqua" w:eastAsiaTheme="minorHAnsi" w:hAnsi="Book Antiqua" w:cs="Arial"/>
          <w:b/>
          <w:lang w:eastAsia="en-US"/>
        </w:rPr>
        <w:t>REPUBLIQUE DU SENEGAL</w:t>
      </w:r>
    </w:p>
    <w:p w:rsidR="00B23E8C" w:rsidRPr="00B23E8C" w:rsidRDefault="00B23E8C" w:rsidP="00B23E8C">
      <w:pPr>
        <w:spacing w:after="200"/>
        <w:ind w:left="-284" w:firstLine="142"/>
        <w:contextualSpacing/>
        <w:jc w:val="center"/>
        <w:rPr>
          <w:rFonts w:ascii="Book Antiqua" w:eastAsiaTheme="minorHAnsi" w:hAnsi="Book Antiqua" w:cs="Arial"/>
          <w:i/>
          <w:lang w:eastAsia="en-US"/>
        </w:rPr>
      </w:pPr>
      <w:r w:rsidRPr="00B23E8C">
        <w:rPr>
          <w:rFonts w:ascii="Book Antiqua" w:eastAsiaTheme="minorHAnsi" w:hAnsi="Book Antiqua" w:cs="Arial"/>
          <w:i/>
          <w:lang w:eastAsia="en-US"/>
        </w:rPr>
        <w:t>Un Peuple – Un But – Une Foi</w:t>
      </w:r>
    </w:p>
    <w:p w:rsidR="00B23E8C" w:rsidRPr="00B23E8C" w:rsidRDefault="00B23E8C" w:rsidP="00BA203C">
      <w:pPr>
        <w:spacing w:after="200"/>
        <w:contextualSpacing/>
        <w:jc w:val="center"/>
        <w:rPr>
          <w:rFonts w:ascii="Book Antiqua" w:eastAsiaTheme="minorHAnsi" w:hAnsi="Book Antiqua" w:cs="Arial"/>
          <w:lang w:eastAsia="en-US"/>
        </w:rPr>
      </w:pPr>
      <w:r w:rsidRPr="00B23E8C">
        <w:rPr>
          <w:rFonts w:ascii="Book Antiqua" w:eastAsiaTheme="minorHAnsi" w:hAnsi="Book Antiqua" w:cs="Arial"/>
          <w:lang w:eastAsia="en-US"/>
        </w:rPr>
        <w:t>-----</w:t>
      </w:r>
    </w:p>
    <w:p w:rsidR="00B23E8C" w:rsidRPr="00B23E8C" w:rsidRDefault="00B23E8C" w:rsidP="00B23E8C">
      <w:pPr>
        <w:spacing w:after="200"/>
        <w:ind w:left="-284" w:firstLine="142"/>
        <w:contextualSpacing/>
        <w:jc w:val="center"/>
        <w:rPr>
          <w:rFonts w:ascii="Book Antiqua" w:eastAsiaTheme="minorHAnsi" w:hAnsi="Book Antiqua" w:cs="Arial"/>
          <w:b/>
          <w:lang w:eastAsia="en-US"/>
        </w:rPr>
      </w:pPr>
      <w:r w:rsidRPr="00B23E8C">
        <w:rPr>
          <w:rFonts w:ascii="Book Antiqua" w:eastAsiaTheme="minorHAnsi" w:hAnsi="Book Antiqua" w:cs="Arial"/>
          <w:b/>
          <w:lang w:eastAsia="en-US"/>
        </w:rPr>
        <w:t>MINISTERE DE L'ECONOMIE</w:t>
      </w:r>
      <w:r>
        <w:rPr>
          <w:rFonts w:ascii="Book Antiqua" w:eastAsiaTheme="minorHAnsi" w:hAnsi="Book Antiqua" w:cs="Arial"/>
          <w:b/>
          <w:lang w:eastAsia="en-US"/>
        </w:rPr>
        <w:t>,</w:t>
      </w:r>
    </w:p>
    <w:p w:rsidR="00B23E8C" w:rsidRPr="00B23E8C" w:rsidRDefault="00B23E8C" w:rsidP="00B23E8C">
      <w:pPr>
        <w:spacing w:after="200"/>
        <w:ind w:left="-284" w:firstLine="142"/>
        <w:contextualSpacing/>
        <w:jc w:val="center"/>
        <w:rPr>
          <w:rFonts w:ascii="Book Antiqua" w:eastAsiaTheme="minorHAnsi" w:hAnsi="Book Antiqua" w:cs="Arial"/>
          <w:b/>
          <w:lang w:eastAsia="en-US"/>
        </w:rPr>
      </w:pPr>
      <w:r w:rsidRPr="00B23E8C">
        <w:rPr>
          <w:rFonts w:ascii="Book Antiqua" w:eastAsiaTheme="minorHAnsi" w:hAnsi="Book Antiqua" w:cs="Arial"/>
          <w:b/>
          <w:lang w:eastAsia="en-US"/>
        </w:rPr>
        <w:t>DES FINANCES ET DU PLAN</w:t>
      </w:r>
    </w:p>
    <w:p w:rsidR="00BA203C" w:rsidRPr="00B23E8C" w:rsidRDefault="00BA203C" w:rsidP="00BA203C">
      <w:pPr>
        <w:spacing w:after="200"/>
        <w:contextualSpacing/>
        <w:jc w:val="center"/>
        <w:rPr>
          <w:rFonts w:ascii="Book Antiqua" w:eastAsiaTheme="minorHAnsi" w:hAnsi="Book Antiqua" w:cs="Arial"/>
          <w:lang w:eastAsia="en-US"/>
        </w:rPr>
      </w:pPr>
      <w:r w:rsidRPr="00B23E8C">
        <w:rPr>
          <w:rFonts w:ascii="Book Antiqua" w:eastAsiaTheme="minorHAnsi" w:hAnsi="Book Antiqua" w:cs="Arial"/>
          <w:lang w:eastAsia="en-US"/>
        </w:rPr>
        <w:t>-----</w:t>
      </w:r>
    </w:p>
    <w:p w:rsidR="00B23E8C" w:rsidRPr="00B23E8C" w:rsidRDefault="00B23E8C" w:rsidP="00B23E8C">
      <w:pPr>
        <w:tabs>
          <w:tab w:val="left" w:pos="3915"/>
          <w:tab w:val="center" w:pos="4465"/>
        </w:tabs>
        <w:spacing w:after="200"/>
        <w:ind w:left="-284" w:firstLine="142"/>
        <w:contextualSpacing/>
        <w:jc w:val="center"/>
        <w:rPr>
          <w:rFonts w:ascii="Book Antiqua" w:eastAsiaTheme="minorHAnsi" w:hAnsi="Book Antiqua" w:cs="Arial"/>
          <w:b/>
          <w:lang w:eastAsia="en-US"/>
        </w:rPr>
      </w:pPr>
      <w:r w:rsidRPr="00B23E8C">
        <w:rPr>
          <w:rFonts w:ascii="Book Antiqua" w:eastAsiaTheme="minorHAnsi" w:hAnsi="Book Antiqua" w:cs="Arial"/>
          <w:b/>
          <w:lang w:eastAsia="en-US"/>
        </w:rPr>
        <w:t>OBSERVATOIRE DE LA QUALITE</w:t>
      </w:r>
    </w:p>
    <w:p w:rsidR="00B23E8C" w:rsidRPr="00B23E8C" w:rsidRDefault="00B23E8C" w:rsidP="00B23E8C">
      <w:pPr>
        <w:tabs>
          <w:tab w:val="left" w:pos="3915"/>
          <w:tab w:val="center" w:pos="4465"/>
        </w:tabs>
        <w:spacing w:after="200"/>
        <w:ind w:left="-284" w:firstLine="142"/>
        <w:contextualSpacing/>
        <w:jc w:val="center"/>
        <w:rPr>
          <w:rFonts w:ascii="Book Antiqua" w:eastAsiaTheme="minorHAnsi" w:hAnsi="Book Antiqua" w:cs="Arial"/>
          <w:b/>
          <w:lang w:eastAsia="en-US"/>
        </w:rPr>
      </w:pPr>
      <w:r w:rsidRPr="00B23E8C">
        <w:rPr>
          <w:rFonts w:ascii="Book Antiqua" w:eastAsiaTheme="minorHAnsi" w:hAnsi="Book Antiqua" w:cs="Arial"/>
          <w:b/>
          <w:lang w:eastAsia="en-US"/>
        </w:rPr>
        <w:t>DES SERVICES FINANCIERS</w:t>
      </w:r>
    </w:p>
    <w:p w:rsidR="00B23E8C" w:rsidRPr="00B23E8C" w:rsidRDefault="00B23E8C" w:rsidP="00B23E8C">
      <w:pPr>
        <w:tabs>
          <w:tab w:val="left" w:pos="3915"/>
          <w:tab w:val="center" w:pos="4465"/>
        </w:tabs>
        <w:spacing w:after="200"/>
        <w:ind w:left="-284" w:firstLine="142"/>
        <w:contextualSpacing/>
        <w:jc w:val="center"/>
        <w:rPr>
          <w:rFonts w:ascii="Book Antiqua" w:eastAsiaTheme="minorHAnsi" w:hAnsi="Book Antiqua" w:cs="Arial"/>
          <w:lang w:eastAsia="en-US"/>
        </w:rPr>
      </w:pPr>
      <w:r w:rsidRPr="00B23E8C">
        <w:rPr>
          <w:rFonts w:ascii="Book Antiqua" w:eastAsiaTheme="minorHAnsi" w:hAnsi="Book Antiqua" w:cs="Arial"/>
          <w:noProof/>
        </w:rPr>
        <w:drawing>
          <wp:inline distT="0" distB="0" distL="0" distR="0">
            <wp:extent cx="828675" cy="638175"/>
            <wp:effectExtent l="19050" t="0" r="9525" b="0"/>
            <wp:docPr id="241" name="Image 1" descr="\\Srv\Administration et Finance\OQSF\Communication\Charte graphique\logo\OQSF_Logo v1.0.JPG"/>
            <wp:cNvGraphicFramePr/>
            <a:graphic xmlns:a="http://schemas.openxmlformats.org/drawingml/2006/main">
              <a:graphicData uri="http://schemas.openxmlformats.org/drawingml/2006/picture">
                <pic:pic xmlns:pic="http://schemas.openxmlformats.org/drawingml/2006/picture">
                  <pic:nvPicPr>
                    <pic:cNvPr id="7" name="Image 6" descr="\\Srv\Administration et Finance\OQSF\Communication\Charte graphique\logo\OQSF_Logo v1.0.JPG"/>
                    <pic:cNvPicPr/>
                  </pic:nvPicPr>
                  <pic:blipFill>
                    <a:blip r:embed="rId8" cstate="print"/>
                    <a:srcRect/>
                    <a:stretch>
                      <a:fillRect/>
                    </a:stretch>
                  </pic:blipFill>
                  <pic:spPr bwMode="auto">
                    <a:xfrm>
                      <a:off x="0" y="0"/>
                      <a:ext cx="832981" cy="641491"/>
                    </a:xfrm>
                    <a:prstGeom prst="rect">
                      <a:avLst/>
                    </a:prstGeom>
                    <a:noFill/>
                    <a:ln w="9525">
                      <a:noFill/>
                      <a:miter lim="800000"/>
                      <a:headEnd/>
                      <a:tailEnd/>
                    </a:ln>
                  </pic:spPr>
                </pic:pic>
              </a:graphicData>
            </a:graphic>
          </wp:inline>
        </w:drawing>
      </w:r>
    </w:p>
    <w:p w:rsidR="00B23E8C" w:rsidRPr="00B23E8C" w:rsidRDefault="00B23E8C" w:rsidP="00B23E8C">
      <w:pPr>
        <w:spacing w:after="200"/>
        <w:ind w:left="-284" w:firstLine="142"/>
        <w:contextualSpacing/>
        <w:jc w:val="center"/>
        <w:rPr>
          <w:rFonts w:ascii="Book Antiqua" w:eastAsiaTheme="minorHAnsi" w:hAnsi="Book Antiqua" w:cs="Arial"/>
          <w:b/>
          <w:lang w:eastAsia="en-US"/>
        </w:rPr>
      </w:pPr>
    </w:p>
    <w:p w:rsidR="00B23E8C" w:rsidRPr="00B23E8C" w:rsidRDefault="00B23E8C" w:rsidP="00B23E8C">
      <w:pPr>
        <w:spacing w:after="200"/>
        <w:ind w:left="-284" w:firstLine="142"/>
        <w:contextualSpacing/>
        <w:jc w:val="center"/>
        <w:rPr>
          <w:rFonts w:ascii="Book Antiqua" w:eastAsiaTheme="minorHAnsi" w:hAnsi="Book Antiqua" w:cs="Arial"/>
          <w:b/>
          <w:lang w:eastAsia="en-US"/>
        </w:rPr>
      </w:pPr>
    </w:p>
    <w:p w:rsidR="00B23E8C" w:rsidRDefault="00B23E8C" w:rsidP="00B23E8C">
      <w:pPr>
        <w:spacing w:after="200"/>
        <w:ind w:left="-284" w:firstLine="142"/>
        <w:contextualSpacing/>
        <w:jc w:val="center"/>
        <w:rPr>
          <w:rFonts w:ascii="Book Antiqua" w:eastAsiaTheme="minorHAnsi" w:hAnsi="Book Antiqua" w:cs="Arial"/>
          <w:b/>
          <w:lang w:eastAsia="en-US"/>
        </w:rPr>
      </w:pPr>
    </w:p>
    <w:p w:rsidR="00D22CA8" w:rsidRDefault="00D22CA8" w:rsidP="00B23E8C">
      <w:pPr>
        <w:spacing w:after="200"/>
        <w:ind w:left="-284" w:firstLine="142"/>
        <w:contextualSpacing/>
        <w:jc w:val="center"/>
        <w:rPr>
          <w:rFonts w:ascii="Book Antiqua" w:eastAsiaTheme="minorHAnsi" w:hAnsi="Book Antiqua" w:cs="Arial"/>
          <w:b/>
          <w:lang w:eastAsia="en-US"/>
        </w:rPr>
      </w:pPr>
    </w:p>
    <w:p w:rsidR="00D22CA8" w:rsidRPr="00B23E8C" w:rsidRDefault="00D22CA8" w:rsidP="00B23E8C">
      <w:pPr>
        <w:spacing w:after="200"/>
        <w:ind w:left="-284" w:firstLine="142"/>
        <w:contextualSpacing/>
        <w:jc w:val="center"/>
        <w:rPr>
          <w:rFonts w:ascii="Book Antiqua" w:eastAsiaTheme="minorHAnsi" w:hAnsi="Book Antiqua" w:cs="Arial"/>
          <w:b/>
          <w:lang w:eastAsia="en-US"/>
        </w:rPr>
      </w:pPr>
    </w:p>
    <w:p w:rsidR="00B23E8C" w:rsidRPr="00B23E8C" w:rsidRDefault="00B23E8C" w:rsidP="00B23E8C">
      <w:pPr>
        <w:spacing w:after="200"/>
        <w:ind w:left="-284" w:firstLine="142"/>
        <w:contextualSpacing/>
        <w:jc w:val="center"/>
        <w:rPr>
          <w:rFonts w:ascii="Book Antiqua" w:eastAsiaTheme="minorHAnsi" w:hAnsi="Book Antiqua" w:cs="Arial"/>
          <w:b/>
          <w:lang w:eastAsia="en-US"/>
        </w:rPr>
      </w:pPr>
    </w:p>
    <w:p w:rsidR="00B23E8C" w:rsidRPr="00B23E8C" w:rsidRDefault="00B23E8C" w:rsidP="00B23E8C">
      <w:pPr>
        <w:spacing w:after="200"/>
        <w:ind w:left="-284" w:firstLine="142"/>
        <w:contextualSpacing/>
        <w:jc w:val="center"/>
        <w:rPr>
          <w:rFonts w:ascii="Book Antiqua" w:eastAsiaTheme="minorHAnsi" w:hAnsi="Book Antiqua" w:cs="Arial"/>
          <w:b/>
          <w:lang w:eastAsia="en-US"/>
        </w:rPr>
      </w:pPr>
    </w:p>
    <w:p w:rsidR="00B23E8C" w:rsidRDefault="00B23E8C" w:rsidP="00B23E8C">
      <w:pPr>
        <w:spacing w:after="200"/>
        <w:ind w:left="-284" w:firstLine="142"/>
        <w:contextualSpacing/>
        <w:jc w:val="center"/>
        <w:rPr>
          <w:rFonts w:ascii="Book Antiqua" w:eastAsiaTheme="minorHAnsi" w:hAnsi="Book Antiqua" w:cs="Arial"/>
          <w:b/>
          <w:lang w:eastAsia="en-US"/>
        </w:rPr>
      </w:pPr>
    </w:p>
    <w:p w:rsidR="00D2226A" w:rsidRDefault="00D2226A" w:rsidP="00B23E8C">
      <w:pPr>
        <w:spacing w:after="200"/>
        <w:ind w:left="-284" w:firstLine="142"/>
        <w:contextualSpacing/>
        <w:jc w:val="center"/>
        <w:rPr>
          <w:rFonts w:ascii="Book Antiqua" w:eastAsiaTheme="minorHAnsi" w:hAnsi="Book Antiqua" w:cs="Arial"/>
          <w:b/>
          <w:lang w:eastAsia="en-US"/>
        </w:rPr>
      </w:pPr>
    </w:p>
    <w:p w:rsidR="00D2226A" w:rsidRPr="00B23E8C" w:rsidRDefault="00D2226A" w:rsidP="00B23E8C">
      <w:pPr>
        <w:spacing w:after="200"/>
        <w:ind w:left="-284" w:firstLine="142"/>
        <w:contextualSpacing/>
        <w:jc w:val="center"/>
        <w:rPr>
          <w:rFonts w:ascii="Book Antiqua" w:eastAsiaTheme="minorHAnsi" w:hAnsi="Book Antiqua" w:cs="Arial"/>
          <w:b/>
          <w:lang w:eastAsia="en-US"/>
        </w:rPr>
      </w:pPr>
    </w:p>
    <w:p w:rsidR="00B23E8C" w:rsidRPr="00B23E8C" w:rsidRDefault="00B23E8C" w:rsidP="00B23E8C">
      <w:pPr>
        <w:spacing w:after="200"/>
        <w:ind w:left="-284" w:firstLine="142"/>
        <w:contextualSpacing/>
        <w:jc w:val="center"/>
        <w:rPr>
          <w:rFonts w:ascii="Book Antiqua" w:eastAsiaTheme="minorHAnsi" w:hAnsi="Book Antiqua" w:cs="Arial"/>
          <w:b/>
          <w:lang w:eastAsia="en-US"/>
        </w:rPr>
      </w:pPr>
    </w:p>
    <w:p w:rsidR="00B23E8C" w:rsidRPr="00B23E8C" w:rsidRDefault="00B23E8C" w:rsidP="00B23E8C">
      <w:pPr>
        <w:spacing w:after="200"/>
        <w:ind w:left="-284" w:firstLine="142"/>
        <w:contextualSpacing/>
        <w:jc w:val="center"/>
        <w:rPr>
          <w:rFonts w:ascii="Book Antiqua" w:eastAsiaTheme="minorHAnsi" w:hAnsi="Book Antiqua" w:cs="Arial"/>
          <w:b/>
          <w:lang w:eastAsia="en-US"/>
        </w:rPr>
      </w:pPr>
    </w:p>
    <w:p w:rsidR="00B23E8C" w:rsidRPr="00B23E8C" w:rsidRDefault="000D65F2" w:rsidP="00B23E8C">
      <w:pPr>
        <w:spacing w:after="200"/>
        <w:contextualSpacing/>
        <w:rPr>
          <w:rFonts w:ascii="Book Antiqua" w:eastAsiaTheme="minorHAnsi" w:hAnsi="Book Antiqua" w:cs="Arial"/>
          <w:b/>
          <w:lang w:eastAsia="en-US"/>
        </w:rPr>
      </w:pPr>
      <w:r>
        <w:rPr>
          <w:rFonts w:ascii="Book Antiqua" w:eastAsiaTheme="minorHAnsi" w:hAnsi="Book Antiqua" w:cs="Arial"/>
          <w:b/>
          <w:noProof/>
        </w:rPr>
        <w:pict>
          <v:shapetype id="_x0000_t202" coordsize="21600,21600" o:spt="202" path="m,l,21600r21600,l21600,xe">
            <v:stroke joinstyle="miter"/>
            <v:path gradientshapeok="t" o:connecttype="rect"/>
          </v:shapetype>
          <v:shape id="Zone de texte 243" o:spid="_x0000_s1026" type="#_x0000_t202" style="position:absolute;margin-left:26.6pt;margin-top:8.05pt;width:428.1pt;height:66.1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sG2AIAAOoFAAAOAAAAZHJzL2Uyb0RvYy54bWysVMtu2zAQvBfoPxC8N5JsKX4gcpA4dlEg&#10;fQBpUaA3WqIsohTJkpSl9Ou7JGVFadpLUR0EvnY4s7Pcq+u+4ehEtWFS5Di5iDGiopAlE8ccf/m8&#10;f7PEyFgiSsKloDl+pAZfb16/uurUms5kLXlJNQIQYdadynFtrVpHkSlq2hBzIRUVsFlJ3RALU32M&#10;Sk06QG94NIvjy6iTulRaFtQYWL0Lm3jj8auKFvZjVRlqEc8xcLP+r/3/4P7R5oqsj5qomhUDDfIP&#10;LBrCBFw6Qt0RS1Cr2QuohhVaGlnZi0I2kawqVlCvAdQk8W9qHmqiqNcCyTFqTJP5f7DFh9MnjVgJ&#10;3mEkSAMWfQOjUEmRpb2laJbOXZI6ZdZw9kHBadvfyt4FOMFG3cviu0FCbmsijvRGa9nVlJRAMnGR&#10;0SQ04BgHcujeyxJuI62VHqivdOMAIScI0MGsx9EgYIIKWMzS+eVyAVsF7CVJnK5ib2FE1udwpY19&#10;S2WD3CDHGirAw5PTvbGODlmfjwx+lXvGOdLSfmW29ik/azsaiPGnDFISBMVBsj4etlyjE4Giuplv&#10;0/3eCwX3zfT0PIvjIUnTiNv9XfaXiCR238tLdtlu9ywEVIzkOBMIMg+kL+FFuHhkCsKp9zQohgL3&#10;Kh07LlCX49kyW2ThIsnZuOnfHR3F2T7w520DbgXBA0cABqy2gecV1s9GjBA+12aK3jALj52zJsfL&#10;wNSjuGrZidKPLWE8jEEiF+4S6p/x4IRsAeKhLjtUMuevV4xhAm86Swf5z738Qz79ubBOuKpJUDBf&#10;rFarwUkTHPMaxjv9bELHl7ar5lDXtj/0IMLV+0GWj1DkQMRXMjRIGNRS/8Sog2aTY/OjJZpixN8J&#10;qKtVkqauO/lJmi1mMNHTncN0h4gCoHJsMfjuhlsbOlqrNDvWcFNwTcgbeFwV82X/xApUuAk0FK9n&#10;aH6uY03n/tRTi978AgAA//8DAFBLAwQUAAYACAAAACEA9K4+iN8AAAAJAQAADwAAAGRycy9kb3du&#10;cmV2LnhtbEyPQU+DQBCF7yb+h82YeLMLRYkgS2NMNHowadEfsGVHwLKzhN0W8Nc7nupx3nvz5pti&#10;M9tenHD0nSMF8SoCgVQ701Gj4PPj+eYehA+ajO4doYIFPWzKy4tC58ZNtMNTFRrBJeRzraANYcil&#10;9HWLVvuVG5DY+3Kj1YHHsZFm1BOX216uoyiVVnfEF1o94FOL9aE6WsbwS/Y2HV5e022yVMny/r3z&#10;2x+lrq/mxwcQAedwDsMfPu9AyUx7dyTjRa/gLllzkvU0BsF+FmW3IPYsZFEMsizk/w/KXwAAAP//&#10;AwBQSwECLQAUAAYACAAAACEAtoM4kv4AAADhAQAAEwAAAAAAAAAAAAAAAAAAAAAAW0NvbnRlbnRf&#10;VHlwZXNdLnhtbFBLAQItABQABgAIAAAAIQA4/SH/1gAAAJQBAAALAAAAAAAAAAAAAAAAAC8BAABf&#10;cmVscy8ucmVsc1BLAQItABQABgAIAAAAIQDBXasG2AIAAOoFAAAOAAAAAAAAAAAAAAAAAC4CAABk&#10;cnMvZTJvRG9jLnhtbFBLAQItABQABgAIAAAAIQD0rj6I3wAAAAkBAAAPAAAAAAAAAAAAAAAAADIF&#10;AABkcnMvZG93bnJldi54bWxQSwUGAAAAAAQABADzAAAAPgYAAAAA&#10;" fillcolor="#a3c4ff" strokecolor="black [3213]" strokeweight="2.25pt">
            <v:fill color2="#e5eeff" rotate="t" angle="180" colors="0 #a3c4ff;22938f #bfd5ff;1 #e5eeff" focus="100%" type="gradient"/>
            <v:shadow on="t" color="black" opacity="24903f" origin=",.5" offset="0,.55556mm"/>
            <v:textbox>
              <w:txbxContent>
                <w:p w:rsidR="003C6676" w:rsidRDefault="003C6676" w:rsidP="005430F0">
                  <w:pPr>
                    <w:tabs>
                      <w:tab w:val="left" w:pos="-720"/>
                    </w:tabs>
                    <w:suppressAutoHyphens/>
                    <w:spacing w:after="120"/>
                    <w:jc w:val="center"/>
                    <w:rPr>
                      <w:rFonts w:ascii="Arial" w:hAnsi="Arial" w:cs="Arial"/>
                      <w:b/>
                      <w:bCs/>
                      <w:sz w:val="28"/>
                      <w:szCs w:val="32"/>
                    </w:rPr>
                  </w:pPr>
                  <w:r w:rsidRPr="005430F0">
                    <w:rPr>
                      <w:rFonts w:ascii="Arial" w:hAnsi="Arial" w:cs="Arial"/>
                      <w:b/>
                      <w:bCs/>
                      <w:sz w:val="44"/>
                      <w:szCs w:val="48"/>
                    </w:rPr>
                    <w:t>E</w:t>
                  </w:r>
                  <w:r w:rsidRPr="005430F0">
                    <w:rPr>
                      <w:rFonts w:ascii="Arial" w:hAnsi="Arial" w:cs="Arial"/>
                      <w:b/>
                      <w:bCs/>
                      <w:sz w:val="28"/>
                      <w:szCs w:val="32"/>
                    </w:rPr>
                    <w:t xml:space="preserve">NQUETE DE </w:t>
                  </w:r>
                  <w:r w:rsidRPr="005430F0">
                    <w:rPr>
                      <w:rFonts w:ascii="Arial" w:hAnsi="Arial" w:cs="Arial"/>
                      <w:b/>
                      <w:bCs/>
                      <w:sz w:val="44"/>
                      <w:szCs w:val="48"/>
                    </w:rPr>
                    <w:t>S</w:t>
                  </w:r>
                  <w:r w:rsidRPr="005430F0">
                    <w:rPr>
                      <w:rFonts w:ascii="Arial" w:hAnsi="Arial" w:cs="Arial"/>
                      <w:b/>
                      <w:bCs/>
                      <w:sz w:val="28"/>
                      <w:szCs w:val="32"/>
                    </w:rPr>
                    <w:t xml:space="preserve">ATISFACTION </w:t>
                  </w:r>
                </w:p>
                <w:p w:rsidR="003C6676" w:rsidRPr="005430F0" w:rsidRDefault="003C6676" w:rsidP="005430F0">
                  <w:pPr>
                    <w:tabs>
                      <w:tab w:val="left" w:pos="-720"/>
                    </w:tabs>
                    <w:suppressAutoHyphens/>
                    <w:spacing w:after="120"/>
                    <w:jc w:val="center"/>
                    <w:rPr>
                      <w:rFonts w:ascii="Arial" w:hAnsi="Arial" w:cs="Arial"/>
                      <w:b/>
                      <w:bCs/>
                      <w:sz w:val="28"/>
                      <w:szCs w:val="32"/>
                    </w:rPr>
                  </w:pPr>
                  <w:r w:rsidRPr="005430F0">
                    <w:rPr>
                      <w:rFonts w:ascii="Arial" w:hAnsi="Arial" w:cs="Arial"/>
                      <w:b/>
                      <w:bCs/>
                      <w:sz w:val="28"/>
                      <w:szCs w:val="32"/>
                    </w:rPr>
                    <w:t xml:space="preserve">AUPRES DES </w:t>
                  </w:r>
                  <w:r w:rsidRPr="005430F0">
                    <w:rPr>
                      <w:rFonts w:ascii="Arial" w:hAnsi="Arial" w:cs="Arial"/>
                      <w:b/>
                      <w:bCs/>
                      <w:sz w:val="44"/>
                      <w:szCs w:val="48"/>
                    </w:rPr>
                    <w:t>U</w:t>
                  </w:r>
                  <w:r w:rsidRPr="005430F0">
                    <w:rPr>
                      <w:rFonts w:ascii="Arial" w:hAnsi="Arial" w:cs="Arial"/>
                      <w:b/>
                      <w:bCs/>
                      <w:sz w:val="28"/>
                      <w:szCs w:val="32"/>
                    </w:rPr>
                    <w:t xml:space="preserve">SAGERS DES SERVICES </w:t>
                  </w:r>
                  <w:r w:rsidRPr="005430F0">
                    <w:rPr>
                      <w:rFonts w:ascii="Arial" w:hAnsi="Arial" w:cs="Arial"/>
                      <w:b/>
                      <w:bCs/>
                      <w:sz w:val="44"/>
                      <w:szCs w:val="48"/>
                    </w:rPr>
                    <w:t>B</w:t>
                  </w:r>
                  <w:r w:rsidRPr="005430F0">
                    <w:rPr>
                      <w:rFonts w:ascii="Arial" w:hAnsi="Arial" w:cs="Arial"/>
                      <w:b/>
                      <w:bCs/>
                      <w:sz w:val="28"/>
                      <w:szCs w:val="32"/>
                    </w:rPr>
                    <w:t>ANCAIRES</w:t>
                  </w:r>
                </w:p>
              </w:txbxContent>
            </v:textbox>
          </v:shape>
        </w:pict>
      </w:r>
    </w:p>
    <w:p w:rsidR="00B23E8C" w:rsidRPr="00B23E8C" w:rsidRDefault="00B23E8C" w:rsidP="00B23E8C">
      <w:pPr>
        <w:rPr>
          <w:rFonts w:ascii="Book Antiqua" w:hAnsi="Book Antiqua" w:cstheme="minorBidi"/>
        </w:rPr>
      </w:pPr>
    </w:p>
    <w:p w:rsidR="00B23E8C" w:rsidRPr="00B23E8C" w:rsidRDefault="00B23E8C" w:rsidP="00B23E8C">
      <w:pPr>
        <w:rPr>
          <w:rFonts w:ascii="Book Antiqua" w:hAnsi="Book Antiqua" w:cstheme="minorBidi"/>
        </w:rPr>
      </w:pPr>
    </w:p>
    <w:p w:rsidR="00B23E8C" w:rsidRPr="00B23E8C" w:rsidRDefault="00B23E8C" w:rsidP="00B23E8C">
      <w:pPr>
        <w:rPr>
          <w:rFonts w:ascii="Book Antiqua" w:hAnsi="Book Antiqua" w:cstheme="minorBidi"/>
        </w:rPr>
      </w:pPr>
    </w:p>
    <w:p w:rsidR="00B23E8C" w:rsidRPr="00B23E8C" w:rsidRDefault="00B23E8C" w:rsidP="00B23E8C">
      <w:pPr>
        <w:spacing w:after="200"/>
        <w:ind w:left="-284" w:firstLine="142"/>
        <w:contextualSpacing/>
        <w:jc w:val="center"/>
        <w:rPr>
          <w:rFonts w:ascii="Book Antiqua" w:hAnsi="Book Antiqua" w:cstheme="minorBidi"/>
        </w:rPr>
      </w:pPr>
      <w:r w:rsidRPr="00B23E8C">
        <w:rPr>
          <w:rFonts w:ascii="Book Antiqua" w:hAnsi="Book Antiqua" w:cstheme="minorBidi"/>
        </w:rPr>
        <w:t>         </w:t>
      </w:r>
    </w:p>
    <w:p w:rsidR="00B23E8C" w:rsidRPr="00B23E8C" w:rsidRDefault="00B23E8C" w:rsidP="00B23E8C">
      <w:pPr>
        <w:spacing w:after="200"/>
        <w:ind w:left="-284" w:firstLine="142"/>
        <w:contextualSpacing/>
        <w:jc w:val="center"/>
        <w:rPr>
          <w:rFonts w:ascii="Book Antiqua" w:hAnsi="Book Antiqua" w:cstheme="minorBidi"/>
        </w:rPr>
      </w:pPr>
    </w:p>
    <w:p w:rsidR="00B23E8C" w:rsidRPr="00B23E8C" w:rsidRDefault="00B23E8C" w:rsidP="00B23E8C">
      <w:pPr>
        <w:spacing w:after="200"/>
        <w:ind w:left="-284" w:firstLine="142"/>
        <w:contextualSpacing/>
        <w:jc w:val="center"/>
        <w:rPr>
          <w:rFonts w:ascii="Book Antiqua" w:eastAsiaTheme="minorHAnsi" w:hAnsi="Book Antiqua" w:cs="Arial"/>
          <w:i/>
          <w:lang w:eastAsia="en-US"/>
        </w:rPr>
      </w:pPr>
    </w:p>
    <w:p w:rsidR="00B23E8C" w:rsidRDefault="00B23E8C" w:rsidP="00B23E8C">
      <w:pPr>
        <w:spacing w:after="200"/>
        <w:ind w:left="-284" w:firstLine="142"/>
        <w:contextualSpacing/>
        <w:jc w:val="center"/>
        <w:rPr>
          <w:rFonts w:ascii="Book Antiqua" w:eastAsiaTheme="minorHAnsi" w:hAnsi="Book Antiqua" w:cs="Arial"/>
          <w:i/>
          <w:lang w:eastAsia="en-US"/>
        </w:rPr>
      </w:pPr>
    </w:p>
    <w:p w:rsidR="00990ADE" w:rsidRPr="00B23E8C" w:rsidRDefault="00990ADE" w:rsidP="00B23E8C">
      <w:pPr>
        <w:spacing w:after="200"/>
        <w:ind w:left="-284" w:firstLine="142"/>
        <w:contextualSpacing/>
        <w:jc w:val="center"/>
        <w:rPr>
          <w:rFonts w:ascii="Book Antiqua" w:eastAsiaTheme="minorHAnsi" w:hAnsi="Book Antiqua" w:cs="Arial"/>
          <w:i/>
          <w:lang w:eastAsia="en-US"/>
        </w:rPr>
      </w:pPr>
    </w:p>
    <w:p w:rsidR="00CF6E5B" w:rsidRPr="00395249" w:rsidRDefault="00C2118C" w:rsidP="00395249">
      <w:pPr>
        <w:spacing w:after="200"/>
        <w:ind w:left="-284" w:firstLine="142"/>
        <w:contextualSpacing/>
        <w:jc w:val="center"/>
        <w:rPr>
          <w:rFonts w:ascii="Book Antiqua" w:eastAsiaTheme="minorHAnsi" w:hAnsi="Book Antiqua" w:cstheme="minorBidi"/>
          <w:b/>
          <w:lang w:eastAsia="en-US"/>
        </w:rPr>
      </w:pPr>
      <w:r w:rsidRPr="00395249">
        <w:rPr>
          <w:rFonts w:ascii="Book Antiqua" w:eastAsiaTheme="minorHAnsi" w:hAnsi="Book Antiqua" w:cstheme="minorBidi"/>
          <w:b/>
          <w:lang w:eastAsia="en-US"/>
        </w:rPr>
        <w:t xml:space="preserve">RAPPORT </w:t>
      </w:r>
      <w:r w:rsidR="006361F5" w:rsidRPr="00395249">
        <w:rPr>
          <w:rFonts w:ascii="Book Antiqua" w:eastAsiaTheme="minorHAnsi" w:hAnsi="Book Antiqua" w:cstheme="minorBidi"/>
          <w:b/>
          <w:lang w:eastAsia="en-US"/>
        </w:rPr>
        <w:t>D’ANALYSE</w:t>
      </w:r>
    </w:p>
    <w:p w:rsidR="003C0187" w:rsidRPr="00395249" w:rsidRDefault="003C0187" w:rsidP="00395249">
      <w:pPr>
        <w:spacing w:after="200"/>
        <w:ind w:left="-284" w:firstLine="142"/>
        <w:contextualSpacing/>
        <w:jc w:val="center"/>
        <w:rPr>
          <w:rFonts w:ascii="Book Antiqua" w:eastAsiaTheme="minorHAnsi" w:hAnsi="Book Antiqua" w:cs="Arial"/>
          <w:i/>
          <w:lang w:eastAsia="en-US"/>
        </w:rPr>
      </w:pPr>
    </w:p>
    <w:p w:rsidR="00CF6E5B" w:rsidRPr="00395249" w:rsidRDefault="00CF6E5B" w:rsidP="00395249">
      <w:pPr>
        <w:spacing w:after="200"/>
        <w:ind w:left="-284" w:firstLine="142"/>
        <w:contextualSpacing/>
        <w:jc w:val="center"/>
        <w:rPr>
          <w:rFonts w:ascii="Book Antiqua" w:eastAsiaTheme="minorHAnsi" w:hAnsi="Book Antiqua" w:cs="Arial"/>
          <w:i/>
          <w:lang w:eastAsia="en-US"/>
        </w:rPr>
      </w:pPr>
    </w:p>
    <w:p w:rsidR="00120FDD" w:rsidRPr="00395249" w:rsidRDefault="00120FDD" w:rsidP="00395249">
      <w:pPr>
        <w:spacing w:after="200"/>
        <w:ind w:left="-284" w:firstLine="142"/>
        <w:contextualSpacing/>
        <w:jc w:val="center"/>
        <w:rPr>
          <w:rFonts w:ascii="Book Antiqua" w:eastAsiaTheme="minorHAnsi" w:hAnsi="Book Antiqua" w:cs="Arial"/>
          <w:i/>
          <w:lang w:eastAsia="en-US"/>
        </w:rPr>
      </w:pPr>
    </w:p>
    <w:p w:rsidR="00120FDD" w:rsidRPr="00395249" w:rsidRDefault="00120FDD" w:rsidP="00395249">
      <w:pPr>
        <w:spacing w:after="200"/>
        <w:ind w:left="-284" w:firstLine="142"/>
        <w:contextualSpacing/>
        <w:jc w:val="center"/>
        <w:rPr>
          <w:rFonts w:ascii="Book Antiqua" w:eastAsiaTheme="minorHAnsi" w:hAnsi="Book Antiqua" w:cs="Arial"/>
          <w:i/>
          <w:lang w:eastAsia="en-US"/>
        </w:rPr>
      </w:pPr>
    </w:p>
    <w:p w:rsidR="00120FDD" w:rsidRPr="00395249" w:rsidRDefault="00120FDD" w:rsidP="00395249">
      <w:pPr>
        <w:spacing w:after="200"/>
        <w:ind w:left="-284" w:firstLine="142"/>
        <w:contextualSpacing/>
        <w:jc w:val="center"/>
        <w:rPr>
          <w:rFonts w:ascii="Book Antiqua" w:eastAsiaTheme="minorHAnsi" w:hAnsi="Book Antiqua" w:cs="Arial"/>
          <w:i/>
          <w:lang w:eastAsia="en-US"/>
        </w:rPr>
      </w:pPr>
    </w:p>
    <w:p w:rsidR="00120FDD" w:rsidRDefault="00120FDD" w:rsidP="00395249">
      <w:pPr>
        <w:spacing w:after="200"/>
        <w:ind w:left="-284" w:firstLine="142"/>
        <w:contextualSpacing/>
        <w:jc w:val="center"/>
        <w:rPr>
          <w:rFonts w:ascii="Book Antiqua" w:eastAsiaTheme="minorHAnsi" w:hAnsi="Book Antiqua" w:cs="Arial"/>
          <w:i/>
          <w:lang w:eastAsia="en-US"/>
        </w:rPr>
      </w:pPr>
    </w:p>
    <w:p w:rsidR="00D22CA8" w:rsidRDefault="00D22CA8" w:rsidP="00395249">
      <w:pPr>
        <w:spacing w:after="200"/>
        <w:ind w:left="-284" w:firstLine="142"/>
        <w:contextualSpacing/>
        <w:jc w:val="center"/>
        <w:rPr>
          <w:rFonts w:ascii="Book Antiqua" w:eastAsiaTheme="minorHAnsi" w:hAnsi="Book Antiqua" w:cs="Arial"/>
          <w:i/>
          <w:lang w:eastAsia="en-US"/>
        </w:rPr>
      </w:pPr>
    </w:p>
    <w:p w:rsidR="00D22CA8" w:rsidRDefault="00D22CA8" w:rsidP="00395249">
      <w:pPr>
        <w:spacing w:after="200"/>
        <w:ind w:left="-284" w:firstLine="142"/>
        <w:contextualSpacing/>
        <w:jc w:val="center"/>
        <w:rPr>
          <w:rFonts w:ascii="Book Antiqua" w:eastAsiaTheme="minorHAnsi" w:hAnsi="Book Antiqua" w:cs="Arial"/>
          <w:i/>
          <w:lang w:eastAsia="en-US"/>
        </w:rPr>
      </w:pPr>
    </w:p>
    <w:p w:rsidR="00D22CA8" w:rsidRDefault="00D22CA8" w:rsidP="00395249">
      <w:pPr>
        <w:spacing w:after="200"/>
        <w:ind w:left="-284" w:firstLine="142"/>
        <w:contextualSpacing/>
        <w:jc w:val="center"/>
        <w:rPr>
          <w:rFonts w:ascii="Book Antiqua" w:eastAsiaTheme="minorHAnsi" w:hAnsi="Book Antiqua" w:cs="Arial"/>
          <w:i/>
          <w:lang w:eastAsia="en-US"/>
        </w:rPr>
      </w:pPr>
    </w:p>
    <w:p w:rsidR="00D22CA8" w:rsidRDefault="00D22CA8" w:rsidP="00395249">
      <w:pPr>
        <w:spacing w:after="200"/>
        <w:ind w:left="-284" w:firstLine="142"/>
        <w:contextualSpacing/>
        <w:jc w:val="center"/>
        <w:rPr>
          <w:rFonts w:ascii="Book Antiqua" w:eastAsiaTheme="minorHAnsi" w:hAnsi="Book Antiqua" w:cs="Arial"/>
          <w:i/>
          <w:lang w:eastAsia="en-US"/>
        </w:rPr>
      </w:pPr>
    </w:p>
    <w:p w:rsidR="00D22CA8" w:rsidRPr="00395249" w:rsidRDefault="00D22CA8" w:rsidP="00395249">
      <w:pPr>
        <w:spacing w:after="200"/>
        <w:ind w:left="-284" w:firstLine="142"/>
        <w:contextualSpacing/>
        <w:jc w:val="center"/>
        <w:rPr>
          <w:rFonts w:ascii="Book Antiqua" w:eastAsiaTheme="minorHAnsi" w:hAnsi="Book Antiqua" w:cs="Arial"/>
          <w:i/>
          <w:lang w:eastAsia="en-US"/>
        </w:rPr>
      </w:pPr>
    </w:p>
    <w:p w:rsidR="00120FDD" w:rsidRPr="00395249" w:rsidRDefault="00120FDD" w:rsidP="00395249">
      <w:pPr>
        <w:spacing w:after="200"/>
        <w:ind w:left="-284" w:firstLine="142"/>
        <w:contextualSpacing/>
        <w:jc w:val="center"/>
        <w:rPr>
          <w:rFonts w:ascii="Book Antiqua" w:eastAsiaTheme="minorHAnsi" w:hAnsi="Book Antiqua" w:cs="Arial"/>
          <w:i/>
          <w:lang w:eastAsia="en-US"/>
        </w:rPr>
      </w:pPr>
    </w:p>
    <w:p w:rsidR="00120FDD" w:rsidRPr="00395249" w:rsidRDefault="00120FDD" w:rsidP="00395249">
      <w:pPr>
        <w:spacing w:after="200"/>
        <w:ind w:left="-284" w:firstLine="142"/>
        <w:contextualSpacing/>
        <w:jc w:val="center"/>
        <w:rPr>
          <w:rFonts w:ascii="Book Antiqua" w:eastAsiaTheme="minorHAnsi" w:hAnsi="Book Antiqua" w:cs="Arial"/>
          <w:i/>
          <w:lang w:eastAsia="en-US"/>
        </w:rPr>
      </w:pPr>
    </w:p>
    <w:p w:rsidR="00CF6E5B" w:rsidRPr="00395249" w:rsidRDefault="00CF6E5B" w:rsidP="00395249">
      <w:pPr>
        <w:spacing w:after="200"/>
        <w:ind w:left="-284" w:firstLine="142"/>
        <w:contextualSpacing/>
        <w:jc w:val="center"/>
        <w:rPr>
          <w:rFonts w:ascii="Book Antiqua" w:eastAsiaTheme="minorHAnsi" w:hAnsi="Book Antiqua" w:cs="Arial"/>
          <w:i/>
          <w:lang w:eastAsia="en-US"/>
        </w:rPr>
      </w:pPr>
    </w:p>
    <w:p w:rsidR="00C42460" w:rsidRPr="00395249" w:rsidRDefault="00C42460" w:rsidP="00395249">
      <w:pPr>
        <w:spacing w:after="200"/>
        <w:ind w:left="-284" w:firstLine="142"/>
        <w:contextualSpacing/>
        <w:jc w:val="center"/>
        <w:rPr>
          <w:rFonts w:ascii="Book Antiqua" w:eastAsiaTheme="minorHAnsi" w:hAnsi="Book Antiqua" w:cs="Arial"/>
          <w:i/>
          <w:lang w:eastAsia="en-US"/>
        </w:rPr>
      </w:pPr>
    </w:p>
    <w:p w:rsidR="00C42460" w:rsidRPr="00395249" w:rsidRDefault="00C42460" w:rsidP="00395249">
      <w:pPr>
        <w:spacing w:after="200"/>
        <w:ind w:left="-284" w:firstLine="142"/>
        <w:contextualSpacing/>
        <w:jc w:val="center"/>
        <w:rPr>
          <w:rFonts w:ascii="Book Antiqua" w:eastAsiaTheme="minorHAnsi" w:hAnsi="Book Antiqua" w:cs="Arial"/>
          <w:i/>
          <w:lang w:eastAsia="en-US"/>
        </w:rPr>
        <w:sectPr w:rsidR="00C42460" w:rsidRPr="00395249" w:rsidSect="00AE2523">
          <w:footerReference w:type="even" r:id="rId9"/>
          <w:footerReference w:type="default" r:id="rId10"/>
          <w:pgSz w:w="11907" w:h="16840" w:code="9"/>
          <w:pgMar w:top="680" w:right="1134" w:bottom="680" w:left="1191" w:header="454" w:footer="454" w:gutter="0"/>
          <w:cols w:space="720"/>
          <w:docGrid w:linePitch="360"/>
        </w:sectPr>
      </w:pPr>
    </w:p>
    <w:p w:rsidR="0016294F" w:rsidRPr="009416D4" w:rsidRDefault="001D7A87" w:rsidP="00CF6E5B">
      <w:pPr>
        <w:tabs>
          <w:tab w:val="left" w:pos="-720"/>
        </w:tabs>
        <w:suppressAutoHyphens/>
        <w:jc w:val="center"/>
        <w:rPr>
          <w:rFonts w:ascii="Arial" w:hAnsi="Arial" w:cs="Arial"/>
          <w:b/>
          <w:spacing w:val="-3"/>
        </w:rPr>
      </w:pPr>
      <w:r>
        <w:rPr>
          <w:rFonts w:ascii="Arial" w:hAnsi="Arial" w:cs="Arial"/>
          <w:b/>
          <w:spacing w:val="-3"/>
        </w:rPr>
        <w:lastRenderedPageBreak/>
        <w:t>EQUIPE DE COORDINATION ET</w:t>
      </w:r>
      <w:r w:rsidR="0016294F" w:rsidRPr="009416D4">
        <w:rPr>
          <w:rFonts w:ascii="Arial" w:hAnsi="Arial" w:cs="Arial"/>
          <w:b/>
          <w:spacing w:val="-3"/>
        </w:rPr>
        <w:t xml:space="preserve"> DE REDACTION</w:t>
      </w:r>
      <w:r w:rsidR="006812EC">
        <w:rPr>
          <w:rStyle w:val="Appelnotedebasdep"/>
          <w:rFonts w:ascii="Arial" w:hAnsi="Arial" w:cs="Arial"/>
          <w:b/>
          <w:spacing w:val="-3"/>
        </w:rPr>
        <w:footnoteReference w:id="1"/>
      </w:r>
    </w:p>
    <w:p w:rsidR="0016294F" w:rsidRDefault="0016294F" w:rsidP="00CF6E5B">
      <w:pPr>
        <w:tabs>
          <w:tab w:val="left" w:pos="-720"/>
        </w:tabs>
        <w:suppressAutoHyphens/>
        <w:jc w:val="center"/>
        <w:rPr>
          <w:rFonts w:ascii="Arial" w:hAnsi="Arial" w:cs="Arial"/>
          <w:b/>
          <w:spacing w:val="-3"/>
          <w:u w:val="single"/>
        </w:rPr>
      </w:pPr>
    </w:p>
    <w:p w:rsidR="009416D4" w:rsidRDefault="009416D4" w:rsidP="009416D4">
      <w:pPr>
        <w:tabs>
          <w:tab w:val="left" w:pos="-720"/>
        </w:tabs>
        <w:suppressAutoHyphens/>
        <w:jc w:val="both"/>
        <w:rPr>
          <w:rFonts w:ascii="Arial" w:hAnsi="Arial" w:cs="Arial"/>
          <w:spacing w:val="-3"/>
        </w:rPr>
      </w:pPr>
    </w:p>
    <w:tbl>
      <w:tblPr>
        <w:tblStyle w:val="Grilledutableau"/>
        <w:tblW w:w="3804" w:type="pct"/>
        <w:jc w:val="center"/>
        <w:tblInd w:w="-695" w:type="dxa"/>
        <w:tblLook w:val="04A0"/>
      </w:tblPr>
      <w:tblGrid>
        <w:gridCol w:w="2384"/>
        <w:gridCol w:w="3253"/>
        <w:gridCol w:w="1817"/>
      </w:tblGrid>
      <w:tr w:rsidR="009416D4" w:rsidRPr="00D442E6" w:rsidTr="00D442E6">
        <w:trPr>
          <w:trHeight w:val="540"/>
          <w:jc w:val="center"/>
        </w:trPr>
        <w:tc>
          <w:tcPr>
            <w:tcW w:w="1599" w:type="pct"/>
            <w:shd w:val="clear" w:color="auto" w:fill="BFBFBF" w:themeFill="background1" w:themeFillShade="BF"/>
            <w:vAlign w:val="center"/>
          </w:tcPr>
          <w:p w:rsidR="009416D4" w:rsidRPr="00D442E6" w:rsidRDefault="009416D4" w:rsidP="009416D4">
            <w:pPr>
              <w:tabs>
                <w:tab w:val="left" w:pos="-720"/>
              </w:tabs>
              <w:suppressAutoHyphens/>
              <w:rPr>
                <w:rFonts w:ascii="Arial" w:hAnsi="Arial" w:cs="Arial"/>
                <w:b/>
                <w:spacing w:val="-3"/>
                <w:sz w:val="18"/>
                <w:szCs w:val="18"/>
              </w:rPr>
            </w:pPr>
            <w:r w:rsidRPr="00D442E6">
              <w:rPr>
                <w:rFonts w:ascii="Arial" w:hAnsi="Arial" w:cs="Arial"/>
                <w:b/>
                <w:spacing w:val="-3"/>
                <w:sz w:val="18"/>
                <w:szCs w:val="18"/>
              </w:rPr>
              <w:t>Statut</w:t>
            </w:r>
          </w:p>
        </w:tc>
        <w:tc>
          <w:tcPr>
            <w:tcW w:w="2182" w:type="pct"/>
            <w:shd w:val="clear" w:color="auto" w:fill="BFBFBF" w:themeFill="background1" w:themeFillShade="BF"/>
            <w:vAlign w:val="center"/>
          </w:tcPr>
          <w:p w:rsidR="009416D4" w:rsidRPr="00D442E6" w:rsidRDefault="009416D4" w:rsidP="00B121D0">
            <w:pPr>
              <w:tabs>
                <w:tab w:val="left" w:pos="-720"/>
              </w:tabs>
              <w:suppressAutoHyphens/>
              <w:jc w:val="center"/>
              <w:rPr>
                <w:rFonts w:ascii="Arial" w:hAnsi="Arial" w:cs="Arial"/>
                <w:b/>
                <w:spacing w:val="-3"/>
                <w:sz w:val="18"/>
                <w:szCs w:val="18"/>
              </w:rPr>
            </w:pPr>
            <w:r w:rsidRPr="00D442E6">
              <w:rPr>
                <w:rFonts w:ascii="Arial" w:hAnsi="Arial" w:cs="Arial"/>
                <w:b/>
                <w:spacing w:val="-3"/>
                <w:sz w:val="18"/>
                <w:szCs w:val="18"/>
              </w:rPr>
              <w:t>Prénom</w:t>
            </w:r>
            <w:r w:rsidR="00E56C4B" w:rsidRPr="00D442E6">
              <w:rPr>
                <w:rFonts w:ascii="Arial" w:hAnsi="Arial" w:cs="Arial"/>
                <w:b/>
                <w:spacing w:val="-3"/>
                <w:sz w:val="18"/>
                <w:szCs w:val="18"/>
              </w:rPr>
              <w:t xml:space="preserve"> </w:t>
            </w:r>
            <w:r w:rsidRPr="00D442E6">
              <w:rPr>
                <w:rFonts w:ascii="Arial" w:hAnsi="Arial" w:cs="Arial"/>
                <w:b/>
                <w:spacing w:val="-3"/>
                <w:sz w:val="18"/>
                <w:szCs w:val="18"/>
              </w:rPr>
              <w:t>(s)</w:t>
            </w:r>
            <w:r w:rsidR="00297144" w:rsidRPr="00D442E6">
              <w:rPr>
                <w:rFonts w:ascii="Arial" w:hAnsi="Arial" w:cs="Arial"/>
                <w:b/>
                <w:spacing w:val="-3"/>
                <w:sz w:val="18"/>
                <w:szCs w:val="18"/>
              </w:rPr>
              <w:t xml:space="preserve"> et</w:t>
            </w:r>
            <w:r w:rsidRPr="00D442E6">
              <w:rPr>
                <w:rFonts w:ascii="Arial" w:hAnsi="Arial" w:cs="Arial"/>
                <w:b/>
                <w:spacing w:val="-3"/>
                <w:sz w:val="18"/>
                <w:szCs w:val="18"/>
              </w:rPr>
              <w:t xml:space="preserve"> NOM</w:t>
            </w:r>
          </w:p>
        </w:tc>
        <w:tc>
          <w:tcPr>
            <w:tcW w:w="1219" w:type="pct"/>
            <w:shd w:val="clear" w:color="auto" w:fill="BFBFBF" w:themeFill="background1" w:themeFillShade="BF"/>
            <w:vAlign w:val="center"/>
          </w:tcPr>
          <w:p w:rsidR="009416D4" w:rsidRPr="00D442E6" w:rsidRDefault="009416D4" w:rsidP="00B121D0">
            <w:pPr>
              <w:tabs>
                <w:tab w:val="left" w:pos="-720"/>
              </w:tabs>
              <w:suppressAutoHyphens/>
              <w:jc w:val="center"/>
              <w:rPr>
                <w:rFonts w:ascii="Arial" w:hAnsi="Arial" w:cs="Arial"/>
                <w:b/>
                <w:spacing w:val="-3"/>
                <w:sz w:val="18"/>
                <w:szCs w:val="18"/>
              </w:rPr>
            </w:pPr>
            <w:r w:rsidRPr="00D442E6">
              <w:rPr>
                <w:rFonts w:ascii="Arial" w:hAnsi="Arial" w:cs="Arial"/>
                <w:b/>
                <w:spacing w:val="-3"/>
                <w:sz w:val="18"/>
                <w:szCs w:val="18"/>
              </w:rPr>
              <w:t>Fonction</w:t>
            </w:r>
          </w:p>
        </w:tc>
      </w:tr>
      <w:tr w:rsidR="009416D4" w:rsidRPr="00D442E6" w:rsidTr="00D442E6">
        <w:trPr>
          <w:trHeight w:hRule="exact" w:val="680"/>
          <w:jc w:val="center"/>
        </w:trPr>
        <w:tc>
          <w:tcPr>
            <w:tcW w:w="1599" w:type="pct"/>
            <w:vAlign w:val="center"/>
          </w:tcPr>
          <w:p w:rsidR="009416D4" w:rsidRPr="00D442E6" w:rsidRDefault="009416D4" w:rsidP="00ED1F4F">
            <w:pPr>
              <w:tabs>
                <w:tab w:val="left" w:pos="-720"/>
              </w:tabs>
              <w:suppressAutoHyphens/>
              <w:rPr>
                <w:rFonts w:ascii="Arial" w:hAnsi="Arial" w:cs="Arial"/>
                <w:spacing w:val="-3"/>
                <w:sz w:val="18"/>
                <w:szCs w:val="18"/>
              </w:rPr>
            </w:pPr>
            <w:r w:rsidRPr="00D442E6">
              <w:rPr>
                <w:rFonts w:ascii="Arial" w:hAnsi="Arial" w:cs="Arial"/>
                <w:spacing w:val="-3"/>
                <w:sz w:val="18"/>
                <w:szCs w:val="18"/>
              </w:rPr>
              <w:t>Président</w:t>
            </w:r>
          </w:p>
        </w:tc>
        <w:tc>
          <w:tcPr>
            <w:tcW w:w="2182" w:type="pct"/>
            <w:vAlign w:val="center"/>
          </w:tcPr>
          <w:p w:rsidR="009416D4" w:rsidRPr="00D442E6" w:rsidRDefault="001D46EB" w:rsidP="00F464A9">
            <w:pPr>
              <w:tabs>
                <w:tab w:val="left" w:pos="-720"/>
              </w:tabs>
              <w:suppressAutoHyphens/>
              <w:rPr>
                <w:rFonts w:ascii="Arial" w:hAnsi="Arial" w:cs="Arial"/>
                <w:spacing w:val="-3"/>
                <w:sz w:val="18"/>
                <w:szCs w:val="18"/>
              </w:rPr>
            </w:pPr>
            <w:r w:rsidRPr="00D442E6">
              <w:rPr>
                <w:rFonts w:ascii="Arial" w:hAnsi="Arial" w:cs="Arial"/>
                <w:spacing w:val="-3"/>
                <w:sz w:val="18"/>
                <w:szCs w:val="18"/>
              </w:rPr>
              <w:t xml:space="preserve">M. </w:t>
            </w:r>
            <w:r w:rsidR="00F464A9" w:rsidRPr="00D442E6">
              <w:rPr>
                <w:rFonts w:ascii="Arial" w:hAnsi="Arial" w:cs="Arial"/>
                <w:spacing w:val="-3"/>
                <w:sz w:val="18"/>
                <w:szCs w:val="18"/>
              </w:rPr>
              <w:t>Habib NDAO</w:t>
            </w:r>
          </w:p>
        </w:tc>
        <w:tc>
          <w:tcPr>
            <w:tcW w:w="1219" w:type="pct"/>
            <w:vAlign w:val="center"/>
          </w:tcPr>
          <w:p w:rsidR="009416D4" w:rsidRPr="00D442E6" w:rsidRDefault="009416D4" w:rsidP="00B92E7E">
            <w:pPr>
              <w:tabs>
                <w:tab w:val="left" w:pos="-720"/>
              </w:tabs>
              <w:suppressAutoHyphens/>
              <w:rPr>
                <w:rFonts w:ascii="Arial" w:hAnsi="Arial" w:cs="Arial"/>
                <w:spacing w:val="-3"/>
                <w:sz w:val="18"/>
                <w:szCs w:val="18"/>
              </w:rPr>
            </w:pPr>
            <w:r w:rsidRPr="00D442E6">
              <w:rPr>
                <w:rFonts w:ascii="Arial" w:hAnsi="Arial" w:cs="Arial"/>
                <w:spacing w:val="-3"/>
                <w:sz w:val="18"/>
                <w:szCs w:val="18"/>
              </w:rPr>
              <w:t>Secrétaire Exécutif</w:t>
            </w:r>
          </w:p>
        </w:tc>
      </w:tr>
      <w:tr w:rsidR="009416D4" w:rsidRPr="00D442E6" w:rsidTr="00D442E6">
        <w:trPr>
          <w:trHeight w:hRule="exact" w:val="680"/>
          <w:jc w:val="center"/>
        </w:trPr>
        <w:tc>
          <w:tcPr>
            <w:tcW w:w="1599" w:type="pct"/>
            <w:vAlign w:val="center"/>
          </w:tcPr>
          <w:p w:rsidR="009416D4" w:rsidRPr="00D442E6" w:rsidRDefault="008903AB" w:rsidP="00ED1F4F">
            <w:pPr>
              <w:tabs>
                <w:tab w:val="left" w:pos="-720"/>
              </w:tabs>
              <w:suppressAutoHyphens/>
              <w:rPr>
                <w:rFonts w:ascii="Arial" w:hAnsi="Arial" w:cs="Arial"/>
                <w:spacing w:val="-3"/>
                <w:sz w:val="18"/>
                <w:szCs w:val="18"/>
                <w:highlight w:val="yellow"/>
              </w:rPr>
            </w:pPr>
            <w:r w:rsidRPr="00D442E6">
              <w:rPr>
                <w:rFonts w:ascii="Arial" w:hAnsi="Arial" w:cs="Arial"/>
                <w:spacing w:val="-3"/>
                <w:sz w:val="18"/>
                <w:szCs w:val="18"/>
              </w:rPr>
              <w:t>Coordon</w:t>
            </w:r>
            <w:r w:rsidR="009416D4" w:rsidRPr="00D442E6">
              <w:rPr>
                <w:rFonts w:ascii="Arial" w:hAnsi="Arial" w:cs="Arial"/>
                <w:spacing w:val="-3"/>
                <w:sz w:val="18"/>
                <w:szCs w:val="18"/>
              </w:rPr>
              <w:t>nateur</w:t>
            </w:r>
          </w:p>
        </w:tc>
        <w:tc>
          <w:tcPr>
            <w:tcW w:w="2182" w:type="pct"/>
            <w:vAlign w:val="center"/>
          </w:tcPr>
          <w:p w:rsidR="009416D4" w:rsidRPr="00D442E6" w:rsidRDefault="004204AC" w:rsidP="00CE4448">
            <w:pPr>
              <w:tabs>
                <w:tab w:val="left" w:pos="-720"/>
              </w:tabs>
              <w:suppressAutoHyphens/>
              <w:rPr>
                <w:rFonts w:ascii="Arial" w:hAnsi="Arial" w:cs="Arial"/>
                <w:strike/>
                <w:spacing w:val="-3"/>
                <w:sz w:val="18"/>
                <w:szCs w:val="18"/>
                <w:highlight w:val="yellow"/>
                <w:lang w:val="en-US"/>
              </w:rPr>
            </w:pPr>
            <w:r w:rsidRPr="00D442E6">
              <w:rPr>
                <w:rFonts w:ascii="Arial" w:hAnsi="Arial" w:cs="Arial"/>
                <w:spacing w:val="-3"/>
                <w:sz w:val="18"/>
                <w:szCs w:val="18"/>
                <w:lang w:val="en-US"/>
              </w:rPr>
              <w:t>Dr. Aliou DIOP</w:t>
            </w:r>
          </w:p>
        </w:tc>
        <w:tc>
          <w:tcPr>
            <w:tcW w:w="1219" w:type="pct"/>
            <w:vAlign w:val="center"/>
          </w:tcPr>
          <w:p w:rsidR="009416D4" w:rsidRPr="00D442E6" w:rsidRDefault="006812EC" w:rsidP="00F464A9">
            <w:pPr>
              <w:tabs>
                <w:tab w:val="left" w:pos="-720"/>
              </w:tabs>
              <w:suppressAutoHyphens/>
              <w:rPr>
                <w:rFonts w:ascii="Arial" w:hAnsi="Arial" w:cs="Arial"/>
                <w:strike/>
                <w:spacing w:val="-3"/>
                <w:sz w:val="18"/>
                <w:szCs w:val="18"/>
                <w:highlight w:val="yellow"/>
              </w:rPr>
            </w:pPr>
            <w:r w:rsidRPr="00D442E6">
              <w:rPr>
                <w:rFonts w:ascii="Arial" w:hAnsi="Arial" w:cs="Arial"/>
                <w:spacing w:val="-3"/>
                <w:sz w:val="18"/>
                <w:szCs w:val="18"/>
              </w:rPr>
              <w:t xml:space="preserve">Expert financier </w:t>
            </w:r>
          </w:p>
        </w:tc>
      </w:tr>
      <w:tr w:rsidR="00D746CC" w:rsidRPr="00D442E6" w:rsidTr="00D442E6">
        <w:trPr>
          <w:trHeight w:hRule="exact" w:val="680"/>
          <w:jc w:val="center"/>
        </w:trPr>
        <w:tc>
          <w:tcPr>
            <w:tcW w:w="1599" w:type="pct"/>
            <w:vMerge w:val="restart"/>
            <w:vAlign w:val="center"/>
          </w:tcPr>
          <w:p w:rsidR="00D746CC" w:rsidRPr="00D442E6" w:rsidRDefault="00D746CC" w:rsidP="00EA0B2D">
            <w:pPr>
              <w:rPr>
                <w:rFonts w:ascii="Arial" w:hAnsi="Arial" w:cs="Arial"/>
                <w:sz w:val="18"/>
                <w:szCs w:val="18"/>
              </w:rPr>
            </w:pPr>
            <w:r w:rsidRPr="00D442E6">
              <w:rPr>
                <w:rFonts w:ascii="Arial" w:hAnsi="Arial" w:cs="Arial"/>
                <w:spacing w:val="-3"/>
                <w:sz w:val="18"/>
                <w:szCs w:val="18"/>
              </w:rPr>
              <w:t xml:space="preserve">Comité de rédaction </w:t>
            </w:r>
          </w:p>
        </w:tc>
        <w:tc>
          <w:tcPr>
            <w:tcW w:w="2182" w:type="pct"/>
            <w:vAlign w:val="center"/>
          </w:tcPr>
          <w:p w:rsidR="00D746CC" w:rsidRPr="00D442E6" w:rsidRDefault="00D746CC" w:rsidP="00B121D0">
            <w:pPr>
              <w:tabs>
                <w:tab w:val="left" w:pos="-720"/>
              </w:tabs>
              <w:suppressAutoHyphens/>
              <w:rPr>
                <w:rFonts w:ascii="Arial" w:hAnsi="Arial" w:cs="Arial"/>
                <w:spacing w:val="-3"/>
                <w:sz w:val="18"/>
                <w:szCs w:val="18"/>
              </w:rPr>
            </w:pPr>
            <w:r w:rsidRPr="00D442E6">
              <w:rPr>
                <w:rFonts w:ascii="Arial" w:hAnsi="Arial" w:cs="Arial"/>
                <w:spacing w:val="-3"/>
                <w:sz w:val="18"/>
                <w:szCs w:val="18"/>
              </w:rPr>
              <w:t>Dr. Aliou DIOP</w:t>
            </w:r>
          </w:p>
        </w:tc>
        <w:tc>
          <w:tcPr>
            <w:tcW w:w="1219" w:type="pct"/>
            <w:vAlign w:val="center"/>
          </w:tcPr>
          <w:p w:rsidR="00D746CC" w:rsidRPr="00D442E6" w:rsidRDefault="00D746CC" w:rsidP="00B121D0">
            <w:pPr>
              <w:tabs>
                <w:tab w:val="left" w:pos="-720"/>
              </w:tabs>
              <w:suppressAutoHyphens/>
              <w:rPr>
                <w:rFonts w:ascii="Arial" w:hAnsi="Arial" w:cs="Arial"/>
                <w:spacing w:val="-3"/>
                <w:sz w:val="18"/>
                <w:szCs w:val="18"/>
              </w:rPr>
            </w:pPr>
            <w:r w:rsidRPr="00D442E6">
              <w:rPr>
                <w:rFonts w:ascii="Arial" w:hAnsi="Arial" w:cs="Arial"/>
                <w:spacing w:val="-3"/>
                <w:sz w:val="18"/>
                <w:szCs w:val="18"/>
              </w:rPr>
              <w:t xml:space="preserve">Expert financier </w:t>
            </w:r>
          </w:p>
        </w:tc>
      </w:tr>
      <w:tr w:rsidR="00D746CC" w:rsidRPr="00D442E6" w:rsidTr="00D442E6">
        <w:trPr>
          <w:trHeight w:hRule="exact" w:val="680"/>
          <w:jc w:val="center"/>
        </w:trPr>
        <w:tc>
          <w:tcPr>
            <w:tcW w:w="1599" w:type="pct"/>
            <w:vMerge/>
            <w:vAlign w:val="center"/>
          </w:tcPr>
          <w:p w:rsidR="00D746CC" w:rsidRPr="00D442E6" w:rsidRDefault="00D746CC" w:rsidP="00B121D0">
            <w:pPr>
              <w:rPr>
                <w:rFonts w:ascii="Arial" w:hAnsi="Arial" w:cs="Arial"/>
                <w:sz w:val="18"/>
                <w:szCs w:val="18"/>
                <w:lang w:val="en-US"/>
              </w:rPr>
            </w:pPr>
          </w:p>
        </w:tc>
        <w:tc>
          <w:tcPr>
            <w:tcW w:w="2182" w:type="pct"/>
            <w:vAlign w:val="center"/>
          </w:tcPr>
          <w:p w:rsidR="00D746CC" w:rsidRPr="00D442E6" w:rsidRDefault="00D746CC" w:rsidP="000D163E">
            <w:pPr>
              <w:tabs>
                <w:tab w:val="left" w:pos="-720"/>
              </w:tabs>
              <w:suppressAutoHyphens/>
              <w:rPr>
                <w:rFonts w:ascii="Arial" w:hAnsi="Arial" w:cs="Arial"/>
                <w:spacing w:val="-3"/>
                <w:sz w:val="18"/>
                <w:szCs w:val="18"/>
              </w:rPr>
            </w:pPr>
            <w:r w:rsidRPr="00D442E6">
              <w:rPr>
                <w:rFonts w:ascii="Arial" w:hAnsi="Arial" w:cs="Arial"/>
                <w:spacing w:val="-3"/>
                <w:sz w:val="18"/>
                <w:szCs w:val="18"/>
              </w:rPr>
              <w:t>Mme Sophie N. SECK FALL</w:t>
            </w:r>
          </w:p>
        </w:tc>
        <w:tc>
          <w:tcPr>
            <w:tcW w:w="1219" w:type="pct"/>
            <w:vAlign w:val="center"/>
          </w:tcPr>
          <w:p w:rsidR="00D746CC" w:rsidRPr="00D442E6" w:rsidRDefault="00D746CC" w:rsidP="00B121D0">
            <w:pPr>
              <w:tabs>
                <w:tab w:val="left" w:pos="-720"/>
              </w:tabs>
              <w:suppressAutoHyphens/>
              <w:rPr>
                <w:rFonts w:ascii="Arial" w:hAnsi="Arial" w:cs="Arial"/>
                <w:spacing w:val="-3"/>
                <w:sz w:val="18"/>
                <w:szCs w:val="18"/>
              </w:rPr>
            </w:pPr>
            <w:r w:rsidRPr="00D442E6">
              <w:rPr>
                <w:rFonts w:ascii="Arial" w:hAnsi="Arial" w:cs="Arial"/>
                <w:spacing w:val="-3"/>
                <w:sz w:val="18"/>
                <w:szCs w:val="18"/>
              </w:rPr>
              <w:t>Juriste</w:t>
            </w:r>
          </w:p>
        </w:tc>
      </w:tr>
      <w:tr w:rsidR="00D746CC" w:rsidRPr="00D442E6" w:rsidTr="00D442E6">
        <w:trPr>
          <w:trHeight w:hRule="exact" w:val="680"/>
          <w:jc w:val="center"/>
        </w:trPr>
        <w:tc>
          <w:tcPr>
            <w:tcW w:w="1599" w:type="pct"/>
            <w:vMerge/>
            <w:vAlign w:val="center"/>
          </w:tcPr>
          <w:p w:rsidR="00D746CC" w:rsidRPr="00D442E6" w:rsidRDefault="00D746CC" w:rsidP="009416D4">
            <w:pPr>
              <w:tabs>
                <w:tab w:val="left" w:pos="-720"/>
              </w:tabs>
              <w:suppressAutoHyphens/>
              <w:rPr>
                <w:rFonts w:ascii="Arial" w:hAnsi="Arial" w:cs="Arial"/>
                <w:spacing w:val="-3"/>
                <w:sz w:val="18"/>
                <w:szCs w:val="18"/>
              </w:rPr>
            </w:pPr>
          </w:p>
        </w:tc>
        <w:tc>
          <w:tcPr>
            <w:tcW w:w="2182" w:type="pct"/>
            <w:vAlign w:val="center"/>
          </w:tcPr>
          <w:p w:rsidR="00D746CC" w:rsidRPr="00D442E6" w:rsidRDefault="00D746CC" w:rsidP="00B121D0">
            <w:pPr>
              <w:tabs>
                <w:tab w:val="left" w:pos="-720"/>
              </w:tabs>
              <w:suppressAutoHyphens/>
              <w:rPr>
                <w:rFonts w:ascii="Arial" w:hAnsi="Arial" w:cs="Arial"/>
                <w:spacing w:val="-3"/>
                <w:sz w:val="18"/>
                <w:szCs w:val="18"/>
              </w:rPr>
            </w:pPr>
            <w:r w:rsidRPr="00D442E6">
              <w:rPr>
                <w:rFonts w:ascii="Arial" w:hAnsi="Arial" w:cs="Arial"/>
                <w:spacing w:val="-3"/>
                <w:sz w:val="18"/>
                <w:szCs w:val="18"/>
              </w:rPr>
              <w:t>M. François Mame Samba NDIAYE</w:t>
            </w:r>
          </w:p>
        </w:tc>
        <w:tc>
          <w:tcPr>
            <w:tcW w:w="1219" w:type="pct"/>
            <w:vAlign w:val="center"/>
          </w:tcPr>
          <w:p w:rsidR="00D746CC" w:rsidRPr="00D442E6" w:rsidRDefault="00D746CC" w:rsidP="00B92E7E">
            <w:pPr>
              <w:tabs>
                <w:tab w:val="left" w:pos="-720"/>
              </w:tabs>
              <w:suppressAutoHyphens/>
              <w:rPr>
                <w:rFonts w:ascii="Arial" w:hAnsi="Arial" w:cs="Arial"/>
                <w:spacing w:val="-3"/>
                <w:sz w:val="18"/>
                <w:szCs w:val="18"/>
              </w:rPr>
            </w:pPr>
            <w:r w:rsidRPr="00D442E6">
              <w:rPr>
                <w:rFonts w:ascii="Arial" w:hAnsi="Arial" w:cs="Arial"/>
                <w:spacing w:val="-3"/>
                <w:sz w:val="18"/>
                <w:szCs w:val="18"/>
              </w:rPr>
              <w:t>Juriste</w:t>
            </w:r>
          </w:p>
        </w:tc>
      </w:tr>
      <w:tr w:rsidR="00D746CC" w:rsidRPr="00D442E6" w:rsidTr="00D442E6">
        <w:trPr>
          <w:trHeight w:hRule="exact" w:val="680"/>
          <w:jc w:val="center"/>
        </w:trPr>
        <w:tc>
          <w:tcPr>
            <w:tcW w:w="1599" w:type="pct"/>
            <w:vMerge/>
            <w:vAlign w:val="center"/>
          </w:tcPr>
          <w:p w:rsidR="00D746CC" w:rsidRPr="00D442E6" w:rsidRDefault="00D746CC" w:rsidP="009416D4">
            <w:pPr>
              <w:tabs>
                <w:tab w:val="left" w:pos="-720"/>
              </w:tabs>
              <w:suppressAutoHyphens/>
              <w:rPr>
                <w:rFonts w:ascii="Arial" w:hAnsi="Arial" w:cs="Arial"/>
                <w:spacing w:val="-3"/>
                <w:sz w:val="18"/>
                <w:szCs w:val="18"/>
              </w:rPr>
            </w:pPr>
          </w:p>
        </w:tc>
        <w:tc>
          <w:tcPr>
            <w:tcW w:w="2182" w:type="pct"/>
            <w:vAlign w:val="center"/>
          </w:tcPr>
          <w:p w:rsidR="00D746CC" w:rsidRPr="00D442E6" w:rsidRDefault="00D746CC" w:rsidP="00551040">
            <w:pPr>
              <w:tabs>
                <w:tab w:val="left" w:pos="-720"/>
              </w:tabs>
              <w:suppressAutoHyphens/>
              <w:rPr>
                <w:rFonts w:ascii="Arial" w:hAnsi="Arial" w:cs="Arial"/>
                <w:spacing w:val="-3"/>
                <w:sz w:val="18"/>
                <w:szCs w:val="18"/>
                <w:lang w:val="en-US"/>
              </w:rPr>
            </w:pPr>
            <w:r w:rsidRPr="00D442E6">
              <w:rPr>
                <w:rFonts w:ascii="Arial" w:hAnsi="Arial" w:cs="Arial"/>
                <w:spacing w:val="-3"/>
                <w:sz w:val="18"/>
                <w:szCs w:val="18"/>
                <w:lang w:val="en-US"/>
              </w:rPr>
              <w:t>Alphonse Diombo THIAKANE</w:t>
            </w:r>
          </w:p>
        </w:tc>
        <w:tc>
          <w:tcPr>
            <w:tcW w:w="1219" w:type="pct"/>
            <w:vAlign w:val="center"/>
          </w:tcPr>
          <w:p w:rsidR="00D746CC" w:rsidRPr="00D442E6" w:rsidRDefault="00D746CC" w:rsidP="00551040">
            <w:pPr>
              <w:tabs>
                <w:tab w:val="left" w:pos="-720"/>
              </w:tabs>
              <w:suppressAutoHyphens/>
              <w:rPr>
                <w:rFonts w:ascii="Arial" w:hAnsi="Arial" w:cs="Arial"/>
                <w:b/>
                <w:spacing w:val="-3"/>
                <w:sz w:val="18"/>
                <w:szCs w:val="18"/>
                <w:lang w:val="en-US"/>
              </w:rPr>
            </w:pPr>
            <w:r w:rsidRPr="00D442E6">
              <w:rPr>
                <w:rFonts w:ascii="Arial" w:hAnsi="Arial" w:cs="Arial"/>
                <w:spacing w:val="-3"/>
                <w:sz w:val="18"/>
                <w:szCs w:val="18"/>
              </w:rPr>
              <w:t>Expert informaticien</w:t>
            </w:r>
          </w:p>
        </w:tc>
      </w:tr>
    </w:tbl>
    <w:p w:rsidR="009416D4" w:rsidRDefault="009416D4" w:rsidP="009416D4">
      <w:pPr>
        <w:tabs>
          <w:tab w:val="left" w:pos="-720"/>
        </w:tabs>
        <w:suppressAutoHyphens/>
        <w:jc w:val="both"/>
        <w:rPr>
          <w:rFonts w:ascii="Arial" w:hAnsi="Arial" w:cs="Arial"/>
          <w:spacing w:val="-3"/>
        </w:rPr>
      </w:pPr>
    </w:p>
    <w:p w:rsidR="00C42460" w:rsidRDefault="00C42460" w:rsidP="00CF6E5B">
      <w:pPr>
        <w:tabs>
          <w:tab w:val="left" w:pos="-720"/>
        </w:tabs>
        <w:suppressAutoHyphens/>
        <w:jc w:val="center"/>
        <w:rPr>
          <w:rFonts w:ascii="Arial" w:hAnsi="Arial" w:cs="Arial"/>
          <w:b/>
          <w:spacing w:val="-3"/>
          <w:sz w:val="22"/>
        </w:rPr>
      </w:pPr>
    </w:p>
    <w:p w:rsidR="00C42460" w:rsidRPr="00734D75" w:rsidRDefault="00C42460" w:rsidP="00CF6E5B">
      <w:pPr>
        <w:tabs>
          <w:tab w:val="left" w:pos="-720"/>
        </w:tabs>
        <w:suppressAutoHyphens/>
        <w:jc w:val="center"/>
        <w:rPr>
          <w:rFonts w:ascii="Arial" w:hAnsi="Arial" w:cs="Arial"/>
          <w:b/>
          <w:spacing w:val="-3"/>
          <w:sz w:val="22"/>
        </w:rPr>
        <w:sectPr w:rsidR="00C42460" w:rsidRPr="00734D75" w:rsidSect="00AE2523">
          <w:headerReference w:type="default" r:id="rId11"/>
          <w:footerReference w:type="even" r:id="rId12"/>
          <w:footerReference w:type="default" r:id="rId13"/>
          <w:pgSz w:w="11907" w:h="16840" w:code="9"/>
          <w:pgMar w:top="680" w:right="1134" w:bottom="680" w:left="1191" w:header="454" w:footer="454" w:gutter="0"/>
          <w:cols w:space="720"/>
          <w:docGrid w:linePitch="360"/>
        </w:sectPr>
      </w:pPr>
    </w:p>
    <w:sdt>
      <w:sdtPr>
        <w:rPr>
          <w:rFonts w:ascii="Times New Roman" w:hAnsi="Times New Roman" w:cs="Times New Roman"/>
          <w:b w:val="0"/>
          <w:bCs/>
          <w:sz w:val="20"/>
          <w:szCs w:val="20"/>
        </w:rPr>
        <w:id w:val="2785938"/>
        <w:docPartObj>
          <w:docPartGallery w:val="Table of Contents"/>
          <w:docPartUnique/>
        </w:docPartObj>
      </w:sdtPr>
      <w:sdtEndPr>
        <w:rPr>
          <w:rFonts w:ascii="Book Antiqua" w:hAnsi="Book Antiqua"/>
          <w:b/>
          <w:bCs w:val="0"/>
        </w:rPr>
      </w:sdtEndPr>
      <w:sdtContent>
        <w:p w:rsidR="009E08DC" w:rsidRPr="00D76382" w:rsidRDefault="006F2142" w:rsidP="006F2142">
          <w:pPr>
            <w:pStyle w:val="Titre1"/>
            <w:numPr>
              <w:ilvl w:val="0"/>
              <w:numId w:val="0"/>
            </w:numPr>
            <w:jc w:val="center"/>
            <w:rPr>
              <w:sz w:val="20"/>
              <w:szCs w:val="20"/>
            </w:rPr>
          </w:pPr>
          <w:r w:rsidRPr="006F2142">
            <w:rPr>
              <w:rFonts w:cs="Times New Roman"/>
              <w:bCs/>
              <w:sz w:val="20"/>
              <w:szCs w:val="20"/>
            </w:rPr>
            <w:t>TABLE DES MATIERES</w:t>
          </w:r>
        </w:p>
        <w:p w:rsidR="006117BE" w:rsidRPr="006117BE" w:rsidRDefault="000D65F2">
          <w:pPr>
            <w:pStyle w:val="TM1"/>
            <w:rPr>
              <w:rFonts w:eastAsiaTheme="minorEastAsia" w:cstheme="minorBidi"/>
            </w:rPr>
          </w:pPr>
          <w:r w:rsidRPr="006117BE">
            <w:fldChar w:fldCharType="begin"/>
          </w:r>
          <w:r w:rsidR="00A43EFD" w:rsidRPr="006117BE">
            <w:instrText xml:space="preserve"> TOC \o "1-3" \h \z \u </w:instrText>
          </w:r>
          <w:r w:rsidRPr="006117BE">
            <w:fldChar w:fldCharType="separate"/>
          </w:r>
          <w:hyperlink w:anchor="_Toc523322009" w:history="1">
            <w:r w:rsidR="006117BE" w:rsidRPr="006117BE">
              <w:rPr>
                <w:rStyle w:val="Lienhypertexte"/>
              </w:rPr>
              <w:t>LISTE DES TABLEAUX</w:t>
            </w:r>
            <w:r w:rsidR="006117BE" w:rsidRPr="006117BE">
              <w:rPr>
                <w:webHidden/>
              </w:rPr>
              <w:tab/>
            </w:r>
            <w:r w:rsidRPr="006117BE">
              <w:rPr>
                <w:webHidden/>
              </w:rPr>
              <w:fldChar w:fldCharType="begin"/>
            </w:r>
            <w:r w:rsidR="006117BE" w:rsidRPr="006117BE">
              <w:rPr>
                <w:webHidden/>
              </w:rPr>
              <w:instrText xml:space="preserve"> PAGEREF _Toc523322009 \h </w:instrText>
            </w:r>
            <w:r w:rsidRPr="006117BE">
              <w:rPr>
                <w:webHidden/>
              </w:rPr>
            </w:r>
            <w:r w:rsidRPr="006117BE">
              <w:rPr>
                <w:webHidden/>
              </w:rPr>
              <w:fldChar w:fldCharType="separate"/>
            </w:r>
            <w:r w:rsidR="006F2142">
              <w:rPr>
                <w:webHidden/>
              </w:rPr>
              <w:t>7</w:t>
            </w:r>
            <w:r w:rsidRPr="006117BE">
              <w:rPr>
                <w:webHidden/>
              </w:rPr>
              <w:fldChar w:fldCharType="end"/>
            </w:r>
          </w:hyperlink>
        </w:p>
        <w:p w:rsidR="006117BE" w:rsidRPr="006117BE" w:rsidRDefault="000D65F2">
          <w:pPr>
            <w:pStyle w:val="TM1"/>
            <w:rPr>
              <w:rFonts w:eastAsiaTheme="minorEastAsia" w:cstheme="minorBidi"/>
            </w:rPr>
          </w:pPr>
          <w:hyperlink w:anchor="_Toc523322010" w:history="1">
            <w:r w:rsidR="006117BE" w:rsidRPr="006117BE">
              <w:rPr>
                <w:rStyle w:val="Lienhypertexte"/>
              </w:rPr>
              <w:t>LISTE DES FIGURES</w:t>
            </w:r>
            <w:r w:rsidR="006117BE" w:rsidRPr="006117BE">
              <w:rPr>
                <w:webHidden/>
              </w:rPr>
              <w:tab/>
            </w:r>
            <w:r w:rsidRPr="006117BE">
              <w:rPr>
                <w:webHidden/>
              </w:rPr>
              <w:fldChar w:fldCharType="begin"/>
            </w:r>
            <w:r w:rsidR="006117BE" w:rsidRPr="006117BE">
              <w:rPr>
                <w:webHidden/>
              </w:rPr>
              <w:instrText xml:space="preserve"> PAGEREF _Toc523322010 \h </w:instrText>
            </w:r>
            <w:r w:rsidRPr="006117BE">
              <w:rPr>
                <w:webHidden/>
              </w:rPr>
            </w:r>
            <w:r w:rsidRPr="006117BE">
              <w:rPr>
                <w:webHidden/>
              </w:rPr>
              <w:fldChar w:fldCharType="separate"/>
            </w:r>
            <w:r w:rsidR="006F2142">
              <w:rPr>
                <w:webHidden/>
              </w:rPr>
              <w:t>8</w:t>
            </w:r>
            <w:r w:rsidRPr="006117BE">
              <w:rPr>
                <w:webHidden/>
              </w:rPr>
              <w:fldChar w:fldCharType="end"/>
            </w:r>
          </w:hyperlink>
        </w:p>
        <w:p w:rsidR="006117BE" w:rsidRPr="006117BE" w:rsidRDefault="000D65F2">
          <w:pPr>
            <w:pStyle w:val="TM1"/>
            <w:rPr>
              <w:rFonts w:eastAsiaTheme="minorEastAsia" w:cstheme="minorBidi"/>
            </w:rPr>
          </w:pPr>
          <w:hyperlink w:anchor="_Toc523322011" w:history="1">
            <w:r w:rsidR="006117BE" w:rsidRPr="006117BE">
              <w:rPr>
                <w:rStyle w:val="Lienhypertexte"/>
              </w:rPr>
              <w:t>SIGLES ET ABREVIATIONS</w:t>
            </w:r>
            <w:r w:rsidR="006117BE" w:rsidRPr="006117BE">
              <w:rPr>
                <w:webHidden/>
              </w:rPr>
              <w:tab/>
            </w:r>
            <w:r w:rsidRPr="006117BE">
              <w:rPr>
                <w:webHidden/>
              </w:rPr>
              <w:fldChar w:fldCharType="begin"/>
            </w:r>
            <w:r w:rsidR="006117BE" w:rsidRPr="006117BE">
              <w:rPr>
                <w:webHidden/>
              </w:rPr>
              <w:instrText xml:space="preserve"> PAGEREF _Toc523322011 \h </w:instrText>
            </w:r>
            <w:r w:rsidRPr="006117BE">
              <w:rPr>
                <w:webHidden/>
              </w:rPr>
            </w:r>
            <w:r w:rsidRPr="006117BE">
              <w:rPr>
                <w:webHidden/>
              </w:rPr>
              <w:fldChar w:fldCharType="separate"/>
            </w:r>
            <w:r w:rsidR="006F2142">
              <w:rPr>
                <w:webHidden/>
              </w:rPr>
              <w:t>12</w:t>
            </w:r>
            <w:r w:rsidRPr="006117BE">
              <w:rPr>
                <w:webHidden/>
              </w:rPr>
              <w:fldChar w:fldCharType="end"/>
            </w:r>
          </w:hyperlink>
        </w:p>
        <w:p w:rsidR="006117BE" w:rsidRPr="006117BE" w:rsidRDefault="000D65F2">
          <w:pPr>
            <w:pStyle w:val="TM1"/>
            <w:rPr>
              <w:rFonts w:eastAsiaTheme="minorEastAsia" w:cstheme="minorBidi"/>
            </w:rPr>
          </w:pPr>
          <w:hyperlink w:anchor="_Toc523322012" w:history="1">
            <w:r w:rsidR="006117BE" w:rsidRPr="006117BE">
              <w:rPr>
                <w:rStyle w:val="Lienhypertexte"/>
              </w:rPr>
              <w:t>GLOSSAIRE</w:t>
            </w:r>
            <w:r w:rsidR="006117BE" w:rsidRPr="006117BE">
              <w:rPr>
                <w:webHidden/>
              </w:rPr>
              <w:tab/>
            </w:r>
            <w:r w:rsidRPr="006117BE">
              <w:rPr>
                <w:webHidden/>
              </w:rPr>
              <w:fldChar w:fldCharType="begin"/>
            </w:r>
            <w:r w:rsidR="006117BE" w:rsidRPr="006117BE">
              <w:rPr>
                <w:webHidden/>
              </w:rPr>
              <w:instrText xml:space="preserve"> PAGEREF _Toc523322012 \h </w:instrText>
            </w:r>
            <w:r w:rsidRPr="006117BE">
              <w:rPr>
                <w:webHidden/>
              </w:rPr>
            </w:r>
            <w:r w:rsidRPr="006117BE">
              <w:rPr>
                <w:webHidden/>
              </w:rPr>
              <w:fldChar w:fldCharType="separate"/>
            </w:r>
            <w:r w:rsidR="006F2142">
              <w:rPr>
                <w:webHidden/>
              </w:rPr>
              <w:t>13</w:t>
            </w:r>
            <w:r w:rsidRPr="006117BE">
              <w:rPr>
                <w:webHidden/>
              </w:rPr>
              <w:fldChar w:fldCharType="end"/>
            </w:r>
          </w:hyperlink>
        </w:p>
        <w:p w:rsidR="006117BE" w:rsidRPr="006117BE" w:rsidRDefault="000D65F2">
          <w:pPr>
            <w:pStyle w:val="TM1"/>
            <w:rPr>
              <w:rFonts w:eastAsiaTheme="minorEastAsia" w:cstheme="minorBidi"/>
            </w:rPr>
          </w:pPr>
          <w:hyperlink w:anchor="_Toc523322013" w:history="1">
            <w:r w:rsidR="006117BE" w:rsidRPr="006117BE">
              <w:rPr>
                <w:rStyle w:val="Lienhypertexte"/>
                <w:rFonts w:cs="Tahoma"/>
              </w:rPr>
              <w:t>I.</w:t>
            </w:r>
            <w:r w:rsidR="006117BE">
              <w:rPr>
                <w:rFonts w:eastAsiaTheme="minorEastAsia" w:cstheme="minorBidi"/>
              </w:rPr>
              <w:t xml:space="preserve"> </w:t>
            </w:r>
            <w:r w:rsidR="006117BE" w:rsidRPr="006117BE">
              <w:rPr>
                <w:rStyle w:val="Lienhypertexte"/>
                <w:rFonts w:cs="Tahoma"/>
              </w:rPr>
              <w:t>INTRODUCTION</w:t>
            </w:r>
            <w:r w:rsidR="006117BE" w:rsidRPr="006117BE">
              <w:rPr>
                <w:webHidden/>
              </w:rPr>
              <w:tab/>
            </w:r>
            <w:r w:rsidRPr="006117BE">
              <w:rPr>
                <w:webHidden/>
              </w:rPr>
              <w:fldChar w:fldCharType="begin"/>
            </w:r>
            <w:r w:rsidR="006117BE" w:rsidRPr="006117BE">
              <w:rPr>
                <w:webHidden/>
              </w:rPr>
              <w:instrText xml:space="preserve"> PAGEREF _Toc523322013 \h </w:instrText>
            </w:r>
            <w:r w:rsidRPr="006117BE">
              <w:rPr>
                <w:webHidden/>
              </w:rPr>
            </w:r>
            <w:r w:rsidRPr="006117BE">
              <w:rPr>
                <w:webHidden/>
              </w:rPr>
              <w:fldChar w:fldCharType="separate"/>
            </w:r>
            <w:r w:rsidR="006F2142">
              <w:rPr>
                <w:webHidden/>
              </w:rPr>
              <w:t>16</w:t>
            </w:r>
            <w:r w:rsidRPr="006117BE">
              <w:rPr>
                <w:webHidden/>
              </w:rPr>
              <w:fldChar w:fldCharType="end"/>
            </w:r>
          </w:hyperlink>
        </w:p>
        <w:p w:rsidR="006117BE" w:rsidRPr="006117BE" w:rsidRDefault="000D65F2">
          <w:pPr>
            <w:pStyle w:val="TM1"/>
            <w:rPr>
              <w:rFonts w:eastAsiaTheme="minorEastAsia" w:cstheme="minorBidi"/>
            </w:rPr>
          </w:pPr>
          <w:hyperlink w:anchor="_Toc523322014" w:history="1">
            <w:r w:rsidR="006117BE" w:rsidRPr="006117BE">
              <w:rPr>
                <w:rStyle w:val="Lienhypertexte"/>
              </w:rPr>
              <w:t>II.</w:t>
            </w:r>
            <w:r w:rsidR="006117BE">
              <w:rPr>
                <w:rFonts w:eastAsiaTheme="minorEastAsia" w:cstheme="minorBidi"/>
              </w:rPr>
              <w:t xml:space="preserve"> </w:t>
            </w:r>
            <w:r w:rsidR="006117BE" w:rsidRPr="006117BE">
              <w:rPr>
                <w:rStyle w:val="Lienhypertexte"/>
              </w:rPr>
              <w:t>CONTEXTE ET DEMARCHE METHODOLOGIQUE DE L’ESUB 2015/2016</w:t>
            </w:r>
            <w:r w:rsidR="006117BE" w:rsidRPr="006117BE">
              <w:rPr>
                <w:webHidden/>
              </w:rPr>
              <w:tab/>
            </w:r>
            <w:r w:rsidRPr="006117BE">
              <w:rPr>
                <w:webHidden/>
              </w:rPr>
              <w:fldChar w:fldCharType="begin"/>
            </w:r>
            <w:r w:rsidR="006117BE" w:rsidRPr="006117BE">
              <w:rPr>
                <w:webHidden/>
              </w:rPr>
              <w:instrText xml:space="preserve"> PAGEREF _Toc523322014 \h </w:instrText>
            </w:r>
            <w:r w:rsidRPr="006117BE">
              <w:rPr>
                <w:webHidden/>
              </w:rPr>
            </w:r>
            <w:r w:rsidRPr="006117BE">
              <w:rPr>
                <w:webHidden/>
              </w:rPr>
              <w:fldChar w:fldCharType="separate"/>
            </w:r>
            <w:r w:rsidR="006F2142">
              <w:rPr>
                <w:webHidden/>
              </w:rPr>
              <w:t>17</w:t>
            </w:r>
            <w:r w:rsidRPr="006117BE">
              <w:rPr>
                <w:webHidden/>
              </w:rPr>
              <w:fldChar w:fldCharType="end"/>
            </w:r>
          </w:hyperlink>
        </w:p>
        <w:p w:rsidR="006117BE" w:rsidRPr="006117BE" w:rsidRDefault="000D65F2">
          <w:pPr>
            <w:pStyle w:val="TM1"/>
            <w:rPr>
              <w:rFonts w:eastAsiaTheme="minorEastAsia" w:cstheme="minorBidi"/>
            </w:rPr>
          </w:pPr>
          <w:hyperlink w:anchor="_Toc523322015" w:history="1">
            <w:r w:rsidR="006117BE" w:rsidRPr="006117BE">
              <w:rPr>
                <w:rStyle w:val="Lienhypertexte"/>
              </w:rPr>
              <w:t>II.1. Contexte de l’enquête</w:t>
            </w:r>
            <w:r w:rsidR="006117BE" w:rsidRPr="006117BE">
              <w:rPr>
                <w:webHidden/>
              </w:rPr>
              <w:tab/>
            </w:r>
            <w:r w:rsidRPr="006117BE">
              <w:rPr>
                <w:webHidden/>
              </w:rPr>
              <w:fldChar w:fldCharType="begin"/>
            </w:r>
            <w:r w:rsidR="006117BE" w:rsidRPr="006117BE">
              <w:rPr>
                <w:webHidden/>
              </w:rPr>
              <w:instrText xml:space="preserve"> PAGEREF _Toc523322015 \h </w:instrText>
            </w:r>
            <w:r w:rsidRPr="006117BE">
              <w:rPr>
                <w:webHidden/>
              </w:rPr>
            </w:r>
            <w:r w:rsidRPr="006117BE">
              <w:rPr>
                <w:webHidden/>
              </w:rPr>
              <w:fldChar w:fldCharType="separate"/>
            </w:r>
            <w:r w:rsidR="006F2142">
              <w:rPr>
                <w:webHidden/>
              </w:rPr>
              <w:t>17</w:t>
            </w:r>
            <w:r w:rsidRPr="006117BE">
              <w:rPr>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16" w:history="1">
            <w:r w:rsidR="006117BE" w:rsidRPr="006117BE">
              <w:rPr>
                <w:rStyle w:val="Lienhypertexte"/>
                <w:rFonts w:ascii="Book Antiqua" w:hAnsi="Book Antiqua"/>
                <w:b/>
                <w:noProof/>
                <w:sz w:val="20"/>
                <w:szCs w:val="20"/>
              </w:rPr>
              <w:t>II.2. Démarche méthodologique de l’enquête</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_Toc523322016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17</w:t>
            </w:r>
            <w:r w:rsidRPr="006117BE">
              <w:rPr>
                <w:rFonts w:ascii="Book Antiqua" w:hAnsi="Book Antiqua"/>
                <w:b/>
                <w:noProof/>
                <w:webHidden/>
                <w:sz w:val="20"/>
                <w:szCs w:val="20"/>
              </w:rPr>
              <w:fldChar w:fldCharType="end"/>
            </w:r>
          </w:hyperlink>
        </w:p>
        <w:p w:rsidR="006117BE" w:rsidRPr="006117BE" w:rsidRDefault="000D65F2">
          <w:pPr>
            <w:pStyle w:val="TM1"/>
            <w:rPr>
              <w:rFonts w:eastAsiaTheme="minorEastAsia" w:cstheme="minorBidi"/>
            </w:rPr>
          </w:pPr>
          <w:hyperlink w:anchor="_Toc523322017" w:history="1">
            <w:r w:rsidR="006117BE" w:rsidRPr="006117BE">
              <w:rPr>
                <w:rStyle w:val="Lienhypertexte"/>
              </w:rPr>
              <w:t>II.2.1. Objectifs de l’enquête</w:t>
            </w:r>
            <w:r w:rsidR="006117BE" w:rsidRPr="006117BE">
              <w:rPr>
                <w:webHidden/>
              </w:rPr>
              <w:tab/>
            </w:r>
            <w:r w:rsidRPr="006117BE">
              <w:rPr>
                <w:webHidden/>
              </w:rPr>
              <w:fldChar w:fldCharType="begin"/>
            </w:r>
            <w:r w:rsidR="006117BE" w:rsidRPr="006117BE">
              <w:rPr>
                <w:webHidden/>
              </w:rPr>
              <w:instrText xml:space="preserve"> PAGEREF _Toc523322017 \h </w:instrText>
            </w:r>
            <w:r w:rsidRPr="006117BE">
              <w:rPr>
                <w:webHidden/>
              </w:rPr>
            </w:r>
            <w:r w:rsidRPr="006117BE">
              <w:rPr>
                <w:webHidden/>
              </w:rPr>
              <w:fldChar w:fldCharType="separate"/>
            </w:r>
            <w:r w:rsidR="006F2142">
              <w:rPr>
                <w:webHidden/>
              </w:rPr>
              <w:t>17</w:t>
            </w:r>
            <w:r w:rsidRPr="006117BE">
              <w:rPr>
                <w:webHidden/>
              </w:rPr>
              <w:fldChar w:fldCharType="end"/>
            </w:r>
          </w:hyperlink>
        </w:p>
        <w:p w:rsidR="006117BE" w:rsidRPr="006117BE" w:rsidRDefault="000D65F2">
          <w:pPr>
            <w:pStyle w:val="TM1"/>
            <w:rPr>
              <w:rFonts w:eastAsiaTheme="minorEastAsia" w:cstheme="minorBidi"/>
            </w:rPr>
          </w:pPr>
          <w:hyperlink w:anchor="_Toc523322018" w:history="1">
            <w:r w:rsidR="006117BE" w:rsidRPr="006117BE">
              <w:rPr>
                <w:rStyle w:val="Lienhypertexte"/>
              </w:rPr>
              <w:t>II.2.2. Méthodologie de collecte</w:t>
            </w:r>
            <w:r w:rsidR="006117BE" w:rsidRPr="006117BE">
              <w:rPr>
                <w:webHidden/>
              </w:rPr>
              <w:tab/>
            </w:r>
            <w:r w:rsidRPr="006117BE">
              <w:rPr>
                <w:webHidden/>
              </w:rPr>
              <w:fldChar w:fldCharType="begin"/>
            </w:r>
            <w:r w:rsidR="006117BE" w:rsidRPr="006117BE">
              <w:rPr>
                <w:webHidden/>
              </w:rPr>
              <w:instrText xml:space="preserve"> PAGEREF _Toc523322018 \h </w:instrText>
            </w:r>
            <w:r w:rsidRPr="006117BE">
              <w:rPr>
                <w:webHidden/>
              </w:rPr>
            </w:r>
            <w:r w:rsidRPr="006117BE">
              <w:rPr>
                <w:webHidden/>
              </w:rPr>
              <w:fldChar w:fldCharType="separate"/>
            </w:r>
            <w:r w:rsidR="006F2142">
              <w:rPr>
                <w:webHidden/>
              </w:rPr>
              <w:t>18</w:t>
            </w:r>
            <w:r w:rsidRPr="006117BE">
              <w:rPr>
                <w:webHidden/>
              </w:rPr>
              <w:fldChar w:fldCharType="end"/>
            </w:r>
          </w:hyperlink>
        </w:p>
        <w:p w:rsidR="006117BE" w:rsidRPr="006117BE" w:rsidRDefault="000D65F2">
          <w:pPr>
            <w:pStyle w:val="TM1"/>
            <w:rPr>
              <w:rFonts w:eastAsiaTheme="minorEastAsia" w:cstheme="minorBidi"/>
            </w:rPr>
          </w:pPr>
          <w:hyperlink w:anchor="_Toc523322019" w:history="1">
            <w:r w:rsidR="006117BE" w:rsidRPr="006117BE">
              <w:rPr>
                <w:rStyle w:val="Lienhypertexte"/>
              </w:rPr>
              <w:t>1</w:t>
            </w:r>
            <w:r w:rsidR="006117BE" w:rsidRPr="006117BE">
              <w:rPr>
                <w:rStyle w:val="Lienhypertexte"/>
                <w:vertAlign w:val="superscript"/>
              </w:rPr>
              <w:t>ère</w:t>
            </w:r>
            <w:r w:rsidR="006117BE" w:rsidRPr="006117BE">
              <w:rPr>
                <w:rStyle w:val="Lienhypertexte"/>
              </w:rPr>
              <w:t>PARTIE : ANALYSE DES RESULTATS DU VOLET « PERSONNES MORALES »</w:t>
            </w:r>
            <w:r w:rsidR="006117BE" w:rsidRPr="006117BE">
              <w:rPr>
                <w:webHidden/>
              </w:rPr>
              <w:tab/>
            </w:r>
            <w:r w:rsidRPr="006117BE">
              <w:rPr>
                <w:webHidden/>
              </w:rPr>
              <w:fldChar w:fldCharType="begin"/>
            </w:r>
            <w:r w:rsidR="006117BE" w:rsidRPr="006117BE">
              <w:rPr>
                <w:webHidden/>
              </w:rPr>
              <w:instrText xml:space="preserve"> PAGEREF _Toc523322019 \h </w:instrText>
            </w:r>
            <w:r w:rsidRPr="006117BE">
              <w:rPr>
                <w:webHidden/>
              </w:rPr>
            </w:r>
            <w:r w:rsidRPr="006117BE">
              <w:rPr>
                <w:webHidden/>
              </w:rPr>
              <w:fldChar w:fldCharType="separate"/>
            </w:r>
            <w:r w:rsidR="006F2142">
              <w:rPr>
                <w:webHidden/>
              </w:rPr>
              <w:t>21</w:t>
            </w:r>
            <w:r w:rsidRPr="006117BE">
              <w:rPr>
                <w:webHidden/>
              </w:rPr>
              <w:fldChar w:fldCharType="end"/>
            </w:r>
          </w:hyperlink>
        </w:p>
        <w:p w:rsidR="006117BE" w:rsidRPr="006117BE" w:rsidRDefault="000D65F2">
          <w:pPr>
            <w:pStyle w:val="TM1"/>
            <w:rPr>
              <w:rFonts w:eastAsiaTheme="minorEastAsia" w:cstheme="minorBidi"/>
            </w:rPr>
          </w:pPr>
          <w:hyperlink w:anchor="_Toc523322020" w:history="1">
            <w:r w:rsidR="006117BE" w:rsidRPr="006117BE">
              <w:rPr>
                <w:rStyle w:val="Lienhypertexte"/>
              </w:rPr>
              <w:t>TABLEAU SYNOPTIQUE DES PRINCIPAUX INDICATEURS DE SATISFACTION</w:t>
            </w:r>
            <w:r w:rsidR="006117BE" w:rsidRPr="006117BE">
              <w:rPr>
                <w:webHidden/>
              </w:rPr>
              <w:tab/>
            </w:r>
            <w:r w:rsidRPr="006117BE">
              <w:rPr>
                <w:webHidden/>
              </w:rPr>
              <w:fldChar w:fldCharType="begin"/>
            </w:r>
            <w:r w:rsidR="006117BE" w:rsidRPr="006117BE">
              <w:rPr>
                <w:webHidden/>
              </w:rPr>
              <w:instrText xml:space="preserve"> PAGEREF _Toc523322020 \h </w:instrText>
            </w:r>
            <w:r w:rsidRPr="006117BE">
              <w:rPr>
                <w:webHidden/>
              </w:rPr>
            </w:r>
            <w:r w:rsidRPr="006117BE">
              <w:rPr>
                <w:webHidden/>
              </w:rPr>
              <w:fldChar w:fldCharType="separate"/>
            </w:r>
            <w:r w:rsidR="006F2142">
              <w:rPr>
                <w:webHidden/>
              </w:rPr>
              <w:t>22</w:t>
            </w:r>
            <w:r w:rsidRPr="006117BE">
              <w:rPr>
                <w:webHidden/>
              </w:rPr>
              <w:fldChar w:fldCharType="end"/>
            </w:r>
          </w:hyperlink>
        </w:p>
        <w:p w:rsidR="006117BE" w:rsidRPr="006117BE" w:rsidRDefault="000D65F2">
          <w:pPr>
            <w:pStyle w:val="TM1"/>
            <w:rPr>
              <w:rFonts w:eastAsiaTheme="minorEastAsia" w:cstheme="minorBidi"/>
            </w:rPr>
          </w:pPr>
          <w:hyperlink w:anchor="_Toc523322021" w:history="1">
            <w:r w:rsidR="006117BE" w:rsidRPr="006117BE">
              <w:rPr>
                <w:rStyle w:val="Lienhypertexte"/>
              </w:rPr>
              <w:t>RESUME DES RESULTATS</w:t>
            </w:r>
            <w:r w:rsidR="006117BE" w:rsidRPr="006117BE">
              <w:rPr>
                <w:webHidden/>
              </w:rPr>
              <w:tab/>
            </w:r>
            <w:r w:rsidRPr="006117BE">
              <w:rPr>
                <w:webHidden/>
              </w:rPr>
              <w:fldChar w:fldCharType="begin"/>
            </w:r>
            <w:r w:rsidR="006117BE" w:rsidRPr="006117BE">
              <w:rPr>
                <w:webHidden/>
              </w:rPr>
              <w:instrText xml:space="preserve"> PAGEREF _Toc523322021 \h </w:instrText>
            </w:r>
            <w:r w:rsidRPr="006117BE">
              <w:rPr>
                <w:webHidden/>
              </w:rPr>
            </w:r>
            <w:r w:rsidRPr="006117BE">
              <w:rPr>
                <w:webHidden/>
              </w:rPr>
              <w:fldChar w:fldCharType="separate"/>
            </w:r>
            <w:r w:rsidR="006F2142">
              <w:rPr>
                <w:webHidden/>
              </w:rPr>
              <w:t>24</w:t>
            </w:r>
            <w:r w:rsidRPr="006117BE">
              <w:rPr>
                <w:webHidden/>
              </w:rPr>
              <w:fldChar w:fldCharType="end"/>
            </w:r>
          </w:hyperlink>
        </w:p>
        <w:p w:rsidR="006117BE" w:rsidRPr="006117BE" w:rsidRDefault="000D65F2">
          <w:pPr>
            <w:pStyle w:val="TM1"/>
            <w:rPr>
              <w:rFonts w:eastAsiaTheme="minorEastAsia" w:cstheme="minorBidi"/>
            </w:rPr>
          </w:pPr>
          <w:hyperlink w:anchor="_Toc523322022" w:history="1">
            <w:r w:rsidR="006117BE" w:rsidRPr="006117BE">
              <w:rPr>
                <w:rStyle w:val="Lienhypertexte"/>
                <w:rFonts w:cs="Tahoma"/>
              </w:rPr>
              <w:t>I.</w:t>
            </w:r>
            <w:r w:rsidR="006117BE">
              <w:rPr>
                <w:rFonts w:eastAsiaTheme="minorEastAsia" w:cstheme="minorBidi"/>
              </w:rPr>
              <w:t xml:space="preserve"> </w:t>
            </w:r>
            <w:r w:rsidR="006117BE" w:rsidRPr="006117BE">
              <w:rPr>
                <w:rStyle w:val="Lienhypertexte"/>
                <w:rFonts w:cs="Tahoma"/>
              </w:rPr>
              <w:t>Présentation des unités enquêtées</w:t>
            </w:r>
            <w:r w:rsidR="006117BE" w:rsidRPr="006117BE">
              <w:rPr>
                <w:webHidden/>
              </w:rPr>
              <w:tab/>
            </w:r>
            <w:r w:rsidRPr="006117BE">
              <w:rPr>
                <w:webHidden/>
              </w:rPr>
              <w:fldChar w:fldCharType="begin"/>
            </w:r>
            <w:r w:rsidR="006117BE" w:rsidRPr="006117BE">
              <w:rPr>
                <w:webHidden/>
              </w:rPr>
              <w:instrText xml:space="preserve"> PAGEREF _Toc523322022 \h </w:instrText>
            </w:r>
            <w:r w:rsidRPr="006117BE">
              <w:rPr>
                <w:webHidden/>
              </w:rPr>
            </w:r>
            <w:r w:rsidRPr="006117BE">
              <w:rPr>
                <w:webHidden/>
              </w:rPr>
              <w:fldChar w:fldCharType="separate"/>
            </w:r>
            <w:r w:rsidR="006F2142">
              <w:rPr>
                <w:webHidden/>
              </w:rPr>
              <w:t>26</w:t>
            </w:r>
            <w:r w:rsidRPr="006117BE">
              <w:rPr>
                <w:webHidden/>
              </w:rPr>
              <w:fldChar w:fldCharType="end"/>
            </w:r>
          </w:hyperlink>
        </w:p>
        <w:p w:rsidR="006117BE" w:rsidRPr="006117BE" w:rsidRDefault="000D65F2" w:rsidP="006117BE">
          <w:pPr>
            <w:pStyle w:val="TM2"/>
            <w:tabs>
              <w:tab w:val="left" w:pos="880"/>
              <w:tab w:val="right" w:leader="dot" w:pos="9572"/>
            </w:tabs>
            <w:ind w:left="0"/>
            <w:rPr>
              <w:rFonts w:ascii="Book Antiqua" w:eastAsiaTheme="minorEastAsia" w:hAnsi="Book Antiqua" w:cstheme="minorBidi"/>
              <w:b/>
              <w:noProof/>
              <w:sz w:val="20"/>
              <w:szCs w:val="20"/>
            </w:rPr>
          </w:pPr>
          <w:hyperlink w:anchor="_Toc523322023" w:history="1">
            <w:r w:rsidR="006117BE" w:rsidRPr="006117BE">
              <w:rPr>
                <w:rStyle w:val="Lienhypertexte"/>
                <w:rFonts w:ascii="Book Antiqua" w:hAnsi="Book Antiqua" w:cs="Tahoma"/>
                <w:b/>
                <w:noProof/>
                <w:sz w:val="20"/>
                <w:szCs w:val="20"/>
              </w:rPr>
              <w:t>I.1.</w:t>
            </w:r>
            <w:r w:rsidR="006117BE">
              <w:rPr>
                <w:rFonts w:ascii="Book Antiqua" w:eastAsiaTheme="minorEastAsia" w:hAnsi="Book Antiqua" w:cstheme="minorBidi"/>
                <w:b/>
                <w:noProof/>
                <w:sz w:val="20"/>
                <w:szCs w:val="20"/>
              </w:rPr>
              <w:t xml:space="preserve"> </w:t>
            </w:r>
            <w:r w:rsidR="006117BE" w:rsidRPr="006117BE">
              <w:rPr>
                <w:rStyle w:val="Lienhypertexte"/>
                <w:rFonts w:ascii="Book Antiqua" w:hAnsi="Book Antiqua" w:cs="Tahoma"/>
                <w:b/>
                <w:noProof/>
                <w:sz w:val="20"/>
                <w:szCs w:val="20"/>
              </w:rPr>
              <w:t>Présentation socio-économique</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_Toc523322023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26</w:t>
            </w:r>
            <w:r w:rsidRPr="006117BE">
              <w:rPr>
                <w:rFonts w:ascii="Book Antiqua" w:hAnsi="Book Antiqua"/>
                <w:b/>
                <w:noProof/>
                <w:webHidden/>
                <w:sz w:val="20"/>
                <w:szCs w:val="20"/>
              </w:rPr>
              <w:fldChar w:fldCharType="end"/>
            </w:r>
          </w:hyperlink>
        </w:p>
        <w:p w:rsidR="006117BE" w:rsidRPr="006117BE" w:rsidRDefault="000D65F2">
          <w:pPr>
            <w:pStyle w:val="TM1"/>
            <w:rPr>
              <w:rFonts w:eastAsiaTheme="minorEastAsia" w:cstheme="minorBidi"/>
            </w:rPr>
          </w:pPr>
          <w:hyperlink w:anchor="_Toc523322024" w:history="1">
            <w:r w:rsidR="006117BE" w:rsidRPr="006117BE">
              <w:rPr>
                <w:rStyle w:val="Lienhypertexte"/>
              </w:rPr>
              <w:t>I.1.1. Répartition selon la zone d’implantation</w:t>
            </w:r>
            <w:r w:rsidR="006117BE" w:rsidRPr="006117BE">
              <w:rPr>
                <w:webHidden/>
              </w:rPr>
              <w:tab/>
            </w:r>
            <w:r w:rsidRPr="006117BE">
              <w:rPr>
                <w:webHidden/>
              </w:rPr>
              <w:fldChar w:fldCharType="begin"/>
            </w:r>
            <w:r w:rsidR="006117BE" w:rsidRPr="006117BE">
              <w:rPr>
                <w:webHidden/>
              </w:rPr>
              <w:instrText xml:space="preserve"> PAGEREF _Toc523322024 \h </w:instrText>
            </w:r>
            <w:r w:rsidRPr="006117BE">
              <w:rPr>
                <w:webHidden/>
              </w:rPr>
            </w:r>
            <w:r w:rsidRPr="006117BE">
              <w:rPr>
                <w:webHidden/>
              </w:rPr>
              <w:fldChar w:fldCharType="separate"/>
            </w:r>
            <w:r w:rsidR="006F2142">
              <w:rPr>
                <w:webHidden/>
              </w:rPr>
              <w:t>26</w:t>
            </w:r>
            <w:r w:rsidRPr="006117BE">
              <w:rPr>
                <w:webHidden/>
              </w:rPr>
              <w:fldChar w:fldCharType="end"/>
            </w:r>
          </w:hyperlink>
        </w:p>
        <w:p w:rsidR="006117BE" w:rsidRPr="006117BE" w:rsidRDefault="000D65F2">
          <w:pPr>
            <w:pStyle w:val="TM3"/>
            <w:rPr>
              <w:rFonts w:eastAsiaTheme="minorEastAsia" w:cstheme="minorBidi"/>
              <w:b/>
            </w:rPr>
          </w:pPr>
          <w:hyperlink w:anchor="_Toc523322025" w:history="1">
            <w:r w:rsidR="006117BE" w:rsidRPr="006117BE">
              <w:rPr>
                <w:rStyle w:val="Lienhypertexte"/>
                <w:rFonts w:cs="Tahoma"/>
                <w:b/>
              </w:rPr>
              <w:t>I.1.2</w:t>
            </w:r>
            <w:r w:rsidR="006117BE">
              <w:rPr>
                <w:rFonts w:eastAsiaTheme="minorEastAsia" w:cstheme="minorBidi"/>
                <w:b/>
              </w:rPr>
              <w:t xml:space="preserve"> </w:t>
            </w:r>
            <w:r w:rsidR="006117BE" w:rsidRPr="006117BE">
              <w:rPr>
                <w:rStyle w:val="Lienhypertexte"/>
                <w:rFonts w:cs="Tahoma"/>
                <w:b/>
              </w:rPr>
              <w:t>Répartition selon le statut juridique</w:t>
            </w:r>
            <w:r w:rsidR="006117BE" w:rsidRPr="006117BE">
              <w:rPr>
                <w:b/>
                <w:webHidden/>
              </w:rPr>
              <w:tab/>
            </w:r>
            <w:r w:rsidRPr="006117BE">
              <w:rPr>
                <w:b/>
                <w:webHidden/>
              </w:rPr>
              <w:fldChar w:fldCharType="begin"/>
            </w:r>
            <w:r w:rsidR="006117BE" w:rsidRPr="006117BE">
              <w:rPr>
                <w:b/>
                <w:webHidden/>
              </w:rPr>
              <w:instrText xml:space="preserve"> PAGEREF _Toc523322025 \h </w:instrText>
            </w:r>
            <w:r w:rsidRPr="006117BE">
              <w:rPr>
                <w:b/>
                <w:webHidden/>
              </w:rPr>
            </w:r>
            <w:r w:rsidRPr="006117BE">
              <w:rPr>
                <w:b/>
                <w:webHidden/>
              </w:rPr>
              <w:fldChar w:fldCharType="separate"/>
            </w:r>
            <w:r w:rsidR="006F2142">
              <w:rPr>
                <w:b/>
                <w:webHidden/>
              </w:rPr>
              <w:t>26</w:t>
            </w:r>
            <w:r w:rsidRPr="006117BE">
              <w:rPr>
                <w:b/>
                <w:webHidden/>
              </w:rPr>
              <w:fldChar w:fldCharType="end"/>
            </w:r>
          </w:hyperlink>
        </w:p>
        <w:p w:rsidR="006117BE" w:rsidRPr="006117BE" w:rsidRDefault="000D65F2">
          <w:pPr>
            <w:pStyle w:val="TM3"/>
            <w:rPr>
              <w:rFonts w:eastAsiaTheme="minorEastAsia" w:cstheme="minorBidi"/>
              <w:b/>
            </w:rPr>
          </w:pPr>
          <w:hyperlink w:anchor="_Toc523322026" w:history="1">
            <w:r w:rsidR="006117BE" w:rsidRPr="006117BE">
              <w:rPr>
                <w:rStyle w:val="Lienhypertexte"/>
                <w:rFonts w:cs="Tahoma"/>
                <w:b/>
              </w:rPr>
              <w:t>I.1.3</w:t>
            </w:r>
            <w:r w:rsidR="006117BE">
              <w:rPr>
                <w:rFonts w:eastAsiaTheme="minorEastAsia" w:cstheme="minorBidi"/>
                <w:b/>
              </w:rPr>
              <w:t xml:space="preserve"> </w:t>
            </w:r>
            <w:r w:rsidR="006117BE" w:rsidRPr="006117BE">
              <w:rPr>
                <w:rStyle w:val="Lienhypertexte"/>
                <w:rFonts w:cs="Tahoma"/>
                <w:b/>
              </w:rPr>
              <w:t>Répartition selon le secteur d’activités et selon la nature de l’activité</w:t>
            </w:r>
            <w:r w:rsidR="006117BE" w:rsidRPr="006117BE">
              <w:rPr>
                <w:b/>
                <w:webHidden/>
              </w:rPr>
              <w:tab/>
            </w:r>
            <w:r w:rsidRPr="006117BE">
              <w:rPr>
                <w:b/>
                <w:webHidden/>
              </w:rPr>
              <w:fldChar w:fldCharType="begin"/>
            </w:r>
            <w:r w:rsidR="006117BE" w:rsidRPr="006117BE">
              <w:rPr>
                <w:b/>
                <w:webHidden/>
              </w:rPr>
              <w:instrText xml:space="preserve"> PAGEREF _Toc523322026 \h </w:instrText>
            </w:r>
            <w:r w:rsidRPr="006117BE">
              <w:rPr>
                <w:b/>
                <w:webHidden/>
              </w:rPr>
            </w:r>
            <w:r w:rsidRPr="006117BE">
              <w:rPr>
                <w:b/>
                <w:webHidden/>
              </w:rPr>
              <w:fldChar w:fldCharType="separate"/>
            </w:r>
            <w:r w:rsidR="006F2142">
              <w:rPr>
                <w:b/>
                <w:webHidden/>
              </w:rPr>
              <w:t>27</w:t>
            </w:r>
            <w:r w:rsidRPr="006117BE">
              <w:rPr>
                <w:b/>
                <w:webHidden/>
              </w:rPr>
              <w:fldChar w:fldCharType="end"/>
            </w:r>
          </w:hyperlink>
        </w:p>
        <w:p w:rsidR="006117BE" w:rsidRPr="006117BE" w:rsidRDefault="000D65F2" w:rsidP="006117BE">
          <w:pPr>
            <w:pStyle w:val="TM2"/>
            <w:tabs>
              <w:tab w:val="left" w:pos="880"/>
              <w:tab w:val="right" w:leader="dot" w:pos="9572"/>
            </w:tabs>
            <w:ind w:left="0"/>
            <w:rPr>
              <w:rFonts w:ascii="Book Antiqua" w:eastAsiaTheme="minorEastAsia" w:hAnsi="Book Antiqua" w:cstheme="minorBidi"/>
              <w:b/>
              <w:noProof/>
              <w:sz w:val="20"/>
              <w:szCs w:val="20"/>
            </w:rPr>
          </w:pPr>
          <w:hyperlink w:anchor="_Toc523322027" w:history="1">
            <w:r w:rsidR="006117BE" w:rsidRPr="006117BE">
              <w:rPr>
                <w:rStyle w:val="Lienhypertexte"/>
                <w:rFonts w:ascii="Book Antiqua" w:hAnsi="Book Antiqua" w:cs="Tahoma"/>
                <w:b/>
                <w:noProof/>
                <w:sz w:val="20"/>
                <w:szCs w:val="20"/>
              </w:rPr>
              <w:t>I.2.</w:t>
            </w:r>
            <w:r w:rsidR="006117BE">
              <w:rPr>
                <w:rFonts w:ascii="Book Antiqua" w:eastAsiaTheme="minorEastAsia" w:hAnsi="Book Antiqua" w:cstheme="minorBidi"/>
                <w:b/>
                <w:noProof/>
                <w:sz w:val="20"/>
                <w:szCs w:val="20"/>
              </w:rPr>
              <w:t xml:space="preserve"> </w:t>
            </w:r>
            <w:r w:rsidR="006117BE" w:rsidRPr="006117BE">
              <w:rPr>
                <w:rStyle w:val="Lienhypertexte"/>
                <w:rFonts w:ascii="Book Antiqua" w:hAnsi="Book Antiqua" w:cs="Tahoma"/>
                <w:b/>
                <w:noProof/>
                <w:sz w:val="20"/>
                <w:szCs w:val="20"/>
              </w:rPr>
              <w:t>Domiciliation bancaire des unités enquêtées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_Toc523322027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28</w:t>
            </w:r>
            <w:r w:rsidRPr="006117BE">
              <w:rPr>
                <w:rFonts w:ascii="Book Antiqua" w:hAnsi="Book Antiqua"/>
                <w:b/>
                <w:noProof/>
                <w:webHidden/>
                <w:sz w:val="20"/>
                <w:szCs w:val="20"/>
              </w:rPr>
              <w:fldChar w:fldCharType="end"/>
            </w:r>
          </w:hyperlink>
        </w:p>
        <w:p w:rsidR="006117BE" w:rsidRPr="006117BE" w:rsidRDefault="000D65F2">
          <w:pPr>
            <w:pStyle w:val="TM1"/>
            <w:rPr>
              <w:rFonts w:eastAsiaTheme="minorEastAsia" w:cstheme="minorBidi"/>
            </w:rPr>
          </w:pPr>
          <w:hyperlink w:anchor="_Toc523322028" w:history="1">
            <w:r w:rsidR="006117BE" w:rsidRPr="006117BE">
              <w:rPr>
                <w:rStyle w:val="Lienhypertexte"/>
              </w:rPr>
              <w:t>I.2.1. Représentativité des banques et nombre moyen de compte</w:t>
            </w:r>
            <w:r w:rsidR="006117BE" w:rsidRPr="006117BE">
              <w:rPr>
                <w:webHidden/>
              </w:rPr>
              <w:tab/>
            </w:r>
            <w:r w:rsidRPr="006117BE">
              <w:rPr>
                <w:webHidden/>
              </w:rPr>
              <w:fldChar w:fldCharType="begin"/>
            </w:r>
            <w:r w:rsidR="006117BE" w:rsidRPr="006117BE">
              <w:rPr>
                <w:webHidden/>
              </w:rPr>
              <w:instrText xml:space="preserve"> PAGEREF _Toc523322028 \h </w:instrText>
            </w:r>
            <w:r w:rsidRPr="006117BE">
              <w:rPr>
                <w:webHidden/>
              </w:rPr>
            </w:r>
            <w:r w:rsidRPr="006117BE">
              <w:rPr>
                <w:webHidden/>
              </w:rPr>
              <w:fldChar w:fldCharType="separate"/>
            </w:r>
            <w:r w:rsidR="006F2142">
              <w:rPr>
                <w:webHidden/>
              </w:rPr>
              <w:t>28</w:t>
            </w:r>
            <w:r w:rsidRPr="006117BE">
              <w:rPr>
                <w:webHidden/>
              </w:rPr>
              <w:fldChar w:fldCharType="end"/>
            </w:r>
          </w:hyperlink>
        </w:p>
        <w:p w:rsidR="006117BE" w:rsidRPr="006117BE" w:rsidRDefault="000D65F2">
          <w:pPr>
            <w:pStyle w:val="TM1"/>
            <w:rPr>
              <w:rFonts w:eastAsiaTheme="minorEastAsia" w:cstheme="minorBidi"/>
            </w:rPr>
          </w:pPr>
          <w:hyperlink w:anchor="_Toc523322029" w:history="1">
            <w:r w:rsidR="006117BE" w:rsidRPr="006117BE">
              <w:rPr>
                <w:rStyle w:val="Lienhypertexte"/>
              </w:rPr>
              <w:t>I.2.2. Ancienneté dans la banque principale</w:t>
            </w:r>
            <w:r w:rsidR="006117BE" w:rsidRPr="006117BE">
              <w:rPr>
                <w:webHidden/>
              </w:rPr>
              <w:tab/>
            </w:r>
            <w:r w:rsidRPr="006117BE">
              <w:rPr>
                <w:webHidden/>
              </w:rPr>
              <w:fldChar w:fldCharType="begin"/>
            </w:r>
            <w:r w:rsidR="006117BE" w:rsidRPr="006117BE">
              <w:rPr>
                <w:webHidden/>
              </w:rPr>
              <w:instrText xml:space="preserve"> PAGEREF _Toc523322029 \h </w:instrText>
            </w:r>
            <w:r w:rsidRPr="006117BE">
              <w:rPr>
                <w:webHidden/>
              </w:rPr>
            </w:r>
            <w:r w:rsidRPr="006117BE">
              <w:rPr>
                <w:webHidden/>
              </w:rPr>
              <w:fldChar w:fldCharType="separate"/>
            </w:r>
            <w:r w:rsidR="006F2142">
              <w:rPr>
                <w:webHidden/>
              </w:rPr>
              <w:t>29</w:t>
            </w:r>
            <w:r w:rsidRPr="006117BE">
              <w:rPr>
                <w:webHidden/>
              </w:rPr>
              <w:fldChar w:fldCharType="end"/>
            </w:r>
          </w:hyperlink>
        </w:p>
        <w:p w:rsidR="006117BE" w:rsidRPr="006117BE" w:rsidRDefault="000D65F2">
          <w:pPr>
            <w:pStyle w:val="TM1"/>
            <w:rPr>
              <w:rFonts w:eastAsiaTheme="minorEastAsia" w:cstheme="minorBidi"/>
            </w:rPr>
          </w:pPr>
          <w:hyperlink w:anchor="_Toc523322030" w:history="1">
            <w:r w:rsidR="006117BE" w:rsidRPr="006117BE">
              <w:rPr>
                <w:rStyle w:val="Lienhypertexte"/>
              </w:rPr>
              <w:t>II.</w:t>
            </w:r>
            <w:r w:rsidR="006117BE">
              <w:rPr>
                <w:rFonts w:eastAsiaTheme="minorEastAsia" w:cstheme="minorBidi"/>
              </w:rPr>
              <w:t xml:space="preserve"> </w:t>
            </w:r>
            <w:r w:rsidR="006117BE" w:rsidRPr="006117BE">
              <w:rPr>
                <w:rStyle w:val="Lienhypertexte"/>
              </w:rPr>
              <w:t>Satisfaction sur l’offre de services</w:t>
            </w:r>
            <w:r w:rsidR="006117BE" w:rsidRPr="006117BE">
              <w:rPr>
                <w:webHidden/>
              </w:rPr>
              <w:tab/>
            </w:r>
            <w:r w:rsidRPr="006117BE">
              <w:rPr>
                <w:webHidden/>
              </w:rPr>
              <w:fldChar w:fldCharType="begin"/>
            </w:r>
            <w:r w:rsidR="006117BE" w:rsidRPr="006117BE">
              <w:rPr>
                <w:webHidden/>
              </w:rPr>
              <w:instrText xml:space="preserve"> PAGEREF _Toc523322030 \h </w:instrText>
            </w:r>
            <w:r w:rsidRPr="006117BE">
              <w:rPr>
                <w:webHidden/>
              </w:rPr>
            </w:r>
            <w:r w:rsidRPr="006117BE">
              <w:rPr>
                <w:webHidden/>
              </w:rPr>
              <w:fldChar w:fldCharType="separate"/>
            </w:r>
            <w:r w:rsidR="006F2142">
              <w:rPr>
                <w:webHidden/>
              </w:rPr>
              <w:t>30</w:t>
            </w:r>
            <w:r w:rsidRPr="006117BE">
              <w:rPr>
                <w:webHidden/>
              </w:rPr>
              <w:fldChar w:fldCharType="end"/>
            </w:r>
          </w:hyperlink>
        </w:p>
        <w:p w:rsidR="006117BE" w:rsidRPr="006117BE" w:rsidRDefault="000D65F2" w:rsidP="006117BE">
          <w:pPr>
            <w:pStyle w:val="TM2"/>
            <w:tabs>
              <w:tab w:val="left" w:pos="1100"/>
              <w:tab w:val="right" w:leader="dot" w:pos="9572"/>
            </w:tabs>
            <w:ind w:left="0"/>
            <w:rPr>
              <w:rFonts w:ascii="Book Antiqua" w:eastAsiaTheme="minorEastAsia" w:hAnsi="Book Antiqua" w:cstheme="minorBidi"/>
              <w:b/>
              <w:noProof/>
              <w:sz w:val="20"/>
              <w:szCs w:val="20"/>
            </w:rPr>
          </w:pPr>
          <w:hyperlink w:anchor="_Toc523322031" w:history="1">
            <w:r w:rsidR="006117BE" w:rsidRPr="006117BE">
              <w:rPr>
                <w:rStyle w:val="Lienhypertexte"/>
                <w:rFonts w:ascii="Book Antiqua" w:hAnsi="Book Antiqua" w:cs="Tahoma"/>
                <w:b/>
                <w:noProof/>
                <w:sz w:val="20"/>
                <w:szCs w:val="20"/>
              </w:rPr>
              <w:t>II.1.</w:t>
            </w:r>
            <w:r w:rsidR="006117BE">
              <w:rPr>
                <w:rFonts w:ascii="Book Antiqua" w:eastAsiaTheme="minorEastAsia" w:hAnsi="Book Antiqua" w:cstheme="minorBidi"/>
                <w:b/>
                <w:noProof/>
                <w:sz w:val="20"/>
                <w:szCs w:val="20"/>
              </w:rPr>
              <w:t xml:space="preserve"> </w:t>
            </w:r>
            <w:r w:rsidR="006117BE" w:rsidRPr="006117BE">
              <w:rPr>
                <w:rStyle w:val="Lienhypertexte"/>
                <w:rFonts w:ascii="Book Antiqua" w:hAnsi="Book Antiqua" w:cs="Tahoma"/>
                <w:b/>
                <w:noProof/>
                <w:sz w:val="20"/>
                <w:szCs w:val="20"/>
              </w:rPr>
              <w:t>Turnover des unités enquêtées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_Toc523322031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30</w:t>
            </w:r>
            <w:r w:rsidRPr="006117BE">
              <w:rPr>
                <w:rFonts w:ascii="Book Antiqua" w:hAnsi="Book Antiqua"/>
                <w:b/>
                <w:noProof/>
                <w:webHidden/>
                <w:sz w:val="20"/>
                <w:szCs w:val="20"/>
              </w:rPr>
              <w:fldChar w:fldCharType="end"/>
            </w:r>
          </w:hyperlink>
        </w:p>
        <w:p w:rsidR="006117BE" w:rsidRPr="006117BE" w:rsidRDefault="000D65F2">
          <w:pPr>
            <w:pStyle w:val="TM1"/>
            <w:tabs>
              <w:tab w:val="left" w:pos="880"/>
            </w:tabs>
            <w:rPr>
              <w:rFonts w:eastAsiaTheme="minorEastAsia" w:cstheme="minorBidi"/>
            </w:rPr>
          </w:pPr>
          <w:hyperlink w:anchor="_Toc523322032" w:history="1">
            <w:r w:rsidR="006117BE" w:rsidRPr="006117BE">
              <w:rPr>
                <w:rStyle w:val="Lienhypertexte"/>
              </w:rPr>
              <w:t>II.1.1</w:t>
            </w:r>
            <w:r w:rsidR="006117BE">
              <w:rPr>
                <w:rFonts w:eastAsiaTheme="minorEastAsia" w:cstheme="minorBidi"/>
              </w:rPr>
              <w:t xml:space="preserve"> </w:t>
            </w:r>
            <w:r w:rsidR="006117BE" w:rsidRPr="006117BE">
              <w:rPr>
                <w:rStyle w:val="Lienhypertexte"/>
              </w:rPr>
              <w:t>Unités ayant déjà changé de banque et nombre moyen de changements</w:t>
            </w:r>
            <w:r w:rsidR="006117BE" w:rsidRPr="006117BE">
              <w:rPr>
                <w:webHidden/>
              </w:rPr>
              <w:tab/>
            </w:r>
            <w:r w:rsidRPr="006117BE">
              <w:rPr>
                <w:webHidden/>
              </w:rPr>
              <w:fldChar w:fldCharType="begin"/>
            </w:r>
            <w:r w:rsidR="006117BE" w:rsidRPr="006117BE">
              <w:rPr>
                <w:webHidden/>
              </w:rPr>
              <w:instrText xml:space="preserve"> PAGEREF _Toc523322032 \h </w:instrText>
            </w:r>
            <w:r w:rsidRPr="006117BE">
              <w:rPr>
                <w:webHidden/>
              </w:rPr>
            </w:r>
            <w:r w:rsidRPr="006117BE">
              <w:rPr>
                <w:webHidden/>
              </w:rPr>
              <w:fldChar w:fldCharType="separate"/>
            </w:r>
            <w:r w:rsidR="006F2142">
              <w:rPr>
                <w:webHidden/>
              </w:rPr>
              <w:t>30</w:t>
            </w:r>
            <w:r w:rsidRPr="006117BE">
              <w:rPr>
                <w:webHidden/>
              </w:rPr>
              <w:fldChar w:fldCharType="end"/>
            </w:r>
          </w:hyperlink>
        </w:p>
        <w:p w:rsidR="006117BE" w:rsidRPr="006117BE" w:rsidRDefault="000D65F2">
          <w:pPr>
            <w:pStyle w:val="TM3"/>
            <w:rPr>
              <w:rFonts w:eastAsiaTheme="minorEastAsia" w:cstheme="minorBidi"/>
              <w:b/>
            </w:rPr>
          </w:pPr>
          <w:hyperlink w:anchor="_Toc523322033" w:history="1">
            <w:r w:rsidR="006117BE" w:rsidRPr="006117BE">
              <w:rPr>
                <w:rStyle w:val="Lienhypertexte"/>
                <w:b/>
              </w:rPr>
              <w:t>II.1.2.</w:t>
            </w:r>
            <w:r w:rsidR="006117BE">
              <w:rPr>
                <w:rFonts w:eastAsiaTheme="minorEastAsia" w:cstheme="minorBidi"/>
                <w:b/>
              </w:rPr>
              <w:t xml:space="preserve"> </w:t>
            </w:r>
            <w:r w:rsidR="006117BE" w:rsidRPr="006117BE">
              <w:rPr>
                <w:rStyle w:val="Lienhypertexte"/>
                <w:b/>
              </w:rPr>
              <w:t>Attitude des banques face au changement de domiciliation de compte des unités</w:t>
            </w:r>
            <w:r w:rsidR="006117BE" w:rsidRPr="006117BE">
              <w:rPr>
                <w:b/>
                <w:webHidden/>
              </w:rPr>
              <w:tab/>
            </w:r>
            <w:r w:rsidRPr="006117BE">
              <w:rPr>
                <w:b/>
                <w:webHidden/>
              </w:rPr>
              <w:fldChar w:fldCharType="begin"/>
            </w:r>
            <w:r w:rsidR="006117BE" w:rsidRPr="006117BE">
              <w:rPr>
                <w:b/>
                <w:webHidden/>
              </w:rPr>
              <w:instrText xml:space="preserve"> PAGEREF _Toc523322033 \h </w:instrText>
            </w:r>
            <w:r w:rsidRPr="006117BE">
              <w:rPr>
                <w:b/>
                <w:webHidden/>
              </w:rPr>
            </w:r>
            <w:r w:rsidRPr="006117BE">
              <w:rPr>
                <w:b/>
                <w:webHidden/>
              </w:rPr>
              <w:fldChar w:fldCharType="separate"/>
            </w:r>
            <w:r w:rsidR="006F2142">
              <w:rPr>
                <w:b/>
                <w:webHidden/>
              </w:rPr>
              <w:t>33</w:t>
            </w:r>
            <w:r w:rsidRPr="006117BE">
              <w:rPr>
                <w:b/>
                <w:webHidden/>
              </w:rPr>
              <w:fldChar w:fldCharType="end"/>
            </w:r>
          </w:hyperlink>
        </w:p>
        <w:p w:rsidR="006117BE" w:rsidRPr="006117BE" w:rsidRDefault="000D65F2" w:rsidP="006117BE">
          <w:pPr>
            <w:pStyle w:val="TM2"/>
            <w:tabs>
              <w:tab w:val="left" w:pos="1100"/>
              <w:tab w:val="right" w:leader="dot" w:pos="9572"/>
            </w:tabs>
            <w:ind w:left="0"/>
            <w:rPr>
              <w:rFonts w:ascii="Book Antiqua" w:eastAsiaTheme="minorEastAsia" w:hAnsi="Book Antiqua" w:cstheme="minorBidi"/>
              <w:b/>
              <w:noProof/>
              <w:sz w:val="20"/>
              <w:szCs w:val="20"/>
            </w:rPr>
          </w:pPr>
          <w:hyperlink w:anchor="_Toc523322034" w:history="1">
            <w:r w:rsidR="006117BE" w:rsidRPr="006117BE">
              <w:rPr>
                <w:rStyle w:val="Lienhypertexte"/>
                <w:rFonts w:ascii="Book Antiqua" w:hAnsi="Book Antiqua" w:cs="Tahoma"/>
                <w:b/>
                <w:noProof/>
                <w:sz w:val="20"/>
                <w:szCs w:val="20"/>
              </w:rPr>
              <w:t>II.2.</w:t>
            </w:r>
            <w:r w:rsidR="006117BE">
              <w:rPr>
                <w:rFonts w:ascii="Book Antiqua" w:eastAsiaTheme="minorEastAsia" w:hAnsi="Book Antiqua" w:cstheme="minorBidi"/>
                <w:b/>
                <w:noProof/>
                <w:sz w:val="20"/>
                <w:szCs w:val="20"/>
              </w:rPr>
              <w:t xml:space="preserve"> </w:t>
            </w:r>
            <w:r w:rsidR="006117BE" w:rsidRPr="006117BE">
              <w:rPr>
                <w:rStyle w:val="Lienhypertexte"/>
                <w:rFonts w:ascii="Book Antiqua" w:hAnsi="Book Antiqua" w:cs="Tahoma"/>
                <w:b/>
                <w:noProof/>
                <w:sz w:val="20"/>
                <w:szCs w:val="20"/>
              </w:rPr>
              <w:t>Satisfaction sur les agences bancaires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_Toc523322034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33</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035" w:history="1">
            <w:r w:rsidR="006117BE" w:rsidRPr="006117BE">
              <w:rPr>
                <w:rStyle w:val="Lienhypertexte"/>
                <w:b/>
              </w:rPr>
              <w:t>II.2.1.</w:t>
            </w:r>
            <w:r w:rsidR="006117BE">
              <w:rPr>
                <w:rFonts w:eastAsiaTheme="minorEastAsia" w:cstheme="minorBidi"/>
                <w:b/>
              </w:rPr>
              <w:t xml:space="preserve"> </w:t>
            </w:r>
            <w:r w:rsidR="006117BE" w:rsidRPr="006117BE">
              <w:rPr>
                <w:rStyle w:val="Lienhypertexte"/>
                <w:b/>
              </w:rPr>
              <w:t>Appréciation sur le nombre d’agences</w:t>
            </w:r>
            <w:r w:rsidR="006117BE" w:rsidRPr="006117BE">
              <w:rPr>
                <w:b/>
                <w:webHidden/>
              </w:rPr>
              <w:tab/>
            </w:r>
            <w:r w:rsidRPr="006117BE">
              <w:rPr>
                <w:b/>
                <w:webHidden/>
              </w:rPr>
              <w:fldChar w:fldCharType="begin"/>
            </w:r>
            <w:r w:rsidR="006117BE" w:rsidRPr="006117BE">
              <w:rPr>
                <w:b/>
                <w:webHidden/>
              </w:rPr>
              <w:instrText xml:space="preserve"> PAGEREF _Toc523322035 \h </w:instrText>
            </w:r>
            <w:r w:rsidRPr="006117BE">
              <w:rPr>
                <w:b/>
                <w:webHidden/>
              </w:rPr>
            </w:r>
            <w:r w:rsidRPr="006117BE">
              <w:rPr>
                <w:b/>
                <w:webHidden/>
              </w:rPr>
              <w:fldChar w:fldCharType="separate"/>
            </w:r>
            <w:r w:rsidR="006F2142">
              <w:rPr>
                <w:b/>
                <w:webHidden/>
              </w:rPr>
              <w:t>34</w:t>
            </w:r>
            <w:r w:rsidRPr="006117BE">
              <w:rPr>
                <w:b/>
                <w:webHidden/>
              </w:rPr>
              <w:fldChar w:fldCharType="end"/>
            </w:r>
          </w:hyperlink>
        </w:p>
        <w:p w:rsidR="006117BE" w:rsidRPr="006117BE" w:rsidRDefault="000D65F2">
          <w:pPr>
            <w:pStyle w:val="TM3"/>
            <w:rPr>
              <w:rFonts w:eastAsiaTheme="minorEastAsia" w:cstheme="minorBidi"/>
              <w:b/>
            </w:rPr>
          </w:pPr>
          <w:hyperlink w:anchor="_Toc523322036" w:history="1">
            <w:r w:rsidR="006117BE" w:rsidRPr="006117BE">
              <w:rPr>
                <w:rStyle w:val="Lienhypertexte"/>
                <w:b/>
              </w:rPr>
              <w:t>II.2.2.</w:t>
            </w:r>
            <w:r w:rsidR="006117BE">
              <w:rPr>
                <w:rFonts w:eastAsiaTheme="minorEastAsia" w:cstheme="minorBidi"/>
                <w:b/>
              </w:rPr>
              <w:t xml:space="preserve"> </w:t>
            </w:r>
            <w:r w:rsidR="006117BE" w:rsidRPr="006117BE">
              <w:rPr>
                <w:rStyle w:val="Lienhypertexte"/>
                <w:b/>
              </w:rPr>
              <w:t>Nombre de guichets fonctionnels et durée de traitement des opérations de caisse</w:t>
            </w:r>
            <w:r w:rsidR="006117BE" w:rsidRPr="006117BE">
              <w:rPr>
                <w:b/>
                <w:webHidden/>
              </w:rPr>
              <w:tab/>
            </w:r>
            <w:r w:rsidRPr="006117BE">
              <w:rPr>
                <w:b/>
                <w:webHidden/>
              </w:rPr>
              <w:fldChar w:fldCharType="begin"/>
            </w:r>
            <w:r w:rsidR="006117BE" w:rsidRPr="006117BE">
              <w:rPr>
                <w:b/>
                <w:webHidden/>
              </w:rPr>
              <w:instrText xml:space="preserve"> PAGEREF _Toc523322036 \h </w:instrText>
            </w:r>
            <w:r w:rsidRPr="006117BE">
              <w:rPr>
                <w:b/>
                <w:webHidden/>
              </w:rPr>
            </w:r>
            <w:r w:rsidRPr="006117BE">
              <w:rPr>
                <w:b/>
                <w:webHidden/>
              </w:rPr>
              <w:fldChar w:fldCharType="separate"/>
            </w:r>
            <w:r w:rsidR="006F2142">
              <w:rPr>
                <w:b/>
                <w:webHidden/>
              </w:rPr>
              <w:t>35</w:t>
            </w:r>
            <w:r w:rsidRPr="006117BE">
              <w:rPr>
                <w:b/>
                <w:webHidden/>
              </w:rPr>
              <w:fldChar w:fldCharType="end"/>
            </w:r>
          </w:hyperlink>
        </w:p>
        <w:p w:rsidR="006117BE" w:rsidRPr="006117BE" w:rsidRDefault="000D65F2" w:rsidP="006117BE">
          <w:pPr>
            <w:pStyle w:val="TM2"/>
            <w:tabs>
              <w:tab w:val="left" w:pos="1100"/>
              <w:tab w:val="right" w:leader="dot" w:pos="9572"/>
            </w:tabs>
            <w:ind w:left="0"/>
            <w:rPr>
              <w:rFonts w:ascii="Book Antiqua" w:eastAsiaTheme="minorEastAsia" w:hAnsi="Book Antiqua" w:cstheme="minorBidi"/>
              <w:b/>
              <w:noProof/>
              <w:sz w:val="20"/>
              <w:szCs w:val="20"/>
            </w:rPr>
          </w:pPr>
          <w:hyperlink w:anchor="_Toc523322037" w:history="1">
            <w:r w:rsidR="006117BE" w:rsidRPr="006117BE">
              <w:rPr>
                <w:rStyle w:val="Lienhypertexte"/>
                <w:rFonts w:ascii="Book Antiqua" w:hAnsi="Book Antiqua" w:cs="Tahoma"/>
                <w:b/>
                <w:noProof/>
                <w:sz w:val="20"/>
                <w:szCs w:val="20"/>
              </w:rPr>
              <w:t>II.3.</w:t>
            </w:r>
            <w:r w:rsidR="006117BE">
              <w:rPr>
                <w:rFonts w:ascii="Book Antiqua" w:eastAsiaTheme="minorEastAsia" w:hAnsi="Book Antiqua" w:cstheme="minorBidi"/>
                <w:b/>
                <w:noProof/>
                <w:sz w:val="20"/>
                <w:szCs w:val="20"/>
              </w:rPr>
              <w:t xml:space="preserve"> </w:t>
            </w:r>
            <w:r w:rsidR="006117BE" w:rsidRPr="006117BE">
              <w:rPr>
                <w:rStyle w:val="Lienhypertexte"/>
                <w:rFonts w:ascii="Book Antiqua" w:hAnsi="Book Antiqua" w:cs="Tahoma"/>
                <w:b/>
                <w:noProof/>
                <w:sz w:val="20"/>
                <w:szCs w:val="20"/>
              </w:rPr>
              <w:t>Satisfaction sur les opérations de virements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_Toc523322037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37</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038" w:history="1">
            <w:r w:rsidR="006117BE" w:rsidRPr="006117BE">
              <w:rPr>
                <w:rStyle w:val="Lienhypertexte"/>
                <w:b/>
              </w:rPr>
              <w:t>II.3.1.</w:t>
            </w:r>
            <w:r w:rsidR="006117BE">
              <w:rPr>
                <w:rFonts w:eastAsiaTheme="minorEastAsia" w:cstheme="minorBidi"/>
                <w:b/>
              </w:rPr>
              <w:t xml:space="preserve"> </w:t>
            </w:r>
            <w:r w:rsidR="006117BE" w:rsidRPr="006117BE">
              <w:rPr>
                <w:rStyle w:val="Lienhypertexte"/>
                <w:b/>
              </w:rPr>
              <w:t>Utilisation et durée de traitement des virements domestiques</w:t>
            </w:r>
            <w:r w:rsidR="006117BE" w:rsidRPr="006117BE">
              <w:rPr>
                <w:b/>
                <w:webHidden/>
              </w:rPr>
              <w:tab/>
            </w:r>
            <w:r w:rsidRPr="006117BE">
              <w:rPr>
                <w:b/>
                <w:webHidden/>
              </w:rPr>
              <w:fldChar w:fldCharType="begin"/>
            </w:r>
            <w:r w:rsidR="006117BE" w:rsidRPr="006117BE">
              <w:rPr>
                <w:b/>
                <w:webHidden/>
              </w:rPr>
              <w:instrText xml:space="preserve"> PAGEREF _Toc523322038 \h </w:instrText>
            </w:r>
            <w:r w:rsidRPr="006117BE">
              <w:rPr>
                <w:b/>
                <w:webHidden/>
              </w:rPr>
            </w:r>
            <w:r w:rsidRPr="006117BE">
              <w:rPr>
                <w:b/>
                <w:webHidden/>
              </w:rPr>
              <w:fldChar w:fldCharType="separate"/>
            </w:r>
            <w:r w:rsidR="006F2142">
              <w:rPr>
                <w:b/>
                <w:webHidden/>
              </w:rPr>
              <w:t>37</w:t>
            </w:r>
            <w:r w:rsidRPr="006117BE">
              <w:rPr>
                <w:b/>
                <w:webHidden/>
              </w:rPr>
              <w:fldChar w:fldCharType="end"/>
            </w:r>
          </w:hyperlink>
        </w:p>
        <w:p w:rsidR="006117BE" w:rsidRPr="006117BE" w:rsidRDefault="000D65F2">
          <w:pPr>
            <w:pStyle w:val="TM3"/>
            <w:rPr>
              <w:rFonts w:eastAsiaTheme="minorEastAsia" w:cstheme="minorBidi"/>
              <w:b/>
            </w:rPr>
          </w:pPr>
          <w:hyperlink w:anchor="_Toc523322039" w:history="1">
            <w:r w:rsidR="006117BE" w:rsidRPr="006117BE">
              <w:rPr>
                <w:rStyle w:val="Lienhypertexte"/>
                <w:b/>
              </w:rPr>
              <w:t>II.3.2.</w:t>
            </w:r>
            <w:r w:rsidR="006117BE">
              <w:rPr>
                <w:rFonts w:eastAsiaTheme="minorEastAsia" w:cstheme="minorBidi"/>
                <w:b/>
              </w:rPr>
              <w:t xml:space="preserve"> </w:t>
            </w:r>
            <w:r w:rsidR="006117BE" w:rsidRPr="006117BE">
              <w:rPr>
                <w:rStyle w:val="Lienhypertexte"/>
                <w:b/>
              </w:rPr>
              <w:t>Utilisation et durée de traitement des virements étrangers</w:t>
            </w:r>
            <w:r w:rsidR="006117BE" w:rsidRPr="006117BE">
              <w:rPr>
                <w:b/>
                <w:webHidden/>
              </w:rPr>
              <w:tab/>
            </w:r>
            <w:r w:rsidRPr="006117BE">
              <w:rPr>
                <w:b/>
                <w:webHidden/>
              </w:rPr>
              <w:fldChar w:fldCharType="begin"/>
            </w:r>
            <w:r w:rsidR="006117BE" w:rsidRPr="006117BE">
              <w:rPr>
                <w:b/>
                <w:webHidden/>
              </w:rPr>
              <w:instrText xml:space="preserve"> PAGEREF _Toc523322039 \h </w:instrText>
            </w:r>
            <w:r w:rsidRPr="006117BE">
              <w:rPr>
                <w:b/>
                <w:webHidden/>
              </w:rPr>
            </w:r>
            <w:r w:rsidRPr="006117BE">
              <w:rPr>
                <w:b/>
                <w:webHidden/>
              </w:rPr>
              <w:fldChar w:fldCharType="separate"/>
            </w:r>
            <w:r w:rsidR="006F2142">
              <w:rPr>
                <w:b/>
                <w:webHidden/>
              </w:rPr>
              <w:t>39</w:t>
            </w:r>
            <w:r w:rsidRPr="006117BE">
              <w:rPr>
                <w:b/>
                <w:webHidden/>
              </w:rPr>
              <w:fldChar w:fldCharType="end"/>
            </w:r>
          </w:hyperlink>
        </w:p>
        <w:p w:rsidR="006117BE" w:rsidRPr="006117BE" w:rsidRDefault="000D65F2" w:rsidP="006117BE">
          <w:pPr>
            <w:pStyle w:val="TM2"/>
            <w:tabs>
              <w:tab w:val="left" w:pos="1100"/>
              <w:tab w:val="right" w:leader="dot" w:pos="9572"/>
            </w:tabs>
            <w:ind w:left="0"/>
            <w:rPr>
              <w:rFonts w:ascii="Book Antiqua" w:eastAsiaTheme="minorEastAsia" w:hAnsi="Book Antiqua" w:cstheme="minorBidi"/>
              <w:b/>
              <w:noProof/>
              <w:sz w:val="20"/>
              <w:szCs w:val="20"/>
            </w:rPr>
          </w:pPr>
          <w:hyperlink w:anchor="_Toc523322040" w:history="1">
            <w:r w:rsidR="006117BE" w:rsidRPr="006117BE">
              <w:rPr>
                <w:rStyle w:val="Lienhypertexte"/>
                <w:rFonts w:ascii="Book Antiqua" w:hAnsi="Book Antiqua" w:cs="Tahoma"/>
                <w:b/>
                <w:noProof/>
                <w:sz w:val="20"/>
                <w:szCs w:val="20"/>
              </w:rPr>
              <w:t>II.4.</w:t>
            </w:r>
            <w:r w:rsidR="006117BE">
              <w:rPr>
                <w:rFonts w:ascii="Book Antiqua" w:eastAsiaTheme="minorEastAsia" w:hAnsi="Book Antiqua" w:cstheme="minorBidi"/>
                <w:b/>
                <w:noProof/>
                <w:sz w:val="20"/>
                <w:szCs w:val="20"/>
              </w:rPr>
              <w:t xml:space="preserve"> </w:t>
            </w:r>
            <w:r w:rsidR="006117BE" w:rsidRPr="006117BE">
              <w:rPr>
                <w:rStyle w:val="Lienhypertexte"/>
                <w:rFonts w:ascii="Book Antiqua" w:hAnsi="Book Antiqua" w:cs="Tahoma"/>
                <w:b/>
                <w:noProof/>
                <w:sz w:val="20"/>
                <w:szCs w:val="20"/>
              </w:rPr>
              <w:t>Satisfaction sur le fonctionnement du compte</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_Toc523322040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42</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041" w:history="1">
            <w:r w:rsidR="006117BE" w:rsidRPr="006117BE">
              <w:rPr>
                <w:rStyle w:val="Lienhypertexte"/>
                <w:b/>
              </w:rPr>
              <w:t>II.4.1.</w:t>
            </w:r>
            <w:r w:rsidR="006117BE">
              <w:rPr>
                <w:rFonts w:eastAsiaTheme="minorEastAsia" w:cstheme="minorBidi"/>
                <w:b/>
              </w:rPr>
              <w:t xml:space="preserve"> </w:t>
            </w:r>
            <w:r w:rsidR="006117BE" w:rsidRPr="006117BE">
              <w:rPr>
                <w:rStyle w:val="Lienhypertexte"/>
                <w:b/>
              </w:rPr>
              <w:t>Périodicité de délivrance des relevés de compte et canaux de transmission</w:t>
            </w:r>
            <w:r w:rsidR="006117BE" w:rsidRPr="006117BE">
              <w:rPr>
                <w:b/>
                <w:webHidden/>
              </w:rPr>
              <w:tab/>
            </w:r>
            <w:r w:rsidRPr="006117BE">
              <w:rPr>
                <w:b/>
                <w:webHidden/>
              </w:rPr>
              <w:fldChar w:fldCharType="begin"/>
            </w:r>
            <w:r w:rsidR="006117BE" w:rsidRPr="006117BE">
              <w:rPr>
                <w:b/>
                <w:webHidden/>
              </w:rPr>
              <w:instrText xml:space="preserve"> PAGEREF _Toc523322041 \h </w:instrText>
            </w:r>
            <w:r w:rsidRPr="006117BE">
              <w:rPr>
                <w:b/>
                <w:webHidden/>
              </w:rPr>
            </w:r>
            <w:r w:rsidRPr="006117BE">
              <w:rPr>
                <w:b/>
                <w:webHidden/>
              </w:rPr>
              <w:fldChar w:fldCharType="separate"/>
            </w:r>
            <w:r w:rsidR="006F2142">
              <w:rPr>
                <w:b/>
                <w:webHidden/>
              </w:rPr>
              <w:t>42</w:t>
            </w:r>
            <w:r w:rsidRPr="006117BE">
              <w:rPr>
                <w:b/>
                <w:webHidden/>
              </w:rPr>
              <w:fldChar w:fldCharType="end"/>
            </w:r>
          </w:hyperlink>
        </w:p>
        <w:p w:rsidR="006117BE" w:rsidRPr="006117BE" w:rsidRDefault="000D65F2">
          <w:pPr>
            <w:pStyle w:val="TM3"/>
            <w:rPr>
              <w:rFonts w:eastAsiaTheme="minorEastAsia" w:cstheme="minorBidi"/>
              <w:b/>
            </w:rPr>
          </w:pPr>
          <w:hyperlink w:anchor="_Toc523322042" w:history="1">
            <w:r w:rsidR="006117BE" w:rsidRPr="006117BE">
              <w:rPr>
                <w:rStyle w:val="Lienhypertexte"/>
                <w:b/>
              </w:rPr>
              <w:t>II.4.2.</w:t>
            </w:r>
            <w:r w:rsidR="006117BE">
              <w:rPr>
                <w:rFonts w:eastAsiaTheme="minorEastAsia" w:cstheme="minorBidi"/>
                <w:b/>
              </w:rPr>
              <w:t xml:space="preserve"> </w:t>
            </w:r>
            <w:r w:rsidR="006117BE" w:rsidRPr="006117BE">
              <w:rPr>
                <w:rStyle w:val="Lienhypertexte"/>
                <w:b/>
              </w:rPr>
              <w:t>Irrégularités decelées dans les relevés de compte</w:t>
            </w:r>
            <w:r w:rsidR="006117BE" w:rsidRPr="006117BE">
              <w:rPr>
                <w:b/>
                <w:webHidden/>
              </w:rPr>
              <w:tab/>
            </w:r>
            <w:r w:rsidRPr="006117BE">
              <w:rPr>
                <w:b/>
                <w:webHidden/>
              </w:rPr>
              <w:fldChar w:fldCharType="begin"/>
            </w:r>
            <w:r w:rsidR="006117BE" w:rsidRPr="006117BE">
              <w:rPr>
                <w:b/>
                <w:webHidden/>
              </w:rPr>
              <w:instrText xml:space="preserve"> PAGEREF _Toc523322042 \h </w:instrText>
            </w:r>
            <w:r w:rsidRPr="006117BE">
              <w:rPr>
                <w:b/>
                <w:webHidden/>
              </w:rPr>
            </w:r>
            <w:r w:rsidRPr="006117BE">
              <w:rPr>
                <w:b/>
                <w:webHidden/>
              </w:rPr>
              <w:fldChar w:fldCharType="separate"/>
            </w:r>
            <w:r w:rsidR="006F2142">
              <w:rPr>
                <w:b/>
                <w:webHidden/>
              </w:rPr>
              <w:t>43</w:t>
            </w:r>
            <w:r w:rsidRPr="006117BE">
              <w:rPr>
                <w:b/>
                <w:webHidden/>
              </w:rPr>
              <w:fldChar w:fldCharType="end"/>
            </w:r>
          </w:hyperlink>
        </w:p>
        <w:p w:rsidR="006117BE" w:rsidRPr="006117BE" w:rsidRDefault="000D65F2">
          <w:pPr>
            <w:pStyle w:val="TM3"/>
            <w:rPr>
              <w:rFonts w:eastAsiaTheme="minorEastAsia" w:cstheme="minorBidi"/>
              <w:b/>
            </w:rPr>
          </w:pPr>
          <w:hyperlink w:anchor="_Toc523322043" w:history="1">
            <w:r w:rsidR="006117BE" w:rsidRPr="006117BE">
              <w:rPr>
                <w:rStyle w:val="Lienhypertexte"/>
                <w:b/>
              </w:rPr>
              <w:t>II.4.3.</w:t>
            </w:r>
            <w:r w:rsidR="006117BE">
              <w:rPr>
                <w:rFonts w:eastAsiaTheme="minorEastAsia" w:cstheme="minorBidi"/>
                <w:b/>
              </w:rPr>
              <w:t xml:space="preserve"> </w:t>
            </w:r>
            <w:r w:rsidR="006117BE" w:rsidRPr="006117BE">
              <w:rPr>
                <w:rStyle w:val="Lienhypertexte"/>
                <w:b/>
              </w:rPr>
              <w:t>Appréciations des unités sur les dates de valeur</w:t>
            </w:r>
            <w:r w:rsidR="006117BE" w:rsidRPr="006117BE">
              <w:rPr>
                <w:b/>
                <w:webHidden/>
              </w:rPr>
              <w:tab/>
            </w:r>
            <w:r w:rsidRPr="006117BE">
              <w:rPr>
                <w:b/>
                <w:webHidden/>
              </w:rPr>
              <w:fldChar w:fldCharType="begin"/>
            </w:r>
            <w:r w:rsidR="006117BE" w:rsidRPr="006117BE">
              <w:rPr>
                <w:b/>
                <w:webHidden/>
              </w:rPr>
              <w:instrText xml:space="preserve"> PAGEREF _Toc523322043 \h </w:instrText>
            </w:r>
            <w:r w:rsidRPr="006117BE">
              <w:rPr>
                <w:b/>
                <w:webHidden/>
              </w:rPr>
            </w:r>
            <w:r w:rsidRPr="006117BE">
              <w:rPr>
                <w:b/>
                <w:webHidden/>
              </w:rPr>
              <w:fldChar w:fldCharType="separate"/>
            </w:r>
            <w:r w:rsidR="006F2142">
              <w:rPr>
                <w:b/>
                <w:webHidden/>
              </w:rPr>
              <w:t>44</w:t>
            </w:r>
            <w:r w:rsidRPr="006117BE">
              <w:rPr>
                <w:b/>
                <w:webHidden/>
              </w:rPr>
              <w:fldChar w:fldCharType="end"/>
            </w:r>
          </w:hyperlink>
        </w:p>
        <w:p w:rsidR="006117BE" w:rsidRPr="006117BE" w:rsidRDefault="000D65F2">
          <w:pPr>
            <w:pStyle w:val="TM3"/>
            <w:rPr>
              <w:rFonts w:eastAsiaTheme="minorEastAsia" w:cstheme="minorBidi"/>
              <w:b/>
            </w:rPr>
          </w:pPr>
          <w:hyperlink w:anchor="_Toc523322044" w:history="1">
            <w:r w:rsidR="006117BE" w:rsidRPr="006117BE">
              <w:rPr>
                <w:rStyle w:val="Lienhypertexte"/>
                <w:b/>
              </w:rPr>
              <w:t>II.4.4.</w:t>
            </w:r>
            <w:r w:rsidR="006117BE">
              <w:rPr>
                <w:rFonts w:eastAsiaTheme="minorEastAsia" w:cstheme="minorBidi"/>
                <w:b/>
              </w:rPr>
              <w:t xml:space="preserve"> </w:t>
            </w:r>
            <w:r w:rsidR="006117BE" w:rsidRPr="006117BE">
              <w:rPr>
                <w:rStyle w:val="Lienhypertexte"/>
                <w:b/>
              </w:rPr>
              <w:t>Utilisation et délai de renouvellement du chéquier</w:t>
            </w:r>
            <w:r w:rsidR="006117BE" w:rsidRPr="006117BE">
              <w:rPr>
                <w:b/>
                <w:webHidden/>
              </w:rPr>
              <w:tab/>
            </w:r>
            <w:r w:rsidRPr="006117BE">
              <w:rPr>
                <w:b/>
                <w:webHidden/>
              </w:rPr>
              <w:fldChar w:fldCharType="begin"/>
            </w:r>
            <w:r w:rsidR="006117BE" w:rsidRPr="006117BE">
              <w:rPr>
                <w:b/>
                <w:webHidden/>
              </w:rPr>
              <w:instrText xml:space="preserve"> PAGEREF _Toc523322044 \h </w:instrText>
            </w:r>
            <w:r w:rsidRPr="006117BE">
              <w:rPr>
                <w:b/>
                <w:webHidden/>
              </w:rPr>
            </w:r>
            <w:r w:rsidRPr="006117BE">
              <w:rPr>
                <w:b/>
                <w:webHidden/>
              </w:rPr>
              <w:fldChar w:fldCharType="separate"/>
            </w:r>
            <w:r w:rsidR="006F2142">
              <w:rPr>
                <w:b/>
                <w:webHidden/>
              </w:rPr>
              <w:t>45</w:t>
            </w:r>
            <w:r w:rsidRPr="006117BE">
              <w:rPr>
                <w:b/>
                <w:webHidden/>
              </w:rPr>
              <w:fldChar w:fldCharType="end"/>
            </w:r>
          </w:hyperlink>
        </w:p>
        <w:p w:rsidR="006117BE" w:rsidRPr="006117BE" w:rsidRDefault="000D65F2" w:rsidP="006117BE">
          <w:pPr>
            <w:pStyle w:val="TM2"/>
            <w:tabs>
              <w:tab w:val="left" w:pos="1100"/>
              <w:tab w:val="right" w:leader="dot" w:pos="9572"/>
            </w:tabs>
            <w:ind w:left="0"/>
            <w:rPr>
              <w:rFonts w:ascii="Book Antiqua" w:eastAsiaTheme="minorEastAsia" w:hAnsi="Book Antiqua" w:cstheme="minorBidi"/>
              <w:b/>
              <w:noProof/>
              <w:sz w:val="20"/>
              <w:szCs w:val="20"/>
            </w:rPr>
          </w:pPr>
          <w:hyperlink w:anchor="_Toc523322045" w:history="1">
            <w:r w:rsidR="006117BE" w:rsidRPr="006117BE">
              <w:rPr>
                <w:rStyle w:val="Lienhypertexte"/>
                <w:rFonts w:ascii="Book Antiqua" w:hAnsi="Book Antiqua" w:cs="Tahoma"/>
                <w:b/>
                <w:noProof/>
                <w:sz w:val="20"/>
                <w:szCs w:val="20"/>
              </w:rPr>
              <w:t>II.5.</w:t>
            </w:r>
            <w:r w:rsidR="006117BE">
              <w:rPr>
                <w:rFonts w:ascii="Book Antiqua" w:eastAsiaTheme="minorEastAsia" w:hAnsi="Book Antiqua" w:cstheme="minorBidi"/>
                <w:b/>
                <w:noProof/>
                <w:sz w:val="20"/>
                <w:szCs w:val="20"/>
              </w:rPr>
              <w:t xml:space="preserve"> </w:t>
            </w:r>
            <w:r w:rsidR="006117BE" w:rsidRPr="006117BE">
              <w:rPr>
                <w:rStyle w:val="Lienhypertexte"/>
                <w:rFonts w:ascii="Book Antiqua" w:hAnsi="Book Antiqua" w:cs="Tahoma"/>
                <w:b/>
                <w:noProof/>
                <w:sz w:val="20"/>
                <w:szCs w:val="20"/>
              </w:rPr>
              <w:t>Satisfaction sur les produits offerts par les banques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_Toc523322045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46</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046" w:history="1">
            <w:r w:rsidR="006117BE" w:rsidRPr="006117BE">
              <w:rPr>
                <w:rStyle w:val="Lienhypertexte"/>
                <w:b/>
              </w:rPr>
              <w:t>II.5.1. Adéquation entre les produits bancaires et les projets d’investissements</w:t>
            </w:r>
            <w:r w:rsidR="006117BE" w:rsidRPr="006117BE">
              <w:rPr>
                <w:b/>
                <w:webHidden/>
              </w:rPr>
              <w:tab/>
            </w:r>
            <w:r w:rsidRPr="006117BE">
              <w:rPr>
                <w:b/>
                <w:webHidden/>
              </w:rPr>
              <w:fldChar w:fldCharType="begin"/>
            </w:r>
            <w:r w:rsidR="006117BE" w:rsidRPr="006117BE">
              <w:rPr>
                <w:b/>
                <w:webHidden/>
              </w:rPr>
              <w:instrText xml:space="preserve"> PAGEREF _Toc523322046 \h </w:instrText>
            </w:r>
            <w:r w:rsidRPr="006117BE">
              <w:rPr>
                <w:b/>
                <w:webHidden/>
              </w:rPr>
            </w:r>
            <w:r w:rsidRPr="006117BE">
              <w:rPr>
                <w:b/>
                <w:webHidden/>
              </w:rPr>
              <w:fldChar w:fldCharType="separate"/>
            </w:r>
            <w:r w:rsidR="006F2142">
              <w:rPr>
                <w:b/>
                <w:webHidden/>
              </w:rPr>
              <w:t>47</w:t>
            </w:r>
            <w:r w:rsidRPr="006117BE">
              <w:rPr>
                <w:b/>
                <w:webHidden/>
              </w:rPr>
              <w:fldChar w:fldCharType="end"/>
            </w:r>
          </w:hyperlink>
        </w:p>
        <w:p w:rsidR="006117BE" w:rsidRPr="006117BE" w:rsidRDefault="000D65F2">
          <w:pPr>
            <w:pStyle w:val="TM3"/>
            <w:rPr>
              <w:rFonts w:eastAsiaTheme="minorEastAsia" w:cstheme="minorBidi"/>
              <w:b/>
            </w:rPr>
          </w:pPr>
          <w:hyperlink w:anchor="_Toc523322047" w:history="1">
            <w:r w:rsidR="006117BE" w:rsidRPr="006117BE">
              <w:rPr>
                <w:rStyle w:val="Lienhypertexte"/>
                <w:b/>
              </w:rPr>
              <w:t>II.5.2</w:t>
            </w:r>
            <w:r w:rsidR="006117BE">
              <w:rPr>
                <w:rFonts w:eastAsiaTheme="minorEastAsia" w:cstheme="minorBidi"/>
                <w:b/>
              </w:rPr>
              <w:t xml:space="preserve"> </w:t>
            </w:r>
            <w:r w:rsidR="006117BE" w:rsidRPr="006117BE">
              <w:rPr>
                <w:rStyle w:val="Lienhypertexte"/>
                <w:b/>
              </w:rPr>
              <w:t>Adéquation entre les produits bancaires et les besoins en fonds de roulement des unités</w:t>
            </w:r>
            <w:r w:rsidR="006117BE" w:rsidRPr="006117BE">
              <w:rPr>
                <w:b/>
                <w:webHidden/>
              </w:rPr>
              <w:tab/>
            </w:r>
            <w:r w:rsidRPr="006117BE">
              <w:rPr>
                <w:b/>
                <w:webHidden/>
              </w:rPr>
              <w:fldChar w:fldCharType="begin"/>
            </w:r>
            <w:r w:rsidR="006117BE" w:rsidRPr="006117BE">
              <w:rPr>
                <w:b/>
                <w:webHidden/>
              </w:rPr>
              <w:instrText xml:space="preserve"> PAGEREF _Toc523322047 \h </w:instrText>
            </w:r>
            <w:r w:rsidRPr="006117BE">
              <w:rPr>
                <w:b/>
                <w:webHidden/>
              </w:rPr>
            </w:r>
            <w:r w:rsidRPr="006117BE">
              <w:rPr>
                <w:b/>
                <w:webHidden/>
              </w:rPr>
              <w:fldChar w:fldCharType="separate"/>
            </w:r>
            <w:r w:rsidR="006F2142">
              <w:rPr>
                <w:b/>
                <w:webHidden/>
              </w:rPr>
              <w:t>48</w:t>
            </w:r>
            <w:r w:rsidRPr="006117BE">
              <w:rPr>
                <w:b/>
                <w:webHidden/>
              </w:rPr>
              <w:fldChar w:fldCharType="end"/>
            </w:r>
          </w:hyperlink>
        </w:p>
        <w:p w:rsidR="006117BE" w:rsidRDefault="006117BE">
          <w:pPr>
            <w:pStyle w:val="TM1"/>
            <w:rPr>
              <w:rStyle w:val="Lienhypertexte"/>
            </w:rPr>
          </w:pPr>
        </w:p>
        <w:p w:rsidR="006117BE" w:rsidRPr="006117BE" w:rsidRDefault="000D65F2">
          <w:pPr>
            <w:pStyle w:val="TM1"/>
            <w:rPr>
              <w:rFonts w:eastAsiaTheme="minorEastAsia" w:cstheme="minorBidi"/>
            </w:rPr>
          </w:pPr>
          <w:hyperlink w:anchor="_Toc523322048" w:history="1">
            <w:r w:rsidR="006117BE" w:rsidRPr="006117BE">
              <w:rPr>
                <w:rStyle w:val="Lienhypertexte"/>
              </w:rPr>
              <w:t>III.</w:t>
            </w:r>
            <w:r w:rsidR="006117BE" w:rsidRPr="006117BE">
              <w:rPr>
                <w:rFonts w:eastAsiaTheme="minorEastAsia" w:cstheme="minorBidi"/>
              </w:rPr>
              <w:tab/>
            </w:r>
            <w:r w:rsidR="006117BE" w:rsidRPr="006117BE">
              <w:rPr>
                <w:rStyle w:val="Lienhypertexte"/>
              </w:rPr>
              <w:t>Satisfaction sur les coûts</w:t>
            </w:r>
            <w:r w:rsidR="006117BE" w:rsidRPr="006117BE">
              <w:rPr>
                <w:webHidden/>
              </w:rPr>
              <w:tab/>
            </w:r>
            <w:r w:rsidRPr="006117BE">
              <w:rPr>
                <w:webHidden/>
              </w:rPr>
              <w:fldChar w:fldCharType="begin"/>
            </w:r>
            <w:r w:rsidR="006117BE" w:rsidRPr="006117BE">
              <w:rPr>
                <w:webHidden/>
              </w:rPr>
              <w:instrText xml:space="preserve"> PAGEREF _Toc523322048 \h </w:instrText>
            </w:r>
            <w:r w:rsidRPr="006117BE">
              <w:rPr>
                <w:webHidden/>
              </w:rPr>
            </w:r>
            <w:r w:rsidRPr="006117BE">
              <w:rPr>
                <w:webHidden/>
              </w:rPr>
              <w:fldChar w:fldCharType="separate"/>
            </w:r>
            <w:r w:rsidR="006F2142">
              <w:rPr>
                <w:webHidden/>
              </w:rPr>
              <w:t>49</w:t>
            </w:r>
            <w:r w:rsidRPr="006117BE">
              <w:rPr>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49" w:history="1">
            <w:r w:rsidR="006117BE" w:rsidRPr="006117BE">
              <w:rPr>
                <w:rStyle w:val="Lienhypertexte"/>
                <w:rFonts w:ascii="Book Antiqua" w:hAnsi="Book Antiqua" w:cs="Arial"/>
                <w:b/>
                <w:noProof/>
                <w:sz w:val="20"/>
                <w:szCs w:val="20"/>
              </w:rPr>
              <w:t>III.1. Satisfaction sur le coût du crédit</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_Toc523322049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49</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050" w:history="1">
            <w:r w:rsidR="006117BE" w:rsidRPr="006117BE">
              <w:rPr>
                <w:rStyle w:val="Lienhypertexte"/>
                <w:b/>
              </w:rPr>
              <w:t>III.1.1. Unités ayant bénéficié d’un crédit et nature des crédits octroyés</w:t>
            </w:r>
            <w:r w:rsidR="006117BE" w:rsidRPr="006117BE">
              <w:rPr>
                <w:b/>
                <w:webHidden/>
              </w:rPr>
              <w:tab/>
            </w:r>
            <w:r w:rsidRPr="006117BE">
              <w:rPr>
                <w:b/>
                <w:webHidden/>
              </w:rPr>
              <w:fldChar w:fldCharType="begin"/>
            </w:r>
            <w:r w:rsidR="006117BE" w:rsidRPr="006117BE">
              <w:rPr>
                <w:b/>
                <w:webHidden/>
              </w:rPr>
              <w:instrText xml:space="preserve"> PAGEREF _Toc523322050 \h </w:instrText>
            </w:r>
            <w:r w:rsidRPr="006117BE">
              <w:rPr>
                <w:b/>
                <w:webHidden/>
              </w:rPr>
            </w:r>
            <w:r w:rsidRPr="006117BE">
              <w:rPr>
                <w:b/>
                <w:webHidden/>
              </w:rPr>
              <w:fldChar w:fldCharType="separate"/>
            </w:r>
            <w:r w:rsidR="006F2142">
              <w:rPr>
                <w:b/>
                <w:webHidden/>
              </w:rPr>
              <w:t>49</w:t>
            </w:r>
            <w:r w:rsidRPr="006117BE">
              <w:rPr>
                <w:b/>
                <w:webHidden/>
              </w:rPr>
              <w:fldChar w:fldCharType="end"/>
            </w:r>
          </w:hyperlink>
        </w:p>
        <w:p w:rsidR="006117BE" w:rsidRPr="006117BE" w:rsidRDefault="000D65F2">
          <w:pPr>
            <w:pStyle w:val="TM3"/>
            <w:rPr>
              <w:rFonts w:eastAsiaTheme="minorEastAsia" w:cstheme="minorBidi"/>
              <w:b/>
            </w:rPr>
          </w:pPr>
          <w:hyperlink w:anchor="_Toc523322051" w:history="1">
            <w:r w:rsidR="006117BE" w:rsidRPr="006117BE">
              <w:rPr>
                <w:rStyle w:val="Lienhypertexte"/>
                <w:b/>
              </w:rPr>
              <w:t>III.1.2. Appréciation du niveau des taux d’intérêt</w:t>
            </w:r>
            <w:r w:rsidR="006117BE" w:rsidRPr="006117BE">
              <w:rPr>
                <w:b/>
                <w:webHidden/>
              </w:rPr>
              <w:tab/>
            </w:r>
            <w:r w:rsidRPr="006117BE">
              <w:rPr>
                <w:b/>
                <w:webHidden/>
              </w:rPr>
              <w:fldChar w:fldCharType="begin"/>
            </w:r>
            <w:r w:rsidR="006117BE" w:rsidRPr="006117BE">
              <w:rPr>
                <w:b/>
                <w:webHidden/>
              </w:rPr>
              <w:instrText xml:space="preserve"> PAGEREF _Toc523322051 \h </w:instrText>
            </w:r>
            <w:r w:rsidRPr="006117BE">
              <w:rPr>
                <w:b/>
                <w:webHidden/>
              </w:rPr>
            </w:r>
            <w:r w:rsidRPr="006117BE">
              <w:rPr>
                <w:b/>
                <w:webHidden/>
              </w:rPr>
              <w:fldChar w:fldCharType="separate"/>
            </w:r>
            <w:r w:rsidR="006F2142">
              <w:rPr>
                <w:b/>
                <w:webHidden/>
              </w:rPr>
              <w:t>53</w:t>
            </w:r>
            <w:r w:rsidRPr="006117BE">
              <w:rPr>
                <w:b/>
                <w:webHidden/>
              </w:rPr>
              <w:fldChar w:fldCharType="end"/>
            </w:r>
          </w:hyperlink>
        </w:p>
        <w:p w:rsidR="006117BE" w:rsidRPr="006117BE" w:rsidRDefault="000D65F2">
          <w:pPr>
            <w:pStyle w:val="TM3"/>
            <w:rPr>
              <w:rFonts w:eastAsiaTheme="minorEastAsia" w:cstheme="minorBidi"/>
              <w:b/>
            </w:rPr>
          </w:pPr>
          <w:hyperlink w:anchor="_Toc523322052" w:history="1">
            <w:r w:rsidR="006117BE" w:rsidRPr="006117BE">
              <w:rPr>
                <w:rStyle w:val="Lienhypertexte"/>
                <w:b/>
              </w:rPr>
              <w:t>III.1.3. Appréciation des unités sur les garanties assorties à l’octroi de crédit</w:t>
            </w:r>
            <w:r w:rsidR="006117BE" w:rsidRPr="006117BE">
              <w:rPr>
                <w:b/>
                <w:webHidden/>
              </w:rPr>
              <w:tab/>
            </w:r>
            <w:r w:rsidRPr="006117BE">
              <w:rPr>
                <w:b/>
                <w:webHidden/>
              </w:rPr>
              <w:fldChar w:fldCharType="begin"/>
            </w:r>
            <w:r w:rsidR="006117BE" w:rsidRPr="006117BE">
              <w:rPr>
                <w:b/>
                <w:webHidden/>
              </w:rPr>
              <w:instrText xml:space="preserve"> PAGEREF _Toc523322052 \h </w:instrText>
            </w:r>
            <w:r w:rsidRPr="006117BE">
              <w:rPr>
                <w:b/>
                <w:webHidden/>
              </w:rPr>
            </w:r>
            <w:r w:rsidRPr="006117BE">
              <w:rPr>
                <w:b/>
                <w:webHidden/>
              </w:rPr>
              <w:fldChar w:fldCharType="separate"/>
            </w:r>
            <w:r w:rsidR="006F2142">
              <w:rPr>
                <w:b/>
                <w:webHidden/>
              </w:rPr>
              <w:t>60</w:t>
            </w:r>
            <w:r w:rsidRPr="006117BE">
              <w:rPr>
                <w:b/>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53" w:history="1">
            <w:r w:rsidR="006117BE" w:rsidRPr="006117BE">
              <w:rPr>
                <w:rStyle w:val="Lienhypertexte"/>
                <w:rFonts w:ascii="Book Antiqua" w:hAnsi="Book Antiqua" w:cs="Arial"/>
                <w:b/>
                <w:noProof/>
                <w:sz w:val="20"/>
                <w:szCs w:val="20"/>
              </w:rPr>
              <w:t>III.2. Satisfaction sur les frais de tenue de compte</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_Toc523322053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63</w:t>
            </w:r>
            <w:r w:rsidRPr="006117BE">
              <w:rPr>
                <w:rFonts w:ascii="Book Antiqua" w:hAnsi="Book Antiqua"/>
                <w:b/>
                <w:noProof/>
                <w:webHidden/>
                <w:sz w:val="20"/>
                <w:szCs w:val="20"/>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54" w:history="1">
            <w:r w:rsidR="006117BE" w:rsidRPr="006117BE">
              <w:rPr>
                <w:rStyle w:val="Lienhypertexte"/>
                <w:rFonts w:ascii="Book Antiqua" w:hAnsi="Book Antiqua" w:cs="Arial"/>
                <w:b/>
                <w:noProof/>
                <w:sz w:val="20"/>
                <w:szCs w:val="20"/>
              </w:rPr>
              <w:t>III.3. Satisfaction sur la qualité et le coût des services de consultation à distance</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_Toc523322054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65</w:t>
            </w:r>
            <w:r w:rsidRPr="006117BE">
              <w:rPr>
                <w:rFonts w:ascii="Book Antiqua" w:hAnsi="Book Antiqua"/>
                <w:b/>
                <w:noProof/>
                <w:webHidden/>
                <w:sz w:val="20"/>
                <w:szCs w:val="20"/>
              </w:rPr>
              <w:fldChar w:fldCharType="end"/>
            </w:r>
          </w:hyperlink>
        </w:p>
        <w:p w:rsidR="006117BE" w:rsidRPr="006117BE" w:rsidRDefault="000D65F2">
          <w:pPr>
            <w:pStyle w:val="TM1"/>
            <w:rPr>
              <w:rFonts w:eastAsiaTheme="minorEastAsia" w:cstheme="minorBidi"/>
            </w:rPr>
          </w:pPr>
          <w:hyperlink w:anchor="_Toc523322055" w:history="1">
            <w:r w:rsidR="006117BE" w:rsidRPr="006117BE">
              <w:rPr>
                <w:rStyle w:val="Lienhypertexte"/>
                <w:rFonts w:eastAsiaTheme="majorEastAsia" w:cstheme="majorBidi"/>
                <w:bCs/>
              </w:rPr>
              <w:t>IV.</w:t>
            </w:r>
            <w:r w:rsidR="006117BE" w:rsidRPr="006117BE">
              <w:rPr>
                <w:rFonts w:eastAsiaTheme="minorEastAsia" w:cstheme="minorBidi"/>
              </w:rPr>
              <w:tab/>
            </w:r>
            <w:r w:rsidR="006117BE" w:rsidRPr="006117BE">
              <w:rPr>
                <w:rStyle w:val="Lienhypertexte"/>
                <w:rFonts w:eastAsiaTheme="majorEastAsia" w:cstheme="majorBidi"/>
                <w:bCs/>
              </w:rPr>
              <w:t>Satisfaction sur l’accessibilité des banques</w:t>
            </w:r>
            <w:r w:rsidR="006117BE" w:rsidRPr="006117BE">
              <w:rPr>
                <w:webHidden/>
              </w:rPr>
              <w:tab/>
            </w:r>
            <w:r w:rsidRPr="006117BE">
              <w:rPr>
                <w:webHidden/>
              </w:rPr>
              <w:fldChar w:fldCharType="begin"/>
            </w:r>
            <w:r w:rsidR="006117BE" w:rsidRPr="006117BE">
              <w:rPr>
                <w:webHidden/>
              </w:rPr>
              <w:instrText xml:space="preserve"> PAGEREF _Toc523322055 \h </w:instrText>
            </w:r>
            <w:r w:rsidRPr="006117BE">
              <w:rPr>
                <w:webHidden/>
              </w:rPr>
            </w:r>
            <w:r w:rsidRPr="006117BE">
              <w:rPr>
                <w:webHidden/>
              </w:rPr>
              <w:fldChar w:fldCharType="separate"/>
            </w:r>
            <w:r w:rsidR="006F2142">
              <w:rPr>
                <w:webHidden/>
              </w:rPr>
              <w:t>67</w:t>
            </w:r>
            <w:r w:rsidRPr="006117BE">
              <w:rPr>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56" w:history="1">
            <w:r w:rsidR="006117BE" w:rsidRPr="006117BE">
              <w:rPr>
                <w:rStyle w:val="Lienhypertexte"/>
                <w:rFonts w:ascii="Book Antiqua" w:eastAsiaTheme="majorEastAsia" w:hAnsi="Book Antiqua" w:cstheme="majorBidi"/>
                <w:b/>
                <w:bCs/>
                <w:noProof/>
                <w:sz w:val="20"/>
                <w:szCs w:val="20"/>
              </w:rPr>
              <w:t>IV.1. Qualité de l’accessibilité géographique des agences bancaires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_Toc523322056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67</w:t>
            </w:r>
            <w:r w:rsidRPr="006117BE">
              <w:rPr>
                <w:rFonts w:ascii="Book Antiqua" w:hAnsi="Book Antiqua"/>
                <w:b/>
                <w:noProof/>
                <w:webHidden/>
                <w:sz w:val="20"/>
                <w:szCs w:val="20"/>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57" w:history="1">
            <w:r w:rsidR="006117BE" w:rsidRPr="006117BE">
              <w:rPr>
                <w:rStyle w:val="Lienhypertexte"/>
                <w:rFonts w:ascii="Book Antiqua" w:eastAsiaTheme="majorEastAsia" w:hAnsi="Book Antiqua" w:cstheme="majorBidi"/>
                <w:b/>
                <w:bCs/>
                <w:noProof/>
                <w:sz w:val="20"/>
                <w:szCs w:val="20"/>
              </w:rPr>
              <w:t>IV.2. Opinion sur les horaires de services des agences bancaires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_Toc523322057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68</w:t>
            </w:r>
            <w:r w:rsidRPr="006117BE">
              <w:rPr>
                <w:rFonts w:ascii="Book Antiqua" w:hAnsi="Book Antiqua"/>
                <w:b/>
                <w:noProof/>
                <w:webHidden/>
                <w:sz w:val="20"/>
                <w:szCs w:val="20"/>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58" w:history="1">
            <w:r w:rsidR="006117BE" w:rsidRPr="006117BE">
              <w:rPr>
                <w:rStyle w:val="Lienhypertexte"/>
                <w:rFonts w:ascii="Book Antiqua" w:eastAsiaTheme="majorEastAsia" w:hAnsi="Book Antiqua" w:cstheme="majorBidi"/>
                <w:b/>
                <w:bCs/>
                <w:noProof/>
                <w:sz w:val="20"/>
                <w:szCs w:val="20"/>
              </w:rPr>
              <w:t>IV.3. Qualité de l’accès par téléphone aux banques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_Toc523322058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69</w:t>
            </w:r>
            <w:r w:rsidRPr="006117BE">
              <w:rPr>
                <w:rFonts w:ascii="Book Antiqua" w:hAnsi="Book Antiqua"/>
                <w:b/>
                <w:noProof/>
                <w:webHidden/>
                <w:sz w:val="20"/>
                <w:szCs w:val="20"/>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59" w:history="1">
            <w:r w:rsidR="006117BE" w:rsidRPr="006117BE">
              <w:rPr>
                <w:rStyle w:val="Lienhypertexte"/>
                <w:rFonts w:ascii="Book Antiqua" w:eastAsiaTheme="majorEastAsia" w:hAnsi="Book Antiqua" w:cstheme="majorBidi"/>
                <w:b/>
                <w:bCs/>
                <w:noProof/>
                <w:sz w:val="20"/>
                <w:szCs w:val="20"/>
              </w:rPr>
              <w:t>IV.4. Qualité de l’accès par internet</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_Toc523322059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69</w:t>
            </w:r>
            <w:r w:rsidRPr="006117BE">
              <w:rPr>
                <w:rFonts w:ascii="Book Antiqua" w:hAnsi="Book Antiqua"/>
                <w:b/>
                <w:noProof/>
                <w:webHidden/>
                <w:sz w:val="20"/>
                <w:szCs w:val="20"/>
              </w:rPr>
              <w:fldChar w:fldCharType="end"/>
            </w:r>
          </w:hyperlink>
        </w:p>
        <w:p w:rsidR="006117BE" w:rsidRPr="006117BE" w:rsidRDefault="000D65F2">
          <w:pPr>
            <w:pStyle w:val="TM1"/>
            <w:rPr>
              <w:rFonts w:eastAsiaTheme="minorEastAsia" w:cstheme="minorBidi"/>
            </w:rPr>
          </w:pPr>
          <w:hyperlink w:anchor="_Toc523322060" w:history="1">
            <w:r w:rsidR="006117BE" w:rsidRPr="006117BE">
              <w:rPr>
                <w:rStyle w:val="Lienhypertexte"/>
                <w:rFonts w:eastAsiaTheme="majorEastAsia" w:cstheme="majorBidi"/>
                <w:bCs/>
                <w:caps/>
              </w:rPr>
              <w:t xml:space="preserve">V. </w:t>
            </w:r>
            <w:r w:rsidR="006117BE" w:rsidRPr="006117BE">
              <w:rPr>
                <w:rStyle w:val="Lienhypertexte"/>
                <w:rFonts w:eastAsiaTheme="majorEastAsia" w:cstheme="majorBidi"/>
                <w:bCs/>
              </w:rPr>
              <w:t>Avis sur le traitement réservé à la clientèle</w:t>
            </w:r>
            <w:r w:rsidR="006117BE" w:rsidRPr="006117BE">
              <w:rPr>
                <w:webHidden/>
              </w:rPr>
              <w:tab/>
            </w:r>
            <w:r w:rsidRPr="006117BE">
              <w:rPr>
                <w:webHidden/>
              </w:rPr>
              <w:fldChar w:fldCharType="begin"/>
            </w:r>
            <w:r w:rsidR="006117BE" w:rsidRPr="006117BE">
              <w:rPr>
                <w:webHidden/>
              </w:rPr>
              <w:instrText xml:space="preserve"> PAGEREF _Toc523322060 \h </w:instrText>
            </w:r>
            <w:r w:rsidRPr="006117BE">
              <w:rPr>
                <w:webHidden/>
              </w:rPr>
            </w:r>
            <w:r w:rsidRPr="006117BE">
              <w:rPr>
                <w:webHidden/>
              </w:rPr>
              <w:fldChar w:fldCharType="separate"/>
            </w:r>
            <w:r w:rsidR="006F2142">
              <w:rPr>
                <w:webHidden/>
              </w:rPr>
              <w:t>71</w:t>
            </w:r>
            <w:r w:rsidRPr="006117BE">
              <w:rPr>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61" w:history="1">
            <w:r w:rsidR="006117BE" w:rsidRPr="006117BE">
              <w:rPr>
                <w:rStyle w:val="Lienhypertexte"/>
                <w:rFonts w:ascii="Book Antiqua" w:eastAsiaTheme="majorEastAsia" w:hAnsi="Book Antiqua" w:cstheme="majorBidi"/>
                <w:b/>
                <w:bCs/>
                <w:noProof/>
                <w:sz w:val="20"/>
                <w:szCs w:val="20"/>
              </w:rPr>
              <w:t>V.1. Satisfaction sur les services du personnel  du « front office »</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_Toc523322061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71</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062" w:history="1">
            <w:r w:rsidR="006117BE" w:rsidRPr="006117BE">
              <w:rPr>
                <w:rStyle w:val="Lienhypertexte"/>
                <w:rFonts w:eastAsiaTheme="majorEastAsia" w:cstheme="majorBidi"/>
                <w:b/>
                <w:bCs/>
              </w:rPr>
              <w:t>V.1.1.Opinion sur la qualité du suivi personnalisé</w:t>
            </w:r>
            <w:r w:rsidR="006117BE" w:rsidRPr="006117BE">
              <w:rPr>
                <w:b/>
                <w:webHidden/>
              </w:rPr>
              <w:tab/>
            </w:r>
            <w:r w:rsidRPr="006117BE">
              <w:rPr>
                <w:b/>
                <w:webHidden/>
              </w:rPr>
              <w:fldChar w:fldCharType="begin"/>
            </w:r>
            <w:r w:rsidR="006117BE" w:rsidRPr="006117BE">
              <w:rPr>
                <w:b/>
                <w:webHidden/>
              </w:rPr>
              <w:instrText xml:space="preserve"> PAGEREF _Toc523322062 \h </w:instrText>
            </w:r>
            <w:r w:rsidRPr="006117BE">
              <w:rPr>
                <w:b/>
                <w:webHidden/>
              </w:rPr>
            </w:r>
            <w:r w:rsidRPr="006117BE">
              <w:rPr>
                <w:b/>
                <w:webHidden/>
              </w:rPr>
              <w:fldChar w:fldCharType="separate"/>
            </w:r>
            <w:r w:rsidR="006F2142">
              <w:rPr>
                <w:b/>
                <w:webHidden/>
              </w:rPr>
              <w:t>71</w:t>
            </w:r>
            <w:r w:rsidRPr="006117BE">
              <w:rPr>
                <w:b/>
                <w:webHidden/>
              </w:rPr>
              <w:fldChar w:fldCharType="end"/>
            </w:r>
          </w:hyperlink>
        </w:p>
        <w:p w:rsidR="006117BE" w:rsidRPr="006117BE" w:rsidRDefault="000D65F2">
          <w:pPr>
            <w:pStyle w:val="TM3"/>
            <w:rPr>
              <w:rFonts w:eastAsiaTheme="minorEastAsia" w:cstheme="minorBidi"/>
              <w:b/>
            </w:rPr>
          </w:pPr>
          <w:hyperlink w:anchor="_Toc523322063" w:history="1">
            <w:r w:rsidR="006117BE" w:rsidRPr="006117BE">
              <w:rPr>
                <w:rStyle w:val="Lienhypertexte"/>
                <w:rFonts w:eastAsiaTheme="majorEastAsia" w:cstheme="majorBidi"/>
                <w:b/>
                <w:bCs/>
              </w:rPr>
              <w:t>V.1.3. Avis des clients sur la qualité de l’accueil du personnel de l’agence</w:t>
            </w:r>
            <w:r w:rsidR="006117BE" w:rsidRPr="006117BE">
              <w:rPr>
                <w:b/>
                <w:webHidden/>
              </w:rPr>
              <w:tab/>
            </w:r>
            <w:r w:rsidRPr="006117BE">
              <w:rPr>
                <w:b/>
                <w:webHidden/>
              </w:rPr>
              <w:fldChar w:fldCharType="begin"/>
            </w:r>
            <w:r w:rsidR="006117BE" w:rsidRPr="006117BE">
              <w:rPr>
                <w:b/>
                <w:webHidden/>
              </w:rPr>
              <w:instrText xml:space="preserve"> PAGEREF _Toc523322063 \h </w:instrText>
            </w:r>
            <w:r w:rsidRPr="006117BE">
              <w:rPr>
                <w:b/>
                <w:webHidden/>
              </w:rPr>
            </w:r>
            <w:r w:rsidRPr="006117BE">
              <w:rPr>
                <w:b/>
                <w:webHidden/>
              </w:rPr>
              <w:fldChar w:fldCharType="separate"/>
            </w:r>
            <w:r w:rsidR="006F2142">
              <w:rPr>
                <w:b/>
                <w:webHidden/>
              </w:rPr>
              <w:t>78</w:t>
            </w:r>
            <w:r w:rsidRPr="006117BE">
              <w:rPr>
                <w:b/>
                <w:webHidden/>
              </w:rPr>
              <w:fldChar w:fldCharType="end"/>
            </w:r>
          </w:hyperlink>
        </w:p>
        <w:p w:rsidR="006117BE" w:rsidRPr="006117BE" w:rsidRDefault="000D65F2">
          <w:pPr>
            <w:pStyle w:val="TM3"/>
            <w:rPr>
              <w:rFonts w:eastAsiaTheme="minorEastAsia" w:cstheme="minorBidi"/>
              <w:b/>
            </w:rPr>
          </w:pPr>
          <w:hyperlink w:anchor="_Toc523322064" w:history="1">
            <w:r w:rsidR="006117BE" w:rsidRPr="006117BE">
              <w:rPr>
                <w:rStyle w:val="Lienhypertexte"/>
                <w:rFonts w:eastAsiaTheme="majorEastAsia" w:cstheme="majorBidi"/>
                <w:b/>
                <w:bCs/>
              </w:rPr>
              <w:t>V.1.4. Qualité de la gestion du compte</w:t>
            </w:r>
            <w:r w:rsidR="006117BE" w:rsidRPr="006117BE">
              <w:rPr>
                <w:b/>
                <w:webHidden/>
              </w:rPr>
              <w:tab/>
            </w:r>
            <w:r w:rsidRPr="006117BE">
              <w:rPr>
                <w:b/>
                <w:webHidden/>
              </w:rPr>
              <w:fldChar w:fldCharType="begin"/>
            </w:r>
            <w:r w:rsidR="006117BE" w:rsidRPr="006117BE">
              <w:rPr>
                <w:b/>
                <w:webHidden/>
              </w:rPr>
              <w:instrText xml:space="preserve"> PAGEREF _Toc523322064 \h </w:instrText>
            </w:r>
            <w:r w:rsidRPr="006117BE">
              <w:rPr>
                <w:b/>
                <w:webHidden/>
              </w:rPr>
            </w:r>
            <w:r w:rsidRPr="006117BE">
              <w:rPr>
                <w:b/>
                <w:webHidden/>
              </w:rPr>
              <w:fldChar w:fldCharType="separate"/>
            </w:r>
            <w:r w:rsidR="006F2142">
              <w:rPr>
                <w:b/>
                <w:webHidden/>
              </w:rPr>
              <w:t>79</w:t>
            </w:r>
            <w:r w:rsidRPr="006117BE">
              <w:rPr>
                <w:b/>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65" w:history="1">
            <w:r w:rsidR="006117BE" w:rsidRPr="006117BE">
              <w:rPr>
                <w:rStyle w:val="Lienhypertexte"/>
                <w:rFonts w:ascii="Book Antiqua" w:eastAsiaTheme="majorEastAsia" w:hAnsi="Book Antiqua" w:cstheme="majorBidi"/>
                <w:b/>
                <w:bCs/>
                <w:noProof/>
                <w:sz w:val="20"/>
                <w:szCs w:val="20"/>
              </w:rPr>
              <w:t>V.2. Qualité des informations fournies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_Toc523322065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81</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066" w:history="1">
            <w:r w:rsidR="006117BE" w:rsidRPr="006117BE">
              <w:rPr>
                <w:rStyle w:val="Lienhypertexte"/>
                <w:rFonts w:eastAsiaTheme="majorEastAsia" w:cstheme="majorBidi"/>
                <w:b/>
                <w:bCs/>
              </w:rPr>
              <w:t>V.2.1. Opinions des unités sur la qualité de l’information tarifaire</w:t>
            </w:r>
            <w:r w:rsidR="006117BE" w:rsidRPr="006117BE">
              <w:rPr>
                <w:b/>
                <w:webHidden/>
              </w:rPr>
              <w:tab/>
            </w:r>
            <w:r w:rsidRPr="006117BE">
              <w:rPr>
                <w:b/>
                <w:webHidden/>
              </w:rPr>
              <w:fldChar w:fldCharType="begin"/>
            </w:r>
            <w:r w:rsidR="006117BE" w:rsidRPr="006117BE">
              <w:rPr>
                <w:b/>
                <w:webHidden/>
              </w:rPr>
              <w:instrText xml:space="preserve"> PAGEREF _Toc523322066 \h </w:instrText>
            </w:r>
            <w:r w:rsidRPr="006117BE">
              <w:rPr>
                <w:b/>
                <w:webHidden/>
              </w:rPr>
            </w:r>
            <w:r w:rsidRPr="006117BE">
              <w:rPr>
                <w:b/>
                <w:webHidden/>
              </w:rPr>
              <w:fldChar w:fldCharType="separate"/>
            </w:r>
            <w:r w:rsidR="006F2142">
              <w:rPr>
                <w:b/>
                <w:webHidden/>
              </w:rPr>
              <w:t>81</w:t>
            </w:r>
            <w:r w:rsidRPr="006117BE">
              <w:rPr>
                <w:b/>
                <w:webHidden/>
              </w:rPr>
              <w:fldChar w:fldCharType="end"/>
            </w:r>
          </w:hyperlink>
        </w:p>
        <w:p w:rsidR="006117BE" w:rsidRPr="006117BE" w:rsidRDefault="000D65F2">
          <w:pPr>
            <w:pStyle w:val="TM3"/>
            <w:rPr>
              <w:rFonts w:eastAsiaTheme="minorEastAsia" w:cstheme="minorBidi"/>
              <w:b/>
            </w:rPr>
          </w:pPr>
          <w:hyperlink w:anchor="_Toc523322067" w:history="1">
            <w:r w:rsidR="006117BE" w:rsidRPr="006117BE">
              <w:rPr>
                <w:rStyle w:val="Lienhypertexte"/>
                <w:rFonts w:eastAsiaTheme="majorEastAsia" w:cstheme="majorBidi"/>
                <w:b/>
                <w:bCs/>
              </w:rPr>
              <w:t>V.2.2. Qualité des informations fournies aux clients sur leurs obligations</w:t>
            </w:r>
            <w:r w:rsidR="006117BE" w:rsidRPr="006117BE">
              <w:rPr>
                <w:b/>
                <w:webHidden/>
              </w:rPr>
              <w:tab/>
            </w:r>
            <w:r w:rsidRPr="006117BE">
              <w:rPr>
                <w:b/>
                <w:webHidden/>
              </w:rPr>
              <w:fldChar w:fldCharType="begin"/>
            </w:r>
            <w:r w:rsidR="006117BE" w:rsidRPr="006117BE">
              <w:rPr>
                <w:b/>
                <w:webHidden/>
              </w:rPr>
              <w:instrText xml:space="preserve"> PAGEREF _Toc523322067 \h </w:instrText>
            </w:r>
            <w:r w:rsidRPr="006117BE">
              <w:rPr>
                <w:b/>
                <w:webHidden/>
              </w:rPr>
            </w:r>
            <w:r w:rsidRPr="006117BE">
              <w:rPr>
                <w:b/>
                <w:webHidden/>
              </w:rPr>
              <w:fldChar w:fldCharType="separate"/>
            </w:r>
            <w:r w:rsidR="006F2142">
              <w:rPr>
                <w:b/>
                <w:webHidden/>
              </w:rPr>
              <w:t>83</w:t>
            </w:r>
            <w:r w:rsidRPr="006117BE">
              <w:rPr>
                <w:b/>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68" w:history="1">
            <w:r w:rsidR="006117BE" w:rsidRPr="006117BE">
              <w:rPr>
                <w:rStyle w:val="Lienhypertexte"/>
                <w:rFonts w:ascii="Book Antiqua" w:eastAsiaTheme="majorEastAsia" w:hAnsi="Book Antiqua" w:cstheme="majorBidi"/>
                <w:b/>
                <w:bCs/>
                <w:noProof/>
                <w:sz w:val="20"/>
                <w:szCs w:val="20"/>
              </w:rPr>
              <w:t>V.3. Satisfaction sur le suivi des réclamations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_Toc523322068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86</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069" w:history="1">
            <w:r w:rsidR="006117BE" w:rsidRPr="006117BE">
              <w:rPr>
                <w:rStyle w:val="Lienhypertexte"/>
                <w:rFonts w:eastAsiaTheme="majorEastAsia" w:cstheme="majorBidi"/>
                <w:b/>
                <w:bCs/>
              </w:rPr>
              <w:t>V.3.1. Fréquence et typologie des réclamations formulées et des litiges</w:t>
            </w:r>
            <w:r w:rsidR="006117BE" w:rsidRPr="006117BE">
              <w:rPr>
                <w:b/>
                <w:webHidden/>
              </w:rPr>
              <w:tab/>
            </w:r>
            <w:r w:rsidRPr="006117BE">
              <w:rPr>
                <w:b/>
                <w:webHidden/>
              </w:rPr>
              <w:fldChar w:fldCharType="begin"/>
            </w:r>
            <w:r w:rsidR="006117BE" w:rsidRPr="006117BE">
              <w:rPr>
                <w:b/>
                <w:webHidden/>
              </w:rPr>
              <w:instrText xml:space="preserve"> PAGEREF _Toc523322069 \h </w:instrText>
            </w:r>
            <w:r w:rsidRPr="006117BE">
              <w:rPr>
                <w:b/>
                <w:webHidden/>
              </w:rPr>
            </w:r>
            <w:r w:rsidRPr="006117BE">
              <w:rPr>
                <w:b/>
                <w:webHidden/>
              </w:rPr>
              <w:fldChar w:fldCharType="separate"/>
            </w:r>
            <w:r w:rsidR="006F2142">
              <w:rPr>
                <w:b/>
                <w:webHidden/>
              </w:rPr>
              <w:t>86</w:t>
            </w:r>
            <w:r w:rsidRPr="006117BE">
              <w:rPr>
                <w:b/>
                <w:webHidden/>
              </w:rPr>
              <w:fldChar w:fldCharType="end"/>
            </w:r>
          </w:hyperlink>
        </w:p>
        <w:p w:rsidR="006117BE" w:rsidRPr="006117BE" w:rsidRDefault="000D65F2">
          <w:pPr>
            <w:pStyle w:val="TM3"/>
            <w:rPr>
              <w:rFonts w:eastAsiaTheme="minorEastAsia" w:cstheme="minorBidi"/>
              <w:b/>
            </w:rPr>
          </w:pPr>
          <w:hyperlink w:anchor="_Toc523322070" w:history="1">
            <w:r w:rsidR="006117BE" w:rsidRPr="006117BE">
              <w:rPr>
                <w:rStyle w:val="Lienhypertexte"/>
                <w:rFonts w:eastAsiaTheme="majorEastAsia" w:cstheme="majorBidi"/>
                <w:b/>
                <w:bCs/>
              </w:rPr>
              <w:t>V.3.3. Litiges</w:t>
            </w:r>
            <w:r w:rsidR="006117BE">
              <w:rPr>
                <w:rStyle w:val="Lienhypertexte"/>
                <w:rFonts w:eastAsiaTheme="majorEastAsia" w:cstheme="majorBidi"/>
                <w:b/>
                <w:bCs/>
              </w:rPr>
              <w:tab/>
            </w:r>
            <w:r w:rsidR="006117BE" w:rsidRPr="006117BE">
              <w:rPr>
                <w:b/>
                <w:webHidden/>
              </w:rPr>
              <w:tab/>
            </w:r>
            <w:r w:rsidRPr="006117BE">
              <w:rPr>
                <w:b/>
                <w:webHidden/>
              </w:rPr>
              <w:fldChar w:fldCharType="begin"/>
            </w:r>
            <w:r w:rsidR="006117BE" w:rsidRPr="006117BE">
              <w:rPr>
                <w:b/>
                <w:webHidden/>
              </w:rPr>
              <w:instrText xml:space="preserve"> PAGEREF _Toc523322070 \h </w:instrText>
            </w:r>
            <w:r w:rsidRPr="006117BE">
              <w:rPr>
                <w:b/>
                <w:webHidden/>
              </w:rPr>
            </w:r>
            <w:r w:rsidRPr="006117BE">
              <w:rPr>
                <w:b/>
                <w:webHidden/>
              </w:rPr>
              <w:fldChar w:fldCharType="separate"/>
            </w:r>
            <w:r w:rsidR="006F2142">
              <w:rPr>
                <w:b/>
                <w:webHidden/>
              </w:rPr>
              <w:t>90</w:t>
            </w:r>
            <w:r w:rsidRPr="006117BE">
              <w:rPr>
                <w:b/>
                <w:webHidden/>
              </w:rPr>
              <w:fldChar w:fldCharType="end"/>
            </w:r>
          </w:hyperlink>
        </w:p>
        <w:p w:rsidR="006117BE" w:rsidRDefault="006117BE" w:rsidP="006117BE">
          <w:pPr>
            <w:pStyle w:val="TM1"/>
            <w:spacing w:line="240" w:lineRule="auto"/>
            <w:contextualSpacing/>
            <w:rPr>
              <w:rStyle w:val="Lienhypertexte"/>
            </w:rPr>
          </w:pPr>
        </w:p>
        <w:p w:rsidR="006117BE" w:rsidRPr="006117BE" w:rsidRDefault="000D65F2">
          <w:pPr>
            <w:pStyle w:val="TM1"/>
            <w:rPr>
              <w:rFonts w:eastAsiaTheme="minorEastAsia" w:cstheme="minorBidi"/>
            </w:rPr>
          </w:pPr>
          <w:hyperlink w:anchor="_Toc523322071" w:history="1">
            <w:r w:rsidR="006117BE" w:rsidRPr="006117BE">
              <w:rPr>
                <w:rStyle w:val="Lienhypertexte"/>
              </w:rPr>
              <w:t>2</w:t>
            </w:r>
            <w:r w:rsidR="006117BE" w:rsidRPr="006117BE">
              <w:rPr>
                <w:rStyle w:val="Lienhypertexte"/>
                <w:vertAlign w:val="superscript"/>
              </w:rPr>
              <w:t>ème</w:t>
            </w:r>
            <w:r w:rsidR="006117BE" w:rsidRPr="006117BE">
              <w:rPr>
                <w:rStyle w:val="Lienhypertexte"/>
              </w:rPr>
              <w:t>PARTIE : VOLET « PERSONNES PHYSIQUES »</w:t>
            </w:r>
            <w:r w:rsidR="006117BE" w:rsidRPr="006117BE">
              <w:rPr>
                <w:webHidden/>
              </w:rPr>
              <w:tab/>
            </w:r>
            <w:r w:rsidRPr="006117BE">
              <w:rPr>
                <w:webHidden/>
              </w:rPr>
              <w:fldChar w:fldCharType="begin"/>
            </w:r>
            <w:r w:rsidR="006117BE" w:rsidRPr="006117BE">
              <w:rPr>
                <w:webHidden/>
              </w:rPr>
              <w:instrText xml:space="preserve"> PAGEREF _Toc523322071 \h </w:instrText>
            </w:r>
            <w:r w:rsidRPr="006117BE">
              <w:rPr>
                <w:webHidden/>
              </w:rPr>
            </w:r>
            <w:r w:rsidRPr="006117BE">
              <w:rPr>
                <w:webHidden/>
              </w:rPr>
              <w:fldChar w:fldCharType="separate"/>
            </w:r>
            <w:r w:rsidR="006F2142">
              <w:rPr>
                <w:webHidden/>
              </w:rPr>
              <w:t>92</w:t>
            </w:r>
            <w:r w:rsidRPr="006117BE">
              <w:rPr>
                <w:webHidden/>
              </w:rPr>
              <w:fldChar w:fldCharType="end"/>
            </w:r>
          </w:hyperlink>
        </w:p>
        <w:p w:rsidR="006117BE" w:rsidRPr="006117BE" w:rsidRDefault="000D65F2">
          <w:pPr>
            <w:pStyle w:val="TM1"/>
            <w:rPr>
              <w:rFonts w:eastAsiaTheme="minorEastAsia" w:cstheme="minorBidi"/>
            </w:rPr>
          </w:pPr>
          <w:hyperlink w:anchor="_Toc523322072" w:history="1">
            <w:r w:rsidR="006117BE" w:rsidRPr="006117BE">
              <w:rPr>
                <w:rStyle w:val="Lienhypertexte"/>
              </w:rPr>
              <w:t>TABLEAU SYNOPTIQUE DES PRINCIPAUX INDICATEURS DE SATISFACTION</w:t>
            </w:r>
            <w:r w:rsidR="006117BE" w:rsidRPr="006117BE">
              <w:rPr>
                <w:webHidden/>
              </w:rPr>
              <w:tab/>
            </w:r>
            <w:r w:rsidRPr="006117BE">
              <w:rPr>
                <w:webHidden/>
              </w:rPr>
              <w:fldChar w:fldCharType="begin"/>
            </w:r>
            <w:r w:rsidR="006117BE" w:rsidRPr="006117BE">
              <w:rPr>
                <w:webHidden/>
              </w:rPr>
              <w:instrText xml:space="preserve"> PAGEREF _Toc523322072 \h </w:instrText>
            </w:r>
            <w:r w:rsidRPr="006117BE">
              <w:rPr>
                <w:webHidden/>
              </w:rPr>
            </w:r>
            <w:r w:rsidRPr="006117BE">
              <w:rPr>
                <w:webHidden/>
              </w:rPr>
              <w:fldChar w:fldCharType="separate"/>
            </w:r>
            <w:r w:rsidR="006F2142">
              <w:rPr>
                <w:webHidden/>
              </w:rPr>
              <w:t>93</w:t>
            </w:r>
            <w:r w:rsidRPr="006117BE">
              <w:rPr>
                <w:webHidden/>
              </w:rPr>
              <w:fldChar w:fldCharType="end"/>
            </w:r>
          </w:hyperlink>
        </w:p>
        <w:p w:rsidR="006117BE" w:rsidRPr="006117BE" w:rsidRDefault="000D65F2">
          <w:pPr>
            <w:pStyle w:val="TM1"/>
            <w:rPr>
              <w:rFonts w:eastAsiaTheme="minorEastAsia" w:cstheme="minorBidi"/>
            </w:rPr>
          </w:pPr>
          <w:hyperlink w:anchor="_Toc523322073" w:history="1">
            <w:r w:rsidR="006117BE" w:rsidRPr="006117BE">
              <w:rPr>
                <w:rStyle w:val="Lienhypertexte"/>
              </w:rPr>
              <w:t>RESUME DES RESULTATS</w:t>
            </w:r>
            <w:r w:rsidR="006117BE" w:rsidRPr="006117BE">
              <w:rPr>
                <w:webHidden/>
              </w:rPr>
              <w:tab/>
            </w:r>
            <w:r w:rsidRPr="006117BE">
              <w:rPr>
                <w:webHidden/>
              </w:rPr>
              <w:fldChar w:fldCharType="begin"/>
            </w:r>
            <w:r w:rsidR="006117BE" w:rsidRPr="006117BE">
              <w:rPr>
                <w:webHidden/>
              </w:rPr>
              <w:instrText xml:space="preserve"> PAGEREF _Toc523322073 \h </w:instrText>
            </w:r>
            <w:r w:rsidRPr="006117BE">
              <w:rPr>
                <w:webHidden/>
              </w:rPr>
            </w:r>
            <w:r w:rsidRPr="006117BE">
              <w:rPr>
                <w:webHidden/>
              </w:rPr>
              <w:fldChar w:fldCharType="separate"/>
            </w:r>
            <w:r w:rsidR="006F2142">
              <w:rPr>
                <w:webHidden/>
              </w:rPr>
              <w:t>96</w:t>
            </w:r>
            <w:r w:rsidRPr="006117BE">
              <w:rPr>
                <w:webHidden/>
              </w:rPr>
              <w:fldChar w:fldCharType="end"/>
            </w:r>
          </w:hyperlink>
        </w:p>
        <w:p w:rsidR="006117BE" w:rsidRPr="006117BE" w:rsidRDefault="000D65F2">
          <w:pPr>
            <w:pStyle w:val="TM1"/>
            <w:rPr>
              <w:rFonts w:eastAsiaTheme="minorEastAsia" w:cstheme="minorBidi"/>
            </w:rPr>
          </w:pPr>
          <w:hyperlink w:anchor="_Toc523322074" w:history="1">
            <w:r w:rsidR="006117BE" w:rsidRPr="006117BE">
              <w:rPr>
                <w:rStyle w:val="Lienhypertexte"/>
                <w:rFonts w:cs="Tahoma"/>
              </w:rPr>
              <w:t>I.</w:t>
            </w:r>
            <w:r w:rsidR="006117BE">
              <w:rPr>
                <w:rFonts w:eastAsiaTheme="minorEastAsia" w:cstheme="minorBidi"/>
              </w:rPr>
              <w:t xml:space="preserve"> </w:t>
            </w:r>
            <w:r w:rsidR="006117BE" w:rsidRPr="006117BE">
              <w:rPr>
                <w:rStyle w:val="Lienhypertexte"/>
                <w:rFonts w:cs="Tahoma"/>
              </w:rPr>
              <w:t>Présentation des personnes physiques enquêtées et répartition selon les banques</w:t>
            </w:r>
            <w:r w:rsidR="006117BE" w:rsidRPr="006117BE">
              <w:rPr>
                <w:webHidden/>
              </w:rPr>
              <w:tab/>
            </w:r>
            <w:r w:rsidRPr="006117BE">
              <w:rPr>
                <w:webHidden/>
              </w:rPr>
              <w:fldChar w:fldCharType="begin"/>
            </w:r>
            <w:r w:rsidR="006117BE" w:rsidRPr="006117BE">
              <w:rPr>
                <w:webHidden/>
              </w:rPr>
              <w:instrText xml:space="preserve"> PAGEREF _Toc523322074 \h </w:instrText>
            </w:r>
            <w:r w:rsidRPr="006117BE">
              <w:rPr>
                <w:webHidden/>
              </w:rPr>
            </w:r>
            <w:r w:rsidRPr="006117BE">
              <w:rPr>
                <w:webHidden/>
              </w:rPr>
              <w:fldChar w:fldCharType="separate"/>
            </w:r>
            <w:r w:rsidR="006F2142">
              <w:rPr>
                <w:webHidden/>
              </w:rPr>
              <w:t>98</w:t>
            </w:r>
            <w:r w:rsidRPr="006117BE">
              <w:rPr>
                <w:webHidden/>
              </w:rPr>
              <w:fldChar w:fldCharType="end"/>
            </w:r>
          </w:hyperlink>
        </w:p>
        <w:p w:rsidR="006117BE" w:rsidRPr="006117BE" w:rsidRDefault="000D65F2" w:rsidP="006117BE">
          <w:pPr>
            <w:pStyle w:val="TM2"/>
            <w:tabs>
              <w:tab w:val="left" w:pos="880"/>
              <w:tab w:val="right" w:leader="dot" w:pos="9572"/>
            </w:tabs>
            <w:ind w:left="0"/>
            <w:rPr>
              <w:rFonts w:ascii="Book Antiqua" w:eastAsiaTheme="minorEastAsia" w:hAnsi="Book Antiqua" w:cstheme="minorBidi"/>
              <w:b/>
              <w:noProof/>
              <w:sz w:val="20"/>
              <w:szCs w:val="20"/>
            </w:rPr>
          </w:pPr>
          <w:hyperlink w:anchor="_Toc523322075" w:history="1">
            <w:r w:rsidR="006117BE" w:rsidRPr="006117BE">
              <w:rPr>
                <w:rStyle w:val="Lienhypertexte"/>
                <w:rFonts w:ascii="Book Antiqua" w:hAnsi="Book Antiqua" w:cs="Tahoma"/>
                <w:b/>
                <w:noProof/>
                <w:sz w:val="20"/>
                <w:szCs w:val="20"/>
              </w:rPr>
              <w:t>I.1.</w:t>
            </w:r>
            <w:r w:rsidR="006117BE">
              <w:rPr>
                <w:rFonts w:ascii="Book Antiqua" w:eastAsiaTheme="minorEastAsia" w:hAnsi="Book Antiqua" w:cstheme="minorBidi"/>
                <w:b/>
                <w:noProof/>
                <w:sz w:val="20"/>
                <w:szCs w:val="20"/>
              </w:rPr>
              <w:t xml:space="preserve"> </w:t>
            </w:r>
            <w:r w:rsidR="006117BE" w:rsidRPr="006117BE">
              <w:rPr>
                <w:rStyle w:val="Lienhypertexte"/>
                <w:rFonts w:ascii="Book Antiqua" w:hAnsi="Book Antiqua" w:cs="Tahoma"/>
                <w:b/>
                <w:noProof/>
                <w:sz w:val="20"/>
                <w:szCs w:val="20"/>
              </w:rPr>
              <w:t>Caractéristiques sociodémographiques des personnes physiques enquêtées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_Toc523322075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98</w:t>
            </w:r>
            <w:r w:rsidRPr="006117BE">
              <w:rPr>
                <w:rFonts w:ascii="Book Antiqua" w:hAnsi="Book Antiqua"/>
                <w:b/>
                <w:noProof/>
                <w:webHidden/>
                <w:sz w:val="20"/>
                <w:szCs w:val="20"/>
              </w:rPr>
              <w:fldChar w:fldCharType="end"/>
            </w:r>
          </w:hyperlink>
        </w:p>
        <w:p w:rsidR="006117BE" w:rsidRPr="006117BE" w:rsidRDefault="000D65F2">
          <w:pPr>
            <w:pStyle w:val="TM1"/>
            <w:rPr>
              <w:rFonts w:eastAsiaTheme="minorEastAsia" w:cstheme="minorBidi"/>
            </w:rPr>
          </w:pPr>
          <w:hyperlink w:anchor="_Toc523322076" w:history="1">
            <w:r w:rsidR="006117BE" w:rsidRPr="006117BE">
              <w:rPr>
                <w:rStyle w:val="Lienhypertexte"/>
              </w:rPr>
              <w:t>I.1.1. Répartition selon la zone d’habitation</w:t>
            </w:r>
            <w:r w:rsidR="006117BE" w:rsidRPr="006117BE">
              <w:rPr>
                <w:webHidden/>
              </w:rPr>
              <w:tab/>
            </w:r>
            <w:r w:rsidRPr="006117BE">
              <w:rPr>
                <w:webHidden/>
              </w:rPr>
              <w:fldChar w:fldCharType="begin"/>
            </w:r>
            <w:r w:rsidR="006117BE" w:rsidRPr="006117BE">
              <w:rPr>
                <w:webHidden/>
              </w:rPr>
              <w:instrText xml:space="preserve"> PAGEREF _Toc523322076 \h </w:instrText>
            </w:r>
            <w:r w:rsidRPr="006117BE">
              <w:rPr>
                <w:webHidden/>
              </w:rPr>
            </w:r>
            <w:r w:rsidRPr="006117BE">
              <w:rPr>
                <w:webHidden/>
              </w:rPr>
              <w:fldChar w:fldCharType="separate"/>
            </w:r>
            <w:r w:rsidR="006F2142">
              <w:rPr>
                <w:webHidden/>
              </w:rPr>
              <w:t>98</w:t>
            </w:r>
            <w:r w:rsidRPr="006117BE">
              <w:rPr>
                <w:webHidden/>
              </w:rPr>
              <w:fldChar w:fldCharType="end"/>
            </w:r>
          </w:hyperlink>
        </w:p>
        <w:p w:rsidR="006117BE" w:rsidRPr="006117BE" w:rsidRDefault="000D65F2">
          <w:pPr>
            <w:pStyle w:val="TM3"/>
            <w:rPr>
              <w:rFonts w:eastAsiaTheme="minorEastAsia" w:cstheme="minorBidi"/>
              <w:b/>
            </w:rPr>
          </w:pPr>
          <w:hyperlink w:anchor="_Toc523322077" w:history="1">
            <w:r w:rsidR="006117BE" w:rsidRPr="006117BE">
              <w:rPr>
                <w:rStyle w:val="Lienhypertexte"/>
                <w:rFonts w:cs="Tahoma"/>
                <w:b/>
              </w:rPr>
              <w:t>I.1.2</w:t>
            </w:r>
            <w:r w:rsidR="006117BE">
              <w:rPr>
                <w:rFonts w:eastAsiaTheme="minorEastAsia" w:cstheme="minorBidi"/>
                <w:b/>
              </w:rPr>
              <w:t xml:space="preserve"> </w:t>
            </w:r>
            <w:r w:rsidR="006117BE" w:rsidRPr="006117BE">
              <w:rPr>
                <w:rStyle w:val="Lienhypertexte"/>
                <w:rFonts w:cs="Tahoma"/>
                <w:b/>
              </w:rPr>
              <w:t>Répartition  selon l’âge, le genre et la situation matrimoniale</w:t>
            </w:r>
            <w:r w:rsidR="006117BE" w:rsidRPr="006117BE">
              <w:rPr>
                <w:b/>
                <w:webHidden/>
              </w:rPr>
              <w:tab/>
            </w:r>
            <w:r w:rsidRPr="006117BE">
              <w:rPr>
                <w:b/>
                <w:webHidden/>
              </w:rPr>
              <w:fldChar w:fldCharType="begin"/>
            </w:r>
            <w:r w:rsidR="006117BE" w:rsidRPr="006117BE">
              <w:rPr>
                <w:b/>
                <w:webHidden/>
              </w:rPr>
              <w:instrText xml:space="preserve"> PAGEREF _Toc523322077 \h </w:instrText>
            </w:r>
            <w:r w:rsidRPr="006117BE">
              <w:rPr>
                <w:b/>
                <w:webHidden/>
              </w:rPr>
            </w:r>
            <w:r w:rsidRPr="006117BE">
              <w:rPr>
                <w:b/>
                <w:webHidden/>
              </w:rPr>
              <w:fldChar w:fldCharType="separate"/>
            </w:r>
            <w:r w:rsidR="006F2142">
              <w:rPr>
                <w:b/>
                <w:webHidden/>
              </w:rPr>
              <w:t>99</w:t>
            </w:r>
            <w:r w:rsidRPr="006117BE">
              <w:rPr>
                <w:b/>
                <w:webHidden/>
              </w:rPr>
              <w:fldChar w:fldCharType="end"/>
            </w:r>
          </w:hyperlink>
        </w:p>
        <w:p w:rsidR="006117BE" w:rsidRPr="006117BE" w:rsidRDefault="000D65F2">
          <w:pPr>
            <w:pStyle w:val="TM3"/>
            <w:rPr>
              <w:rFonts w:eastAsiaTheme="minorEastAsia" w:cstheme="minorBidi"/>
              <w:b/>
            </w:rPr>
          </w:pPr>
          <w:hyperlink w:anchor="_Toc523322078" w:history="1">
            <w:r w:rsidR="006117BE" w:rsidRPr="006117BE">
              <w:rPr>
                <w:rStyle w:val="Lienhypertexte"/>
                <w:rFonts w:cs="Tahoma"/>
                <w:b/>
              </w:rPr>
              <w:t>I.1.3</w:t>
            </w:r>
            <w:r w:rsidR="006117BE">
              <w:rPr>
                <w:rFonts w:eastAsiaTheme="minorEastAsia" w:cstheme="minorBidi"/>
                <w:b/>
              </w:rPr>
              <w:t xml:space="preserve"> </w:t>
            </w:r>
            <w:r w:rsidR="006117BE" w:rsidRPr="006117BE">
              <w:rPr>
                <w:rStyle w:val="Lienhypertexte"/>
                <w:rFonts w:cs="Tahoma"/>
                <w:b/>
              </w:rPr>
              <w:t>Répartition  selon le niveau d’instruction, la profession et les revenus</w:t>
            </w:r>
            <w:r w:rsidR="006117BE" w:rsidRPr="006117BE">
              <w:rPr>
                <w:b/>
                <w:webHidden/>
              </w:rPr>
              <w:tab/>
            </w:r>
            <w:r w:rsidRPr="006117BE">
              <w:rPr>
                <w:b/>
                <w:webHidden/>
              </w:rPr>
              <w:fldChar w:fldCharType="begin"/>
            </w:r>
            <w:r w:rsidR="006117BE" w:rsidRPr="006117BE">
              <w:rPr>
                <w:b/>
                <w:webHidden/>
              </w:rPr>
              <w:instrText xml:space="preserve"> PAGEREF _Toc523322078 \h </w:instrText>
            </w:r>
            <w:r w:rsidRPr="006117BE">
              <w:rPr>
                <w:b/>
                <w:webHidden/>
              </w:rPr>
            </w:r>
            <w:r w:rsidRPr="006117BE">
              <w:rPr>
                <w:b/>
                <w:webHidden/>
              </w:rPr>
              <w:fldChar w:fldCharType="separate"/>
            </w:r>
            <w:r w:rsidR="006F2142">
              <w:rPr>
                <w:b/>
                <w:webHidden/>
              </w:rPr>
              <w:t>100</w:t>
            </w:r>
            <w:r w:rsidRPr="006117BE">
              <w:rPr>
                <w:b/>
                <w:webHidden/>
              </w:rPr>
              <w:fldChar w:fldCharType="end"/>
            </w:r>
          </w:hyperlink>
        </w:p>
        <w:p w:rsidR="006117BE" w:rsidRPr="006117BE" w:rsidRDefault="000D65F2">
          <w:pPr>
            <w:pStyle w:val="TM3"/>
            <w:rPr>
              <w:rFonts w:eastAsiaTheme="minorEastAsia" w:cstheme="minorBidi"/>
              <w:b/>
            </w:rPr>
          </w:pPr>
          <w:hyperlink w:anchor="_Toc523322079" w:history="1">
            <w:r w:rsidR="006117BE" w:rsidRPr="006117BE">
              <w:rPr>
                <w:rStyle w:val="Lienhypertexte"/>
                <w:rFonts w:cs="Tahoma"/>
                <w:b/>
              </w:rPr>
              <w:t>I.1.4</w:t>
            </w:r>
            <w:r w:rsidR="006117BE">
              <w:rPr>
                <w:rFonts w:eastAsiaTheme="minorEastAsia" w:cstheme="minorBidi"/>
                <w:b/>
              </w:rPr>
              <w:t xml:space="preserve"> </w:t>
            </w:r>
            <w:r w:rsidR="006117BE" w:rsidRPr="006117BE">
              <w:rPr>
                <w:rStyle w:val="Lienhypertexte"/>
                <w:rFonts w:cs="Tahoma"/>
                <w:b/>
              </w:rPr>
              <w:t>Répartition selon le secteur d’activités et la nature de l’activité  de l’employeur</w:t>
            </w:r>
            <w:r w:rsidR="006117BE" w:rsidRPr="006117BE">
              <w:rPr>
                <w:b/>
                <w:webHidden/>
              </w:rPr>
              <w:tab/>
            </w:r>
            <w:r w:rsidRPr="006117BE">
              <w:rPr>
                <w:b/>
                <w:webHidden/>
              </w:rPr>
              <w:fldChar w:fldCharType="begin"/>
            </w:r>
            <w:r w:rsidR="006117BE" w:rsidRPr="006117BE">
              <w:rPr>
                <w:b/>
                <w:webHidden/>
              </w:rPr>
              <w:instrText xml:space="preserve"> PAGEREF _Toc523322079 \h </w:instrText>
            </w:r>
            <w:r w:rsidRPr="006117BE">
              <w:rPr>
                <w:b/>
                <w:webHidden/>
              </w:rPr>
            </w:r>
            <w:r w:rsidRPr="006117BE">
              <w:rPr>
                <w:b/>
                <w:webHidden/>
              </w:rPr>
              <w:fldChar w:fldCharType="separate"/>
            </w:r>
            <w:r w:rsidR="006F2142">
              <w:rPr>
                <w:b/>
                <w:webHidden/>
              </w:rPr>
              <w:t>101</w:t>
            </w:r>
            <w:r w:rsidRPr="006117BE">
              <w:rPr>
                <w:b/>
                <w:webHidden/>
              </w:rPr>
              <w:fldChar w:fldCharType="end"/>
            </w:r>
          </w:hyperlink>
        </w:p>
        <w:p w:rsidR="006117BE" w:rsidRPr="006117BE" w:rsidRDefault="000D65F2" w:rsidP="006117BE">
          <w:pPr>
            <w:pStyle w:val="TM2"/>
            <w:tabs>
              <w:tab w:val="left" w:pos="880"/>
              <w:tab w:val="right" w:leader="dot" w:pos="9572"/>
            </w:tabs>
            <w:ind w:left="0"/>
            <w:rPr>
              <w:rFonts w:ascii="Book Antiqua" w:eastAsiaTheme="minorEastAsia" w:hAnsi="Book Antiqua" w:cstheme="minorBidi"/>
              <w:b/>
              <w:noProof/>
              <w:sz w:val="20"/>
              <w:szCs w:val="20"/>
            </w:rPr>
          </w:pPr>
          <w:hyperlink w:anchor="_Toc523322080" w:history="1">
            <w:r w:rsidR="006117BE" w:rsidRPr="006117BE">
              <w:rPr>
                <w:rStyle w:val="Lienhypertexte"/>
                <w:rFonts w:ascii="Book Antiqua" w:hAnsi="Book Antiqua" w:cs="Tahoma"/>
                <w:b/>
                <w:noProof/>
                <w:sz w:val="20"/>
                <w:szCs w:val="20"/>
              </w:rPr>
              <w:t>I.2.</w:t>
            </w:r>
            <w:r w:rsidR="006117BE">
              <w:rPr>
                <w:rFonts w:ascii="Book Antiqua" w:eastAsiaTheme="minorEastAsia" w:hAnsi="Book Antiqua" w:cstheme="minorBidi"/>
                <w:b/>
                <w:noProof/>
                <w:sz w:val="20"/>
                <w:szCs w:val="20"/>
              </w:rPr>
              <w:t xml:space="preserve"> </w:t>
            </w:r>
            <w:r w:rsidR="006117BE" w:rsidRPr="006117BE">
              <w:rPr>
                <w:rStyle w:val="Lienhypertexte"/>
                <w:rFonts w:ascii="Book Antiqua" w:hAnsi="Book Antiqua" w:cs="Tahoma"/>
                <w:b/>
                <w:noProof/>
                <w:sz w:val="20"/>
                <w:szCs w:val="20"/>
              </w:rPr>
              <w:t>Présentation des clients enquêtés selon la domiciliation bancaire</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_Toc523322080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102</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081" w:history="1">
            <w:r w:rsidR="006117BE" w:rsidRPr="006117BE">
              <w:rPr>
                <w:rStyle w:val="Lienhypertexte"/>
                <w:rFonts w:cs="Tahoma"/>
                <w:b/>
              </w:rPr>
              <w:t>1.2.1.</w:t>
            </w:r>
            <w:r w:rsidR="006117BE">
              <w:rPr>
                <w:rFonts w:eastAsiaTheme="minorEastAsia" w:cstheme="minorBidi"/>
                <w:b/>
              </w:rPr>
              <w:t xml:space="preserve"> </w:t>
            </w:r>
            <w:r w:rsidR="006117BE" w:rsidRPr="006117BE">
              <w:rPr>
                <w:rStyle w:val="Lienhypertexte"/>
                <w:rFonts w:cs="Tahoma"/>
                <w:b/>
              </w:rPr>
              <w:t>Niveau de fréquentation des banques et nombre moyen de comptes</w:t>
            </w:r>
            <w:r w:rsidR="006117BE" w:rsidRPr="006117BE">
              <w:rPr>
                <w:b/>
                <w:webHidden/>
              </w:rPr>
              <w:tab/>
            </w:r>
            <w:r w:rsidRPr="006117BE">
              <w:rPr>
                <w:b/>
                <w:webHidden/>
              </w:rPr>
              <w:fldChar w:fldCharType="begin"/>
            </w:r>
            <w:r w:rsidR="006117BE" w:rsidRPr="006117BE">
              <w:rPr>
                <w:b/>
                <w:webHidden/>
              </w:rPr>
              <w:instrText xml:space="preserve"> PAGEREF _Toc523322081 \h </w:instrText>
            </w:r>
            <w:r w:rsidRPr="006117BE">
              <w:rPr>
                <w:b/>
                <w:webHidden/>
              </w:rPr>
            </w:r>
            <w:r w:rsidRPr="006117BE">
              <w:rPr>
                <w:b/>
                <w:webHidden/>
              </w:rPr>
              <w:fldChar w:fldCharType="separate"/>
            </w:r>
            <w:r w:rsidR="006F2142">
              <w:rPr>
                <w:b/>
                <w:webHidden/>
              </w:rPr>
              <w:t>102</w:t>
            </w:r>
            <w:r w:rsidRPr="006117BE">
              <w:rPr>
                <w:b/>
                <w:webHidden/>
              </w:rPr>
              <w:fldChar w:fldCharType="end"/>
            </w:r>
          </w:hyperlink>
        </w:p>
        <w:p w:rsidR="006117BE" w:rsidRPr="006117BE" w:rsidRDefault="000D65F2">
          <w:pPr>
            <w:pStyle w:val="TM3"/>
            <w:rPr>
              <w:rFonts w:eastAsiaTheme="minorEastAsia" w:cstheme="minorBidi"/>
              <w:b/>
            </w:rPr>
          </w:pPr>
          <w:hyperlink w:anchor="_Toc523322082" w:history="1">
            <w:r w:rsidR="006117BE" w:rsidRPr="006117BE">
              <w:rPr>
                <w:rStyle w:val="Lienhypertexte"/>
                <w:rFonts w:cs="Tahoma"/>
                <w:b/>
              </w:rPr>
              <w:t>I.2.2</w:t>
            </w:r>
            <w:r w:rsidR="006117BE">
              <w:rPr>
                <w:rFonts w:eastAsiaTheme="minorEastAsia" w:cstheme="minorBidi"/>
                <w:b/>
              </w:rPr>
              <w:t xml:space="preserve"> </w:t>
            </w:r>
            <w:r w:rsidR="006117BE" w:rsidRPr="006117BE">
              <w:rPr>
                <w:rStyle w:val="Lienhypertexte"/>
                <w:rFonts w:cs="Tahoma"/>
                <w:b/>
              </w:rPr>
              <w:t>Ancienneté dans la banque principale</w:t>
            </w:r>
            <w:r w:rsidR="006117BE" w:rsidRPr="006117BE">
              <w:rPr>
                <w:b/>
                <w:webHidden/>
              </w:rPr>
              <w:tab/>
            </w:r>
            <w:r w:rsidRPr="006117BE">
              <w:rPr>
                <w:b/>
                <w:webHidden/>
              </w:rPr>
              <w:fldChar w:fldCharType="begin"/>
            </w:r>
            <w:r w:rsidR="006117BE" w:rsidRPr="006117BE">
              <w:rPr>
                <w:b/>
                <w:webHidden/>
              </w:rPr>
              <w:instrText xml:space="preserve"> PAGEREF _Toc523322082 \h </w:instrText>
            </w:r>
            <w:r w:rsidRPr="006117BE">
              <w:rPr>
                <w:b/>
                <w:webHidden/>
              </w:rPr>
            </w:r>
            <w:r w:rsidRPr="006117BE">
              <w:rPr>
                <w:b/>
                <w:webHidden/>
              </w:rPr>
              <w:fldChar w:fldCharType="separate"/>
            </w:r>
            <w:r w:rsidR="006F2142">
              <w:rPr>
                <w:b/>
                <w:webHidden/>
              </w:rPr>
              <w:t>103</w:t>
            </w:r>
            <w:r w:rsidRPr="006117BE">
              <w:rPr>
                <w:b/>
                <w:webHidden/>
              </w:rPr>
              <w:fldChar w:fldCharType="end"/>
            </w:r>
          </w:hyperlink>
        </w:p>
        <w:p w:rsidR="006117BE" w:rsidRPr="006117BE" w:rsidRDefault="000D65F2">
          <w:pPr>
            <w:pStyle w:val="TM1"/>
            <w:rPr>
              <w:rFonts w:eastAsiaTheme="minorEastAsia" w:cstheme="minorBidi"/>
            </w:rPr>
          </w:pPr>
          <w:hyperlink w:anchor="_Toc523322083" w:history="1">
            <w:r w:rsidR="006117BE" w:rsidRPr="006117BE">
              <w:rPr>
                <w:rStyle w:val="Lienhypertexte"/>
              </w:rPr>
              <w:t>II.</w:t>
            </w:r>
            <w:r w:rsidR="006117BE">
              <w:rPr>
                <w:rFonts w:eastAsiaTheme="minorEastAsia" w:cstheme="minorBidi"/>
              </w:rPr>
              <w:t xml:space="preserve"> </w:t>
            </w:r>
            <w:r w:rsidR="006117BE" w:rsidRPr="006117BE">
              <w:rPr>
                <w:rStyle w:val="Lienhypertexte"/>
              </w:rPr>
              <w:t>Satisfaction sur l’offre de services</w:t>
            </w:r>
            <w:r w:rsidR="006117BE" w:rsidRPr="006117BE">
              <w:rPr>
                <w:webHidden/>
              </w:rPr>
              <w:tab/>
            </w:r>
            <w:r w:rsidRPr="006117BE">
              <w:rPr>
                <w:webHidden/>
              </w:rPr>
              <w:fldChar w:fldCharType="begin"/>
            </w:r>
            <w:r w:rsidR="006117BE" w:rsidRPr="006117BE">
              <w:rPr>
                <w:webHidden/>
              </w:rPr>
              <w:instrText xml:space="preserve"> PAGEREF _Toc523322083 \h </w:instrText>
            </w:r>
            <w:r w:rsidRPr="006117BE">
              <w:rPr>
                <w:webHidden/>
              </w:rPr>
            </w:r>
            <w:r w:rsidRPr="006117BE">
              <w:rPr>
                <w:webHidden/>
              </w:rPr>
              <w:fldChar w:fldCharType="separate"/>
            </w:r>
            <w:r w:rsidR="006F2142">
              <w:rPr>
                <w:webHidden/>
              </w:rPr>
              <w:t>104</w:t>
            </w:r>
            <w:r w:rsidRPr="006117BE">
              <w:rPr>
                <w:webHidden/>
              </w:rPr>
              <w:fldChar w:fldCharType="end"/>
            </w:r>
          </w:hyperlink>
        </w:p>
        <w:p w:rsidR="006117BE" w:rsidRPr="006117BE" w:rsidRDefault="000D65F2">
          <w:pPr>
            <w:pStyle w:val="TM1"/>
            <w:rPr>
              <w:rFonts w:eastAsiaTheme="minorEastAsia" w:cstheme="minorBidi"/>
            </w:rPr>
          </w:pPr>
          <w:hyperlink w:anchor="_Toc523322084" w:history="1">
            <w:r w:rsidR="006117BE" w:rsidRPr="006117BE">
              <w:rPr>
                <w:rStyle w:val="Lienhypertexte"/>
              </w:rPr>
              <w:t>II.1. « Turn over » de la clientèle</w:t>
            </w:r>
            <w:r w:rsidR="006117BE" w:rsidRPr="006117BE">
              <w:rPr>
                <w:webHidden/>
              </w:rPr>
              <w:tab/>
            </w:r>
            <w:r w:rsidRPr="006117BE">
              <w:rPr>
                <w:webHidden/>
              </w:rPr>
              <w:fldChar w:fldCharType="begin"/>
            </w:r>
            <w:r w:rsidR="006117BE" w:rsidRPr="006117BE">
              <w:rPr>
                <w:webHidden/>
              </w:rPr>
              <w:instrText xml:space="preserve"> PAGEREF _Toc523322084 \h </w:instrText>
            </w:r>
            <w:r w:rsidRPr="006117BE">
              <w:rPr>
                <w:webHidden/>
              </w:rPr>
            </w:r>
            <w:r w:rsidRPr="006117BE">
              <w:rPr>
                <w:webHidden/>
              </w:rPr>
              <w:fldChar w:fldCharType="separate"/>
            </w:r>
            <w:r w:rsidR="006F2142">
              <w:rPr>
                <w:webHidden/>
              </w:rPr>
              <w:t>104</w:t>
            </w:r>
            <w:r w:rsidRPr="006117BE">
              <w:rPr>
                <w:webHidden/>
              </w:rPr>
              <w:fldChar w:fldCharType="end"/>
            </w:r>
          </w:hyperlink>
        </w:p>
        <w:p w:rsidR="006117BE" w:rsidRPr="006117BE" w:rsidRDefault="000D65F2">
          <w:pPr>
            <w:pStyle w:val="TM3"/>
            <w:rPr>
              <w:rFonts w:eastAsiaTheme="minorEastAsia" w:cstheme="minorBidi"/>
              <w:b/>
            </w:rPr>
          </w:pPr>
          <w:hyperlink w:anchor="_Toc523322085" w:history="1">
            <w:r w:rsidR="006117BE" w:rsidRPr="006117BE">
              <w:rPr>
                <w:rStyle w:val="Lienhypertexte"/>
                <w:b/>
              </w:rPr>
              <w:t>II.1.1. Clients ayant déjà changé de banque</w:t>
            </w:r>
            <w:r w:rsidR="006117BE" w:rsidRPr="006117BE">
              <w:rPr>
                <w:b/>
                <w:webHidden/>
              </w:rPr>
              <w:tab/>
            </w:r>
            <w:r w:rsidRPr="006117BE">
              <w:rPr>
                <w:b/>
                <w:webHidden/>
              </w:rPr>
              <w:fldChar w:fldCharType="begin"/>
            </w:r>
            <w:r w:rsidR="006117BE" w:rsidRPr="006117BE">
              <w:rPr>
                <w:b/>
                <w:webHidden/>
              </w:rPr>
              <w:instrText xml:space="preserve"> PAGEREF _Toc523322085 \h </w:instrText>
            </w:r>
            <w:r w:rsidRPr="006117BE">
              <w:rPr>
                <w:b/>
                <w:webHidden/>
              </w:rPr>
            </w:r>
            <w:r w:rsidRPr="006117BE">
              <w:rPr>
                <w:b/>
                <w:webHidden/>
              </w:rPr>
              <w:fldChar w:fldCharType="separate"/>
            </w:r>
            <w:r w:rsidR="006F2142">
              <w:rPr>
                <w:b/>
                <w:webHidden/>
              </w:rPr>
              <w:t>104</w:t>
            </w:r>
            <w:r w:rsidRPr="006117BE">
              <w:rPr>
                <w:b/>
                <w:webHidden/>
              </w:rPr>
              <w:fldChar w:fldCharType="end"/>
            </w:r>
          </w:hyperlink>
        </w:p>
        <w:p w:rsidR="006117BE" w:rsidRPr="006117BE" w:rsidRDefault="000D65F2">
          <w:pPr>
            <w:pStyle w:val="TM3"/>
            <w:rPr>
              <w:rFonts w:eastAsiaTheme="minorEastAsia" w:cstheme="minorBidi"/>
              <w:b/>
            </w:rPr>
          </w:pPr>
          <w:hyperlink w:anchor="_Toc523322086" w:history="1">
            <w:r w:rsidR="006117BE" w:rsidRPr="006117BE">
              <w:rPr>
                <w:rStyle w:val="Lienhypertexte"/>
                <w:b/>
              </w:rPr>
              <w:t>II.1.2. Nombre moyen de changement de domiciliation</w:t>
            </w:r>
            <w:r w:rsidR="006117BE" w:rsidRPr="006117BE">
              <w:rPr>
                <w:b/>
                <w:webHidden/>
              </w:rPr>
              <w:tab/>
            </w:r>
            <w:r w:rsidRPr="006117BE">
              <w:rPr>
                <w:b/>
                <w:webHidden/>
              </w:rPr>
              <w:fldChar w:fldCharType="begin"/>
            </w:r>
            <w:r w:rsidR="006117BE" w:rsidRPr="006117BE">
              <w:rPr>
                <w:b/>
                <w:webHidden/>
              </w:rPr>
              <w:instrText xml:space="preserve"> PAGEREF _Toc523322086 \h </w:instrText>
            </w:r>
            <w:r w:rsidRPr="006117BE">
              <w:rPr>
                <w:b/>
                <w:webHidden/>
              </w:rPr>
            </w:r>
            <w:r w:rsidRPr="006117BE">
              <w:rPr>
                <w:b/>
                <w:webHidden/>
              </w:rPr>
              <w:fldChar w:fldCharType="separate"/>
            </w:r>
            <w:r w:rsidR="006F2142">
              <w:rPr>
                <w:b/>
                <w:webHidden/>
              </w:rPr>
              <w:t>106</w:t>
            </w:r>
            <w:r w:rsidRPr="006117BE">
              <w:rPr>
                <w:b/>
                <w:webHidden/>
              </w:rPr>
              <w:fldChar w:fldCharType="end"/>
            </w:r>
          </w:hyperlink>
        </w:p>
        <w:p w:rsidR="006117BE" w:rsidRPr="006117BE" w:rsidRDefault="000D65F2">
          <w:pPr>
            <w:pStyle w:val="TM3"/>
            <w:rPr>
              <w:rFonts w:eastAsiaTheme="minorEastAsia" w:cstheme="minorBidi"/>
              <w:b/>
            </w:rPr>
          </w:pPr>
          <w:hyperlink w:anchor="_Toc523322087" w:history="1">
            <w:r w:rsidR="006117BE" w:rsidRPr="006117BE">
              <w:rPr>
                <w:rStyle w:val="Lienhypertexte"/>
                <w:b/>
              </w:rPr>
              <w:t xml:space="preserve">II.1.3. </w:t>
            </w:r>
            <w:r w:rsidR="006117BE">
              <w:rPr>
                <w:rFonts w:eastAsiaTheme="minorEastAsia" w:cstheme="minorBidi"/>
              </w:rPr>
              <w:t xml:space="preserve"> </w:t>
            </w:r>
            <w:r w:rsidR="006117BE" w:rsidRPr="006117BE">
              <w:rPr>
                <w:rStyle w:val="Lienhypertexte"/>
                <w:b/>
              </w:rPr>
              <w:t>Raisons ayant motivé le changement de banque</w:t>
            </w:r>
            <w:r w:rsidR="006117BE" w:rsidRPr="006117BE">
              <w:rPr>
                <w:b/>
                <w:webHidden/>
              </w:rPr>
              <w:tab/>
            </w:r>
            <w:r w:rsidRPr="006117BE">
              <w:rPr>
                <w:b/>
                <w:webHidden/>
              </w:rPr>
              <w:fldChar w:fldCharType="begin"/>
            </w:r>
            <w:r w:rsidR="006117BE" w:rsidRPr="006117BE">
              <w:rPr>
                <w:b/>
                <w:webHidden/>
              </w:rPr>
              <w:instrText xml:space="preserve"> PAGEREF _Toc523322087 \h </w:instrText>
            </w:r>
            <w:r w:rsidRPr="006117BE">
              <w:rPr>
                <w:b/>
                <w:webHidden/>
              </w:rPr>
            </w:r>
            <w:r w:rsidRPr="006117BE">
              <w:rPr>
                <w:b/>
                <w:webHidden/>
              </w:rPr>
              <w:fldChar w:fldCharType="separate"/>
            </w:r>
            <w:r w:rsidR="006F2142">
              <w:rPr>
                <w:b/>
                <w:webHidden/>
              </w:rPr>
              <w:t>109</w:t>
            </w:r>
            <w:r w:rsidRPr="006117BE">
              <w:rPr>
                <w:b/>
                <w:webHidden/>
              </w:rPr>
              <w:fldChar w:fldCharType="end"/>
            </w:r>
          </w:hyperlink>
        </w:p>
        <w:p w:rsidR="006117BE" w:rsidRPr="006117BE" w:rsidRDefault="000D65F2">
          <w:pPr>
            <w:pStyle w:val="TM3"/>
            <w:rPr>
              <w:rFonts w:eastAsiaTheme="minorEastAsia" w:cstheme="minorBidi"/>
              <w:b/>
            </w:rPr>
          </w:pPr>
          <w:hyperlink w:anchor="_Toc523322088" w:history="1">
            <w:r w:rsidR="006117BE" w:rsidRPr="006117BE">
              <w:rPr>
                <w:rStyle w:val="Lienhypertexte"/>
                <w:b/>
              </w:rPr>
              <w:t>II.1.4. Attitude des banques  face à la volonté de changement des clients</w:t>
            </w:r>
            <w:r w:rsidR="006117BE" w:rsidRPr="006117BE">
              <w:rPr>
                <w:b/>
                <w:webHidden/>
              </w:rPr>
              <w:tab/>
            </w:r>
            <w:r w:rsidRPr="006117BE">
              <w:rPr>
                <w:b/>
                <w:webHidden/>
              </w:rPr>
              <w:fldChar w:fldCharType="begin"/>
            </w:r>
            <w:r w:rsidR="006117BE" w:rsidRPr="006117BE">
              <w:rPr>
                <w:b/>
                <w:webHidden/>
              </w:rPr>
              <w:instrText xml:space="preserve"> PAGEREF _Toc523322088 \h </w:instrText>
            </w:r>
            <w:r w:rsidRPr="006117BE">
              <w:rPr>
                <w:b/>
                <w:webHidden/>
              </w:rPr>
            </w:r>
            <w:r w:rsidRPr="006117BE">
              <w:rPr>
                <w:b/>
                <w:webHidden/>
              </w:rPr>
              <w:fldChar w:fldCharType="separate"/>
            </w:r>
            <w:r w:rsidR="006F2142">
              <w:rPr>
                <w:b/>
                <w:webHidden/>
              </w:rPr>
              <w:t>110</w:t>
            </w:r>
            <w:r w:rsidRPr="006117BE">
              <w:rPr>
                <w:b/>
                <w:webHidden/>
              </w:rPr>
              <w:fldChar w:fldCharType="end"/>
            </w:r>
          </w:hyperlink>
        </w:p>
        <w:p w:rsidR="006117BE" w:rsidRPr="006117BE" w:rsidRDefault="000D65F2" w:rsidP="006117BE">
          <w:pPr>
            <w:pStyle w:val="TM2"/>
            <w:tabs>
              <w:tab w:val="left" w:pos="880"/>
              <w:tab w:val="right" w:leader="dot" w:pos="9572"/>
            </w:tabs>
            <w:ind w:left="0"/>
            <w:rPr>
              <w:rFonts w:ascii="Book Antiqua" w:eastAsiaTheme="minorEastAsia" w:hAnsi="Book Antiqua" w:cstheme="minorBidi"/>
              <w:b/>
              <w:noProof/>
              <w:sz w:val="20"/>
              <w:szCs w:val="20"/>
            </w:rPr>
          </w:pPr>
          <w:hyperlink w:anchor="_Toc523322089" w:history="1">
            <w:r w:rsidR="006117BE" w:rsidRPr="006117BE">
              <w:rPr>
                <w:rStyle w:val="Lienhypertexte"/>
                <w:rFonts w:ascii="Book Antiqua" w:hAnsi="Book Antiqua" w:cs="Arial"/>
                <w:b/>
                <w:noProof/>
                <w:sz w:val="20"/>
                <w:szCs w:val="20"/>
              </w:rPr>
              <w:t>II.2</w:t>
            </w:r>
            <w:r w:rsidR="006117BE">
              <w:rPr>
                <w:rFonts w:ascii="Book Antiqua" w:eastAsiaTheme="minorEastAsia" w:hAnsi="Book Antiqua" w:cstheme="minorBidi"/>
                <w:b/>
                <w:noProof/>
                <w:sz w:val="20"/>
                <w:szCs w:val="20"/>
              </w:rPr>
              <w:t xml:space="preserve"> </w:t>
            </w:r>
            <w:r w:rsidR="006117BE" w:rsidRPr="006117BE">
              <w:rPr>
                <w:rStyle w:val="Lienhypertexte"/>
                <w:rFonts w:ascii="Book Antiqua" w:hAnsi="Book Antiqua" w:cs="Arial"/>
                <w:b/>
                <w:noProof/>
                <w:sz w:val="20"/>
                <w:szCs w:val="20"/>
              </w:rPr>
              <w:t>Satisfaction sur les agences bancaires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_Toc523322089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112</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090" w:history="1">
            <w:r w:rsidR="006117BE" w:rsidRPr="006117BE">
              <w:rPr>
                <w:rStyle w:val="Lienhypertexte"/>
                <w:b/>
              </w:rPr>
              <w:t>II.2.1. Répartition géographique des agences</w:t>
            </w:r>
            <w:r w:rsidR="006117BE" w:rsidRPr="006117BE">
              <w:rPr>
                <w:b/>
                <w:webHidden/>
              </w:rPr>
              <w:tab/>
            </w:r>
            <w:r w:rsidRPr="006117BE">
              <w:rPr>
                <w:b/>
                <w:webHidden/>
              </w:rPr>
              <w:fldChar w:fldCharType="begin"/>
            </w:r>
            <w:r w:rsidR="006117BE" w:rsidRPr="006117BE">
              <w:rPr>
                <w:b/>
                <w:webHidden/>
              </w:rPr>
              <w:instrText xml:space="preserve"> PAGEREF _Toc523322090 \h </w:instrText>
            </w:r>
            <w:r w:rsidRPr="006117BE">
              <w:rPr>
                <w:b/>
                <w:webHidden/>
              </w:rPr>
            </w:r>
            <w:r w:rsidRPr="006117BE">
              <w:rPr>
                <w:b/>
                <w:webHidden/>
              </w:rPr>
              <w:fldChar w:fldCharType="separate"/>
            </w:r>
            <w:r w:rsidR="006F2142">
              <w:rPr>
                <w:b/>
                <w:webHidden/>
              </w:rPr>
              <w:t>112</w:t>
            </w:r>
            <w:r w:rsidRPr="006117BE">
              <w:rPr>
                <w:b/>
                <w:webHidden/>
              </w:rPr>
              <w:fldChar w:fldCharType="end"/>
            </w:r>
          </w:hyperlink>
        </w:p>
        <w:p w:rsidR="006117BE" w:rsidRPr="006117BE" w:rsidRDefault="000D65F2">
          <w:pPr>
            <w:pStyle w:val="TM3"/>
            <w:rPr>
              <w:rFonts w:eastAsiaTheme="minorEastAsia" w:cstheme="minorBidi"/>
              <w:b/>
            </w:rPr>
          </w:pPr>
          <w:hyperlink w:anchor="_Toc523322091" w:history="1">
            <w:r w:rsidR="006117BE" w:rsidRPr="006117BE">
              <w:rPr>
                <w:rStyle w:val="Lienhypertexte"/>
                <w:b/>
              </w:rPr>
              <w:t>II.2.2. Nombre de caisses fonctionnelles et durée de traitement des opérations de caisse</w:t>
            </w:r>
            <w:r w:rsidR="006117BE" w:rsidRPr="006117BE">
              <w:rPr>
                <w:b/>
                <w:webHidden/>
              </w:rPr>
              <w:tab/>
            </w:r>
            <w:r w:rsidRPr="006117BE">
              <w:rPr>
                <w:b/>
                <w:webHidden/>
              </w:rPr>
              <w:fldChar w:fldCharType="begin"/>
            </w:r>
            <w:r w:rsidR="006117BE" w:rsidRPr="006117BE">
              <w:rPr>
                <w:b/>
                <w:webHidden/>
              </w:rPr>
              <w:instrText xml:space="preserve"> PAGEREF _Toc523322091 \h </w:instrText>
            </w:r>
            <w:r w:rsidRPr="006117BE">
              <w:rPr>
                <w:b/>
                <w:webHidden/>
              </w:rPr>
            </w:r>
            <w:r w:rsidRPr="006117BE">
              <w:rPr>
                <w:b/>
                <w:webHidden/>
              </w:rPr>
              <w:fldChar w:fldCharType="separate"/>
            </w:r>
            <w:r w:rsidR="006F2142">
              <w:rPr>
                <w:b/>
                <w:webHidden/>
              </w:rPr>
              <w:t>113</w:t>
            </w:r>
            <w:r w:rsidRPr="006117BE">
              <w:rPr>
                <w:b/>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92" w:history="1">
            <w:r w:rsidR="006117BE" w:rsidRPr="006117BE">
              <w:rPr>
                <w:rStyle w:val="Lienhypertexte"/>
                <w:rFonts w:ascii="Book Antiqua" w:hAnsi="Book Antiqua"/>
                <w:b/>
                <w:noProof/>
                <w:sz w:val="20"/>
                <w:szCs w:val="20"/>
              </w:rPr>
              <w:t>II.3. Satisfaction sur les services des GAB</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_Toc523322092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114</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093" w:history="1">
            <w:r w:rsidR="006117BE" w:rsidRPr="006117BE">
              <w:rPr>
                <w:rStyle w:val="Lienhypertexte"/>
                <w:b/>
              </w:rPr>
              <w:t>II.3.1. Utilisation des services des GAB</w:t>
            </w:r>
            <w:r w:rsidR="006117BE" w:rsidRPr="006117BE">
              <w:rPr>
                <w:b/>
                <w:webHidden/>
              </w:rPr>
              <w:tab/>
            </w:r>
            <w:r w:rsidRPr="006117BE">
              <w:rPr>
                <w:b/>
                <w:webHidden/>
              </w:rPr>
              <w:fldChar w:fldCharType="begin"/>
            </w:r>
            <w:r w:rsidR="006117BE" w:rsidRPr="006117BE">
              <w:rPr>
                <w:b/>
                <w:webHidden/>
              </w:rPr>
              <w:instrText xml:space="preserve"> PAGEREF _Toc523322093 \h </w:instrText>
            </w:r>
            <w:r w:rsidRPr="006117BE">
              <w:rPr>
                <w:b/>
                <w:webHidden/>
              </w:rPr>
            </w:r>
            <w:r w:rsidRPr="006117BE">
              <w:rPr>
                <w:b/>
                <w:webHidden/>
              </w:rPr>
              <w:fldChar w:fldCharType="separate"/>
            </w:r>
            <w:r w:rsidR="006F2142">
              <w:rPr>
                <w:b/>
                <w:webHidden/>
              </w:rPr>
              <w:t>114</w:t>
            </w:r>
            <w:r w:rsidRPr="006117BE">
              <w:rPr>
                <w:b/>
                <w:webHidden/>
              </w:rPr>
              <w:fldChar w:fldCharType="end"/>
            </w:r>
          </w:hyperlink>
        </w:p>
        <w:p w:rsidR="006117BE" w:rsidRPr="006117BE" w:rsidRDefault="000D65F2">
          <w:pPr>
            <w:pStyle w:val="TM3"/>
            <w:rPr>
              <w:rFonts w:eastAsiaTheme="minorEastAsia" w:cstheme="minorBidi"/>
              <w:b/>
            </w:rPr>
          </w:pPr>
          <w:hyperlink w:anchor="_Toc523322094" w:history="1">
            <w:r w:rsidR="006117BE" w:rsidRPr="006117BE">
              <w:rPr>
                <w:rStyle w:val="Lienhypertexte"/>
                <w:b/>
              </w:rPr>
              <w:t>II.3.1. Répartition géographique des GAB</w:t>
            </w:r>
            <w:r w:rsidR="006117BE" w:rsidRPr="006117BE">
              <w:rPr>
                <w:b/>
                <w:webHidden/>
              </w:rPr>
              <w:tab/>
            </w:r>
            <w:r w:rsidRPr="006117BE">
              <w:rPr>
                <w:b/>
                <w:webHidden/>
              </w:rPr>
              <w:fldChar w:fldCharType="begin"/>
            </w:r>
            <w:r w:rsidR="006117BE" w:rsidRPr="006117BE">
              <w:rPr>
                <w:b/>
                <w:webHidden/>
              </w:rPr>
              <w:instrText xml:space="preserve"> PAGEREF _Toc523322094 \h </w:instrText>
            </w:r>
            <w:r w:rsidRPr="006117BE">
              <w:rPr>
                <w:b/>
                <w:webHidden/>
              </w:rPr>
            </w:r>
            <w:r w:rsidRPr="006117BE">
              <w:rPr>
                <w:b/>
                <w:webHidden/>
              </w:rPr>
              <w:fldChar w:fldCharType="separate"/>
            </w:r>
            <w:r w:rsidR="006F2142">
              <w:rPr>
                <w:b/>
                <w:webHidden/>
              </w:rPr>
              <w:t>115</w:t>
            </w:r>
            <w:r w:rsidRPr="006117BE">
              <w:rPr>
                <w:b/>
                <w:webHidden/>
              </w:rPr>
              <w:fldChar w:fldCharType="end"/>
            </w:r>
          </w:hyperlink>
        </w:p>
        <w:p w:rsidR="006117BE" w:rsidRPr="006117BE" w:rsidRDefault="000D65F2">
          <w:pPr>
            <w:pStyle w:val="TM3"/>
            <w:rPr>
              <w:rFonts w:eastAsiaTheme="minorEastAsia" w:cstheme="minorBidi"/>
              <w:b/>
            </w:rPr>
          </w:pPr>
          <w:hyperlink w:anchor="_Toc523322095" w:history="1">
            <w:r w:rsidR="006117BE" w:rsidRPr="006117BE">
              <w:rPr>
                <w:rStyle w:val="Lienhypertexte"/>
                <w:b/>
              </w:rPr>
              <w:t>II.3.2. Fonctionnement et sécurité des GAB</w:t>
            </w:r>
            <w:r w:rsidR="006117BE" w:rsidRPr="006117BE">
              <w:rPr>
                <w:b/>
                <w:webHidden/>
              </w:rPr>
              <w:tab/>
            </w:r>
            <w:r w:rsidRPr="006117BE">
              <w:rPr>
                <w:b/>
                <w:webHidden/>
              </w:rPr>
              <w:fldChar w:fldCharType="begin"/>
            </w:r>
            <w:r w:rsidR="006117BE" w:rsidRPr="006117BE">
              <w:rPr>
                <w:b/>
                <w:webHidden/>
              </w:rPr>
              <w:instrText xml:space="preserve"> PAGEREF _Toc523322095 \h </w:instrText>
            </w:r>
            <w:r w:rsidRPr="006117BE">
              <w:rPr>
                <w:b/>
                <w:webHidden/>
              </w:rPr>
            </w:r>
            <w:r w:rsidRPr="006117BE">
              <w:rPr>
                <w:b/>
                <w:webHidden/>
              </w:rPr>
              <w:fldChar w:fldCharType="separate"/>
            </w:r>
            <w:r w:rsidR="006F2142">
              <w:rPr>
                <w:b/>
                <w:webHidden/>
              </w:rPr>
              <w:t>116</w:t>
            </w:r>
            <w:r w:rsidRPr="006117BE">
              <w:rPr>
                <w:b/>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96" w:history="1">
            <w:r w:rsidR="006117BE" w:rsidRPr="006117BE">
              <w:rPr>
                <w:rStyle w:val="Lienhypertexte"/>
                <w:rFonts w:ascii="Book Antiqua" w:hAnsi="Book Antiqua"/>
                <w:b/>
                <w:noProof/>
                <w:sz w:val="20"/>
                <w:szCs w:val="20"/>
              </w:rPr>
              <w:t>II.4. Satisfaction sur les opérations de virement</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_Toc523322096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117</w:t>
            </w:r>
            <w:r w:rsidRPr="006117BE">
              <w:rPr>
                <w:rFonts w:ascii="Book Antiqua" w:hAnsi="Book Antiqua"/>
                <w:b/>
                <w:noProof/>
                <w:webHidden/>
                <w:sz w:val="20"/>
                <w:szCs w:val="20"/>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097" w:history="1">
            <w:r w:rsidR="006117BE" w:rsidRPr="006117BE">
              <w:rPr>
                <w:rStyle w:val="Lienhypertexte"/>
                <w:rFonts w:ascii="Book Antiqua" w:hAnsi="Book Antiqua"/>
                <w:b/>
                <w:noProof/>
                <w:sz w:val="20"/>
                <w:szCs w:val="20"/>
              </w:rPr>
              <w:t>II.5. Satisfaction sur le fonctionnement du compte</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_Toc523322097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119</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098" w:history="1">
            <w:r w:rsidR="006117BE" w:rsidRPr="006117BE">
              <w:rPr>
                <w:rStyle w:val="Lienhypertexte"/>
                <w:b/>
              </w:rPr>
              <w:t>II.5.1. Périodicité de délivrance des relevés de compte</w:t>
            </w:r>
            <w:r w:rsidR="006117BE" w:rsidRPr="006117BE">
              <w:rPr>
                <w:b/>
                <w:webHidden/>
              </w:rPr>
              <w:tab/>
            </w:r>
            <w:r w:rsidRPr="006117BE">
              <w:rPr>
                <w:b/>
                <w:webHidden/>
              </w:rPr>
              <w:fldChar w:fldCharType="begin"/>
            </w:r>
            <w:r w:rsidR="006117BE" w:rsidRPr="006117BE">
              <w:rPr>
                <w:b/>
                <w:webHidden/>
              </w:rPr>
              <w:instrText xml:space="preserve"> PAGEREF _Toc523322098 \h </w:instrText>
            </w:r>
            <w:r w:rsidRPr="006117BE">
              <w:rPr>
                <w:b/>
                <w:webHidden/>
              </w:rPr>
            </w:r>
            <w:r w:rsidRPr="006117BE">
              <w:rPr>
                <w:b/>
                <w:webHidden/>
              </w:rPr>
              <w:fldChar w:fldCharType="separate"/>
            </w:r>
            <w:r w:rsidR="006F2142">
              <w:rPr>
                <w:b/>
                <w:webHidden/>
              </w:rPr>
              <w:t>119</w:t>
            </w:r>
            <w:r w:rsidRPr="006117BE">
              <w:rPr>
                <w:b/>
                <w:webHidden/>
              </w:rPr>
              <w:fldChar w:fldCharType="end"/>
            </w:r>
          </w:hyperlink>
        </w:p>
        <w:p w:rsidR="006117BE" w:rsidRPr="006117BE" w:rsidRDefault="000D65F2">
          <w:pPr>
            <w:pStyle w:val="TM3"/>
            <w:rPr>
              <w:rFonts w:eastAsiaTheme="minorEastAsia" w:cstheme="minorBidi"/>
              <w:b/>
            </w:rPr>
          </w:pPr>
          <w:hyperlink w:anchor="_Toc523322099" w:history="1">
            <w:r w:rsidR="006117BE" w:rsidRPr="006117BE">
              <w:rPr>
                <w:rStyle w:val="Lienhypertexte"/>
                <w:b/>
              </w:rPr>
              <w:t>II.5.2. Irrégularités déclarées dans les relevés de compte</w:t>
            </w:r>
            <w:r w:rsidR="006117BE" w:rsidRPr="006117BE">
              <w:rPr>
                <w:b/>
                <w:webHidden/>
              </w:rPr>
              <w:tab/>
            </w:r>
            <w:r w:rsidRPr="006117BE">
              <w:rPr>
                <w:b/>
                <w:webHidden/>
              </w:rPr>
              <w:fldChar w:fldCharType="begin"/>
            </w:r>
            <w:r w:rsidR="006117BE" w:rsidRPr="006117BE">
              <w:rPr>
                <w:b/>
                <w:webHidden/>
              </w:rPr>
              <w:instrText xml:space="preserve"> PAGEREF _Toc523322099 \h </w:instrText>
            </w:r>
            <w:r w:rsidRPr="006117BE">
              <w:rPr>
                <w:b/>
                <w:webHidden/>
              </w:rPr>
            </w:r>
            <w:r w:rsidRPr="006117BE">
              <w:rPr>
                <w:b/>
                <w:webHidden/>
              </w:rPr>
              <w:fldChar w:fldCharType="separate"/>
            </w:r>
            <w:r w:rsidR="006F2142">
              <w:rPr>
                <w:b/>
                <w:webHidden/>
              </w:rPr>
              <w:t>120</w:t>
            </w:r>
            <w:r w:rsidRPr="006117BE">
              <w:rPr>
                <w:b/>
                <w:webHidden/>
              </w:rPr>
              <w:fldChar w:fldCharType="end"/>
            </w:r>
          </w:hyperlink>
        </w:p>
        <w:p w:rsidR="006117BE" w:rsidRPr="006117BE" w:rsidRDefault="000D65F2">
          <w:pPr>
            <w:pStyle w:val="TM3"/>
            <w:rPr>
              <w:rFonts w:eastAsiaTheme="minorEastAsia" w:cstheme="minorBidi"/>
              <w:b/>
            </w:rPr>
          </w:pPr>
          <w:hyperlink w:anchor="_Toc523322100" w:history="1">
            <w:r w:rsidR="006117BE" w:rsidRPr="006117BE">
              <w:rPr>
                <w:rStyle w:val="Lienhypertexte"/>
                <w:b/>
              </w:rPr>
              <w:t>II.5.3. Utilisation et délai de renouvellement du chéquier</w:t>
            </w:r>
            <w:r w:rsidR="006117BE" w:rsidRPr="006117BE">
              <w:rPr>
                <w:b/>
                <w:webHidden/>
              </w:rPr>
              <w:tab/>
            </w:r>
            <w:r w:rsidRPr="006117BE">
              <w:rPr>
                <w:b/>
                <w:webHidden/>
              </w:rPr>
              <w:fldChar w:fldCharType="begin"/>
            </w:r>
            <w:r w:rsidR="006117BE" w:rsidRPr="006117BE">
              <w:rPr>
                <w:b/>
                <w:webHidden/>
              </w:rPr>
              <w:instrText xml:space="preserve"> PAGEREF _Toc523322100 \h </w:instrText>
            </w:r>
            <w:r w:rsidRPr="006117BE">
              <w:rPr>
                <w:b/>
                <w:webHidden/>
              </w:rPr>
            </w:r>
            <w:r w:rsidRPr="006117BE">
              <w:rPr>
                <w:b/>
                <w:webHidden/>
              </w:rPr>
              <w:fldChar w:fldCharType="separate"/>
            </w:r>
            <w:r w:rsidR="006F2142">
              <w:rPr>
                <w:b/>
                <w:webHidden/>
              </w:rPr>
              <w:t>121</w:t>
            </w:r>
            <w:r w:rsidRPr="006117BE">
              <w:rPr>
                <w:b/>
                <w:webHidden/>
              </w:rPr>
              <w:fldChar w:fldCharType="end"/>
            </w:r>
          </w:hyperlink>
        </w:p>
        <w:p w:rsidR="006117BE" w:rsidRPr="006117BE" w:rsidRDefault="000D65F2">
          <w:pPr>
            <w:pStyle w:val="TM3"/>
            <w:rPr>
              <w:rFonts w:eastAsiaTheme="minorEastAsia" w:cstheme="minorBidi"/>
              <w:b/>
            </w:rPr>
          </w:pPr>
          <w:hyperlink w:anchor="_Toc523322101" w:history="1">
            <w:r w:rsidR="006117BE" w:rsidRPr="006117BE">
              <w:rPr>
                <w:rStyle w:val="Lienhypertexte"/>
                <w:b/>
              </w:rPr>
              <w:t>II.5.4. Appréciation sur les dates de valeur</w:t>
            </w:r>
            <w:r w:rsidR="006117BE" w:rsidRPr="006117BE">
              <w:rPr>
                <w:b/>
                <w:webHidden/>
              </w:rPr>
              <w:tab/>
            </w:r>
            <w:r w:rsidRPr="006117BE">
              <w:rPr>
                <w:b/>
                <w:webHidden/>
              </w:rPr>
              <w:fldChar w:fldCharType="begin"/>
            </w:r>
            <w:r w:rsidR="006117BE" w:rsidRPr="006117BE">
              <w:rPr>
                <w:b/>
                <w:webHidden/>
              </w:rPr>
              <w:instrText xml:space="preserve"> PAGEREF _Toc523322101 \h </w:instrText>
            </w:r>
            <w:r w:rsidRPr="006117BE">
              <w:rPr>
                <w:b/>
                <w:webHidden/>
              </w:rPr>
            </w:r>
            <w:r w:rsidRPr="006117BE">
              <w:rPr>
                <w:b/>
                <w:webHidden/>
              </w:rPr>
              <w:fldChar w:fldCharType="separate"/>
            </w:r>
            <w:r w:rsidR="006F2142">
              <w:rPr>
                <w:b/>
                <w:webHidden/>
              </w:rPr>
              <w:t>123</w:t>
            </w:r>
            <w:r w:rsidRPr="006117BE">
              <w:rPr>
                <w:b/>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102" w:history="1">
            <w:r w:rsidR="006117BE" w:rsidRPr="006117BE">
              <w:rPr>
                <w:rStyle w:val="Lienhypertexte"/>
                <w:rFonts w:ascii="Book Antiqua" w:hAnsi="Book Antiqua"/>
                <w:b/>
                <w:noProof/>
                <w:sz w:val="20"/>
                <w:szCs w:val="20"/>
              </w:rPr>
              <w:t>II.6. Satisfaction des clients sur les produits offerts par les banques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_Toc523322102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124</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103" w:history="1">
            <w:r w:rsidR="006117BE" w:rsidRPr="006117BE">
              <w:rPr>
                <w:rStyle w:val="Lienhypertexte"/>
                <w:b/>
              </w:rPr>
              <w:t>II.6.1. Adéquation entre produits bancaires et revenus des clients</w:t>
            </w:r>
            <w:r w:rsidR="006117BE" w:rsidRPr="006117BE">
              <w:rPr>
                <w:b/>
                <w:webHidden/>
              </w:rPr>
              <w:tab/>
            </w:r>
            <w:r w:rsidRPr="006117BE">
              <w:rPr>
                <w:b/>
                <w:webHidden/>
              </w:rPr>
              <w:fldChar w:fldCharType="begin"/>
            </w:r>
            <w:r w:rsidR="006117BE" w:rsidRPr="006117BE">
              <w:rPr>
                <w:b/>
                <w:webHidden/>
              </w:rPr>
              <w:instrText xml:space="preserve"> PAGEREF _Toc523322103 \h </w:instrText>
            </w:r>
            <w:r w:rsidRPr="006117BE">
              <w:rPr>
                <w:b/>
                <w:webHidden/>
              </w:rPr>
            </w:r>
            <w:r w:rsidRPr="006117BE">
              <w:rPr>
                <w:b/>
                <w:webHidden/>
              </w:rPr>
              <w:fldChar w:fldCharType="separate"/>
            </w:r>
            <w:r w:rsidR="006F2142">
              <w:rPr>
                <w:b/>
                <w:webHidden/>
              </w:rPr>
              <w:t>124</w:t>
            </w:r>
            <w:r w:rsidRPr="006117BE">
              <w:rPr>
                <w:b/>
                <w:webHidden/>
              </w:rPr>
              <w:fldChar w:fldCharType="end"/>
            </w:r>
          </w:hyperlink>
        </w:p>
        <w:p w:rsidR="006117BE" w:rsidRPr="006117BE" w:rsidRDefault="000D65F2">
          <w:pPr>
            <w:pStyle w:val="TM3"/>
            <w:rPr>
              <w:rFonts w:eastAsiaTheme="minorEastAsia" w:cstheme="minorBidi"/>
              <w:b/>
            </w:rPr>
          </w:pPr>
          <w:hyperlink w:anchor="_Toc523322104" w:history="1">
            <w:r w:rsidR="006117BE" w:rsidRPr="006117BE">
              <w:rPr>
                <w:rStyle w:val="Lienhypertexte"/>
                <w:b/>
              </w:rPr>
              <w:t>II.6.2. Adéquation des produits bancaires avec les besoins des clients</w:t>
            </w:r>
            <w:r w:rsidR="006117BE" w:rsidRPr="006117BE">
              <w:rPr>
                <w:b/>
                <w:webHidden/>
              </w:rPr>
              <w:tab/>
            </w:r>
            <w:r w:rsidRPr="006117BE">
              <w:rPr>
                <w:b/>
                <w:webHidden/>
              </w:rPr>
              <w:fldChar w:fldCharType="begin"/>
            </w:r>
            <w:r w:rsidR="006117BE" w:rsidRPr="006117BE">
              <w:rPr>
                <w:b/>
                <w:webHidden/>
              </w:rPr>
              <w:instrText xml:space="preserve"> PAGEREF _Toc523322104 \h </w:instrText>
            </w:r>
            <w:r w:rsidRPr="006117BE">
              <w:rPr>
                <w:b/>
                <w:webHidden/>
              </w:rPr>
            </w:r>
            <w:r w:rsidRPr="006117BE">
              <w:rPr>
                <w:b/>
                <w:webHidden/>
              </w:rPr>
              <w:fldChar w:fldCharType="separate"/>
            </w:r>
            <w:r w:rsidR="006F2142">
              <w:rPr>
                <w:b/>
                <w:webHidden/>
              </w:rPr>
              <w:t>126</w:t>
            </w:r>
            <w:r w:rsidRPr="006117BE">
              <w:rPr>
                <w:b/>
                <w:webHidden/>
              </w:rPr>
              <w:fldChar w:fldCharType="end"/>
            </w:r>
          </w:hyperlink>
        </w:p>
        <w:p w:rsidR="006117BE" w:rsidRPr="006117BE" w:rsidRDefault="000D65F2">
          <w:pPr>
            <w:pStyle w:val="TM1"/>
            <w:rPr>
              <w:rFonts w:eastAsiaTheme="minorEastAsia" w:cstheme="minorBidi"/>
            </w:rPr>
          </w:pPr>
          <w:hyperlink w:anchor="_Toc523322105" w:history="1">
            <w:r w:rsidR="006117BE" w:rsidRPr="006117BE">
              <w:rPr>
                <w:rStyle w:val="Lienhypertexte"/>
              </w:rPr>
              <w:t>III.</w:t>
            </w:r>
            <w:r w:rsidR="006117BE" w:rsidRPr="006117BE">
              <w:rPr>
                <w:rFonts w:eastAsiaTheme="minorEastAsia" w:cstheme="minorBidi"/>
              </w:rPr>
              <w:tab/>
            </w:r>
            <w:r w:rsidR="006117BE" w:rsidRPr="006117BE">
              <w:rPr>
                <w:rStyle w:val="Lienhypertexte"/>
              </w:rPr>
              <w:t>Satisfaction sur les coûts des services</w:t>
            </w:r>
            <w:r w:rsidR="006117BE" w:rsidRPr="006117BE">
              <w:rPr>
                <w:webHidden/>
              </w:rPr>
              <w:tab/>
            </w:r>
            <w:r w:rsidRPr="006117BE">
              <w:rPr>
                <w:webHidden/>
              </w:rPr>
              <w:fldChar w:fldCharType="begin"/>
            </w:r>
            <w:r w:rsidR="006117BE" w:rsidRPr="006117BE">
              <w:rPr>
                <w:webHidden/>
              </w:rPr>
              <w:instrText xml:space="preserve"> PAGEREF _Toc523322105 \h </w:instrText>
            </w:r>
            <w:r w:rsidRPr="006117BE">
              <w:rPr>
                <w:webHidden/>
              </w:rPr>
            </w:r>
            <w:r w:rsidRPr="006117BE">
              <w:rPr>
                <w:webHidden/>
              </w:rPr>
              <w:fldChar w:fldCharType="separate"/>
            </w:r>
            <w:r w:rsidR="006F2142">
              <w:rPr>
                <w:webHidden/>
              </w:rPr>
              <w:t>127</w:t>
            </w:r>
            <w:r w:rsidRPr="006117BE">
              <w:rPr>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106" w:history="1">
            <w:r w:rsidR="006117BE" w:rsidRPr="006117BE">
              <w:rPr>
                <w:rStyle w:val="Lienhypertexte"/>
                <w:rFonts w:ascii="Book Antiqua" w:hAnsi="Book Antiqua" w:cs="Arial"/>
                <w:b/>
                <w:noProof/>
                <w:sz w:val="20"/>
                <w:szCs w:val="20"/>
              </w:rPr>
              <w:t>III.1. Satisfaction sur le coût des cartes bancaires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_Toc523322106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127</w:t>
            </w:r>
            <w:r w:rsidRPr="006117BE">
              <w:rPr>
                <w:rFonts w:ascii="Book Antiqua" w:hAnsi="Book Antiqua"/>
                <w:b/>
                <w:noProof/>
                <w:webHidden/>
                <w:sz w:val="20"/>
                <w:szCs w:val="20"/>
              </w:rPr>
              <w:fldChar w:fldCharType="end"/>
            </w:r>
          </w:hyperlink>
        </w:p>
        <w:p w:rsidR="006117BE" w:rsidRPr="006117BE" w:rsidRDefault="000D65F2">
          <w:pPr>
            <w:pStyle w:val="TM1"/>
            <w:rPr>
              <w:rFonts w:eastAsiaTheme="minorEastAsia" w:cstheme="minorBidi"/>
            </w:rPr>
          </w:pPr>
          <w:hyperlink w:anchor="_Toc523322107" w:history="1">
            <w:r w:rsidR="006117BE" w:rsidRPr="006117BE">
              <w:rPr>
                <w:rStyle w:val="Lienhypertexte"/>
              </w:rPr>
              <w:t>III.1.1. Connaissance et avis des clients sur le coût de la carte bancaire</w:t>
            </w:r>
            <w:r w:rsidR="006117BE" w:rsidRPr="006117BE">
              <w:rPr>
                <w:webHidden/>
              </w:rPr>
              <w:tab/>
            </w:r>
            <w:r w:rsidRPr="006117BE">
              <w:rPr>
                <w:webHidden/>
              </w:rPr>
              <w:fldChar w:fldCharType="begin"/>
            </w:r>
            <w:r w:rsidR="006117BE" w:rsidRPr="006117BE">
              <w:rPr>
                <w:webHidden/>
              </w:rPr>
              <w:instrText xml:space="preserve"> PAGEREF _Toc523322107 \h </w:instrText>
            </w:r>
            <w:r w:rsidRPr="006117BE">
              <w:rPr>
                <w:webHidden/>
              </w:rPr>
            </w:r>
            <w:r w:rsidRPr="006117BE">
              <w:rPr>
                <w:webHidden/>
              </w:rPr>
              <w:fldChar w:fldCharType="separate"/>
            </w:r>
            <w:r w:rsidR="006F2142">
              <w:rPr>
                <w:webHidden/>
              </w:rPr>
              <w:t>127</w:t>
            </w:r>
            <w:r w:rsidRPr="006117BE">
              <w:rPr>
                <w:webHidden/>
              </w:rPr>
              <w:fldChar w:fldCharType="end"/>
            </w:r>
          </w:hyperlink>
        </w:p>
        <w:p w:rsidR="006117BE" w:rsidRPr="006117BE" w:rsidRDefault="000D65F2">
          <w:pPr>
            <w:pStyle w:val="TM3"/>
            <w:rPr>
              <w:rFonts w:eastAsiaTheme="minorEastAsia" w:cstheme="minorBidi"/>
              <w:b/>
            </w:rPr>
          </w:pPr>
          <w:hyperlink w:anchor="_Toc523322108" w:history="1">
            <w:r w:rsidR="006117BE" w:rsidRPr="006117BE">
              <w:rPr>
                <w:rStyle w:val="Lienhypertexte"/>
                <w:b/>
              </w:rPr>
              <w:t>III.1.2. Coût des opérations effectuées par les clients hors du réseau GAB de leur banque</w:t>
            </w:r>
            <w:r w:rsidR="006117BE" w:rsidRPr="006117BE">
              <w:rPr>
                <w:b/>
                <w:webHidden/>
              </w:rPr>
              <w:tab/>
            </w:r>
            <w:r w:rsidRPr="006117BE">
              <w:rPr>
                <w:b/>
                <w:webHidden/>
              </w:rPr>
              <w:fldChar w:fldCharType="begin"/>
            </w:r>
            <w:r w:rsidR="006117BE" w:rsidRPr="006117BE">
              <w:rPr>
                <w:b/>
                <w:webHidden/>
              </w:rPr>
              <w:instrText xml:space="preserve"> PAGEREF _Toc523322108 \h </w:instrText>
            </w:r>
            <w:r w:rsidRPr="006117BE">
              <w:rPr>
                <w:b/>
                <w:webHidden/>
              </w:rPr>
            </w:r>
            <w:r w:rsidRPr="006117BE">
              <w:rPr>
                <w:b/>
                <w:webHidden/>
              </w:rPr>
              <w:fldChar w:fldCharType="separate"/>
            </w:r>
            <w:r w:rsidR="006F2142">
              <w:rPr>
                <w:b/>
                <w:webHidden/>
              </w:rPr>
              <w:t>127</w:t>
            </w:r>
            <w:r w:rsidRPr="006117BE">
              <w:rPr>
                <w:b/>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109" w:history="1">
            <w:r w:rsidR="006117BE" w:rsidRPr="006117BE">
              <w:rPr>
                <w:rStyle w:val="Lienhypertexte"/>
                <w:rFonts w:ascii="Book Antiqua" w:hAnsi="Book Antiqua" w:cs="Arial"/>
                <w:b/>
                <w:noProof/>
                <w:sz w:val="20"/>
                <w:szCs w:val="20"/>
              </w:rPr>
              <w:t>III.2. Satisfaction sur les conditions d’octroi du prêt</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_Toc523322109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128</w:t>
            </w:r>
            <w:r w:rsidRPr="006117BE">
              <w:rPr>
                <w:rFonts w:ascii="Book Antiqua" w:hAnsi="Book Antiqua"/>
                <w:b/>
                <w:noProof/>
                <w:webHidden/>
                <w:sz w:val="20"/>
                <w:szCs w:val="20"/>
              </w:rPr>
              <w:fldChar w:fldCharType="end"/>
            </w:r>
          </w:hyperlink>
        </w:p>
        <w:p w:rsidR="006117BE" w:rsidRPr="006117BE" w:rsidRDefault="000D65F2">
          <w:pPr>
            <w:pStyle w:val="TM1"/>
            <w:rPr>
              <w:rFonts w:eastAsiaTheme="minorEastAsia" w:cstheme="minorBidi"/>
            </w:rPr>
          </w:pPr>
          <w:hyperlink w:anchor="_Toc523322110" w:history="1">
            <w:r w:rsidR="006117BE" w:rsidRPr="006117BE">
              <w:rPr>
                <w:rStyle w:val="Lienhypertexte"/>
              </w:rPr>
              <w:t>III.2.1. Clients ayant bénéficié d’un prêt et nature des prêts</w:t>
            </w:r>
            <w:r w:rsidR="006117BE" w:rsidRPr="006117BE">
              <w:rPr>
                <w:webHidden/>
              </w:rPr>
              <w:tab/>
            </w:r>
            <w:r w:rsidRPr="006117BE">
              <w:rPr>
                <w:webHidden/>
              </w:rPr>
              <w:fldChar w:fldCharType="begin"/>
            </w:r>
            <w:r w:rsidR="006117BE" w:rsidRPr="006117BE">
              <w:rPr>
                <w:webHidden/>
              </w:rPr>
              <w:instrText xml:space="preserve"> PAGEREF _Toc523322110 \h </w:instrText>
            </w:r>
            <w:r w:rsidRPr="006117BE">
              <w:rPr>
                <w:webHidden/>
              </w:rPr>
            </w:r>
            <w:r w:rsidRPr="006117BE">
              <w:rPr>
                <w:webHidden/>
              </w:rPr>
              <w:fldChar w:fldCharType="separate"/>
            </w:r>
            <w:r w:rsidR="006F2142">
              <w:rPr>
                <w:webHidden/>
              </w:rPr>
              <w:t>128</w:t>
            </w:r>
            <w:r w:rsidRPr="006117BE">
              <w:rPr>
                <w:webHidden/>
              </w:rPr>
              <w:fldChar w:fldCharType="end"/>
            </w:r>
          </w:hyperlink>
        </w:p>
        <w:p w:rsidR="006117BE" w:rsidRPr="006117BE" w:rsidRDefault="000D65F2">
          <w:pPr>
            <w:pStyle w:val="TM3"/>
            <w:rPr>
              <w:rFonts w:eastAsiaTheme="minorEastAsia" w:cstheme="minorBidi"/>
              <w:b/>
            </w:rPr>
          </w:pPr>
          <w:hyperlink w:anchor="_Toc523322111" w:history="1">
            <w:r w:rsidR="006117BE" w:rsidRPr="006117BE">
              <w:rPr>
                <w:rStyle w:val="Lienhypertexte"/>
                <w:b/>
              </w:rPr>
              <w:t>III.2.2. Connaissance des engagements antérieurs</w:t>
            </w:r>
            <w:r w:rsidR="006117BE" w:rsidRPr="006117BE">
              <w:rPr>
                <w:b/>
                <w:webHidden/>
              </w:rPr>
              <w:tab/>
            </w:r>
            <w:r w:rsidRPr="006117BE">
              <w:rPr>
                <w:b/>
                <w:webHidden/>
              </w:rPr>
              <w:fldChar w:fldCharType="begin"/>
            </w:r>
            <w:r w:rsidR="006117BE" w:rsidRPr="006117BE">
              <w:rPr>
                <w:b/>
                <w:webHidden/>
              </w:rPr>
              <w:instrText xml:space="preserve"> PAGEREF _Toc523322111 \h </w:instrText>
            </w:r>
            <w:r w:rsidRPr="006117BE">
              <w:rPr>
                <w:b/>
                <w:webHidden/>
              </w:rPr>
            </w:r>
            <w:r w:rsidRPr="006117BE">
              <w:rPr>
                <w:b/>
                <w:webHidden/>
              </w:rPr>
              <w:fldChar w:fldCharType="separate"/>
            </w:r>
            <w:r w:rsidR="006F2142">
              <w:rPr>
                <w:b/>
                <w:webHidden/>
              </w:rPr>
              <w:t>130</w:t>
            </w:r>
            <w:r w:rsidRPr="006117BE">
              <w:rPr>
                <w:b/>
                <w:webHidden/>
              </w:rPr>
              <w:fldChar w:fldCharType="end"/>
            </w:r>
          </w:hyperlink>
        </w:p>
        <w:p w:rsidR="006117BE" w:rsidRPr="006117BE" w:rsidRDefault="000D65F2">
          <w:pPr>
            <w:pStyle w:val="TM3"/>
            <w:rPr>
              <w:rFonts w:eastAsiaTheme="minorEastAsia" w:cstheme="minorBidi"/>
              <w:b/>
            </w:rPr>
          </w:pPr>
          <w:hyperlink w:anchor="_Toc523322112" w:history="1">
            <w:r w:rsidR="006117BE" w:rsidRPr="006117BE">
              <w:rPr>
                <w:rStyle w:val="Lienhypertexte"/>
                <w:b/>
              </w:rPr>
              <w:t>III.2.3. Délais de traitement de la demande de prêt</w:t>
            </w:r>
            <w:r w:rsidR="006117BE" w:rsidRPr="006117BE">
              <w:rPr>
                <w:b/>
                <w:webHidden/>
              </w:rPr>
              <w:tab/>
            </w:r>
            <w:r w:rsidRPr="006117BE">
              <w:rPr>
                <w:b/>
                <w:webHidden/>
              </w:rPr>
              <w:fldChar w:fldCharType="begin"/>
            </w:r>
            <w:r w:rsidR="006117BE" w:rsidRPr="006117BE">
              <w:rPr>
                <w:b/>
                <w:webHidden/>
              </w:rPr>
              <w:instrText xml:space="preserve"> PAGEREF _Toc523322112 \h </w:instrText>
            </w:r>
            <w:r w:rsidRPr="006117BE">
              <w:rPr>
                <w:b/>
                <w:webHidden/>
              </w:rPr>
            </w:r>
            <w:r w:rsidRPr="006117BE">
              <w:rPr>
                <w:b/>
                <w:webHidden/>
              </w:rPr>
              <w:fldChar w:fldCharType="separate"/>
            </w:r>
            <w:r w:rsidR="006F2142">
              <w:rPr>
                <w:b/>
                <w:webHidden/>
              </w:rPr>
              <w:t>131</w:t>
            </w:r>
            <w:r w:rsidRPr="006117BE">
              <w:rPr>
                <w:b/>
                <w:webHidden/>
              </w:rPr>
              <w:fldChar w:fldCharType="end"/>
            </w:r>
          </w:hyperlink>
        </w:p>
        <w:p w:rsidR="006117BE" w:rsidRPr="006117BE" w:rsidRDefault="000D65F2">
          <w:pPr>
            <w:pStyle w:val="TM3"/>
            <w:rPr>
              <w:rFonts w:eastAsiaTheme="minorEastAsia" w:cstheme="minorBidi"/>
              <w:b/>
            </w:rPr>
          </w:pPr>
          <w:hyperlink w:anchor="_Toc523322113" w:history="1">
            <w:r w:rsidR="006117BE" w:rsidRPr="006117BE">
              <w:rPr>
                <w:rStyle w:val="Lienhypertexte"/>
                <w:b/>
              </w:rPr>
              <w:t>III.2.4. Avis sur les taux d’intérêt débiteurs</w:t>
            </w:r>
            <w:r w:rsidR="006117BE" w:rsidRPr="006117BE">
              <w:rPr>
                <w:b/>
                <w:webHidden/>
              </w:rPr>
              <w:tab/>
            </w:r>
            <w:r w:rsidRPr="006117BE">
              <w:rPr>
                <w:b/>
                <w:webHidden/>
              </w:rPr>
              <w:fldChar w:fldCharType="begin"/>
            </w:r>
            <w:r w:rsidR="006117BE" w:rsidRPr="006117BE">
              <w:rPr>
                <w:b/>
                <w:webHidden/>
              </w:rPr>
              <w:instrText xml:space="preserve"> PAGEREF _Toc523322113 \h </w:instrText>
            </w:r>
            <w:r w:rsidRPr="006117BE">
              <w:rPr>
                <w:b/>
                <w:webHidden/>
              </w:rPr>
            </w:r>
            <w:r w:rsidRPr="006117BE">
              <w:rPr>
                <w:b/>
                <w:webHidden/>
              </w:rPr>
              <w:fldChar w:fldCharType="separate"/>
            </w:r>
            <w:r w:rsidR="006F2142">
              <w:rPr>
                <w:b/>
                <w:webHidden/>
              </w:rPr>
              <w:t>134</w:t>
            </w:r>
            <w:r w:rsidRPr="006117BE">
              <w:rPr>
                <w:b/>
                <w:webHidden/>
              </w:rPr>
              <w:fldChar w:fldCharType="end"/>
            </w:r>
          </w:hyperlink>
        </w:p>
        <w:p w:rsidR="006117BE" w:rsidRPr="006117BE" w:rsidRDefault="000D65F2">
          <w:pPr>
            <w:pStyle w:val="TM1"/>
            <w:rPr>
              <w:rFonts w:eastAsiaTheme="minorEastAsia" w:cstheme="minorBidi"/>
            </w:rPr>
          </w:pPr>
          <w:hyperlink w:anchor="_Toc523322114" w:history="1">
            <w:r w:rsidR="006117BE" w:rsidRPr="006117BE">
              <w:rPr>
                <w:rStyle w:val="Lienhypertexte"/>
              </w:rPr>
              <w:t>III.2.5. Appréciation des informations sur le TEG</w:t>
            </w:r>
            <w:r w:rsidR="006117BE" w:rsidRPr="006117BE">
              <w:rPr>
                <w:webHidden/>
              </w:rPr>
              <w:tab/>
            </w:r>
            <w:r w:rsidRPr="006117BE">
              <w:rPr>
                <w:webHidden/>
              </w:rPr>
              <w:fldChar w:fldCharType="begin"/>
            </w:r>
            <w:r w:rsidR="006117BE" w:rsidRPr="006117BE">
              <w:rPr>
                <w:webHidden/>
              </w:rPr>
              <w:instrText xml:space="preserve"> PAGEREF _Toc523322114 \h </w:instrText>
            </w:r>
            <w:r w:rsidRPr="006117BE">
              <w:rPr>
                <w:webHidden/>
              </w:rPr>
            </w:r>
            <w:r w:rsidRPr="006117BE">
              <w:rPr>
                <w:webHidden/>
              </w:rPr>
              <w:fldChar w:fldCharType="separate"/>
            </w:r>
            <w:r w:rsidR="006F2142">
              <w:rPr>
                <w:webHidden/>
              </w:rPr>
              <w:t>134</w:t>
            </w:r>
            <w:r w:rsidRPr="006117BE">
              <w:rPr>
                <w:webHidden/>
              </w:rPr>
              <w:fldChar w:fldCharType="end"/>
            </w:r>
          </w:hyperlink>
        </w:p>
        <w:p w:rsidR="006117BE" w:rsidRPr="006117BE" w:rsidRDefault="000D65F2">
          <w:pPr>
            <w:pStyle w:val="TM3"/>
            <w:rPr>
              <w:rFonts w:eastAsiaTheme="minorEastAsia" w:cstheme="minorBidi"/>
              <w:b/>
            </w:rPr>
          </w:pPr>
          <w:hyperlink w:anchor="_Toc523322115" w:history="1">
            <w:r w:rsidR="006117BE" w:rsidRPr="006117BE">
              <w:rPr>
                <w:rStyle w:val="Lienhypertexte"/>
                <w:b/>
              </w:rPr>
              <w:t>III.2.6. Perception sur les garanties assorties aux prêts</w:t>
            </w:r>
            <w:r w:rsidR="006117BE" w:rsidRPr="006117BE">
              <w:rPr>
                <w:b/>
                <w:webHidden/>
              </w:rPr>
              <w:tab/>
            </w:r>
            <w:r w:rsidRPr="006117BE">
              <w:rPr>
                <w:b/>
                <w:webHidden/>
              </w:rPr>
              <w:fldChar w:fldCharType="begin"/>
            </w:r>
            <w:r w:rsidR="006117BE" w:rsidRPr="006117BE">
              <w:rPr>
                <w:b/>
                <w:webHidden/>
              </w:rPr>
              <w:instrText xml:space="preserve"> PAGEREF _Toc523322115 \h </w:instrText>
            </w:r>
            <w:r w:rsidRPr="006117BE">
              <w:rPr>
                <w:b/>
                <w:webHidden/>
              </w:rPr>
            </w:r>
            <w:r w:rsidRPr="006117BE">
              <w:rPr>
                <w:b/>
                <w:webHidden/>
              </w:rPr>
              <w:fldChar w:fldCharType="separate"/>
            </w:r>
            <w:r w:rsidR="006F2142">
              <w:rPr>
                <w:b/>
                <w:webHidden/>
              </w:rPr>
              <w:t>135</w:t>
            </w:r>
            <w:r w:rsidRPr="006117BE">
              <w:rPr>
                <w:b/>
                <w:webHidden/>
              </w:rPr>
              <w:fldChar w:fldCharType="end"/>
            </w:r>
          </w:hyperlink>
        </w:p>
        <w:p w:rsidR="006117BE" w:rsidRPr="006117BE" w:rsidRDefault="000D65F2">
          <w:pPr>
            <w:pStyle w:val="TM3"/>
            <w:rPr>
              <w:rFonts w:eastAsiaTheme="minorEastAsia" w:cstheme="minorBidi"/>
              <w:b/>
            </w:rPr>
          </w:pPr>
          <w:hyperlink w:anchor="_Toc523322116" w:history="1">
            <w:r w:rsidR="006117BE" w:rsidRPr="006117BE">
              <w:rPr>
                <w:rStyle w:val="Lienhypertexte"/>
                <w:b/>
              </w:rPr>
              <w:t>III.2.7. Découvert et dépassement ponctuel</w:t>
            </w:r>
            <w:r w:rsidR="006117BE" w:rsidRPr="006117BE">
              <w:rPr>
                <w:b/>
                <w:webHidden/>
              </w:rPr>
              <w:tab/>
            </w:r>
            <w:r w:rsidRPr="006117BE">
              <w:rPr>
                <w:b/>
                <w:webHidden/>
              </w:rPr>
              <w:fldChar w:fldCharType="begin"/>
            </w:r>
            <w:r w:rsidR="006117BE" w:rsidRPr="006117BE">
              <w:rPr>
                <w:b/>
                <w:webHidden/>
              </w:rPr>
              <w:instrText xml:space="preserve"> PAGEREF _Toc523322116 \h </w:instrText>
            </w:r>
            <w:r w:rsidRPr="006117BE">
              <w:rPr>
                <w:b/>
                <w:webHidden/>
              </w:rPr>
            </w:r>
            <w:r w:rsidRPr="006117BE">
              <w:rPr>
                <w:b/>
                <w:webHidden/>
              </w:rPr>
              <w:fldChar w:fldCharType="separate"/>
            </w:r>
            <w:r w:rsidR="006F2142">
              <w:rPr>
                <w:b/>
                <w:webHidden/>
              </w:rPr>
              <w:t>136</w:t>
            </w:r>
            <w:r w:rsidRPr="006117BE">
              <w:rPr>
                <w:b/>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117" w:history="1">
            <w:r w:rsidR="006117BE" w:rsidRPr="006117BE">
              <w:rPr>
                <w:rStyle w:val="Lienhypertexte"/>
                <w:rFonts w:ascii="Book Antiqua" w:hAnsi="Book Antiqua" w:cs="Arial"/>
                <w:b/>
                <w:noProof/>
                <w:sz w:val="20"/>
                <w:szCs w:val="20"/>
              </w:rPr>
              <w:t>III.3. Satisfaction sur les coûts de gestion du compte</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_Toc523322117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137</w:t>
            </w:r>
            <w:r w:rsidRPr="006117BE">
              <w:rPr>
                <w:rFonts w:ascii="Book Antiqua" w:hAnsi="Book Antiqua"/>
                <w:b/>
                <w:noProof/>
                <w:webHidden/>
                <w:sz w:val="20"/>
                <w:szCs w:val="20"/>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118" w:history="1">
            <w:r w:rsidR="006117BE" w:rsidRPr="006117BE">
              <w:rPr>
                <w:rStyle w:val="Lienhypertexte"/>
                <w:rFonts w:ascii="Book Antiqua" w:hAnsi="Book Antiqua" w:cs="Arial"/>
                <w:b/>
                <w:noProof/>
                <w:sz w:val="20"/>
                <w:szCs w:val="20"/>
              </w:rPr>
              <w:t>III.4. Satisfaction sur la qualité des services de consultation à distance</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_Toc523322118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137</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119" w:history="1">
            <w:r w:rsidR="006117BE" w:rsidRPr="006117BE">
              <w:rPr>
                <w:rStyle w:val="Lienhypertexte"/>
                <w:b/>
              </w:rPr>
              <w:t>III.5. Connaisance sur la gratuité des 19 services bancaires</w:t>
            </w:r>
            <w:r w:rsidR="006117BE" w:rsidRPr="006117BE">
              <w:rPr>
                <w:b/>
                <w:webHidden/>
              </w:rPr>
              <w:tab/>
            </w:r>
            <w:r w:rsidRPr="006117BE">
              <w:rPr>
                <w:b/>
                <w:webHidden/>
              </w:rPr>
              <w:fldChar w:fldCharType="begin"/>
            </w:r>
            <w:r w:rsidR="006117BE" w:rsidRPr="006117BE">
              <w:rPr>
                <w:b/>
                <w:webHidden/>
              </w:rPr>
              <w:instrText xml:space="preserve"> PAGEREF _Toc523322119 \h </w:instrText>
            </w:r>
            <w:r w:rsidRPr="006117BE">
              <w:rPr>
                <w:b/>
                <w:webHidden/>
              </w:rPr>
            </w:r>
            <w:r w:rsidRPr="006117BE">
              <w:rPr>
                <w:b/>
                <w:webHidden/>
              </w:rPr>
              <w:fldChar w:fldCharType="separate"/>
            </w:r>
            <w:r w:rsidR="006F2142">
              <w:rPr>
                <w:b/>
                <w:webHidden/>
              </w:rPr>
              <w:t>138</w:t>
            </w:r>
            <w:r w:rsidRPr="006117BE">
              <w:rPr>
                <w:b/>
                <w:webHidden/>
              </w:rPr>
              <w:fldChar w:fldCharType="end"/>
            </w:r>
          </w:hyperlink>
        </w:p>
        <w:p w:rsidR="006117BE" w:rsidRPr="006117BE" w:rsidRDefault="000D65F2">
          <w:pPr>
            <w:pStyle w:val="TM1"/>
            <w:rPr>
              <w:rFonts w:eastAsiaTheme="minorEastAsia" w:cstheme="minorBidi"/>
            </w:rPr>
          </w:pPr>
          <w:hyperlink w:anchor="_Toc523322120" w:history="1">
            <w:r w:rsidR="006117BE" w:rsidRPr="006117BE">
              <w:rPr>
                <w:rStyle w:val="Lienhypertexte"/>
              </w:rPr>
              <w:t>IV.</w:t>
            </w:r>
            <w:r w:rsidR="006117BE" w:rsidRPr="006117BE">
              <w:rPr>
                <w:rFonts w:eastAsiaTheme="minorEastAsia" w:cstheme="minorBidi"/>
              </w:rPr>
              <w:tab/>
            </w:r>
            <w:r w:rsidR="006117BE" w:rsidRPr="006117BE">
              <w:rPr>
                <w:rStyle w:val="Lienhypertexte"/>
              </w:rPr>
              <w:t>Satisfaction sur l’accessibilité</w:t>
            </w:r>
            <w:r w:rsidR="006117BE" w:rsidRPr="006117BE">
              <w:rPr>
                <w:webHidden/>
              </w:rPr>
              <w:tab/>
            </w:r>
            <w:r w:rsidRPr="006117BE">
              <w:rPr>
                <w:webHidden/>
              </w:rPr>
              <w:fldChar w:fldCharType="begin"/>
            </w:r>
            <w:r w:rsidR="006117BE" w:rsidRPr="006117BE">
              <w:rPr>
                <w:webHidden/>
              </w:rPr>
              <w:instrText xml:space="preserve"> PAGEREF _Toc523322120 \h </w:instrText>
            </w:r>
            <w:r w:rsidRPr="006117BE">
              <w:rPr>
                <w:webHidden/>
              </w:rPr>
            </w:r>
            <w:r w:rsidRPr="006117BE">
              <w:rPr>
                <w:webHidden/>
              </w:rPr>
              <w:fldChar w:fldCharType="separate"/>
            </w:r>
            <w:r w:rsidR="006F2142">
              <w:rPr>
                <w:webHidden/>
              </w:rPr>
              <w:t>138</w:t>
            </w:r>
            <w:r w:rsidRPr="006117BE">
              <w:rPr>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121" w:history="1">
            <w:r w:rsidR="006117BE" w:rsidRPr="006117BE">
              <w:rPr>
                <w:rStyle w:val="Lienhypertexte"/>
                <w:rFonts w:ascii="Book Antiqua" w:eastAsiaTheme="majorEastAsia" w:hAnsi="Book Antiqua" w:cstheme="majorBidi"/>
                <w:b/>
                <w:bCs/>
                <w:noProof/>
                <w:sz w:val="20"/>
                <w:szCs w:val="20"/>
              </w:rPr>
              <w:t>IV.1. Accessibilité géographique des agences bancaires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_Toc523322121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138</w:t>
            </w:r>
            <w:r w:rsidRPr="006117BE">
              <w:rPr>
                <w:rFonts w:ascii="Book Antiqua" w:hAnsi="Book Antiqua"/>
                <w:b/>
                <w:noProof/>
                <w:webHidden/>
                <w:sz w:val="20"/>
                <w:szCs w:val="20"/>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122" w:history="1">
            <w:r w:rsidR="006117BE" w:rsidRPr="006117BE">
              <w:rPr>
                <w:rStyle w:val="Lienhypertexte"/>
                <w:rFonts w:ascii="Book Antiqua" w:eastAsiaTheme="majorEastAsia" w:hAnsi="Book Antiqua" w:cstheme="majorBidi"/>
                <w:b/>
                <w:bCs/>
                <w:noProof/>
                <w:sz w:val="20"/>
                <w:szCs w:val="20"/>
              </w:rPr>
              <w:t>IV.2. Opinion sur les horaires de service des agences bancaires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_Toc523322122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140</w:t>
            </w:r>
            <w:r w:rsidRPr="006117BE">
              <w:rPr>
                <w:rFonts w:ascii="Book Antiqua" w:hAnsi="Book Antiqua"/>
                <w:b/>
                <w:noProof/>
                <w:webHidden/>
                <w:sz w:val="20"/>
                <w:szCs w:val="20"/>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123" w:history="1">
            <w:r w:rsidR="006117BE" w:rsidRPr="006117BE">
              <w:rPr>
                <w:rStyle w:val="Lienhypertexte"/>
                <w:rFonts w:ascii="Book Antiqua" w:eastAsiaTheme="majorEastAsia" w:hAnsi="Book Antiqua" w:cstheme="majorBidi"/>
                <w:b/>
                <w:bCs/>
                <w:noProof/>
                <w:sz w:val="20"/>
                <w:szCs w:val="20"/>
              </w:rPr>
              <w:t>IV.3. Qualité de l’accès par téléphone aux banques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_Toc523322123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141</w:t>
            </w:r>
            <w:r w:rsidRPr="006117BE">
              <w:rPr>
                <w:rFonts w:ascii="Book Antiqua" w:hAnsi="Book Antiqua"/>
                <w:b/>
                <w:noProof/>
                <w:webHidden/>
                <w:sz w:val="20"/>
                <w:szCs w:val="20"/>
              </w:rPr>
              <w:fldChar w:fldCharType="end"/>
            </w:r>
          </w:hyperlink>
        </w:p>
        <w:p w:rsidR="006117BE" w:rsidRPr="006117BE" w:rsidRDefault="000D65F2">
          <w:pPr>
            <w:pStyle w:val="TM1"/>
            <w:rPr>
              <w:rFonts w:eastAsiaTheme="minorEastAsia" w:cstheme="minorBidi"/>
            </w:rPr>
          </w:pPr>
          <w:hyperlink w:anchor="_Toc523322124" w:history="1">
            <w:r w:rsidR="006117BE" w:rsidRPr="006117BE">
              <w:rPr>
                <w:rStyle w:val="Lienhypertexte"/>
                <w:rFonts w:eastAsiaTheme="majorEastAsia" w:cstheme="majorBidi"/>
                <w:bCs/>
              </w:rPr>
              <w:t>V.</w:t>
            </w:r>
            <w:r w:rsidR="006117BE" w:rsidRPr="006117BE">
              <w:rPr>
                <w:rFonts w:eastAsiaTheme="minorEastAsia" w:cstheme="minorBidi"/>
              </w:rPr>
              <w:tab/>
            </w:r>
            <w:r w:rsidR="006117BE" w:rsidRPr="006117BE">
              <w:rPr>
                <w:rStyle w:val="Lienhypertexte"/>
                <w:rFonts w:eastAsiaTheme="majorEastAsia" w:cstheme="majorBidi"/>
                <w:bCs/>
              </w:rPr>
              <w:t>Avis sur le traitement réservé à la clientèle</w:t>
            </w:r>
            <w:r w:rsidR="006117BE" w:rsidRPr="006117BE">
              <w:rPr>
                <w:webHidden/>
              </w:rPr>
              <w:tab/>
            </w:r>
            <w:r w:rsidRPr="006117BE">
              <w:rPr>
                <w:webHidden/>
              </w:rPr>
              <w:fldChar w:fldCharType="begin"/>
            </w:r>
            <w:r w:rsidR="006117BE" w:rsidRPr="006117BE">
              <w:rPr>
                <w:webHidden/>
              </w:rPr>
              <w:instrText xml:space="preserve"> PAGEREF _Toc523322124 \h </w:instrText>
            </w:r>
            <w:r w:rsidRPr="006117BE">
              <w:rPr>
                <w:webHidden/>
              </w:rPr>
            </w:r>
            <w:r w:rsidRPr="006117BE">
              <w:rPr>
                <w:webHidden/>
              </w:rPr>
              <w:fldChar w:fldCharType="separate"/>
            </w:r>
            <w:r w:rsidR="006F2142">
              <w:rPr>
                <w:webHidden/>
              </w:rPr>
              <w:t>142</w:t>
            </w:r>
            <w:r w:rsidRPr="006117BE">
              <w:rPr>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125" w:history="1">
            <w:r w:rsidR="006117BE" w:rsidRPr="006117BE">
              <w:rPr>
                <w:rStyle w:val="Lienhypertexte"/>
                <w:rFonts w:ascii="Book Antiqua" w:eastAsiaTheme="majorEastAsia" w:hAnsi="Book Antiqua" w:cstheme="majorBidi"/>
                <w:b/>
                <w:bCs/>
                <w:noProof/>
                <w:sz w:val="20"/>
                <w:szCs w:val="20"/>
              </w:rPr>
              <w:t>V.1. Satisfaction sur les services du personnel  du « front office »</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_Toc523322125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142</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126" w:history="1">
            <w:r w:rsidR="006117BE" w:rsidRPr="006117BE">
              <w:rPr>
                <w:rStyle w:val="Lienhypertexte"/>
                <w:rFonts w:eastAsiaTheme="majorEastAsia" w:cstheme="majorBidi"/>
                <w:b/>
                <w:bCs/>
              </w:rPr>
              <w:t>V.1.1.Opinion sur la qualité du suivi personnalisé</w:t>
            </w:r>
            <w:r w:rsidR="006117BE" w:rsidRPr="006117BE">
              <w:rPr>
                <w:b/>
                <w:webHidden/>
              </w:rPr>
              <w:tab/>
            </w:r>
            <w:r w:rsidRPr="006117BE">
              <w:rPr>
                <w:b/>
                <w:webHidden/>
              </w:rPr>
              <w:fldChar w:fldCharType="begin"/>
            </w:r>
            <w:r w:rsidR="006117BE" w:rsidRPr="006117BE">
              <w:rPr>
                <w:b/>
                <w:webHidden/>
              </w:rPr>
              <w:instrText xml:space="preserve"> PAGEREF _Toc523322126 \h </w:instrText>
            </w:r>
            <w:r w:rsidRPr="006117BE">
              <w:rPr>
                <w:b/>
                <w:webHidden/>
              </w:rPr>
            </w:r>
            <w:r w:rsidRPr="006117BE">
              <w:rPr>
                <w:b/>
                <w:webHidden/>
              </w:rPr>
              <w:fldChar w:fldCharType="separate"/>
            </w:r>
            <w:r w:rsidR="006F2142">
              <w:rPr>
                <w:b/>
                <w:webHidden/>
              </w:rPr>
              <w:t>143</w:t>
            </w:r>
            <w:r w:rsidRPr="006117BE">
              <w:rPr>
                <w:b/>
                <w:webHidden/>
              </w:rPr>
              <w:fldChar w:fldCharType="end"/>
            </w:r>
          </w:hyperlink>
        </w:p>
        <w:p w:rsidR="006117BE" w:rsidRPr="006117BE" w:rsidRDefault="000D65F2">
          <w:pPr>
            <w:pStyle w:val="TM3"/>
            <w:rPr>
              <w:rFonts w:eastAsiaTheme="minorEastAsia" w:cstheme="minorBidi"/>
              <w:b/>
            </w:rPr>
          </w:pPr>
          <w:hyperlink w:anchor="_Toc523322127" w:history="1">
            <w:r w:rsidR="006117BE" w:rsidRPr="006117BE">
              <w:rPr>
                <w:rStyle w:val="Lienhypertexte"/>
                <w:rFonts w:eastAsiaTheme="majorEastAsia" w:cstheme="majorBidi"/>
                <w:b/>
                <w:bCs/>
              </w:rPr>
              <w:t>V.1.2.Opinion des clients sur la qualité des conseils et la capacité d’écoute du conseiller</w:t>
            </w:r>
            <w:r w:rsidR="006117BE" w:rsidRPr="006117BE">
              <w:rPr>
                <w:b/>
                <w:webHidden/>
              </w:rPr>
              <w:tab/>
            </w:r>
            <w:r w:rsidRPr="006117BE">
              <w:rPr>
                <w:b/>
                <w:webHidden/>
              </w:rPr>
              <w:fldChar w:fldCharType="begin"/>
            </w:r>
            <w:r w:rsidR="006117BE" w:rsidRPr="006117BE">
              <w:rPr>
                <w:b/>
                <w:webHidden/>
              </w:rPr>
              <w:instrText xml:space="preserve"> PAGEREF _Toc523322127 \h </w:instrText>
            </w:r>
            <w:r w:rsidRPr="006117BE">
              <w:rPr>
                <w:b/>
                <w:webHidden/>
              </w:rPr>
            </w:r>
            <w:r w:rsidRPr="006117BE">
              <w:rPr>
                <w:b/>
                <w:webHidden/>
              </w:rPr>
              <w:fldChar w:fldCharType="separate"/>
            </w:r>
            <w:r w:rsidR="006F2142">
              <w:rPr>
                <w:b/>
                <w:webHidden/>
              </w:rPr>
              <w:t>144</w:t>
            </w:r>
            <w:r w:rsidRPr="006117BE">
              <w:rPr>
                <w:b/>
                <w:webHidden/>
              </w:rPr>
              <w:fldChar w:fldCharType="end"/>
            </w:r>
          </w:hyperlink>
        </w:p>
        <w:p w:rsidR="006117BE" w:rsidRPr="006117BE" w:rsidRDefault="000D65F2">
          <w:pPr>
            <w:pStyle w:val="TM3"/>
            <w:rPr>
              <w:rFonts w:eastAsiaTheme="minorEastAsia" w:cstheme="minorBidi"/>
              <w:b/>
            </w:rPr>
          </w:pPr>
          <w:hyperlink w:anchor="_Toc523322128" w:history="1">
            <w:r w:rsidR="006117BE" w:rsidRPr="006117BE">
              <w:rPr>
                <w:rStyle w:val="Lienhypertexte"/>
                <w:rFonts w:eastAsiaTheme="majorEastAsia" w:cstheme="majorBidi"/>
                <w:b/>
                <w:bCs/>
              </w:rPr>
              <w:t>V.1.3. Avis des clients sur la qualité de l’accueil du personnel de l’agence</w:t>
            </w:r>
            <w:r w:rsidR="006117BE" w:rsidRPr="006117BE">
              <w:rPr>
                <w:b/>
                <w:webHidden/>
              </w:rPr>
              <w:tab/>
            </w:r>
            <w:r w:rsidRPr="006117BE">
              <w:rPr>
                <w:b/>
                <w:webHidden/>
              </w:rPr>
              <w:fldChar w:fldCharType="begin"/>
            </w:r>
            <w:r w:rsidR="006117BE" w:rsidRPr="006117BE">
              <w:rPr>
                <w:b/>
                <w:webHidden/>
              </w:rPr>
              <w:instrText xml:space="preserve"> PAGEREF _Toc523322128 \h </w:instrText>
            </w:r>
            <w:r w:rsidRPr="006117BE">
              <w:rPr>
                <w:b/>
                <w:webHidden/>
              </w:rPr>
            </w:r>
            <w:r w:rsidRPr="006117BE">
              <w:rPr>
                <w:b/>
                <w:webHidden/>
              </w:rPr>
              <w:fldChar w:fldCharType="separate"/>
            </w:r>
            <w:r w:rsidR="006F2142">
              <w:rPr>
                <w:b/>
                <w:webHidden/>
              </w:rPr>
              <w:t>145</w:t>
            </w:r>
            <w:r w:rsidRPr="006117BE">
              <w:rPr>
                <w:b/>
                <w:webHidden/>
              </w:rPr>
              <w:fldChar w:fldCharType="end"/>
            </w:r>
          </w:hyperlink>
        </w:p>
        <w:p w:rsidR="006117BE" w:rsidRPr="006117BE" w:rsidRDefault="000D65F2">
          <w:pPr>
            <w:pStyle w:val="TM3"/>
            <w:rPr>
              <w:rFonts w:eastAsiaTheme="minorEastAsia" w:cstheme="minorBidi"/>
              <w:b/>
            </w:rPr>
          </w:pPr>
          <w:hyperlink w:anchor="_Toc523322129" w:history="1">
            <w:r w:rsidR="006117BE" w:rsidRPr="006117BE">
              <w:rPr>
                <w:rStyle w:val="Lienhypertexte"/>
                <w:rFonts w:eastAsiaTheme="majorEastAsia" w:cstheme="majorBidi"/>
                <w:b/>
                <w:bCs/>
              </w:rPr>
              <w:t>V.1.4. Qualité de la gestion du compte</w:t>
            </w:r>
            <w:r w:rsidR="006117BE" w:rsidRPr="006117BE">
              <w:rPr>
                <w:b/>
                <w:webHidden/>
              </w:rPr>
              <w:tab/>
            </w:r>
            <w:r w:rsidRPr="006117BE">
              <w:rPr>
                <w:b/>
                <w:webHidden/>
              </w:rPr>
              <w:fldChar w:fldCharType="begin"/>
            </w:r>
            <w:r w:rsidR="006117BE" w:rsidRPr="006117BE">
              <w:rPr>
                <w:b/>
                <w:webHidden/>
              </w:rPr>
              <w:instrText xml:space="preserve"> PAGEREF _Toc523322129 \h </w:instrText>
            </w:r>
            <w:r w:rsidRPr="006117BE">
              <w:rPr>
                <w:b/>
                <w:webHidden/>
              </w:rPr>
            </w:r>
            <w:r w:rsidRPr="006117BE">
              <w:rPr>
                <w:b/>
                <w:webHidden/>
              </w:rPr>
              <w:fldChar w:fldCharType="separate"/>
            </w:r>
            <w:r w:rsidR="006F2142">
              <w:rPr>
                <w:b/>
                <w:webHidden/>
              </w:rPr>
              <w:t>146</w:t>
            </w:r>
            <w:r w:rsidRPr="006117BE">
              <w:rPr>
                <w:b/>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130" w:history="1">
            <w:r w:rsidR="006117BE" w:rsidRPr="006117BE">
              <w:rPr>
                <w:rStyle w:val="Lienhypertexte"/>
                <w:rFonts w:ascii="Book Antiqua" w:eastAsiaTheme="majorEastAsia" w:hAnsi="Book Antiqua" w:cstheme="majorBidi"/>
                <w:b/>
                <w:bCs/>
                <w:noProof/>
                <w:sz w:val="20"/>
                <w:szCs w:val="20"/>
              </w:rPr>
              <w:t>V.2. Qualité des informations fournies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_Toc523322130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147</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131" w:history="1">
            <w:r w:rsidR="006117BE" w:rsidRPr="006117BE">
              <w:rPr>
                <w:rStyle w:val="Lienhypertexte"/>
                <w:rFonts w:eastAsiaTheme="majorEastAsia" w:cstheme="majorBidi"/>
                <w:b/>
                <w:bCs/>
              </w:rPr>
              <w:t>V.2.1. Opinions des clients sur la qualité de l’information sur les tarifs</w:t>
            </w:r>
            <w:r w:rsidR="006117BE" w:rsidRPr="006117BE">
              <w:rPr>
                <w:b/>
                <w:webHidden/>
              </w:rPr>
              <w:tab/>
            </w:r>
            <w:r w:rsidRPr="006117BE">
              <w:rPr>
                <w:b/>
                <w:webHidden/>
              </w:rPr>
              <w:fldChar w:fldCharType="begin"/>
            </w:r>
            <w:r w:rsidR="006117BE" w:rsidRPr="006117BE">
              <w:rPr>
                <w:b/>
                <w:webHidden/>
              </w:rPr>
              <w:instrText xml:space="preserve"> PAGEREF _Toc523322131 \h </w:instrText>
            </w:r>
            <w:r w:rsidRPr="006117BE">
              <w:rPr>
                <w:b/>
                <w:webHidden/>
              </w:rPr>
            </w:r>
            <w:r w:rsidRPr="006117BE">
              <w:rPr>
                <w:b/>
                <w:webHidden/>
              </w:rPr>
              <w:fldChar w:fldCharType="separate"/>
            </w:r>
            <w:r w:rsidR="006F2142">
              <w:rPr>
                <w:b/>
                <w:webHidden/>
              </w:rPr>
              <w:t>147</w:t>
            </w:r>
            <w:r w:rsidRPr="006117BE">
              <w:rPr>
                <w:b/>
                <w:webHidden/>
              </w:rPr>
              <w:fldChar w:fldCharType="end"/>
            </w:r>
          </w:hyperlink>
        </w:p>
        <w:p w:rsidR="006117BE" w:rsidRPr="006117BE" w:rsidRDefault="000D65F2">
          <w:pPr>
            <w:pStyle w:val="TM3"/>
            <w:rPr>
              <w:rFonts w:eastAsiaTheme="minorEastAsia" w:cstheme="minorBidi"/>
              <w:b/>
            </w:rPr>
          </w:pPr>
          <w:hyperlink w:anchor="_Toc523322132" w:history="1">
            <w:r w:rsidR="006117BE" w:rsidRPr="006117BE">
              <w:rPr>
                <w:rStyle w:val="Lienhypertexte"/>
                <w:rFonts w:eastAsiaTheme="majorEastAsia" w:cstheme="majorBidi"/>
                <w:b/>
                <w:bCs/>
              </w:rPr>
              <w:t>V.2.2. Qualité des informations fournies aux clients sur leurs obligations</w:t>
            </w:r>
            <w:r w:rsidR="006117BE" w:rsidRPr="006117BE">
              <w:rPr>
                <w:b/>
                <w:webHidden/>
              </w:rPr>
              <w:tab/>
            </w:r>
            <w:r w:rsidRPr="006117BE">
              <w:rPr>
                <w:b/>
                <w:webHidden/>
              </w:rPr>
              <w:fldChar w:fldCharType="begin"/>
            </w:r>
            <w:r w:rsidR="006117BE" w:rsidRPr="006117BE">
              <w:rPr>
                <w:b/>
                <w:webHidden/>
              </w:rPr>
              <w:instrText xml:space="preserve"> PAGEREF _Toc523322132 \h </w:instrText>
            </w:r>
            <w:r w:rsidRPr="006117BE">
              <w:rPr>
                <w:b/>
                <w:webHidden/>
              </w:rPr>
            </w:r>
            <w:r w:rsidRPr="006117BE">
              <w:rPr>
                <w:b/>
                <w:webHidden/>
              </w:rPr>
              <w:fldChar w:fldCharType="separate"/>
            </w:r>
            <w:r w:rsidR="006F2142">
              <w:rPr>
                <w:b/>
                <w:webHidden/>
              </w:rPr>
              <w:t>147</w:t>
            </w:r>
            <w:r w:rsidRPr="006117BE">
              <w:rPr>
                <w:b/>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133" w:history="1">
            <w:r w:rsidR="006117BE" w:rsidRPr="006117BE">
              <w:rPr>
                <w:rStyle w:val="Lienhypertexte"/>
                <w:rFonts w:ascii="Book Antiqua" w:eastAsiaTheme="majorEastAsia" w:hAnsi="Book Antiqua" w:cstheme="majorBidi"/>
                <w:b/>
                <w:bCs/>
                <w:noProof/>
                <w:sz w:val="20"/>
                <w:szCs w:val="20"/>
              </w:rPr>
              <w:t>V.3. Satisfaction sur le suivi des réclamations</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_Toc523322133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148</w:t>
            </w:r>
            <w:r w:rsidRPr="006117BE">
              <w:rPr>
                <w:rFonts w:ascii="Book Antiqua" w:hAnsi="Book Antiqua"/>
                <w:b/>
                <w:noProof/>
                <w:webHidden/>
                <w:sz w:val="20"/>
                <w:szCs w:val="20"/>
              </w:rPr>
              <w:fldChar w:fldCharType="end"/>
            </w:r>
          </w:hyperlink>
        </w:p>
        <w:p w:rsidR="006117BE" w:rsidRPr="006117BE" w:rsidRDefault="000D65F2">
          <w:pPr>
            <w:pStyle w:val="TM3"/>
            <w:rPr>
              <w:rFonts w:eastAsiaTheme="minorEastAsia" w:cstheme="minorBidi"/>
              <w:b/>
            </w:rPr>
          </w:pPr>
          <w:hyperlink w:anchor="_Toc523322134" w:history="1">
            <w:r w:rsidR="006117BE" w:rsidRPr="006117BE">
              <w:rPr>
                <w:rStyle w:val="Lienhypertexte"/>
                <w:rFonts w:eastAsiaTheme="majorEastAsia" w:cstheme="majorBidi"/>
                <w:b/>
                <w:bCs/>
              </w:rPr>
              <w:t>V.3.1. Typologie des réclamations formulées et des litiges</w:t>
            </w:r>
            <w:r w:rsidR="006117BE" w:rsidRPr="006117BE">
              <w:rPr>
                <w:b/>
                <w:webHidden/>
              </w:rPr>
              <w:tab/>
            </w:r>
            <w:r w:rsidRPr="006117BE">
              <w:rPr>
                <w:b/>
                <w:webHidden/>
              </w:rPr>
              <w:fldChar w:fldCharType="begin"/>
            </w:r>
            <w:r w:rsidR="006117BE" w:rsidRPr="006117BE">
              <w:rPr>
                <w:b/>
                <w:webHidden/>
              </w:rPr>
              <w:instrText xml:space="preserve"> PAGEREF _Toc523322134 \h </w:instrText>
            </w:r>
            <w:r w:rsidRPr="006117BE">
              <w:rPr>
                <w:b/>
                <w:webHidden/>
              </w:rPr>
            </w:r>
            <w:r w:rsidRPr="006117BE">
              <w:rPr>
                <w:b/>
                <w:webHidden/>
              </w:rPr>
              <w:fldChar w:fldCharType="separate"/>
            </w:r>
            <w:r w:rsidR="006F2142">
              <w:rPr>
                <w:b/>
                <w:webHidden/>
              </w:rPr>
              <w:t>148</w:t>
            </w:r>
            <w:r w:rsidRPr="006117BE">
              <w:rPr>
                <w:b/>
                <w:webHidden/>
              </w:rPr>
              <w:fldChar w:fldCharType="end"/>
            </w:r>
          </w:hyperlink>
        </w:p>
        <w:p w:rsidR="006117BE" w:rsidRPr="006117BE" w:rsidRDefault="000D65F2">
          <w:pPr>
            <w:pStyle w:val="TM3"/>
            <w:rPr>
              <w:rFonts w:eastAsiaTheme="minorEastAsia" w:cstheme="minorBidi"/>
              <w:b/>
            </w:rPr>
          </w:pPr>
          <w:hyperlink w:anchor="_Toc523322135" w:history="1">
            <w:r w:rsidR="006117BE" w:rsidRPr="006117BE">
              <w:rPr>
                <w:rStyle w:val="Lienhypertexte"/>
                <w:rFonts w:eastAsiaTheme="majorEastAsia" w:cstheme="majorBidi"/>
                <w:b/>
                <w:bCs/>
              </w:rPr>
              <w:t>V.3.2. Qualité du suivi des réclamations</w:t>
            </w:r>
            <w:r w:rsidR="006117BE" w:rsidRPr="006117BE">
              <w:rPr>
                <w:b/>
                <w:webHidden/>
              </w:rPr>
              <w:tab/>
            </w:r>
            <w:r w:rsidRPr="006117BE">
              <w:rPr>
                <w:b/>
                <w:webHidden/>
              </w:rPr>
              <w:fldChar w:fldCharType="begin"/>
            </w:r>
            <w:r w:rsidR="006117BE" w:rsidRPr="006117BE">
              <w:rPr>
                <w:b/>
                <w:webHidden/>
              </w:rPr>
              <w:instrText xml:space="preserve"> PAGEREF _Toc523322135 \h </w:instrText>
            </w:r>
            <w:r w:rsidRPr="006117BE">
              <w:rPr>
                <w:b/>
                <w:webHidden/>
              </w:rPr>
            </w:r>
            <w:r w:rsidRPr="006117BE">
              <w:rPr>
                <w:b/>
                <w:webHidden/>
              </w:rPr>
              <w:fldChar w:fldCharType="separate"/>
            </w:r>
            <w:r w:rsidR="006F2142">
              <w:rPr>
                <w:b/>
                <w:webHidden/>
              </w:rPr>
              <w:t>149</w:t>
            </w:r>
            <w:r w:rsidRPr="006117BE">
              <w:rPr>
                <w:b/>
                <w:webHidden/>
              </w:rPr>
              <w:fldChar w:fldCharType="end"/>
            </w:r>
          </w:hyperlink>
        </w:p>
        <w:p w:rsidR="006117BE" w:rsidRDefault="006117BE" w:rsidP="006117BE">
          <w:pPr>
            <w:pStyle w:val="TM1"/>
            <w:spacing w:line="240" w:lineRule="auto"/>
            <w:contextualSpacing/>
            <w:rPr>
              <w:rStyle w:val="Lienhypertexte"/>
            </w:rPr>
          </w:pPr>
        </w:p>
        <w:p w:rsidR="006117BE" w:rsidRPr="006117BE" w:rsidRDefault="000D65F2">
          <w:pPr>
            <w:pStyle w:val="TM1"/>
            <w:rPr>
              <w:rFonts w:eastAsiaTheme="minorEastAsia" w:cstheme="minorBidi"/>
            </w:rPr>
          </w:pPr>
          <w:hyperlink w:anchor="_Toc523322136" w:history="1">
            <w:r w:rsidR="006117BE" w:rsidRPr="006117BE">
              <w:rPr>
                <w:rStyle w:val="Lienhypertexte"/>
              </w:rPr>
              <w:t>3</w:t>
            </w:r>
            <w:r w:rsidR="006117BE" w:rsidRPr="006117BE">
              <w:rPr>
                <w:rStyle w:val="Lienhypertexte"/>
                <w:vertAlign w:val="superscript"/>
              </w:rPr>
              <w:t xml:space="preserve">ème </w:t>
            </w:r>
            <w:r w:rsidR="006117BE" w:rsidRPr="006117BE">
              <w:rPr>
                <w:rStyle w:val="Lienhypertexte"/>
              </w:rPr>
              <w:t>PARTIE : ENSEIGNEMENTS ET RECOMMANDATIONS</w:t>
            </w:r>
            <w:r w:rsidR="006117BE" w:rsidRPr="006117BE">
              <w:rPr>
                <w:webHidden/>
              </w:rPr>
              <w:tab/>
            </w:r>
            <w:r w:rsidRPr="006117BE">
              <w:rPr>
                <w:webHidden/>
              </w:rPr>
              <w:fldChar w:fldCharType="begin"/>
            </w:r>
            <w:r w:rsidR="006117BE" w:rsidRPr="006117BE">
              <w:rPr>
                <w:webHidden/>
              </w:rPr>
              <w:instrText xml:space="preserve"> PAGEREF _Toc523322136 \h </w:instrText>
            </w:r>
            <w:r w:rsidRPr="006117BE">
              <w:rPr>
                <w:webHidden/>
              </w:rPr>
            </w:r>
            <w:r w:rsidRPr="006117BE">
              <w:rPr>
                <w:webHidden/>
              </w:rPr>
              <w:fldChar w:fldCharType="separate"/>
            </w:r>
            <w:r w:rsidR="006F2142">
              <w:rPr>
                <w:webHidden/>
              </w:rPr>
              <w:t>151</w:t>
            </w:r>
            <w:r w:rsidRPr="006117BE">
              <w:rPr>
                <w:webHidden/>
              </w:rPr>
              <w:fldChar w:fldCharType="end"/>
            </w:r>
          </w:hyperlink>
        </w:p>
        <w:p w:rsidR="006117BE" w:rsidRPr="006117BE" w:rsidRDefault="000D65F2">
          <w:pPr>
            <w:pStyle w:val="TM1"/>
            <w:rPr>
              <w:rFonts w:eastAsiaTheme="minorEastAsia" w:cstheme="minorBidi"/>
            </w:rPr>
          </w:pPr>
          <w:hyperlink w:anchor="_Toc523322137" w:history="1">
            <w:r w:rsidR="006117BE" w:rsidRPr="006117BE">
              <w:rPr>
                <w:rStyle w:val="Lienhypertexte"/>
              </w:rPr>
              <w:t>1.</w:t>
            </w:r>
            <w:r w:rsidR="006117BE">
              <w:rPr>
                <w:rFonts w:eastAsiaTheme="minorEastAsia" w:cstheme="minorBidi"/>
              </w:rPr>
              <w:t xml:space="preserve"> </w:t>
            </w:r>
            <w:r w:rsidR="006117BE" w:rsidRPr="006117BE">
              <w:rPr>
                <w:rStyle w:val="Lienhypertexte"/>
              </w:rPr>
              <w:t>ENSEIGNEMENTS DE L’ENQUETE</w:t>
            </w:r>
            <w:r w:rsidR="006117BE" w:rsidRPr="006117BE">
              <w:rPr>
                <w:webHidden/>
              </w:rPr>
              <w:tab/>
            </w:r>
            <w:r w:rsidRPr="006117BE">
              <w:rPr>
                <w:webHidden/>
              </w:rPr>
              <w:fldChar w:fldCharType="begin"/>
            </w:r>
            <w:r w:rsidR="006117BE" w:rsidRPr="006117BE">
              <w:rPr>
                <w:webHidden/>
              </w:rPr>
              <w:instrText xml:space="preserve"> PAGEREF _Toc523322137 \h </w:instrText>
            </w:r>
            <w:r w:rsidRPr="006117BE">
              <w:rPr>
                <w:webHidden/>
              </w:rPr>
            </w:r>
            <w:r w:rsidRPr="006117BE">
              <w:rPr>
                <w:webHidden/>
              </w:rPr>
              <w:fldChar w:fldCharType="separate"/>
            </w:r>
            <w:r w:rsidR="006F2142">
              <w:rPr>
                <w:webHidden/>
              </w:rPr>
              <w:t>152</w:t>
            </w:r>
            <w:r w:rsidRPr="006117BE">
              <w:rPr>
                <w:webHidden/>
              </w:rPr>
              <w:fldChar w:fldCharType="end"/>
            </w:r>
          </w:hyperlink>
        </w:p>
        <w:p w:rsidR="006117BE" w:rsidRPr="006117BE" w:rsidRDefault="000D65F2">
          <w:pPr>
            <w:pStyle w:val="TM1"/>
            <w:rPr>
              <w:rFonts w:eastAsiaTheme="minorEastAsia" w:cstheme="minorBidi"/>
            </w:rPr>
          </w:pPr>
          <w:hyperlink w:anchor="_Toc523322138" w:history="1">
            <w:r w:rsidR="006117BE" w:rsidRPr="006117BE">
              <w:rPr>
                <w:rStyle w:val="Lienhypertexte"/>
              </w:rPr>
              <w:t>2.</w:t>
            </w:r>
            <w:r w:rsidR="006117BE">
              <w:rPr>
                <w:rFonts w:eastAsiaTheme="minorEastAsia" w:cstheme="minorBidi"/>
              </w:rPr>
              <w:t xml:space="preserve"> </w:t>
            </w:r>
            <w:r w:rsidR="006117BE" w:rsidRPr="006117BE">
              <w:rPr>
                <w:rStyle w:val="Lienhypertexte"/>
              </w:rPr>
              <w:t>RECOMMANDATIONS</w:t>
            </w:r>
            <w:r w:rsidR="006117BE" w:rsidRPr="006117BE">
              <w:rPr>
                <w:webHidden/>
              </w:rPr>
              <w:tab/>
            </w:r>
            <w:r w:rsidRPr="006117BE">
              <w:rPr>
                <w:webHidden/>
              </w:rPr>
              <w:fldChar w:fldCharType="begin"/>
            </w:r>
            <w:r w:rsidR="006117BE" w:rsidRPr="006117BE">
              <w:rPr>
                <w:webHidden/>
              </w:rPr>
              <w:instrText xml:space="preserve"> PAGEREF _Toc523322138 \h </w:instrText>
            </w:r>
            <w:r w:rsidRPr="006117BE">
              <w:rPr>
                <w:webHidden/>
              </w:rPr>
            </w:r>
            <w:r w:rsidRPr="006117BE">
              <w:rPr>
                <w:webHidden/>
              </w:rPr>
              <w:fldChar w:fldCharType="separate"/>
            </w:r>
            <w:r w:rsidR="006F2142">
              <w:rPr>
                <w:webHidden/>
              </w:rPr>
              <w:t>153</w:t>
            </w:r>
            <w:r w:rsidRPr="006117BE">
              <w:rPr>
                <w:webHidden/>
              </w:rPr>
              <w:fldChar w:fldCharType="end"/>
            </w:r>
          </w:hyperlink>
        </w:p>
        <w:p w:rsidR="006117BE" w:rsidRPr="006117BE" w:rsidRDefault="000D65F2">
          <w:pPr>
            <w:pStyle w:val="TM1"/>
            <w:rPr>
              <w:rFonts w:eastAsiaTheme="minorEastAsia" w:cstheme="minorBidi"/>
            </w:rPr>
          </w:pPr>
          <w:hyperlink w:anchor="_Toc523322139" w:history="1">
            <w:r w:rsidR="006117BE" w:rsidRPr="006117BE">
              <w:rPr>
                <w:rStyle w:val="Lienhypertexte"/>
              </w:rPr>
              <w:t>ANNEXES</w:t>
            </w:r>
            <w:r w:rsidR="006117BE" w:rsidRPr="006117BE">
              <w:rPr>
                <w:webHidden/>
              </w:rPr>
              <w:tab/>
            </w:r>
            <w:r w:rsidRPr="006117BE">
              <w:rPr>
                <w:webHidden/>
              </w:rPr>
              <w:fldChar w:fldCharType="begin"/>
            </w:r>
            <w:r w:rsidR="006117BE" w:rsidRPr="006117BE">
              <w:rPr>
                <w:webHidden/>
              </w:rPr>
              <w:instrText xml:space="preserve"> PAGEREF _Toc523322139 \h </w:instrText>
            </w:r>
            <w:r w:rsidRPr="006117BE">
              <w:rPr>
                <w:webHidden/>
              </w:rPr>
            </w:r>
            <w:r w:rsidRPr="006117BE">
              <w:rPr>
                <w:webHidden/>
              </w:rPr>
              <w:fldChar w:fldCharType="separate"/>
            </w:r>
            <w:r w:rsidR="006F2142">
              <w:rPr>
                <w:webHidden/>
              </w:rPr>
              <w:t>168</w:t>
            </w:r>
            <w:r w:rsidRPr="006117BE">
              <w:rPr>
                <w:webHidden/>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140" w:history="1">
            <w:r w:rsidR="006117BE" w:rsidRPr="006117BE">
              <w:rPr>
                <w:rStyle w:val="Lienhypertexte"/>
                <w:rFonts w:ascii="Book Antiqua" w:hAnsi="Book Antiqua" w:cs="Arial"/>
                <w:b/>
                <w:noProof/>
                <w:sz w:val="20"/>
                <w:szCs w:val="20"/>
              </w:rPr>
              <w:t>Annexe 1 : Formules de calcul des principaux indicateurs de satisfaction</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_Toc523322140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169</w:t>
            </w:r>
            <w:r w:rsidRPr="006117BE">
              <w:rPr>
                <w:rFonts w:ascii="Book Antiqua" w:hAnsi="Book Antiqua"/>
                <w:b/>
                <w:noProof/>
                <w:webHidden/>
                <w:sz w:val="20"/>
                <w:szCs w:val="20"/>
              </w:rPr>
              <w:fldChar w:fldCharType="end"/>
            </w:r>
          </w:hyperlink>
        </w:p>
        <w:p w:rsidR="006117BE" w:rsidRPr="006117BE" w:rsidRDefault="000D65F2">
          <w:pPr>
            <w:pStyle w:val="TM2"/>
            <w:tabs>
              <w:tab w:val="right" w:leader="dot" w:pos="9572"/>
            </w:tabs>
            <w:rPr>
              <w:rFonts w:ascii="Book Antiqua" w:eastAsiaTheme="minorEastAsia" w:hAnsi="Book Antiqua" w:cstheme="minorBidi"/>
              <w:b/>
              <w:noProof/>
              <w:sz w:val="20"/>
              <w:szCs w:val="20"/>
            </w:rPr>
          </w:pPr>
          <w:hyperlink w:anchor="_Toc523322141" w:history="1">
            <w:r w:rsidR="006117BE" w:rsidRPr="006117BE">
              <w:rPr>
                <w:rStyle w:val="Lienhypertexte"/>
                <w:rFonts w:ascii="Book Antiqua" w:hAnsi="Book Antiqua" w:cs="Arial"/>
                <w:b/>
                <w:noProof/>
                <w:sz w:val="20"/>
                <w:szCs w:val="20"/>
              </w:rPr>
              <w:t>du Volet « personnes morales »</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_Toc523322141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169</w:t>
            </w:r>
            <w:r w:rsidRPr="006117BE">
              <w:rPr>
                <w:rFonts w:ascii="Book Antiqua" w:hAnsi="Book Antiqua"/>
                <w:b/>
                <w:noProof/>
                <w:webHidden/>
                <w:sz w:val="20"/>
                <w:szCs w:val="20"/>
              </w:rPr>
              <w:fldChar w:fldCharType="end"/>
            </w:r>
          </w:hyperlink>
        </w:p>
        <w:p w:rsidR="006117BE" w:rsidRPr="006117BE" w:rsidRDefault="000D65F2" w:rsidP="006117BE">
          <w:pPr>
            <w:pStyle w:val="TM2"/>
            <w:tabs>
              <w:tab w:val="right" w:leader="dot" w:pos="9572"/>
            </w:tabs>
            <w:ind w:left="0"/>
            <w:rPr>
              <w:rFonts w:ascii="Book Antiqua" w:eastAsiaTheme="minorEastAsia" w:hAnsi="Book Antiqua" w:cstheme="minorBidi"/>
              <w:b/>
              <w:noProof/>
              <w:sz w:val="20"/>
              <w:szCs w:val="20"/>
            </w:rPr>
          </w:pPr>
          <w:hyperlink w:anchor="_Toc523322142" w:history="1">
            <w:r w:rsidR="006117BE" w:rsidRPr="006117BE">
              <w:rPr>
                <w:rStyle w:val="Lienhypertexte"/>
                <w:rFonts w:ascii="Book Antiqua" w:hAnsi="Book Antiqua" w:cs="Arial"/>
                <w:b/>
                <w:noProof/>
                <w:sz w:val="20"/>
                <w:szCs w:val="20"/>
              </w:rPr>
              <w:t>Annexe 2 : Formules de calcul des principaux indicateurs de satisfaction</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_Toc523322142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172</w:t>
            </w:r>
            <w:r w:rsidRPr="006117BE">
              <w:rPr>
                <w:rFonts w:ascii="Book Antiqua" w:hAnsi="Book Antiqua"/>
                <w:b/>
                <w:noProof/>
                <w:webHidden/>
                <w:sz w:val="20"/>
                <w:szCs w:val="20"/>
              </w:rPr>
              <w:fldChar w:fldCharType="end"/>
            </w:r>
          </w:hyperlink>
        </w:p>
        <w:p w:rsidR="006117BE" w:rsidRPr="006117BE" w:rsidRDefault="000D65F2">
          <w:pPr>
            <w:pStyle w:val="TM2"/>
            <w:tabs>
              <w:tab w:val="right" w:leader="dot" w:pos="9572"/>
            </w:tabs>
            <w:rPr>
              <w:rFonts w:ascii="Book Antiqua" w:eastAsiaTheme="minorEastAsia" w:hAnsi="Book Antiqua" w:cstheme="minorBidi"/>
              <w:b/>
              <w:noProof/>
              <w:sz w:val="20"/>
              <w:szCs w:val="20"/>
            </w:rPr>
          </w:pPr>
          <w:hyperlink w:anchor="_Toc523322143" w:history="1">
            <w:r w:rsidR="006117BE" w:rsidRPr="006117BE">
              <w:rPr>
                <w:rStyle w:val="Lienhypertexte"/>
                <w:rFonts w:ascii="Book Antiqua" w:hAnsi="Book Antiqua" w:cs="Arial"/>
                <w:b/>
                <w:noProof/>
                <w:sz w:val="20"/>
                <w:szCs w:val="20"/>
              </w:rPr>
              <w:t>du Volet « personnes physiques »</w:t>
            </w:r>
            <w:r w:rsidR="006117BE" w:rsidRPr="006117BE">
              <w:rPr>
                <w:rFonts w:ascii="Book Antiqua" w:hAnsi="Book Antiqua"/>
                <w:b/>
                <w:noProof/>
                <w:webHidden/>
                <w:sz w:val="20"/>
                <w:szCs w:val="20"/>
              </w:rPr>
              <w:tab/>
            </w:r>
            <w:r w:rsidRPr="006117BE">
              <w:rPr>
                <w:rFonts w:ascii="Book Antiqua" w:hAnsi="Book Antiqua"/>
                <w:b/>
                <w:noProof/>
                <w:webHidden/>
                <w:sz w:val="20"/>
                <w:szCs w:val="20"/>
              </w:rPr>
              <w:fldChar w:fldCharType="begin"/>
            </w:r>
            <w:r w:rsidR="006117BE" w:rsidRPr="006117BE">
              <w:rPr>
                <w:rFonts w:ascii="Book Antiqua" w:hAnsi="Book Antiqua"/>
                <w:b/>
                <w:noProof/>
                <w:webHidden/>
                <w:sz w:val="20"/>
                <w:szCs w:val="20"/>
              </w:rPr>
              <w:instrText xml:space="preserve"> PAGEREF _Toc523322143 \h </w:instrText>
            </w:r>
            <w:r w:rsidRPr="006117BE">
              <w:rPr>
                <w:rFonts w:ascii="Book Antiqua" w:hAnsi="Book Antiqua"/>
                <w:b/>
                <w:noProof/>
                <w:webHidden/>
                <w:sz w:val="20"/>
                <w:szCs w:val="20"/>
              </w:rPr>
            </w:r>
            <w:r w:rsidRPr="006117BE">
              <w:rPr>
                <w:rFonts w:ascii="Book Antiqua" w:hAnsi="Book Antiqua"/>
                <w:b/>
                <w:noProof/>
                <w:webHidden/>
                <w:sz w:val="20"/>
                <w:szCs w:val="20"/>
              </w:rPr>
              <w:fldChar w:fldCharType="separate"/>
            </w:r>
            <w:r w:rsidR="006F2142">
              <w:rPr>
                <w:rFonts w:ascii="Book Antiqua" w:hAnsi="Book Antiqua"/>
                <w:b/>
                <w:noProof/>
                <w:webHidden/>
                <w:sz w:val="20"/>
                <w:szCs w:val="20"/>
              </w:rPr>
              <w:t>172</w:t>
            </w:r>
            <w:r w:rsidRPr="006117BE">
              <w:rPr>
                <w:rFonts w:ascii="Book Antiqua" w:hAnsi="Book Antiqua"/>
                <w:b/>
                <w:noProof/>
                <w:webHidden/>
                <w:sz w:val="20"/>
                <w:szCs w:val="20"/>
              </w:rPr>
              <w:fldChar w:fldCharType="end"/>
            </w:r>
          </w:hyperlink>
        </w:p>
        <w:p w:rsidR="006117BE" w:rsidRPr="006117BE" w:rsidRDefault="000D65F2">
          <w:pPr>
            <w:pStyle w:val="TM1"/>
            <w:rPr>
              <w:rFonts w:eastAsiaTheme="minorEastAsia" w:cstheme="minorBidi"/>
            </w:rPr>
          </w:pPr>
          <w:hyperlink w:anchor="_Toc523322144" w:history="1">
            <w:r w:rsidR="006117BE" w:rsidRPr="006117BE">
              <w:rPr>
                <w:rStyle w:val="Lienhypertexte"/>
              </w:rPr>
              <w:t>Annexe 3 : Questionnaire du volet « Personnes physiques »</w:t>
            </w:r>
            <w:r w:rsidR="006117BE" w:rsidRPr="006117BE">
              <w:rPr>
                <w:webHidden/>
              </w:rPr>
              <w:tab/>
            </w:r>
            <w:r w:rsidRPr="006117BE">
              <w:rPr>
                <w:webHidden/>
              </w:rPr>
              <w:fldChar w:fldCharType="begin"/>
            </w:r>
            <w:r w:rsidR="006117BE" w:rsidRPr="006117BE">
              <w:rPr>
                <w:webHidden/>
              </w:rPr>
              <w:instrText xml:space="preserve"> PAGEREF _Toc523322144 \h </w:instrText>
            </w:r>
            <w:r w:rsidRPr="006117BE">
              <w:rPr>
                <w:webHidden/>
              </w:rPr>
            </w:r>
            <w:r w:rsidRPr="006117BE">
              <w:rPr>
                <w:webHidden/>
              </w:rPr>
              <w:fldChar w:fldCharType="separate"/>
            </w:r>
            <w:r w:rsidR="006F2142">
              <w:rPr>
                <w:webHidden/>
              </w:rPr>
              <w:t>175</w:t>
            </w:r>
            <w:r w:rsidRPr="006117BE">
              <w:rPr>
                <w:webHidden/>
              </w:rPr>
              <w:fldChar w:fldCharType="end"/>
            </w:r>
          </w:hyperlink>
        </w:p>
        <w:p w:rsidR="006117BE" w:rsidRPr="006117BE" w:rsidRDefault="000D65F2">
          <w:pPr>
            <w:pStyle w:val="TM1"/>
            <w:rPr>
              <w:rFonts w:eastAsiaTheme="minorEastAsia" w:cstheme="minorBidi"/>
            </w:rPr>
          </w:pPr>
          <w:hyperlink w:anchor="_Toc523322145" w:history="1">
            <w:r w:rsidR="006117BE" w:rsidRPr="006117BE">
              <w:rPr>
                <w:rStyle w:val="Lienhypertexte"/>
              </w:rPr>
              <w:t>Annexe 4 : Questionnaire du volet « Personnes morales »</w:t>
            </w:r>
            <w:r w:rsidR="006117BE" w:rsidRPr="006117BE">
              <w:rPr>
                <w:webHidden/>
              </w:rPr>
              <w:tab/>
            </w:r>
            <w:r w:rsidRPr="006117BE">
              <w:rPr>
                <w:webHidden/>
              </w:rPr>
              <w:fldChar w:fldCharType="begin"/>
            </w:r>
            <w:r w:rsidR="006117BE" w:rsidRPr="006117BE">
              <w:rPr>
                <w:webHidden/>
              </w:rPr>
              <w:instrText xml:space="preserve"> PAGEREF _Toc523322145 \h </w:instrText>
            </w:r>
            <w:r w:rsidRPr="006117BE">
              <w:rPr>
                <w:webHidden/>
              </w:rPr>
            </w:r>
            <w:r w:rsidRPr="006117BE">
              <w:rPr>
                <w:webHidden/>
              </w:rPr>
              <w:fldChar w:fldCharType="separate"/>
            </w:r>
            <w:r w:rsidR="006F2142">
              <w:rPr>
                <w:webHidden/>
              </w:rPr>
              <w:t>180</w:t>
            </w:r>
            <w:r w:rsidRPr="006117BE">
              <w:rPr>
                <w:webHidden/>
              </w:rPr>
              <w:fldChar w:fldCharType="end"/>
            </w:r>
          </w:hyperlink>
        </w:p>
        <w:p w:rsidR="003653F9" w:rsidRPr="006117BE" w:rsidRDefault="000D65F2" w:rsidP="00FA1EB4">
          <w:pPr>
            <w:spacing w:line="312" w:lineRule="auto"/>
            <w:jc w:val="both"/>
            <w:rPr>
              <w:rFonts w:ascii="Book Antiqua" w:hAnsi="Book Antiqua" w:cs="Arial"/>
              <w:b/>
              <w:sz w:val="20"/>
              <w:szCs w:val="20"/>
            </w:rPr>
          </w:pPr>
          <w:r w:rsidRPr="006117BE">
            <w:rPr>
              <w:rFonts w:ascii="Book Antiqua" w:hAnsi="Book Antiqua" w:cs="Arial"/>
              <w:b/>
              <w:sz w:val="20"/>
              <w:szCs w:val="20"/>
            </w:rPr>
            <w:fldChar w:fldCharType="end"/>
          </w:r>
        </w:p>
      </w:sdtContent>
    </w:sdt>
    <w:p w:rsidR="00AA61C2" w:rsidRPr="006117BE" w:rsidRDefault="00AA61C2" w:rsidP="00A43EFD">
      <w:pPr>
        <w:tabs>
          <w:tab w:val="left" w:pos="-720"/>
        </w:tabs>
        <w:suppressAutoHyphens/>
        <w:spacing w:line="312" w:lineRule="auto"/>
        <w:jc w:val="both"/>
        <w:rPr>
          <w:rFonts w:ascii="Book Antiqua" w:hAnsi="Book Antiqua" w:cs="Arial"/>
          <w:b/>
          <w:sz w:val="20"/>
          <w:szCs w:val="20"/>
        </w:rPr>
        <w:sectPr w:rsidR="00AA61C2" w:rsidRPr="006117BE" w:rsidSect="00AE2523">
          <w:headerReference w:type="default" r:id="rId14"/>
          <w:footerReference w:type="default" r:id="rId15"/>
          <w:pgSz w:w="11907" w:h="16840" w:code="9"/>
          <w:pgMar w:top="680" w:right="1134" w:bottom="680" w:left="1191" w:header="454" w:footer="454" w:gutter="0"/>
          <w:cols w:space="720"/>
          <w:docGrid w:linePitch="360"/>
        </w:sectPr>
      </w:pPr>
    </w:p>
    <w:p w:rsidR="00AA61C2" w:rsidRDefault="00AA61C2" w:rsidP="00AA61C2">
      <w:pPr>
        <w:tabs>
          <w:tab w:val="left" w:pos="-720"/>
        </w:tabs>
        <w:suppressAutoHyphens/>
        <w:spacing w:line="312" w:lineRule="auto"/>
        <w:jc w:val="center"/>
        <w:outlineLvl w:val="0"/>
        <w:rPr>
          <w:rFonts w:ascii="Arial" w:hAnsi="Arial" w:cs="Arial"/>
          <w:b/>
          <w:sz w:val="22"/>
          <w:szCs w:val="22"/>
        </w:rPr>
      </w:pPr>
      <w:bookmarkStart w:id="0" w:name="_Toc523322009"/>
      <w:r>
        <w:rPr>
          <w:rFonts w:ascii="Arial" w:hAnsi="Arial" w:cs="Arial"/>
          <w:b/>
          <w:sz w:val="22"/>
          <w:szCs w:val="22"/>
        </w:rPr>
        <w:lastRenderedPageBreak/>
        <w:t>LISTE DES TABLEAUX</w:t>
      </w:r>
      <w:bookmarkEnd w:id="0"/>
    </w:p>
    <w:p w:rsidR="000B4712" w:rsidRPr="002779C7" w:rsidRDefault="000B4712" w:rsidP="00AA61C2">
      <w:pPr>
        <w:widowControl w:val="0"/>
        <w:spacing w:before="120" w:line="312" w:lineRule="auto"/>
        <w:jc w:val="both"/>
        <w:rPr>
          <w:rFonts w:ascii="Arial" w:hAnsi="Arial" w:cs="Arial"/>
          <w:sz w:val="22"/>
          <w:szCs w:val="22"/>
        </w:rPr>
      </w:pPr>
    </w:p>
    <w:p w:rsidR="00D76382" w:rsidRPr="00D76382" w:rsidRDefault="000D65F2">
      <w:pPr>
        <w:pStyle w:val="Tabledesillustrations"/>
        <w:tabs>
          <w:tab w:val="right" w:leader="dot" w:pos="9572"/>
        </w:tabs>
        <w:rPr>
          <w:rFonts w:ascii="Book Antiqua" w:eastAsiaTheme="minorEastAsia" w:hAnsi="Book Antiqua" w:cstheme="minorBidi"/>
          <w:noProof/>
          <w:sz w:val="20"/>
          <w:szCs w:val="20"/>
        </w:rPr>
      </w:pPr>
      <w:r w:rsidRPr="00D76382">
        <w:rPr>
          <w:rFonts w:ascii="Book Antiqua" w:hAnsi="Book Antiqua" w:cs="Arial"/>
          <w:i/>
          <w:sz w:val="20"/>
          <w:szCs w:val="20"/>
        </w:rPr>
        <w:fldChar w:fldCharType="begin"/>
      </w:r>
      <w:r w:rsidR="00AA61C2" w:rsidRPr="00D76382">
        <w:rPr>
          <w:rFonts w:ascii="Book Antiqua" w:hAnsi="Book Antiqua" w:cs="Arial"/>
          <w:i/>
          <w:sz w:val="20"/>
          <w:szCs w:val="20"/>
        </w:rPr>
        <w:instrText xml:space="preserve"> TOC \h \z \c "Tableau" </w:instrText>
      </w:r>
      <w:r w:rsidRPr="00D76382">
        <w:rPr>
          <w:rFonts w:ascii="Book Antiqua" w:hAnsi="Book Antiqua" w:cs="Arial"/>
          <w:i/>
          <w:sz w:val="20"/>
          <w:szCs w:val="20"/>
        </w:rPr>
        <w:fldChar w:fldCharType="separate"/>
      </w:r>
      <w:hyperlink w:anchor="_Toc523318879" w:history="1">
        <w:r w:rsidR="00D76382" w:rsidRPr="00D76382">
          <w:rPr>
            <w:rStyle w:val="Lienhypertexte"/>
            <w:rFonts w:ascii="Book Antiqua" w:hAnsi="Book Antiqua"/>
            <w:b/>
            <w:bCs/>
            <w:noProof/>
            <w:sz w:val="20"/>
            <w:szCs w:val="20"/>
          </w:rPr>
          <w:t>Tableau 1: Répartition de l'échantillon ciblé suivant les banques</w:t>
        </w:r>
        <w:r w:rsidR="00D76382" w:rsidRPr="00D76382">
          <w:rPr>
            <w:rFonts w:ascii="Book Antiqua" w:hAnsi="Book Antiqua"/>
            <w:noProof/>
            <w:webHidden/>
            <w:sz w:val="20"/>
            <w:szCs w:val="20"/>
          </w:rPr>
          <w:tab/>
        </w:r>
        <w:r w:rsidRPr="00D76382">
          <w:rPr>
            <w:rFonts w:ascii="Book Antiqua" w:hAnsi="Book Antiqua"/>
            <w:noProof/>
            <w:webHidden/>
            <w:sz w:val="20"/>
            <w:szCs w:val="20"/>
          </w:rPr>
          <w:fldChar w:fldCharType="begin"/>
        </w:r>
        <w:r w:rsidR="00D76382" w:rsidRPr="00D76382">
          <w:rPr>
            <w:rFonts w:ascii="Book Antiqua" w:hAnsi="Book Antiqua"/>
            <w:noProof/>
            <w:webHidden/>
            <w:sz w:val="20"/>
            <w:szCs w:val="20"/>
          </w:rPr>
          <w:instrText xml:space="preserve"> PAGEREF _Toc523318879 \h </w:instrText>
        </w:r>
        <w:r w:rsidRPr="00D76382">
          <w:rPr>
            <w:rFonts w:ascii="Book Antiqua" w:hAnsi="Book Antiqua"/>
            <w:noProof/>
            <w:webHidden/>
            <w:sz w:val="20"/>
            <w:szCs w:val="20"/>
          </w:rPr>
        </w:r>
        <w:r w:rsidRPr="00D76382">
          <w:rPr>
            <w:rFonts w:ascii="Book Antiqua" w:hAnsi="Book Antiqua"/>
            <w:noProof/>
            <w:webHidden/>
            <w:sz w:val="20"/>
            <w:szCs w:val="20"/>
          </w:rPr>
          <w:fldChar w:fldCharType="separate"/>
        </w:r>
        <w:r w:rsidR="00D76382" w:rsidRPr="00D76382">
          <w:rPr>
            <w:rFonts w:ascii="Book Antiqua" w:hAnsi="Book Antiqua"/>
            <w:noProof/>
            <w:webHidden/>
            <w:sz w:val="20"/>
            <w:szCs w:val="20"/>
          </w:rPr>
          <w:t>19</w:t>
        </w:r>
        <w:r w:rsidRPr="00D76382">
          <w:rPr>
            <w:rFonts w:ascii="Book Antiqua" w:hAnsi="Book Antiqua"/>
            <w:noProof/>
            <w:webHidden/>
            <w:sz w:val="20"/>
            <w:szCs w:val="20"/>
          </w:rPr>
          <w:fldChar w:fldCharType="end"/>
        </w:r>
      </w:hyperlink>
    </w:p>
    <w:p w:rsidR="00D76382" w:rsidRPr="00D76382" w:rsidRDefault="000D65F2">
      <w:pPr>
        <w:pStyle w:val="Tabledesillustrations"/>
        <w:tabs>
          <w:tab w:val="right" w:leader="dot" w:pos="9572"/>
        </w:tabs>
        <w:rPr>
          <w:rFonts w:ascii="Book Antiqua" w:eastAsiaTheme="minorEastAsia" w:hAnsi="Book Antiqua" w:cstheme="minorBidi"/>
          <w:noProof/>
          <w:sz w:val="20"/>
          <w:szCs w:val="20"/>
        </w:rPr>
      </w:pPr>
      <w:hyperlink w:anchor="_Toc523318880" w:history="1">
        <w:r w:rsidR="00D76382" w:rsidRPr="00D76382">
          <w:rPr>
            <w:rStyle w:val="Lienhypertexte"/>
            <w:rFonts w:ascii="Book Antiqua" w:hAnsi="Book Antiqua"/>
            <w:b/>
            <w:bCs/>
            <w:noProof/>
            <w:sz w:val="20"/>
            <w:szCs w:val="20"/>
          </w:rPr>
          <w:t>Tableau 2: Répartition échantillon "personnes physiques" par banque et par zone</w:t>
        </w:r>
        <w:r w:rsidR="00D76382" w:rsidRPr="00D76382">
          <w:rPr>
            <w:rFonts w:ascii="Book Antiqua" w:hAnsi="Book Antiqua"/>
            <w:noProof/>
            <w:webHidden/>
            <w:sz w:val="20"/>
            <w:szCs w:val="20"/>
          </w:rPr>
          <w:tab/>
        </w:r>
        <w:r w:rsidRPr="00D76382">
          <w:rPr>
            <w:rFonts w:ascii="Book Antiqua" w:hAnsi="Book Antiqua"/>
            <w:noProof/>
            <w:webHidden/>
            <w:sz w:val="20"/>
            <w:szCs w:val="20"/>
          </w:rPr>
          <w:fldChar w:fldCharType="begin"/>
        </w:r>
        <w:r w:rsidR="00D76382" w:rsidRPr="00D76382">
          <w:rPr>
            <w:rFonts w:ascii="Book Antiqua" w:hAnsi="Book Antiqua"/>
            <w:noProof/>
            <w:webHidden/>
            <w:sz w:val="20"/>
            <w:szCs w:val="20"/>
          </w:rPr>
          <w:instrText xml:space="preserve"> PAGEREF _Toc523318880 \h </w:instrText>
        </w:r>
        <w:r w:rsidRPr="00D76382">
          <w:rPr>
            <w:rFonts w:ascii="Book Antiqua" w:hAnsi="Book Antiqua"/>
            <w:noProof/>
            <w:webHidden/>
            <w:sz w:val="20"/>
            <w:szCs w:val="20"/>
          </w:rPr>
        </w:r>
        <w:r w:rsidRPr="00D76382">
          <w:rPr>
            <w:rFonts w:ascii="Book Antiqua" w:hAnsi="Book Antiqua"/>
            <w:noProof/>
            <w:webHidden/>
            <w:sz w:val="20"/>
            <w:szCs w:val="20"/>
          </w:rPr>
          <w:fldChar w:fldCharType="separate"/>
        </w:r>
        <w:r w:rsidR="00D76382" w:rsidRPr="00D76382">
          <w:rPr>
            <w:rFonts w:ascii="Book Antiqua" w:hAnsi="Book Antiqua"/>
            <w:noProof/>
            <w:webHidden/>
            <w:sz w:val="20"/>
            <w:szCs w:val="20"/>
          </w:rPr>
          <w:t>19</w:t>
        </w:r>
        <w:r w:rsidRPr="00D76382">
          <w:rPr>
            <w:rFonts w:ascii="Book Antiqua" w:hAnsi="Book Antiqua"/>
            <w:noProof/>
            <w:webHidden/>
            <w:sz w:val="20"/>
            <w:szCs w:val="20"/>
          </w:rPr>
          <w:fldChar w:fldCharType="end"/>
        </w:r>
      </w:hyperlink>
    </w:p>
    <w:p w:rsidR="00D76382" w:rsidRPr="00D76382" w:rsidRDefault="000D65F2">
      <w:pPr>
        <w:pStyle w:val="Tabledesillustrations"/>
        <w:tabs>
          <w:tab w:val="right" w:leader="dot" w:pos="9572"/>
        </w:tabs>
        <w:rPr>
          <w:rFonts w:ascii="Book Antiqua" w:eastAsiaTheme="minorEastAsia" w:hAnsi="Book Antiqua" w:cstheme="minorBidi"/>
          <w:noProof/>
          <w:sz w:val="20"/>
          <w:szCs w:val="20"/>
        </w:rPr>
      </w:pPr>
      <w:hyperlink w:anchor="_Toc523318881" w:history="1">
        <w:r w:rsidR="00D76382" w:rsidRPr="00D76382">
          <w:rPr>
            <w:rStyle w:val="Lienhypertexte"/>
            <w:rFonts w:ascii="Book Antiqua" w:hAnsi="Book Antiqua"/>
            <w:b/>
            <w:bCs/>
            <w:noProof/>
            <w:sz w:val="20"/>
            <w:szCs w:val="20"/>
          </w:rPr>
          <w:t>Tableau 3: Répartition de l'échantillon "personnes morales" par banque et par zone</w:t>
        </w:r>
        <w:r w:rsidR="00D76382" w:rsidRPr="00D76382">
          <w:rPr>
            <w:rFonts w:ascii="Book Antiqua" w:hAnsi="Book Antiqua"/>
            <w:noProof/>
            <w:webHidden/>
            <w:sz w:val="20"/>
            <w:szCs w:val="20"/>
          </w:rPr>
          <w:tab/>
        </w:r>
        <w:r w:rsidRPr="00D76382">
          <w:rPr>
            <w:rFonts w:ascii="Book Antiqua" w:hAnsi="Book Antiqua"/>
            <w:noProof/>
            <w:webHidden/>
            <w:sz w:val="20"/>
            <w:szCs w:val="20"/>
          </w:rPr>
          <w:fldChar w:fldCharType="begin"/>
        </w:r>
        <w:r w:rsidR="00D76382" w:rsidRPr="00D76382">
          <w:rPr>
            <w:rFonts w:ascii="Book Antiqua" w:hAnsi="Book Antiqua"/>
            <w:noProof/>
            <w:webHidden/>
            <w:sz w:val="20"/>
            <w:szCs w:val="20"/>
          </w:rPr>
          <w:instrText xml:space="preserve"> PAGEREF _Toc523318881 \h </w:instrText>
        </w:r>
        <w:r w:rsidRPr="00D76382">
          <w:rPr>
            <w:rFonts w:ascii="Book Antiqua" w:hAnsi="Book Antiqua"/>
            <w:noProof/>
            <w:webHidden/>
            <w:sz w:val="20"/>
            <w:szCs w:val="20"/>
          </w:rPr>
        </w:r>
        <w:r w:rsidRPr="00D76382">
          <w:rPr>
            <w:rFonts w:ascii="Book Antiqua" w:hAnsi="Book Antiqua"/>
            <w:noProof/>
            <w:webHidden/>
            <w:sz w:val="20"/>
            <w:szCs w:val="20"/>
          </w:rPr>
          <w:fldChar w:fldCharType="separate"/>
        </w:r>
        <w:r w:rsidR="00D76382" w:rsidRPr="00D76382">
          <w:rPr>
            <w:rFonts w:ascii="Book Antiqua" w:hAnsi="Book Antiqua"/>
            <w:noProof/>
            <w:webHidden/>
            <w:sz w:val="20"/>
            <w:szCs w:val="20"/>
          </w:rPr>
          <w:t>20</w:t>
        </w:r>
        <w:r w:rsidRPr="00D76382">
          <w:rPr>
            <w:rFonts w:ascii="Book Antiqua" w:hAnsi="Book Antiqua"/>
            <w:noProof/>
            <w:webHidden/>
            <w:sz w:val="20"/>
            <w:szCs w:val="20"/>
          </w:rPr>
          <w:fldChar w:fldCharType="end"/>
        </w:r>
      </w:hyperlink>
    </w:p>
    <w:p w:rsidR="00AA61C2" w:rsidRPr="007776EF" w:rsidRDefault="000D65F2" w:rsidP="007B2558">
      <w:pPr>
        <w:spacing w:after="120" w:line="480" w:lineRule="auto"/>
        <w:rPr>
          <w:rFonts w:ascii="Book Antiqua" w:hAnsi="Book Antiqua" w:cs="Arial"/>
          <w:sz w:val="20"/>
          <w:szCs w:val="20"/>
        </w:rPr>
      </w:pPr>
      <w:r w:rsidRPr="00D76382">
        <w:rPr>
          <w:rFonts w:ascii="Book Antiqua" w:hAnsi="Book Antiqua" w:cs="Arial"/>
          <w:i/>
          <w:sz w:val="20"/>
          <w:szCs w:val="20"/>
        </w:rPr>
        <w:fldChar w:fldCharType="end"/>
      </w:r>
      <w:r w:rsidR="00AA61C2" w:rsidRPr="007776EF">
        <w:rPr>
          <w:rFonts w:ascii="Book Antiqua" w:hAnsi="Book Antiqua" w:cs="Arial"/>
          <w:sz w:val="20"/>
          <w:szCs w:val="20"/>
        </w:rPr>
        <w:br w:type="page"/>
      </w:r>
    </w:p>
    <w:p w:rsidR="00AA61C2" w:rsidRDefault="00AA61C2" w:rsidP="00AA61C2">
      <w:pPr>
        <w:tabs>
          <w:tab w:val="left" w:pos="-720"/>
        </w:tabs>
        <w:suppressAutoHyphens/>
        <w:spacing w:line="312" w:lineRule="auto"/>
        <w:jc w:val="center"/>
        <w:outlineLvl w:val="0"/>
        <w:rPr>
          <w:rFonts w:ascii="Arial" w:hAnsi="Arial" w:cs="Arial"/>
          <w:b/>
          <w:sz w:val="22"/>
          <w:szCs w:val="22"/>
        </w:rPr>
      </w:pPr>
      <w:bookmarkStart w:id="1" w:name="_Toc523322010"/>
      <w:r>
        <w:rPr>
          <w:rFonts w:ascii="Arial" w:hAnsi="Arial" w:cs="Arial"/>
          <w:b/>
          <w:sz w:val="22"/>
          <w:szCs w:val="22"/>
        </w:rPr>
        <w:lastRenderedPageBreak/>
        <w:t>LISTE DES FIGURES</w:t>
      </w:r>
      <w:bookmarkEnd w:id="1"/>
    </w:p>
    <w:p w:rsidR="00AA61C2" w:rsidRDefault="00AA61C2" w:rsidP="00394130">
      <w:pPr>
        <w:widowControl w:val="0"/>
        <w:jc w:val="both"/>
        <w:rPr>
          <w:rFonts w:ascii="Arial" w:hAnsi="Arial" w:cs="Arial"/>
          <w:sz w:val="22"/>
          <w:szCs w:val="22"/>
        </w:rPr>
      </w:pPr>
    </w:p>
    <w:p w:rsidR="005E461C" w:rsidRPr="000B4712" w:rsidRDefault="005E461C" w:rsidP="00001803">
      <w:pPr>
        <w:widowControl w:val="0"/>
        <w:jc w:val="both"/>
        <w:rPr>
          <w:rFonts w:ascii="Arial" w:hAnsi="Arial" w:cs="Arial"/>
          <w:b/>
          <w:sz w:val="22"/>
          <w:szCs w:val="22"/>
        </w:rPr>
      </w:pPr>
      <w:r w:rsidRPr="000B4712">
        <w:rPr>
          <w:rFonts w:ascii="Arial" w:hAnsi="Arial" w:cs="Arial"/>
          <w:b/>
          <w:sz w:val="22"/>
          <w:szCs w:val="22"/>
        </w:rPr>
        <w:t>Volet « Personnes morales »</w:t>
      </w:r>
    </w:p>
    <w:p w:rsidR="00AA61C2" w:rsidRPr="00AB129C" w:rsidRDefault="00AA61C2" w:rsidP="00AB129C">
      <w:pPr>
        <w:widowControl w:val="0"/>
        <w:ind w:firstLine="708"/>
        <w:jc w:val="both"/>
        <w:rPr>
          <w:rFonts w:ascii="Book Antiqua" w:hAnsi="Book Antiqua" w:cs="Arial"/>
          <w:sz w:val="18"/>
          <w:szCs w:val="18"/>
        </w:rPr>
      </w:pPr>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r w:rsidRPr="000F780F">
        <w:rPr>
          <w:rFonts w:ascii="Book Antiqua" w:hAnsi="Book Antiqua" w:cs="Arial"/>
          <w:i/>
          <w:sz w:val="18"/>
          <w:szCs w:val="18"/>
        </w:rPr>
        <w:fldChar w:fldCharType="begin"/>
      </w:r>
      <w:r w:rsidR="00AA61C2" w:rsidRPr="000F780F">
        <w:rPr>
          <w:rFonts w:ascii="Book Antiqua" w:hAnsi="Book Antiqua" w:cs="Arial"/>
          <w:i/>
          <w:sz w:val="18"/>
          <w:szCs w:val="18"/>
        </w:rPr>
        <w:instrText xml:space="preserve"> TOC \h \z \c "Figure" </w:instrText>
      </w:r>
      <w:r w:rsidRPr="000F780F">
        <w:rPr>
          <w:rFonts w:ascii="Book Antiqua" w:hAnsi="Book Antiqua" w:cs="Arial"/>
          <w:i/>
          <w:sz w:val="18"/>
          <w:szCs w:val="18"/>
        </w:rPr>
        <w:fldChar w:fldCharType="separate"/>
      </w:r>
      <w:hyperlink w:anchor="_Toc523313684" w:history="1">
        <w:r w:rsidR="000F780F" w:rsidRPr="000F780F">
          <w:rPr>
            <w:rStyle w:val="Lienhypertexte"/>
            <w:rFonts w:ascii="Book Antiqua" w:hAnsi="Book Antiqua" w:cs="Tahoma"/>
            <w:bCs/>
            <w:noProof/>
            <w:sz w:val="18"/>
            <w:szCs w:val="18"/>
          </w:rPr>
          <w:t>Figure 1: Répartition des unités économiques enquêtées suivant leur région d’implantation</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_Toc523313684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26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85" w:history="1">
        <w:r w:rsidR="000F780F" w:rsidRPr="000F780F">
          <w:rPr>
            <w:rStyle w:val="Lienhypertexte"/>
            <w:rFonts w:ascii="Book Antiqua" w:hAnsi="Book Antiqua"/>
            <w:bCs/>
            <w:noProof/>
            <w:sz w:val="18"/>
            <w:szCs w:val="18"/>
          </w:rPr>
          <w:t>Figure 2 : Répartition des unités enquêtées suivant leur statut juridique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_Toc523313685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27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86" w:history="1">
        <w:r w:rsidR="000F780F" w:rsidRPr="000F780F">
          <w:rPr>
            <w:rStyle w:val="Lienhypertexte"/>
            <w:rFonts w:ascii="Book Antiqua" w:hAnsi="Book Antiqua"/>
            <w:bCs/>
            <w:noProof/>
            <w:sz w:val="18"/>
            <w:szCs w:val="18"/>
          </w:rPr>
          <w:t>Figure 3 : Répartition des unités enquêtées suivant leur secteur d'activités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_Toc523313686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27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87" w:history="1">
        <w:r w:rsidR="000F780F" w:rsidRPr="000F780F">
          <w:rPr>
            <w:rStyle w:val="Lienhypertexte"/>
            <w:rFonts w:ascii="Book Antiqua" w:hAnsi="Book Antiqua"/>
            <w:bCs/>
            <w:noProof/>
            <w:sz w:val="18"/>
            <w:szCs w:val="18"/>
          </w:rPr>
          <w:t>Figure 4: Répartition des unités selon la nature de l'activité des entreprises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_Toc523313687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28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88" w:history="1">
        <w:r w:rsidR="000F780F" w:rsidRPr="000F780F">
          <w:rPr>
            <w:rStyle w:val="Lienhypertexte"/>
            <w:rFonts w:ascii="Book Antiqua" w:hAnsi="Book Antiqua"/>
            <w:bCs/>
            <w:noProof/>
            <w:sz w:val="18"/>
            <w:szCs w:val="18"/>
          </w:rPr>
          <w:t>Figure 5: Répartition des domiciliations bancaires des unités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_Toc523313688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28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89" w:history="1">
        <w:r w:rsidR="000F780F" w:rsidRPr="000F780F">
          <w:rPr>
            <w:rStyle w:val="Lienhypertexte"/>
            <w:rFonts w:ascii="Book Antiqua" w:hAnsi="Book Antiqua"/>
            <w:bCs/>
            <w:noProof/>
            <w:sz w:val="18"/>
            <w:szCs w:val="18"/>
          </w:rPr>
          <w:t>Figure 6: Nombre de comptes courants ouverts par les unités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_Toc523313689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29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90" w:history="1">
        <w:r w:rsidR="000F780F" w:rsidRPr="000F780F">
          <w:rPr>
            <w:rStyle w:val="Lienhypertexte"/>
            <w:rFonts w:ascii="Book Antiqua" w:hAnsi="Book Antiqua" w:cs="Tahoma"/>
            <w:bCs/>
            <w:noProof/>
            <w:sz w:val="18"/>
            <w:szCs w:val="18"/>
          </w:rPr>
          <w:t>Figure 7: Ancienneté dans la banque principale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_Toc523313690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29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91" w:history="1">
        <w:r w:rsidR="000F780F" w:rsidRPr="000F780F">
          <w:rPr>
            <w:rStyle w:val="Lienhypertexte"/>
            <w:rFonts w:ascii="Book Antiqua" w:hAnsi="Book Antiqua"/>
            <w:noProof/>
            <w:sz w:val="18"/>
            <w:szCs w:val="18"/>
          </w:rPr>
          <w:t>Figure 8: Nombre moyen de changement de banque des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_Toc523313691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92" w:history="1">
        <w:r w:rsidR="000F780F" w:rsidRPr="000F780F">
          <w:rPr>
            <w:rStyle w:val="Lienhypertexte"/>
            <w:rFonts w:ascii="Book Antiqua" w:hAnsi="Book Antiqua"/>
            <w:noProof/>
            <w:sz w:val="18"/>
            <w:szCs w:val="18"/>
          </w:rPr>
          <w:t>Figure 9 : Motifs de changement de banque des unités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_Toc523313692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93" w:history="1">
        <w:r w:rsidR="000F780F" w:rsidRPr="000F780F">
          <w:rPr>
            <w:rStyle w:val="Lienhypertexte"/>
            <w:rFonts w:ascii="Book Antiqua" w:hAnsi="Book Antiqua"/>
            <w:noProof/>
            <w:sz w:val="18"/>
            <w:szCs w:val="18"/>
          </w:rPr>
          <w:t>Figure 10 : Fréquence et nombre moyen de changement de banque des unités selon le statut juridique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_Toc523313693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94" w:history="1">
        <w:r w:rsidR="000F780F" w:rsidRPr="000F780F">
          <w:rPr>
            <w:rStyle w:val="Lienhypertexte"/>
            <w:rFonts w:ascii="Book Antiqua" w:hAnsi="Book Antiqua"/>
            <w:noProof/>
            <w:sz w:val="18"/>
            <w:szCs w:val="18"/>
          </w:rPr>
          <w:t>Figure 11: Fréquence et nombre moyen de changement de banque des unités selon le chiffre d’affaires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_Toc523313694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95" w:history="1">
        <w:r w:rsidR="000F780F" w:rsidRPr="000F780F">
          <w:rPr>
            <w:rStyle w:val="Lienhypertexte"/>
            <w:rFonts w:ascii="Book Antiqua" w:hAnsi="Book Antiqua"/>
            <w:noProof/>
            <w:sz w:val="18"/>
            <w:szCs w:val="18"/>
          </w:rPr>
          <w:t>Figure 12 : Fréquence et nombre moyen de changement de banque des unités selon le secteur d'activités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_Toc523313695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96" w:history="1">
        <w:r w:rsidR="000F780F" w:rsidRPr="000F780F">
          <w:rPr>
            <w:rStyle w:val="Lienhypertexte"/>
            <w:rFonts w:ascii="Book Antiqua" w:hAnsi="Book Antiqua"/>
            <w:noProof/>
            <w:sz w:val="18"/>
            <w:szCs w:val="18"/>
          </w:rPr>
          <w:t>Figure 13: Proportion d’unités jugeant l’attitude coopérative de leur banque principale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_Toc523313696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97" w:history="1">
        <w:r w:rsidR="000F780F" w:rsidRPr="000F780F">
          <w:rPr>
            <w:rStyle w:val="Lienhypertexte"/>
            <w:rFonts w:ascii="Book Antiqua" w:hAnsi="Book Antiqua"/>
            <w:noProof/>
            <w:sz w:val="18"/>
            <w:szCs w:val="18"/>
          </w:rPr>
          <w:t>Figure 14: Proportion d’unités jugeant l’attitude coopérative de leur banque d’origine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_Toc523313697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98" w:history="1">
        <w:r w:rsidR="000F780F" w:rsidRPr="000F780F">
          <w:rPr>
            <w:rStyle w:val="Lienhypertexte"/>
            <w:rFonts w:ascii="Book Antiqua" w:hAnsi="Book Antiqua"/>
            <w:noProof/>
            <w:sz w:val="18"/>
            <w:szCs w:val="18"/>
          </w:rPr>
          <w:t>Figure 15: Appréciation des unités sur le nombre d’agences de leur banque principale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_Toc523313698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699" w:history="1">
        <w:r w:rsidR="000F780F" w:rsidRPr="000F780F">
          <w:rPr>
            <w:rStyle w:val="Lienhypertexte"/>
            <w:rFonts w:ascii="Book Antiqua" w:hAnsi="Book Antiqua"/>
            <w:noProof/>
            <w:sz w:val="18"/>
            <w:szCs w:val="18"/>
          </w:rPr>
          <w:t>Figure 16: Appréciation des unités sur le nombre d’agences de leur banque principale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_Toc523313699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00" w:history="1">
        <w:r w:rsidR="000F780F" w:rsidRPr="000F780F">
          <w:rPr>
            <w:rStyle w:val="Lienhypertexte"/>
            <w:rFonts w:ascii="Book Antiqua" w:hAnsi="Book Antiqua"/>
            <w:noProof/>
            <w:sz w:val="18"/>
            <w:szCs w:val="18"/>
          </w:rPr>
          <w:t>Figure 17: Appréciation des unités sur le nombre de guichets fonctionnels des banques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_Toc523313700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01" w:history="1">
        <w:r w:rsidR="000F780F" w:rsidRPr="000F780F">
          <w:rPr>
            <w:rStyle w:val="Lienhypertexte"/>
            <w:rFonts w:ascii="Book Antiqua" w:hAnsi="Book Antiqua"/>
            <w:noProof/>
            <w:sz w:val="18"/>
            <w:szCs w:val="18"/>
          </w:rPr>
          <w:t>Figure 18 : Appréciation des unités sur le nombre de guichets fonctionnels des banques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_Toc523313701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02" w:history="1">
        <w:r w:rsidR="000F780F" w:rsidRPr="000F780F">
          <w:rPr>
            <w:rStyle w:val="Lienhypertexte"/>
            <w:rFonts w:ascii="Book Antiqua" w:hAnsi="Book Antiqua"/>
            <w:noProof/>
            <w:sz w:val="18"/>
            <w:szCs w:val="18"/>
          </w:rPr>
          <w:t>Figure 19: Appréciation des unités sur la durée de traitement des opérations de caisse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_Toc523313702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03" w:history="1">
        <w:r w:rsidR="000F780F" w:rsidRPr="000F780F">
          <w:rPr>
            <w:rStyle w:val="Lienhypertexte"/>
            <w:rFonts w:ascii="Book Antiqua" w:hAnsi="Book Antiqua"/>
            <w:noProof/>
            <w:sz w:val="18"/>
            <w:szCs w:val="18"/>
          </w:rPr>
          <w:t>Figure 20: Appréciation des unités sur la durée de traitement des opérations de caisse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_Toc523313703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04" w:history="1">
        <w:r w:rsidR="000F780F" w:rsidRPr="000F780F">
          <w:rPr>
            <w:rStyle w:val="Lienhypertexte"/>
            <w:rFonts w:ascii="Book Antiqua" w:hAnsi="Book Antiqua"/>
            <w:noProof/>
            <w:sz w:val="18"/>
            <w:szCs w:val="18"/>
          </w:rPr>
          <w:t>Figure 21: Appréciation des unités sur la durée de traitement des virements domestiques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_Toc523313704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05" w:history="1">
        <w:r w:rsidR="000F780F" w:rsidRPr="000F780F">
          <w:rPr>
            <w:rStyle w:val="Lienhypertexte"/>
            <w:rFonts w:ascii="Book Antiqua" w:hAnsi="Book Antiqua"/>
            <w:noProof/>
            <w:sz w:val="18"/>
            <w:szCs w:val="18"/>
          </w:rPr>
          <w:t>Figure 22: Appréciation des unités sur la durée de traitement des virements domestiques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_Toc523313705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06" w:history="1">
        <w:r w:rsidR="000F780F" w:rsidRPr="000F780F">
          <w:rPr>
            <w:rStyle w:val="Lienhypertexte"/>
            <w:rFonts w:ascii="Book Antiqua" w:hAnsi="Book Antiqua"/>
            <w:noProof/>
            <w:sz w:val="18"/>
            <w:szCs w:val="18"/>
          </w:rPr>
          <w:t>Figure 23: Appréciation des unités sur la durée de traitement des virements domestiques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_Toc523313706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07" w:history="1">
        <w:r w:rsidR="000F780F" w:rsidRPr="000F780F">
          <w:rPr>
            <w:rStyle w:val="Lienhypertexte"/>
            <w:rFonts w:ascii="Book Antiqua" w:hAnsi="Book Antiqua"/>
            <w:noProof/>
            <w:sz w:val="18"/>
            <w:szCs w:val="18"/>
          </w:rPr>
          <w:t>Figure 24 : Appréciation des unités sur l’utilisation des virements domestiques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_Toc523313707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08" w:history="1">
        <w:r w:rsidR="000F780F" w:rsidRPr="000F780F">
          <w:rPr>
            <w:rStyle w:val="Lienhypertexte"/>
            <w:rFonts w:ascii="Book Antiqua" w:hAnsi="Book Antiqua"/>
            <w:noProof/>
            <w:sz w:val="18"/>
            <w:szCs w:val="18"/>
          </w:rPr>
          <w:t>Figure 25: Appréciation des unités sur l’utilisation des virements domestiques selon les secteurs d’activité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_Toc523313708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09" w:history="1">
        <w:r w:rsidR="000F780F" w:rsidRPr="000F780F">
          <w:rPr>
            <w:rStyle w:val="Lienhypertexte"/>
            <w:rFonts w:ascii="Book Antiqua" w:hAnsi="Book Antiqua"/>
            <w:noProof/>
            <w:sz w:val="18"/>
            <w:szCs w:val="18"/>
          </w:rPr>
          <w:t>Figure 26: Appréciation des unités sur l’utilisation des virements vers l’étranger</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_Toc523313709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39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10" w:history="1">
        <w:r w:rsidR="000F780F" w:rsidRPr="000F780F">
          <w:rPr>
            <w:rStyle w:val="Lienhypertexte"/>
            <w:rFonts w:ascii="Book Antiqua" w:hAnsi="Book Antiqua"/>
            <w:noProof/>
            <w:sz w:val="18"/>
            <w:szCs w:val="18"/>
          </w:rPr>
          <w:t>Figure 27: Fréquence d’utilisation des ordres de virements vers l’étranger par les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_Toc523313710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11" w:history="1">
        <w:r w:rsidR="000F780F" w:rsidRPr="000F780F">
          <w:rPr>
            <w:rStyle w:val="Lienhypertexte"/>
            <w:rFonts w:ascii="Book Antiqua" w:hAnsi="Book Antiqua"/>
            <w:noProof/>
            <w:sz w:val="18"/>
            <w:szCs w:val="18"/>
          </w:rPr>
          <w:t>Figure 28: Appréciation des unités sur la durée de traitement des virements reçus de l’étranger</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_Toc523313711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12" w:history="1">
        <w:r w:rsidR="000F780F" w:rsidRPr="000F780F">
          <w:rPr>
            <w:rStyle w:val="Lienhypertexte"/>
            <w:rFonts w:ascii="Book Antiqua" w:hAnsi="Book Antiqua"/>
            <w:noProof/>
            <w:sz w:val="18"/>
            <w:szCs w:val="18"/>
          </w:rPr>
          <w:t>Figure 29: Fréquence de réception des ordres de virements étrangers par les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_Toc523313712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13" w:history="1">
        <w:r w:rsidR="000F780F" w:rsidRPr="000F780F">
          <w:rPr>
            <w:rStyle w:val="Lienhypertexte"/>
            <w:rFonts w:ascii="Book Antiqua" w:hAnsi="Book Antiqua"/>
            <w:noProof/>
            <w:sz w:val="18"/>
            <w:szCs w:val="18"/>
          </w:rPr>
          <w:t>Figure 30: Appréciation des unités sur l’utilisation des virements vers l’étranger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_Toc523313713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14" w:history="1">
        <w:r w:rsidR="000F780F" w:rsidRPr="000F780F">
          <w:rPr>
            <w:rStyle w:val="Lienhypertexte"/>
            <w:rFonts w:ascii="Book Antiqua" w:hAnsi="Book Antiqua"/>
            <w:noProof/>
            <w:sz w:val="18"/>
            <w:szCs w:val="18"/>
          </w:rPr>
          <w:t>Figure 31: Appréciation des unités sur la périodicité de réception de leurs relevés de compte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_Toc523313714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15" w:history="1">
        <w:r w:rsidR="000F780F" w:rsidRPr="000F780F">
          <w:rPr>
            <w:rStyle w:val="Lienhypertexte"/>
            <w:rFonts w:ascii="Book Antiqua" w:hAnsi="Book Antiqua"/>
            <w:noProof/>
            <w:sz w:val="18"/>
            <w:szCs w:val="18"/>
          </w:rPr>
          <w:t>Figure 32: Appréciation des unités sur les canaux de transmission de leurs  relevés de compte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_Toc523313715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16" w:history="1">
        <w:r w:rsidR="000F780F" w:rsidRPr="000F780F">
          <w:rPr>
            <w:rStyle w:val="Lienhypertexte"/>
            <w:rFonts w:ascii="Book Antiqua" w:hAnsi="Book Antiqua"/>
            <w:noProof/>
            <w:sz w:val="18"/>
            <w:szCs w:val="18"/>
          </w:rPr>
          <w:t>Figure 33: Appréciation des unités sur les canaux de transmission des relevés de compte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_Toc523313716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17" w:history="1">
        <w:r w:rsidR="000F780F" w:rsidRPr="000F780F">
          <w:rPr>
            <w:rStyle w:val="Lienhypertexte"/>
            <w:rFonts w:ascii="Book Antiqua" w:hAnsi="Book Antiqua"/>
            <w:noProof/>
            <w:sz w:val="18"/>
            <w:szCs w:val="18"/>
          </w:rPr>
          <w:t>Figure 34: Appréciation des unités sur les irrégularités décelées dans les relevés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_Toc523313717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18" w:history="1">
        <w:r w:rsidR="000F780F" w:rsidRPr="000F780F">
          <w:rPr>
            <w:rStyle w:val="Lienhypertexte"/>
            <w:rFonts w:ascii="Book Antiqua" w:hAnsi="Book Antiqua"/>
            <w:noProof/>
            <w:sz w:val="18"/>
            <w:szCs w:val="18"/>
          </w:rPr>
          <w:t>Figure 35: Appréciation des unités sur les irrégularités décelées dans les relevés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_Toc523313718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19" w:history="1">
        <w:r w:rsidR="000F780F" w:rsidRPr="000F780F">
          <w:rPr>
            <w:rStyle w:val="Lienhypertexte"/>
            <w:rFonts w:ascii="Book Antiqua" w:hAnsi="Book Antiqua"/>
            <w:noProof/>
            <w:sz w:val="18"/>
            <w:szCs w:val="18"/>
          </w:rPr>
          <w:t>Figure 36 : Appréciation des unités sur les dates de valeur</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_Toc523313719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20" w:history="1">
        <w:r w:rsidR="000F780F" w:rsidRPr="000F780F">
          <w:rPr>
            <w:rStyle w:val="Lienhypertexte"/>
            <w:rFonts w:ascii="Book Antiqua" w:hAnsi="Book Antiqua"/>
            <w:noProof/>
            <w:sz w:val="18"/>
            <w:szCs w:val="18"/>
          </w:rPr>
          <w:t>Figure 37: Appréciation des unités sur les dates de valeur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_Toc523313720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21" w:history="1">
        <w:r w:rsidR="000F780F" w:rsidRPr="000F780F">
          <w:rPr>
            <w:rStyle w:val="Lienhypertexte"/>
            <w:rFonts w:ascii="Book Antiqua" w:hAnsi="Book Antiqua"/>
            <w:noProof/>
            <w:sz w:val="18"/>
            <w:szCs w:val="18"/>
          </w:rPr>
          <w:t>Figure 38: Proportion des unités utilisant le chéquier</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_Toc523313721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22" w:history="1">
        <w:r w:rsidR="000F780F" w:rsidRPr="000F780F">
          <w:rPr>
            <w:rStyle w:val="Lienhypertexte"/>
            <w:rFonts w:ascii="Book Antiqua" w:hAnsi="Book Antiqua"/>
            <w:noProof/>
            <w:sz w:val="18"/>
            <w:szCs w:val="18"/>
          </w:rPr>
          <w:t>Figure 39: Utilisation du chéquier selon la nature de l’activité des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_Toc523313722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23" w:history="1">
        <w:r w:rsidR="000F780F" w:rsidRPr="000F780F">
          <w:rPr>
            <w:rStyle w:val="Lienhypertexte"/>
            <w:rFonts w:ascii="Book Antiqua" w:hAnsi="Book Antiqua"/>
            <w:noProof/>
            <w:sz w:val="18"/>
            <w:szCs w:val="18"/>
          </w:rPr>
          <w:t>Figure 40 : Adéquation entre les produits bancaires et les projets d'investissements des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_Toc523313723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24" w:history="1">
        <w:r w:rsidR="000F780F" w:rsidRPr="000F780F">
          <w:rPr>
            <w:rStyle w:val="Lienhypertexte"/>
            <w:rFonts w:ascii="Book Antiqua" w:hAnsi="Book Antiqua"/>
            <w:noProof/>
            <w:sz w:val="18"/>
            <w:szCs w:val="18"/>
          </w:rPr>
          <w:t>Figure 41 : Adéquation entre les produits bancaires et les projets d'investissements selon la nature d'activité des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_Toc523313724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25" w:history="1">
        <w:r w:rsidR="000F780F" w:rsidRPr="000F780F">
          <w:rPr>
            <w:rStyle w:val="Lienhypertexte"/>
            <w:rFonts w:ascii="Book Antiqua" w:hAnsi="Book Antiqua"/>
            <w:noProof/>
            <w:sz w:val="18"/>
            <w:szCs w:val="18"/>
          </w:rPr>
          <w:t>Figure 42 : Adéquation entre les produits bancaires et les besoins en fonds de roulement des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_Toc523313725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26" w:history="1">
        <w:r w:rsidR="000F780F" w:rsidRPr="000F780F">
          <w:rPr>
            <w:rStyle w:val="Lienhypertexte"/>
            <w:rFonts w:ascii="Book Antiqua" w:hAnsi="Book Antiqua"/>
            <w:noProof/>
            <w:sz w:val="18"/>
            <w:szCs w:val="18"/>
          </w:rPr>
          <w:t>Figure 43 : Adéquation entre les produits et les besoins en fonds de roulement selon la nature d'activité des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_Toc523313726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27" w:history="1">
        <w:r w:rsidR="000F780F" w:rsidRPr="000F780F">
          <w:rPr>
            <w:rStyle w:val="Lienhypertexte"/>
            <w:rFonts w:ascii="Book Antiqua" w:hAnsi="Book Antiqua"/>
            <w:noProof/>
            <w:sz w:val="18"/>
            <w:szCs w:val="18"/>
          </w:rPr>
          <w:t>Figure 44 : Appréciation des unités sur l'accès au crédit</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_Toc523313727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49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28" w:history="1">
        <w:r w:rsidR="000F780F" w:rsidRPr="000F780F">
          <w:rPr>
            <w:rStyle w:val="Lienhypertexte"/>
            <w:rFonts w:ascii="Book Antiqua" w:hAnsi="Book Antiqua"/>
            <w:noProof/>
            <w:sz w:val="18"/>
            <w:szCs w:val="18"/>
          </w:rPr>
          <w:t>Figure 45 : Taux d'accès au crédit selon le chiffre d'affaires des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_Toc523313728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29" w:history="1">
        <w:r w:rsidR="000F780F" w:rsidRPr="000F780F">
          <w:rPr>
            <w:rStyle w:val="Lienhypertexte"/>
            <w:rFonts w:ascii="Book Antiqua" w:hAnsi="Book Antiqua"/>
            <w:noProof/>
            <w:sz w:val="18"/>
            <w:szCs w:val="18"/>
          </w:rPr>
          <w:t>Figure 46 : Taux d'accès au crédit selon le secteur d'activités des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_Toc523313729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30" w:history="1">
        <w:r w:rsidR="000F780F" w:rsidRPr="000F780F">
          <w:rPr>
            <w:rStyle w:val="Lienhypertexte"/>
            <w:rFonts w:ascii="Book Antiqua" w:hAnsi="Book Antiqua"/>
            <w:noProof/>
            <w:sz w:val="18"/>
            <w:szCs w:val="18"/>
          </w:rPr>
          <w:t>Figure 47 : Taux d'accès au crédit des unités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_Toc523313730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31" w:history="1">
        <w:r w:rsidR="000F780F" w:rsidRPr="000F780F">
          <w:rPr>
            <w:rStyle w:val="Lienhypertexte"/>
            <w:rFonts w:ascii="Book Antiqua" w:hAnsi="Book Antiqua"/>
            <w:noProof/>
            <w:sz w:val="18"/>
            <w:szCs w:val="18"/>
          </w:rPr>
          <w:t>Figure 48 : Nature des crédits octroyés aux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_Toc523313731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32" w:history="1">
        <w:r w:rsidR="000F780F" w:rsidRPr="000F780F">
          <w:rPr>
            <w:rStyle w:val="Lienhypertexte"/>
            <w:rFonts w:ascii="Book Antiqua" w:hAnsi="Book Antiqua"/>
            <w:noProof/>
            <w:sz w:val="18"/>
            <w:szCs w:val="18"/>
          </w:rPr>
          <w:t>Figure 49 : Nature des crédits en fonction du chiffre d'affaires des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_Toc523313732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33" w:history="1">
        <w:r w:rsidR="000F780F" w:rsidRPr="000F780F">
          <w:rPr>
            <w:rStyle w:val="Lienhypertexte"/>
            <w:rFonts w:ascii="Book Antiqua" w:hAnsi="Book Antiqua"/>
            <w:noProof/>
            <w:sz w:val="18"/>
            <w:szCs w:val="18"/>
          </w:rPr>
          <w:t>Figure 50 : Nature des crédits selon le type d'activité des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_Toc523313733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34" w:history="1">
        <w:r w:rsidR="000F780F" w:rsidRPr="000F780F">
          <w:rPr>
            <w:rStyle w:val="Lienhypertexte"/>
            <w:rFonts w:ascii="Book Antiqua" w:hAnsi="Book Antiqua"/>
            <w:noProof/>
            <w:sz w:val="18"/>
            <w:szCs w:val="18"/>
          </w:rPr>
          <w:t>Figure 51 : Appréciation du niveau de taux d'intérêt sur les crédits d'investissement</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_Toc523313734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35" w:history="1">
        <w:r w:rsidR="000F780F" w:rsidRPr="000F780F">
          <w:rPr>
            <w:rStyle w:val="Lienhypertexte"/>
            <w:rFonts w:ascii="Book Antiqua" w:hAnsi="Book Antiqua"/>
            <w:noProof/>
            <w:sz w:val="18"/>
            <w:szCs w:val="18"/>
          </w:rPr>
          <w:t>Figure 52 : Appréciation des unités sur les taux d'intérêt appliqués aux crédits d'investissement</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_Toc523313735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36" w:history="1">
        <w:r w:rsidR="000F780F" w:rsidRPr="000F780F">
          <w:rPr>
            <w:rStyle w:val="Lienhypertexte"/>
            <w:rFonts w:ascii="Book Antiqua" w:hAnsi="Book Antiqua"/>
            <w:noProof/>
            <w:sz w:val="18"/>
            <w:szCs w:val="18"/>
          </w:rPr>
          <w:t>Figure 53 : Connaissance des taux d'intérêt débiteurs par les unités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_Toc523313736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37" w:history="1">
        <w:r w:rsidR="000F780F" w:rsidRPr="000F780F">
          <w:rPr>
            <w:rStyle w:val="Lienhypertexte"/>
            <w:rFonts w:ascii="Book Antiqua" w:hAnsi="Book Antiqua"/>
            <w:noProof/>
            <w:sz w:val="18"/>
            <w:szCs w:val="18"/>
          </w:rPr>
          <w:t>Figure 54 : Connaissance des taux d'intérêt débiteurs par les unités selon les secteurs d'activités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_Toc523313737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38" w:history="1">
        <w:r w:rsidR="000F780F" w:rsidRPr="000F780F">
          <w:rPr>
            <w:rStyle w:val="Lienhypertexte"/>
            <w:rFonts w:ascii="Book Antiqua" w:hAnsi="Book Antiqua"/>
            <w:noProof/>
            <w:sz w:val="18"/>
            <w:szCs w:val="18"/>
          </w:rPr>
          <w:t>Figure 55 : Proportion des unités ne connaissant pas les taux débiteurs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_Toc523313738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39" w:history="1">
        <w:r w:rsidR="000F780F" w:rsidRPr="000F780F">
          <w:rPr>
            <w:rStyle w:val="Lienhypertexte"/>
            <w:rFonts w:ascii="Book Antiqua" w:hAnsi="Book Antiqua"/>
            <w:noProof/>
            <w:sz w:val="18"/>
            <w:szCs w:val="18"/>
          </w:rPr>
          <w:t>Figure 56 : Appréciation des unités sur les taux débiteurs appliqués aux crédits d'investissement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_Toc523313739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40" w:history="1">
        <w:r w:rsidR="000F780F" w:rsidRPr="000F780F">
          <w:rPr>
            <w:rStyle w:val="Lienhypertexte"/>
            <w:rFonts w:ascii="Book Antiqua" w:hAnsi="Book Antiqua"/>
            <w:noProof/>
            <w:sz w:val="18"/>
            <w:szCs w:val="18"/>
          </w:rPr>
          <w:t>Figure 57 : Appréciation des unités sur les taux débiteurs appliqués aux crédits de fonctionnement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_Toc523313740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41" w:history="1">
        <w:r w:rsidR="000F780F" w:rsidRPr="000F780F">
          <w:rPr>
            <w:rStyle w:val="Lienhypertexte"/>
            <w:rFonts w:ascii="Book Antiqua" w:hAnsi="Book Antiqua"/>
            <w:noProof/>
            <w:sz w:val="18"/>
            <w:szCs w:val="18"/>
          </w:rPr>
          <w:t>Figure 58: Appréciation des taux d'intérêt débiteurs selon l'objet du crédit et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_Toc523313741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42" w:history="1">
        <w:r w:rsidR="000F780F" w:rsidRPr="000F780F">
          <w:rPr>
            <w:rStyle w:val="Lienhypertexte"/>
            <w:rFonts w:ascii="Book Antiqua" w:hAnsi="Book Antiqua"/>
            <w:noProof/>
            <w:sz w:val="18"/>
            <w:szCs w:val="18"/>
          </w:rPr>
          <w:t>Figure 59 : Proportion des unités ayant effectué un placement dans leur banque lors des trois dernières années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_Toc523313742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43" w:history="1">
        <w:r w:rsidR="000F780F" w:rsidRPr="000F780F">
          <w:rPr>
            <w:rStyle w:val="Lienhypertexte"/>
            <w:rFonts w:ascii="Book Antiqua" w:hAnsi="Book Antiqua"/>
            <w:noProof/>
            <w:sz w:val="18"/>
            <w:szCs w:val="18"/>
          </w:rPr>
          <w:t>Figure 60: Types de placements effectués par les unités enquêtées au cours des trois dernières années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_Toc523313743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44" w:history="1">
        <w:r w:rsidR="000F780F" w:rsidRPr="000F780F">
          <w:rPr>
            <w:rStyle w:val="Lienhypertexte"/>
            <w:rFonts w:ascii="Book Antiqua" w:hAnsi="Book Antiqua"/>
            <w:noProof/>
            <w:sz w:val="18"/>
            <w:szCs w:val="18"/>
          </w:rPr>
          <w:t>Figure 61: Proportion des unités ne connaissant pas les taux d'intérêt créditeurs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_Toc523313744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45" w:history="1">
        <w:r w:rsidR="000F780F" w:rsidRPr="000F780F">
          <w:rPr>
            <w:rStyle w:val="Lienhypertexte"/>
            <w:rFonts w:ascii="Book Antiqua" w:hAnsi="Book Antiqua"/>
            <w:noProof/>
            <w:sz w:val="18"/>
            <w:szCs w:val="18"/>
          </w:rPr>
          <w:t>Figure 62 : Appréciation des unités sur le niveau des taux d'intérêt créditeurs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_Toc523313745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59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46" w:history="1">
        <w:r w:rsidR="000F780F" w:rsidRPr="000F780F">
          <w:rPr>
            <w:rStyle w:val="Lienhypertexte"/>
            <w:rFonts w:ascii="Book Antiqua" w:hAnsi="Book Antiqua"/>
            <w:noProof/>
            <w:sz w:val="18"/>
            <w:szCs w:val="18"/>
          </w:rPr>
          <w:t>Figure 63 : Appréciation des unités sur les taux créditeurs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_Toc523313746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47" w:history="1">
        <w:r w:rsidR="000F780F" w:rsidRPr="000F780F">
          <w:rPr>
            <w:rStyle w:val="Lienhypertexte"/>
            <w:rFonts w:ascii="Book Antiqua" w:hAnsi="Book Antiqua"/>
            <w:noProof/>
            <w:sz w:val="18"/>
            <w:szCs w:val="18"/>
          </w:rPr>
          <w:t>Figure 64 : Nature des garanties assorties à l'octroi de crédit des unités interrogées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_Toc523313747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48" w:history="1">
        <w:r w:rsidR="000F780F" w:rsidRPr="000F780F">
          <w:rPr>
            <w:rStyle w:val="Lienhypertexte"/>
            <w:rFonts w:ascii="Book Antiqua" w:hAnsi="Book Antiqua"/>
            <w:noProof/>
            <w:sz w:val="18"/>
            <w:szCs w:val="18"/>
          </w:rPr>
          <w:t>Figure 65 : Typologie des garanties exigées selon le statut juridique des unités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_Toc523313748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49" w:history="1">
        <w:r w:rsidR="000F780F" w:rsidRPr="000F780F">
          <w:rPr>
            <w:rStyle w:val="Lienhypertexte"/>
            <w:rFonts w:ascii="Book Antiqua" w:hAnsi="Book Antiqua"/>
            <w:noProof/>
            <w:sz w:val="18"/>
            <w:szCs w:val="18"/>
          </w:rPr>
          <w:t>Figure 66 : Typologie des garanties exigées selon la nature de l'activité des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_Toc523313749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50" w:history="1">
        <w:r w:rsidR="000F780F" w:rsidRPr="000F780F">
          <w:rPr>
            <w:rStyle w:val="Lienhypertexte"/>
            <w:rFonts w:ascii="Book Antiqua" w:hAnsi="Book Antiqua"/>
            <w:noProof/>
            <w:sz w:val="18"/>
            <w:szCs w:val="18"/>
          </w:rPr>
          <w:t>Figure 67 : Perception des unités sur les garanties assorties à l'octroi de crédit</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_Toc523313750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51" w:history="1">
        <w:r w:rsidR="000F780F" w:rsidRPr="000F780F">
          <w:rPr>
            <w:rStyle w:val="Lienhypertexte"/>
            <w:rFonts w:ascii="Book Antiqua" w:hAnsi="Book Antiqua"/>
            <w:noProof/>
            <w:sz w:val="18"/>
            <w:szCs w:val="18"/>
          </w:rPr>
          <w:t>Figure 68 : Appréciation des unités sur les garanties exigées selon le secteur d'activités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_Toc523313751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52" w:history="1">
        <w:r w:rsidR="000F780F" w:rsidRPr="000F780F">
          <w:rPr>
            <w:rStyle w:val="Lienhypertexte"/>
            <w:rFonts w:ascii="Book Antiqua" w:hAnsi="Book Antiqua"/>
            <w:noProof/>
            <w:sz w:val="18"/>
            <w:szCs w:val="18"/>
          </w:rPr>
          <w:t>Figure 69 : Appréciation des unités sur les garanties exigées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_Toc523313752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53" w:history="1">
        <w:r w:rsidR="000F780F" w:rsidRPr="000F780F">
          <w:rPr>
            <w:rStyle w:val="Lienhypertexte"/>
            <w:rFonts w:ascii="Book Antiqua" w:hAnsi="Book Antiqua"/>
            <w:noProof/>
            <w:sz w:val="18"/>
            <w:szCs w:val="18"/>
          </w:rPr>
          <w:t>Figure 70 : Avis des unités sur le niveau des frais de tenue de compte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_Toc523313753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54" w:history="1">
        <w:r w:rsidR="000F780F" w:rsidRPr="000F780F">
          <w:rPr>
            <w:rStyle w:val="Lienhypertexte"/>
            <w:rFonts w:ascii="Book Antiqua" w:hAnsi="Book Antiqua"/>
            <w:noProof/>
            <w:sz w:val="18"/>
            <w:szCs w:val="18"/>
          </w:rPr>
          <w:t>Figure 71: Appréciation des unités sur les frais de tenue de compte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_Toc523313754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55" w:history="1">
        <w:r w:rsidR="000F780F" w:rsidRPr="000F780F">
          <w:rPr>
            <w:rStyle w:val="Lienhypertexte"/>
            <w:rFonts w:ascii="Book Antiqua" w:hAnsi="Book Antiqua"/>
            <w:noProof/>
            <w:sz w:val="18"/>
            <w:szCs w:val="18"/>
          </w:rPr>
          <w:t>Figure 72 : Appréciation des unités sur les frais de tenue de compte selon le secteur d'activités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_Toc523313755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56" w:history="1">
        <w:r w:rsidR="000F780F" w:rsidRPr="000F780F">
          <w:rPr>
            <w:rStyle w:val="Lienhypertexte"/>
            <w:rFonts w:ascii="Book Antiqua" w:hAnsi="Book Antiqua"/>
            <w:noProof/>
            <w:sz w:val="18"/>
            <w:szCs w:val="18"/>
          </w:rPr>
          <w:t>Figure 73 : Avis des unités sur la qualité des services de consultation à distance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_Toc523313756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57" w:history="1">
        <w:r w:rsidR="000F780F" w:rsidRPr="000F780F">
          <w:rPr>
            <w:rStyle w:val="Lienhypertexte"/>
            <w:rFonts w:ascii="Book Antiqua" w:hAnsi="Book Antiqua"/>
            <w:noProof/>
            <w:sz w:val="18"/>
            <w:szCs w:val="18"/>
          </w:rPr>
          <w:t>Figure 74: Proportion des unités utilisatrices des services de consultation à distance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_Toc523313757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58" w:history="1">
        <w:r w:rsidR="000F780F" w:rsidRPr="000F780F">
          <w:rPr>
            <w:rStyle w:val="Lienhypertexte"/>
            <w:rFonts w:ascii="Book Antiqua" w:hAnsi="Book Antiqua"/>
            <w:noProof/>
            <w:sz w:val="18"/>
            <w:szCs w:val="18"/>
          </w:rPr>
          <w:t>Figure 75: Appréciation des unités sur la qualité des services de consultation à distance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_Toc523313758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59" w:history="1">
        <w:r w:rsidR="000F780F" w:rsidRPr="000F780F">
          <w:rPr>
            <w:rStyle w:val="Lienhypertexte"/>
            <w:rFonts w:ascii="Book Antiqua" w:hAnsi="Book Antiqua"/>
            <w:noProof/>
            <w:sz w:val="18"/>
            <w:szCs w:val="18"/>
          </w:rPr>
          <w:t>Figure 76 : Appréciation des unités utilisatrices sur le coût de service à distance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_Toc523313759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60" w:history="1">
        <w:r w:rsidR="000F780F" w:rsidRPr="000F780F">
          <w:rPr>
            <w:rStyle w:val="Lienhypertexte"/>
            <w:rFonts w:ascii="Book Antiqua" w:hAnsi="Book Antiqua"/>
            <w:noProof/>
            <w:sz w:val="18"/>
            <w:szCs w:val="18"/>
          </w:rPr>
          <w:t>Figure 77 : Qualité de l'accessibilité géographique des agences bancaires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_Toc523313760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61" w:history="1">
        <w:r w:rsidR="000F780F" w:rsidRPr="000F780F">
          <w:rPr>
            <w:rStyle w:val="Lienhypertexte"/>
            <w:rFonts w:ascii="Book Antiqua" w:hAnsi="Book Antiqua"/>
            <w:noProof/>
            <w:sz w:val="18"/>
            <w:szCs w:val="18"/>
          </w:rPr>
          <w:t>Figure 78 : Appréciation des unités sur l'accessibilité des agences bancaires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_Toc523313761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62" w:history="1">
        <w:r w:rsidR="000F780F" w:rsidRPr="000F780F">
          <w:rPr>
            <w:rStyle w:val="Lienhypertexte"/>
            <w:rFonts w:ascii="Book Antiqua" w:hAnsi="Book Antiqua"/>
            <w:noProof/>
            <w:sz w:val="18"/>
            <w:szCs w:val="18"/>
          </w:rPr>
          <w:t>Figure 79 : Opinions des unités sur les horaires de services des agences bancaires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_Toc523313762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63" w:history="1">
        <w:r w:rsidR="000F780F" w:rsidRPr="000F780F">
          <w:rPr>
            <w:rStyle w:val="Lienhypertexte"/>
            <w:rFonts w:ascii="Book Antiqua" w:hAnsi="Book Antiqua"/>
            <w:noProof/>
            <w:sz w:val="18"/>
            <w:szCs w:val="18"/>
          </w:rPr>
          <w:t>Figure 80: Appréciation des unités sur les horaires de services des agences bancaires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_Toc523313763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64" w:history="1">
        <w:r w:rsidR="000F780F" w:rsidRPr="000F780F">
          <w:rPr>
            <w:rStyle w:val="Lienhypertexte"/>
            <w:rFonts w:ascii="Book Antiqua" w:hAnsi="Book Antiqua"/>
            <w:noProof/>
            <w:sz w:val="18"/>
            <w:szCs w:val="18"/>
          </w:rPr>
          <w:t>Figure 81: Appréciation des unités sur la qualité de l'accès par téléphone aux agences bancaires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_Toc523313764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65" w:history="1">
        <w:r w:rsidR="000F780F" w:rsidRPr="000F780F">
          <w:rPr>
            <w:rStyle w:val="Lienhypertexte"/>
            <w:rFonts w:ascii="Book Antiqua" w:hAnsi="Book Antiqua"/>
            <w:noProof/>
            <w:sz w:val="18"/>
            <w:szCs w:val="18"/>
          </w:rPr>
          <w:t>Figure 82 : Appréciation des unités sur l'accès au téléphone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_Toc523313765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69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66" w:history="1">
        <w:r w:rsidR="000F780F" w:rsidRPr="000F780F">
          <w:rPr>
            <w:rStyle w:val="Lienhypertexte"/>
            <w:rFonts w:ascii="Book Antiqua" w:hAnsi="Book Antiqua"/>
            <w:noProof/>
            <w:sz w:val="18"/>
            <w:szCs w:val="18"/>
          </w:rPr>
          <w:t>Figure 83 : Appréciation des unités sur l'accès au site web de leur banque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_Toc523313766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67" w:history="1">
        <w:r w:rsidR="000F780F" w:rsidRPr="000F780F">
          <w:rPr>
            <w:rStyle w:val="Lienhypertexte"/>
            <w:rFonts w:ascii="Book Antiqua" w:hAnsi="Book Antiqua"/>
            <w:noProof/>
            <w:sz w:val="18"/>
            <w:szCs w:val="18"/>
          </w:rPr>
          <w:t>Figure 84 : Appréciation des unités sur l'accès au site web de leur banque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_Toc523313767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68" w:history="1">
        <w:r w:rsidR="000F780F" w:rsidRPr="000F780F">
          <w:rPr>
            <w:rStyle w:val="Lienhypertexte"/>
            <w:rFonts w:ascii="Book Antiqua" w:hAnsi="Book Antiqua"/>
            <w:noProof/>
            <w:sz w:val="18"/>
            <w:szCs w:val="18"/>
          </w:rPr>
          <w:t>Figure 85 : Appréciation des unités sur l'accès au site web de leur banque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_Toc523313768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69" w:history="1">
        <w:r w:rsidR="000F780F" w:rsidRPr="000F780F">
          <w:rPr>
            <w:rStyle w:val="Lienhypertexte"/>
            <w:rFonts w:ascii="Book Antiqua" w:hAnsi="Book Antiqua"/>
            <w:noProof/>
            <w:sz w:val="18"/>
            <w:szCs w:val="18"/>
          </w:rPr>
          <w:t>Figure 86 : Fréquence des conseils fournis aux unités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_Toc523313769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70" w:history="1">
        <w:r w:rsidR="000F780F" w:rsidRPr="000F780F">
          <w:rPr>
            <w:rStyle w:val="Lienhypertexte"/>
            <w:rFonts w:ascii="Book Antiqua" w:hAnsi="Book Antiqua"/>
            <w:noProof/>
            <w:sz w:val="18"/>
            <w:szCs w:val="18"/>
          </w:rPr>
          <w:t>Figure 87 : Fréquence des conseils fournis aux unités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_Toc523313770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71" w:history="1">
        <w:r w:rsidR="000F780F" w:rsidRPr="000F780F">
          <w:rPr>
            <w:rStyle w:val="Lienhypertexte"/>
            <w:rFonts w:ascii="Book Antiqua" w:hAnsi="Book Antiqua"/>
            <w:noProof/>
            <w:sz w:val="18"/>
            <w:szCs w:val="18"/>
          </w:rPr>
          <w:t>Figure 88 : Appréciation des unités enquêtées sur la qualité des conseils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_Toc523313771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72" w:history="1">
        <w:r w:rsidR="000F780F" w:rsidRPr="000F780F">
          <w:rPr>
            <w:rStyle w:val="Lienhypertexte"/>
            <w:rFonts w:ascii="Book Antiqua" w:hAnsi="Book Antiqua"/>
            <w:noProof/>
            <w:sz w:val="18"/>
            <w:szCs w:val="18"/>
          </w:rPr>
          <w:t>Figure 89 : Appréciation des unités sur la qualité du suivi personnalisé des banques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_Toc523313772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73" w:history="1">
        <w:r w:rsidR="000F780F" w:rsidRPr="000F780F">
          <w:rPr>
            <w:rStyle w:val="Lienhypertexte"/>
            <w:rFonts w:ascii="Book Antiqua" w:hAnsi="Book Antiqua"/>
            <w:noProof/>
            <w:sz w:val="18"/>
            <w:szCs w:val="18"/>
          </w:rPr>
          <w:t>Figure 90 : Opinions des unités sur la qualité du suivi personnalisé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_Toc523313773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74" w:history="1">
        <w:r w:rsidR="000F780F" w:rsidRPr="000F780F">
          <w:rPr>
            <w:rStyle w:val="Lienhypertexte"/>
            <w:rFonts w:ascii="Book Antiqua" w:hAnsi="Book Antiqua"/>
            <w:noProof/>
            <w:sz w:val="18"/>
            <w:szCs w:val="18"/>
          </w:rPr>
          <w:t>Figure 91 : Opinions des unités sur la qualité du suivi personnalisé selon la taille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_Toc523313774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75" w:history="1">
        <w:r w:rsidR="000F780F" w:rsidRPr="000F780F">
          <w:rPr>
            <w:rStyle w:val="Lienhypertexte"/>
            <w:rFonts w:ascii="Book Antiqua" w:hAnsi="Book Antiqua"/>
            <w:noProof/>
            <w:sz w:val="18"/>
            <w:szCs w:val="18"/>
          </w:rPr>
          <w:t>Figure 92 : Opinion sur la qualité du suivi personnalisé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_Toc523313775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76" w:history="1">
        <w:r w:rsidR="000F780F" w:rsidRPr="000F780F">
          <w:rPr>
            <w:rStyle w:val="Lienhypertexte"/>
            <w:rFonts w:ascii="Book Antiqua" w:hAnsi="Book Antiqua"/>
            <w:noProof/>
            <w:sz w:val="18"/>
            <w:szCs w:val="18"/>
          </w:rPr>
          <w:t>Figure 93 : Opinions des unités sur la qualité du suivi personnalisé selon le secteur d'activités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_Toc523313776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77" w:history="1">
        <w:r w:rsidR="000F780F" w:rsidRPr="000F780F">
          <w:rPr>
            <w:rStyle w:val="Lienhypertexte"/>
            <w:rFonts w:ascii="Book Antiqua" w:hAnsi="Book Antiqua"/>
            <w:noProof/>
            <w:sz w:val="18"/>
            <w:szCs w:val="18"/>
          </w:rPr>
          <w:t>Figure 94 : Appréciation des unités sur la capacité d'écoute de leur conseiller</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_Toc523313777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78" w:history="1">
        <w:r w:rsidR="000F780F" w:rsidRPr="000F780F">
          <w:rPr>
            <w:rStyle w:val="Lienhypertexte"/>
            <w:rFonts w:ascii="Book Antiqua" w:hAnsi="Book Antiqua"/>
            <w:noProof/>
            <w:sz w:val="18"/>
            <w:szCs w:val="18"/>
          </w:rPr>
          <w:t>Figure 95 : Appréciation des unités sur la capacité d'écoute de leur conseiller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_Toc523313778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79" w:history="1">
        <w:r w:rsidR="000F780F" w:rsidRPr="000F780F">
          <w:rPr>
            <w:rStyle w:val="Lienhypertexte"/>
            <w:rFonts w:ascii="Book Antiqua" w:hAnsi="Book Antiqua"/>
            <w:noProof/>
            <w:sz w:val="18"/>
            <w:szCs w:val="18"/>
          </w:rPr>
          <w:t>Figure 96 : Proportion des unités n'ayant pas rencontré leur conseiller selon la taille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_Toc523313779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80" w:history="1">
        <w:r w:rsidR="000F780F" w:rsidRPr="000F780F">
          <w:rPr>
            <w:rStyle w:val="Lienhypertexte"/>
            <w:rFonts w:ascii="Book Antiqua" w:hAnsi="Book Antiqua"/>
            <w:noProof/>
            <w:sz w:val="18"/>
            <w:szCs w:val="18"/>
          </w:rPr>
          <w:t>Figure 97 : Appréciation des unités sur la capacité d'écoute de leur conseiller selon la taille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_Toc523313780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81" w:history="1">
        <w:r w:rsidR="000F780F" w:rsidRPr="000F780F">
          <w:rPr>
            <w:rStyle w:val="Lienhypertexte"/>
            <w:rFonts w:ascii="Book Antiqua" w:hAnsi="Book Antiqua"/>
            <w:noProof/>
            <w:sz w:val="18"/>
            <w:szCs w:val="18"/>
          </w:rPr>
          <w:t>Figure 98 : Appréciation des unités sur la capacité d'écoute de leur conseiller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_Toc523313781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82" w:history="1">
        <w:r w:rsidR="000F780F" w:rsidRPr="000F780F">
          <w:rPr>
            <w:rStyle w:val="Lienhypertexte"/>
            <w:rFonts w:ascii="Book Antiqua" w:hAnsi="Book Antiqua"/>
            <w:noProof/>
            <w:sz w:val="18"/>
            <w:szCs w:val="18"/>
          </w:rPr>
          <w:t>Figure 99 : Appréciation des unités sur la capacité d'écoute de leur conseiller selon le secteur d'activité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_Toc523313782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83" w:history="1">
        <w:r w:rsidR="000F780F" w:rsidRPr="000F780F">
          <w:rPr>
            <w:rStyle w:val="Lienhypertexte"/>
            <w:rFonts w:ascii="Book Antiqua" w:hAnsi="Book Antiqua"/>
            <w:noProof/>
            <w:sz w:val="18"/>
            <w:szCs w:val="18"/>
          </w:rPr>
          <w:t>Figure 100: Avis des unités sur la qualité de l'accueil du personnel du front office de l'agence bancaire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_Toc523313783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84" w:history="1">
        <w:r w:rsidR="000F780F" w:rsidRPr="000F780F">
          <w:rPr>
            <w:rStyle w:val="Lienhypertexte"/>
            <w:rFonts w:ascii="Book Antiqua" w:hAnsi="Book Antiqua"/>
            <w:noProof/>
            <w:sz w:val="18"/>
            <w:szCs w:val="18"/>
          </w:rPr>
          <w:t>Figure 101 : Avis des unités sur la qualité de l'accueil du personnel du front office de l'agence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_Toc523313784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85" w:history="1">
        <w:r w:rsidR="000F780F" w:rsidRPr="000F780F">
          <w:rPr>
            <w:rStyle w:val="Lienhypertexte"/>
            <w:rFonts w:ascii="Book Antiqua" w:hAnsi="Book Antiqua"/>
            <w:noProof/>
            <w:sz w:val="18"/>
            <w:szCs w:val="18"/>
          </w:rPr>
          <w:t>Figure 102 : Appréciation des unités sur la gestion de leur compte principal</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_Toc523313785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79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86" w:history="1">
        <w:r w:rsidR="000F780F" w:rsidRPr="000F780F">
          <w:rPr>
            <w:rStyle w:val="Lienhypertexte"/>
            <w:rFonts w:ascii="Book Antiqua" w:hAnsi="Book Antiqua"/>
            <w:noProof/>
            <w:sz w:val="18"/>
            <w:szCs w:val="18"/>
          </w:rPr>
          <w:t>Figure 103 : Appréciation des unités sur la gestion de leur compte principal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_Toc523313786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87" w:history="1">
        <w:r w:rsidR="000F780F" w:rsidRPr="000F780F">
          <w:rPr>
            <w:rStyle w:val="Lienhypertexte"/>
            <w:rFonts w:ascii="Book Antiqua" w:hAnsi="Book Antiqua"/>
            <w:noProof/>
            <w:sz w:val="18"/>
            <w:szCs w:val="18"/>
          </w:rPr>
          <w:t>Figure 104 : Appréciation des unités sur la gestion de leur compte principal selon les secteurs d'activités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_Toc523313787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88" w:history="1">
        <w:r w:rsidR="000F780F" w:rsidRPr="000F780F">
          <w:rPr>
            <w:rStyle w:val="Lienhypertexte"/>
            <w:rFonts w:ascii="Book Antiqua" w:hAnsi="Book Antiqua"/>
            <w:noProof/>
            <w:sz w:val="18"/>
            <w:szCs w:val="18"/>
          </w:rPr>
          <w:t>Figure 105 : Proportion des unités ayant été informées des conditions tarifaires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_Toc523313788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89" w:history="1">
        <w:r w:rsidR="000F780F" w:rsidRPr="000F780F">
          <w:rPr>
            <w:rStyle w:val="Lienhypertexte"/>
            <w:rFonts w:ascii="Book Antiqua" w:hAnsi="Book Antiqua"/>
            <w:noProof/>
            <w:sz w:val="18"/>
            <w:szCs w:val="18"/>
          </w:rPr>
          <w:t>Figure 106 : Appréciation des unités sur la qualité des informations tarifaires fournies par leur banque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_Toc523313789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90" w:history="1">
        <w:r w:rsidR="000F780F" w:rsidRPr="000F780F">
          <w:rPr>
            <w:rStyle w:val="Lienhypertexte"/>
            <w:rFonts w:ascii="Book Antiqua" w:hAnsi="Book Antiqua"/>
            <w:noProof/>
            <w:sz w:val="18"/>
            <w:szCs w:val="18"/>
          </w:rPr>
          <w:t>Figure 107 : Appréciation des unités sur la qualité des informations tarifaires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_Toc523313790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91" w:history="1">
        <w:r w:rsidR="000F780F" w:rsidRPr="000F780F">
          <w:rPr>
            <w:rStyle w:val="Lienhypertexte"/>
            <w:rFonts w:ascii="Book Antiqua" w:hAnsi="Book Antiqua"/>
            <w:noProof/>
            <w:sz w:val="18"/>
            <w:szCs w:val="18"/>
          </w:rPr>
          <w:t>Figure 108 : Appréciation des unités sur la qualité des informations tarifaires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_Toc523313791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92" w:history="1">
        <w:r w:rsidR="000F780F" w:rsidRPr="000F780F">
          <w:rPr>
            <w:rStyle w:val="Lienhypertexte"/>
            <w:rFonts w:ascii="Book Antiqua" w:hAnsi="Book Antiqua"/>
            <w:noProof/>
            <w:sz w:val="18"/>
            <w:szCs w:val="18"/>
          </w:rPr>
          <w:t>Figure 109 : Proportion des unités informées de leurs obligations à l'ouverture de leur compte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_Toc523313792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93" w:history="1">
        <w:r w:rsidR="000F780F" w:rsidRPr="000F780F">
          <w:rPr>
            <w:rStyle w:val="Lienhypertexte"/>
            <w:rFonts w:ascii="Book Antiqua" w:hAnsi="Book Antiqua"/>
            <w:noProof/>
            <w:sz w:val="18"/>
            <w:szCs w:val="18"/>
          </w:rPr>
          <w:t>Figure 110: Proportion des unités informées de leurs obligations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_Toc523313793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94" w:history="1">
        <w:r w:rsidR="000F780F" w:rsidRPr="000F780F">
          <w:rPr>
            <w:rStyle w:val="Lienhypertexte"/>
            <w:rFonts w:ascii="Book Antiqua" w:hAnsi="Book Antiqua"/>
            <w:noProof/>
            <w:sz w:val="18"/>
            <w:szCs w:val="18"/>
          </w:rPr>
          <w:t>Figure 111 : Proportion des unités informées de leurs obligations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_Toc523313794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95" w:history="1">
        <w:r w:rsidR="000F780F" w:rsidRPr="000F780F">
          <w:rPr>
            <w:rStyle w:val="Lienhypertexte"/>
            <w:rFonts w:ascii="Book Antiqua" w:hAnsi="Book Antiqua"/>
            <w:noProof/>
            <w:sz w:val="18"/>
            <w:szCs w:val="18"/>
          </w:rPr>
          <w:t>Figure 112 : Appréciation des unités sur la qualité de l'information sur leurs obligations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_Toc523313795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96" w:history="1">
        <w:r w:rsidR="000F780F" w:rsidRPr="000F780F">
          <w:rPr>
            <w:rStyle w:val="Lienhypertexte"/>
            <w:rFonts w:ascii="Book Antiqua" w:hAnsi="Book Antiqua"/>
            <w:noProof/>
            <w:sz w:val="18"/>
            <w:szCs w:val="18"/>
          </w:rPr>
          <w:t>Figure 113 : Appréciation des unités sur la qualité de l'information sur leurs obligations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_Toc523313796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97" w:history="1">
        <w:r w:rsidR="000F780F" w:rsidRPr="000F780F">
          <w:rPr>
            <w:rStyle w:val="Lienhypertexte"/>
            <w:rFonts w:ascii="Book Antiqua" w:hAnsi="Book Antiqua"/>
            <w:noProof/>
            <w:sz w:val="18"/>
            <w:szCs w:val="18"/>
          </w:rPr>
          <w:t>Figure 114 : Appréciation des unités sur la qualité de l'information sur leurs informations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_Toc523313797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98" w:history="1">
        <w:r w:rsidR="000F780F" w:rsidRPr="000F780F">
          <w:rPr>
            <w:rStyle w:val="Lienhypertexte"/>
            <w:rFonts w:ascii="Book Antiqua" w:hAnsi="Book Antiqua"/>
            <w:noProof/>
            <w:sz w:val="18"/>
            <w:szCs w:val="18"/>
          </w:rPr>
          <w:t>Figure 115 : Proportion des unités ayant formulé une réclamation auprès de leur banque principale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_Toc523313798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799" w:history="1">
        <w:r w:rsidR="000F780F" w:rsidRPr="000F780F">
          <w:rPr>
            <w:rStyle w:val="Lienhypertexte"/>
            <w:rFonts w:ascii="Book Antiqua" w:hAnsi="Book Antiqua"/>
            <w:noProof/>
            <w:sz w:val="18"/>
            <w:szCs w:val="18"/>
          </w:rPr>
          <w:t>Figure 116 : Fréquence de survenance des réclamations formulées par les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_Toc523313799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00" w:history="1">
        <w:r w:rsidR="000F780F" w:rsidRPr="000F780F">
          <w:rPr>
            <w:rStyle w:val="Lienhypertexte"/>
            <w:rFonts w:ascii="Book Antiqua" w:hAnsi="Book Antiqua"/>
            <w:noProof/>
            <w:sz w:val="18"/>
            <w:szCs w:val="18"/>
          </w:rPr>
          <w:t>Figure 117 : Typologie des réclamations formulées par les unités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_Toc523313800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01" w:history="1">
        <w:r w:rsidR="000F780F" w:rsidRPr="000F780F">
          <w:rPr>
            <w:rStyle w:val="Lienhypertexte"/>
            <w:rFonts w:ascii="Book Antiqua" w:hAnsi="Book Antiqua"/>
            <w:noProof/>
            <w:sz w:val="18"/>
            <w:szCs w:val="18"/>
          </w:rPr>
          <w:t>Figure 118 : Fréquence de survenance des réclamations formulées par les unités selon les secteurs d'activité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_Toc523313801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02" w:history="1">
        <w:r w:rsidR="000F780F" w:rsidRPr="000F780F">
          <w:rPr>
            <w:rStyle w:val="Lienhypertexte"/>
            <w:rFonts w:ascii="Book Antiqua" w:hAnsi="Book Antiqua"/>
            <w:noProof/>
            <w:sz w:val="18"/>
            <w:szCs w:val="18"/>
          </w:rPr>
          <w:t>Figure 119 : Fréquence de survenance des réclamations formulées par les unités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_Toc523313802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03" w:history="1">
        <w:r w:rsidR="000F780F" w:rsidRPr="000F780F">
          <w:rPr>
            <w:rStyle w:val="Lienhypertexte"/>
            <w:rFonts w:ascii="Book Antiqua" w:hAnsi="Book Antiqua"/>
            <w:noProof/>
            <w:sz w:val="18"/>
            <w:szCs w:val="18"/>
          </w:rPr>
          <w:t>Figure 120 : Fréquence de survenance des réclamations formulées par les unités selon la taille des unités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_Toc523313803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04" w:history="1">
        <w:r w:rsidR="000F780F" w:rsidRPr="000F780F">
          <w:rPr>
            <w:rStyle w:val="Lienhypertexte"/>
            <w:rFonts w:ascii="Book Antiqua" w:hAnsi="Book Antiqua"/>
            <w:noProof/>
            <w:sz w:val="18"/>
            <w:szCs w:val="18"/>
          </w:rPr>
          <w:t>Figure 121 : Appréciation des unités sur la qualité du suivi de leurs réclamations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_Toc523313804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05" w:history="1">
        <w:r w:rsidR="000F780F" w:rsidRPr="000F780F">
          <w:rPr>
            <w:rStyle w:val="Lienhypertexte"/>
            <w:rFonts w:ascii="Book Antiqua" w:hAnsi="Book Antiqua"/>
            <w:noProof/>
            <w:sz w:val="18"/>
            <w:szCs w:val="18"/>
          </w:rPr>
          <w:t>Figure 122 : Appréciation des unités sur la qualité du suivi de leurs réclamations selon le secteur d'activité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_Toc523313805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89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06" w:history="1">
        <w:r w:rsidR="000F780F" w:rsidRPr="000F780F">
          <w:rPr>
            <w:rStyle w:val="Lienhypertexte"/>
            <w:rFonts w:ascii="Book Antiqua" w:hAnsi="Book Antiqua"/>
            <w:noProof/>
            <w:sz w:val="18"/>
            <w:szCs w:val="18"/>
          </w:rPr>
          <w:t>Figure 123 : Appréciation des unités sur la qualité du suivi de leurs réclamations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_Toc523313806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90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07" w:history="1">
        <w:r w:rsidR="000F780F" w:rsidRPr="000F780F">
          <w:rPr>
            <w:rStyle w:val="Lienhypertexte"/>
            <w:rFonts w:ascii="Book Antiqua" w:hAnsi="Book Antiqua"/>
            <w:noProof/>
            <w:sz w:val="18"/>
            <w:szCs w:val="18"/>
          </w:rPr>
          <w:t>Figure 124 : Proportion des unités ayant eu un litige avec leur banque principale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_Toc523313807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90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08" w:history="1">
        <w:r w:rsidR="000F780F" w:rsidRPr="000F780F">
          <w:rPr>
            <w:rStyle w:val="Lienhypertexte"/>
            <w:rFonts w:ascii="Book Antiqua" w:hAnsi="Book Antiqua"/>
            <w:noProof/>
            <w:sz w:val="18"/>
            <w:szCs w:val="18"/>
          </w:rPr>
          <w:t>Figure 125 : Proportion des unités ayant eu un litige avec leur banque principale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_Toc523313808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91</w:t>
        </w:r>
        <w:r w:rsidRPr="000F780F">
          <w:rPr>
            <w:rFonts w:ascii="Book Antiqua" w:hAnsi="Book Antiqua"/>
            <w:noProof/>
            <w:webHidden/>
            <w:sz w:val="18"/>
            <w:szCs w:val="18"/>
          </w:rPr>
          <w:fldChar w:fldCharType="end"/>
        </w:r>
      </w:hyperlink>
    </w:p>
    <w:p w:rsidR="000F780F" w:rsidRDefault="000D65F2">
      <w:pPr>
        <w:pStyle w:val="Tabledesillustrations"/>
        <w:tabs>
          <w:tab w:val="right" w:leader="dot" w:pos="9572"/>
        </w:tabs>
        <w:rPr>
          <w:rStyle w:val="Lienhypertexte"/>
          <w:rFonts w:ascii="Book Antiqua" w:hAnsi="Book Antiqua"/>
          <w:noProof/>
          <w:sz w:val="18"/>
          <w:szCs w:val="18"/>
        </w:rPr>
      </w:pPr>
      <w:hyperlink w:anchor="_Toc523313809" w:history="1">
        <w:r w:rsidR="000F780F" w:rsidRPr="000F780F">
          <w:rPr>
            <w:rStyle w:val="Lienhypertexte"/>
            <w:rFonts w:ascii="Book Antiqua" w:hAnsi="Book Antiqua"/>
            <w:noProof/>
            <w:sz w:val="18"/>
            <w:szCs w:val="18"/>
          </w:rPr>
          <w:t>Figure 126 : Répartition des motifs à l'origine des cas de litiges chez les unités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_Toc523313809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91</w:t>
        </w:r>
        <w:r w:rsidRPr="000F780F">
          <w:rPr>
            <w:rFonts w:ascii="Book Antiqua" w:hAnsi="Book Antiqua"/>
            <w:noProof/>
            <w:webHidden/>
            <w:sz w:val="18"/>
            <w:szCs w:val="18"/>
          </w:rPr>
          <w:fldChar w:fldCharType="end"/>
        </w:r>
      </w:hyperlink>
    </w:p>
    <w:p w:rsidR="000F780F" w:rsidRDefault="000F780F" w:rsidP="000F780F">
      <w:pPr>
        <w:rPr>
          <w:rFonts w:eastAsiaTheme="minorEastAsia"/>
          <w:noProof/>
        </w:rPr>
      </w:pPr>
    </w:p>
    <w:p w:rsidR="000F780F" w:rsidRPr="000B4712" w:rsidRDefault="000F780F" w:rsidP="000F780F">
      <w:pPr>
        <w:widowControl w:val="0"/>
        <w:jc w:val="both"/>
        <w:rPr>
          <w:rFonts w:ascii="Arial" w:hAnsi="Arial" w:cs="Arial"/>
          <w:b/>
          <w:noProof/>
          <w:sz w:val="22"/>
          <w:szCs w:val="22"/>
        </w:rPr>
      </w:pPr>
      <w:r w:rsidRPr="000B4712">
        <w:rPr>
          <w:rFonts w:ascii="Arial" w:hAnsi="Arial" w:cs="Arial"/>
          <w:b/>
          <w:noProof/>
          <w:sz w:val="22"/>
          <w:szCs w:val="22"/>
        </w:rPr>
        <w:t xml:space="preserve">Volet « Personnes </w:t>
      </w:r>
      <w:r>
        <w:rPr>
          <w:rFonts w:ascii="Arial" w:hAnsi="Arial" w:cs="Arial"/>
          <w:b/>
          <w:noProof/>
          <w:sz w:val="22"/>
          <w:szCs w:val="22"/>
        </w:rPr>
        <w:t>physiques</w:t>
      </w:r>
      <w:r w:rsidRPr="000B4712">
        <w:rPr>
          <w:rFonts w:ascii="Arial" w:hAnsi="Arial" w:cs="Arial"/>
          <w:b/>
          <w:noProof/>
          <w:sz w:val="22"/>
          <w:szCs w:val="22"/>
        </w:rPr>
        <w:t> »</w:t>
      </w:r>
    </w:p>
    <w:p w:rsidR="000F780F" w:rsidRDefault="000F780F" w:rsidP="000F780F">
      <w:pPr>
        <w:rPr>
          <w:rFonts w:eastAsiaTheme="minorEastAsia"/>
          <w:noProof/>
        </w:rPr>
      </w:pPr>
    </w:p>
    <w:p w:rsidR="000F780F" w:rsidRPr="000F780F" w:rsidRDefault="000F780F" w:rsidP="000F780F">
      <w:pPr>
        <w:rPr>
          <w:rFonts w:eastAsiaTheme="minorEastAsia"/>
          <w:noProof/>
        </w:rPr>
      </w:pPr>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10" w:history="1">
        <w:r w:rsidR="000F780F" w:rsidRPr="000F780F">
          <w:rPr>
            <w:rStyle w:val="Lienhypertexte"/>
            <w:rFonts w:ascii="Book Antiqua" w:hAnsi="Book Antiqua"/>
            <w:noProof/>
            <w:sz w:val="18"/>
            <w:szCs w:val="18"/>
          </w:rPr>
          <w:t>Figure 127 : Répartitition des clients personnes physiques enquêtés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_Toc523313810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98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11" w:history="1">
        <w:r w:rsidR="000F780F" w:rsidRPr="000F780F">
          <w:rPr>
            <w:rStyle w:val="Lienhypertexte"/>
            <w:rFonts w:ascii="Book Antiqua" w:hAnsi="Book Antiqua"/>
            <w:noProof/>
            <w:sz w:val="18"/>
            <w:szCs w:val="18"/>
          </w:rPr>
          <w:t>Figure 128 : Répartition des clients enquêtés selon l'âge et le genre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_Toc523313811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99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12" w:history="1">
        <w:r w:rsidR="000F780F" w:rsidRPr="000F780F">
          <w:rPr>
            <w:rStyle w:val="Lienhypertexte"/>
            <w:rFonts w:ascii="Book Antiqua" w:hAnsi="Book Antiqua"/>
            <w:noProof/>
            <w:sz w:val="18"/>
            <w:szCs w:val="18"/>
          </w:rPr>
          <w:t>Figure 129 : Répartition des personnes enquêtées selon leur situation matrimoniale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_Toc523313812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99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13" w:history="1">
        <w:r w:rsidR="000F780F" w:rsidRPr="000F780F">
          <w:rPr>
            <w:rStyle w:val="Lienhypertexte"/>
            <w:rFonts w:ascii="Book Antiqua" w:hAnsi="Book Antiqua"/>
            <w:noProof/>
            <w:sz w:val="18"/>
            <w:szCs w:val="18"/>
          </w:rPr>
          <w:t>Figure 130 : Répartition des personnes enquêtées selon le niveau d'instruction</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_Toc523313813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14" w:history="1">
        <w:r w:rsidR="000F780F" w:rsidRPr="000F780F">
          <w:rPr>
            <w:rStyle w:val="Lienhypertexte"/>
            <w:rFonts w:ascii="Book Antiqua" w:hAnsi="Book Antiqua"/>
            <w:noProof/>
            <w:sz w:val="18"/>
            <w:szCs w:val="18"/>
          </w:rPr>
          <w:t>Figure 131 : Répartition des personnes enquêtées selon la catégorie socioprofessionnelle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_Toc523313814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15" w:history="1">
        <w:r w:rsidR="000F780F" w:rsidRPr="000F780F">
          <w:rPr>
            <w:rStyle w:val="Lienhypertexte"/>
            <w:rFonts w:ascii="Book Antiqua" w:hAnsi="Book Antiqua"/>
            <w:noProof/>
            <w:sz w:val="18"/>
            <w:szCs w:val="18"/>
          </w:rPr>
          <w:t>Figure 132 : Répartition des personnes enquêtées suivant leur niveau de revenus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_Toc523313815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16" w:history="1">
        <w:r w:rsidR="000F780F" w:rsidRPr="000F780F">
          <w:rPr>
            <w:rStyle w:val="Lienhypertexte"/>
            <w:rFonts w:ascii="Book Antiqua" w:hAnsi="Book Antiqua"/>
            <w:noProof/>
            <w:sz w:val="18"/>
            <w:szCs w:val="18"/>
          </w:rPr>
          <w:t>Figure 133 : Répartition des personnes enquêtées suivant le secteur d'activités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_Toc523313816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17" w:history="1">
        <w:r w:rsidR="000F780F" w:rsidRPr="000F780F">
          <w:rPr>
            <w:rStyle w:val="Lienhypertexte"/>
            <w:rFonts w:ascii="Book Antiqua" w:hAnsi="Book Antiqua"/>
            <w:noProof/>
            <w:sz w:val="18"/>
            <w:szCs w:val="18"/>
          </w:rPr>
          <w:t>Figure 134 : Répartition des domiciliations bancaires des personnes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_Toc523313817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18" w:history="1">
        <w:r w:rsidR="000F780F" w:rsidRPr="000F780F">
          <w:rPr>
            <w:rStyle w:val="Lienhypertexte"/>
            <w:rFonts w:ascii="Book Antiqua" w:hAnsi="Book Antiqua"/>
            <w:noProof/>
            <w:sz w:val="18"/>
            <w:szCs w:val="18"/>
          </w:rPr>
          <w:t>Figure 135 : Typologie des produits d'épargne déclarés par les personnes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_Toc523313818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19" w:history="1">
        <w:r w:rsidR="000F780F" w:rsidRPr="000F780F">
          <w:rPr>
            <w:rStyle w:val="Lienhypertexte"/>
            <w:rFonts w:ascii="Book Antiqua" w:hAnsi="Book Antiqua"/>
            <w:noProof/>
            <w:sz w:val="18"/>
            <w:szCs w:val="18"/>
          </w:rPr>
          <w:t>Figure 136 : Répartition des personnes enquêtées selon leur banque principale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_Toc523313819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20" w:history="1">
        <w:r w:rsidR="000F780F" w:rsidRPr="000F780F">
          <w:rPr>
            <w:rStyle w:val="Lienhypertexte"/>
            <w:rFonts w:ascii="Book Antiqua" w:hAnsi="Book Antiqua"/>
            <w:noProof/>
            <w:sz w:val="18"/>
            <w:szCs w:val="18"/>
          </w:rPr>
          <w:t>Figure 137 : Ancienneté des clients personnes physiques dans leur banque principale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_Toc523313820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21" w:history="1">
        <w:r w:rsidR="000F780F" w:rsidRPr="000F780F">
          <w:rPr>
            <w:rStyle w:val="Lienhypertexte"/>
            <w:rFonts w:ascii="Book Antiqua" w:hAnsi="Book Antiqua"/>
            <w:noProof/>
            <w:sz w:val="18"/>
            <w:szCs w:val="18"/>
          </w:rPr>
          <w:t>Figure 138 : Proportion des personnes ayant changé de banque selon leur âge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_Toc523313821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22" w:history="1">
        <w:r w:rsidR="000F780F" w:rsidRPr="000F780F">
          <w:rPr>
            <w:rStyle w:val="Lienhypertexte"/>
            <w:rFonts w:ascii="Book Antiqua" w:hAnsi="Book Antiqua"/>
            <w:noProof/>
            <w:sz w:val="18"/>
            <w:szCs w:val="18"/>
          </w:rPr>
          <w:t>Figure 139 : Proportion de personnes ayant changé de banque selon leur niveau d'instruction</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_Toc523313822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23" w:history="1">
        <w:r w:rsidR="000F780F" w:rsidRPr="000F780F">
          <w:rPr>
            <w:rStyle w:val="Lienhypertexte"/>
            <w:rFonts w:ascii="Book Antiqua" w:hAnsi="Book Antiqua"/>
            <w:noProof/>
            <w:sz w:val="18"/>
            <w:szCs w:val="18"/>
          </w:rPr>
          <w:t>Figure 140 : Proportion de personnes ayant changé de banque selon le niveau de revenus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_Toc523313823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24" w:history="1">
        <w:r w:rsidR="000F780F" w:rsidRPr="000F780F">
          <w:rPr>
            <w:rStyle w:val="Lienhypertexte"/>
            <w:rFonts w:ascii="Book Antiqua" w:hAnsi="Book Antiqua"/>
            <w:noProof/>
            <w:sz w:val="18"/>
            <w:szCs w:val="18"/>
          </w:rPr>
          <w:t>Figure 141 : Nombre de changement de banque chez les personnes enquêtées selon le secteur d'activités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_Toc523313824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25" w:history="1">
        <w:r w:rsidR="000F780F" w:rsidRPr="000F780F">
          <w:rPr>
            <w:rStyle w:val="Lienhypertexte"/>
            <w:rFonts w:ascii="Book Antiqua" w:hAnsi="Book Antiqua"/>
            <w:noProof/>
            <w:sz w:val="18"/>
            <w:szCs w:val="18"/>
          </w:rPr>
          <w:t>Figure 142 : Nombre de changement de banque selon la nature de l'activité des personnes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_Toc523313825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26" w:history="1">
        <w:r w:rsidR="000F780F" w:rsidRPr="000F780F">
          <w:rPr>
            <w:rStyle w:val="Lienhypertexte"/>
            <w:rFonts w:ascii="Book Antiqua" w:hAnsi="Book Antiqua"/>
            <w:noProof/>
            <w:sz w:val="18"/>
            <w:szCs w:val="18"/>
          </w:rPr>
          <w:t>Figure 143 : Proportion des personnes enquêtées ayant changé de banque selon leur niveau de revenu</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_Toc523313826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27" w:history="1">
        <w:r w:rsidR="000F780F" w:rsidRPr="000F780F">
          <w:rPr>
            <w:rStyle w:val="Lienhypertexte"/>
            <w:rFonts w:ascii="Book Antiqua" w:hAnsi="Book Antiqua"/>
            <w:noProof/>
            <w:sz w:val="18"/>
            <w:szCs w:val="18"/>
          </w:rPr>
          <w:t>Figure 144 : Nombre de changement de banque selon le niveau de revenus des personnes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_Toc523313827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28" w:history="1">
        <w:r w:rsidR="000F780F" w:rsidRPr="000F780F">
          <w:rPr>
            <w:rStyle w:val="Lienhypertexte"/>
            <w:rFonts w:ascii="Book Antiqua" w:hAnsi="Book Antiqua"/>
            <w:noProof/>
            <w:sz w:val="18"/>
            <w:szCs w:val="18"/>
          </w:rPr>
          <w:t>Figure 145 : Raisons ayant motivé le changement de banque chez les personnes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_Toc523313828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29" w:history="1">
        <w:r w:rsidR="000F780F" w:rsidRPr="000F780F">
          <w:rPr>
            <w:rStyle w:val="Lienhypertexte"/>
            <w:rFonts w:ascii="Book Antiqua" w:hAnsi="Book Antiqua"/>
            <w:noProof/>
            <w:sz w:val="18"/>
            <w:szCs w:val="18"/>
          </w:rPr>
          <w:t>Figure 146 : Raisons ayant motivé le changement de banque selon l'activité exercée par les personnes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_Toc523313829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109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30" w:history="1">
        <w:r w:rsidR="000F780F" w:rsidRPr="000F780F">
          <w:rPr>
            <w:rStyle w:val="Lienhypertexte"/>
            <w:rFonts w:ascii="Book Antiqua" w:hAnsi="Book Antiqua"/>
            <w:noProof/>
            <w:sz w:val="18"/>
            <w:szCs w:val="18"/>
          </w:rPr>
          <w:t>Figure 147 : Avis des personnes enquêtées sur l'attitude de leur banque face à la volonté de changement de domiciliation</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_Toc523313830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31" w:history="1">
        <w:r w:rsidR="000F780F" w:rsidRPr="000F780F">
          <w:rPr>
            <w:rStyle w:val="Lienhypertexte"/>
            <w:rFonts w:ascii="Book Antiqua" w:hAnsi="Book Antiqua"/>
            <w:noProof/>
            <w:sz w:val="18"/>
            <w:szCs w:val="18"/>
          </w:rPr>
          <w:t>Figure 148 : Avis des personnes sur l'attitude de leur banque face à la volonté de changement de domiciliation selon l'âge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_Toc523313831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32" w:history="1">
        <w:r w:rsidR="000F780F" w:rsidRPr="000F780F">
          <w:rPr>
            <w:rStyle w:val="Lienhypertexte"/>
            <w:rFonts w:ascii="Book Antiqua" w:hAnsi="Book Antiqua"/>
            <w:noProof/>
            <w:sz w:val="18"/>
            <w:szCs w:val="18"/>
          </w:rPr>
          <w:t>Figure 149 : Avis sur l'attitude de leur banque face à la volonté de changement de domiciliation selon le secteur d'activité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_Toc523313832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33" w:history="1">
        <w:r w:rsidR="000F780F" w:rsidRPr="000F780F">
          <w:rPr>
            <w:rStyle w:val="Lienhypertexte"/>
            <w:rFonts w:ascii="Book Antiqua" w:hAnsi="Book Antiqua"/>
            <w:noProof/>
            <w:sz w:val="18"/>
            <w:szCs w:val="18"/>
          </w:rPr>
          <w:t>Figure 150 : Avis des enquêtés sur l'attitude de leur banque face au changement de domiciliation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_Toc523313833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34" w:history="1">
        <w:r w:rsidR="000F780F" w:rsidRPr="000F780F">
          <w:rPr>
            <w:rStyle w:val="Lienhypertexte"/>
            <w:rFonts w:ascii="Book Antiqua" w:hAnsi="Book Antiqua"/>
            <w:noProof/>
            <w:sz w:val="18"/>
            <w:szCs w:val="18"/>
          </w:rPr>
          <w:t>Figure 151 : Appréciation des enquêtés sur la répartition géographique des agences bancaires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_Toc523313834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35" w:history="1">
        <w:r w:rsidR="000F780F" w:rsidRPr="000F780F">
          <w:rPr>
            <w:rStyle w:val="Lienhypertexte"/>
            <w:rFonts w:ascii="Book Antiqua" w:hAnsi="Book Antiqua"/>
            <w:noProof/>
            <w:sz w:val="18"/>
            <w:szCs w:val="18"/>
          </w:rPr>
          <w:t>Figure 152 : Appréciation des enquêtés sur le nombre d'agences bancaires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_Toc523313835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36" w:history="1">
        <w:r w:rsidR="000F780F" w:rsidRPr="000F780F">
          <w:rPr>
            <w:rStyle w:val="Lienhypertexte"/>
            <w:rFonts w:ascii="Book Antiqua" w:hAnsi="Book Antiqua"/>
            <w:noProof/>
            <w:sz w:val="18"/>
            <w:szCs w:val="18"/>
          </w:rPr>
          <w:t>Figure 153 : Appréciation des enquêtés sur le nombre de caisses fonctionnelles de leur banque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_Toc523313836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37" w:history="1">
        <w:r w:rsidR="000F780F" w:rsidRPr="000F780F">
          <w:rPr>
            <w:rStyle w:val="Lienhypertexte"/>
            <w:rFonts w:ascii="Book Antiqua" w:hAnsi="Book Antiqua"/>
            <w:noProof/>
            <w:sz w:val="18"/>
            <w:szCs w:val="18"/>
          </w:rPr>
          <w:t>Figure 154 : Taux d'utilisation des cartes bancaires en fonction de l'âge des personnes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_Toc523313837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38" w:history="1">
        <w:r w:rsidR="000F780F" w:rsidRPr="000F780F">
          <w:rPr>
            <w:rStyle w:val="Lienhypertexte"/>
            <w:rFonts w:ascii="Book Antiqua" w:hAnsi="Book Antiqua"/>
            <w:noProof/>
            <w:sz w:val="18"/>
            <w:szCs w:val="18"/>
          </w:rPr>
          <w:t>Figure 155 : Appréciation des enquêtés sur la répartition géographique des GAB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_Toc523313838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39" w:history="1">
        <w:r w:rsidR="000F780F" w:rsidRPr="000F780F">
          <w:rPr>
            <w:rStyle w:val="Lienhypertexte"/>
            <w:rFonts w:ascii="Book Antiqua" w:hAnsi="Book Antiqua"/>
            <w:noProof/>
            <w:sz w:val="18"/>
            <w:szCs w:val="18"/>
          </w:rPr>
          <w:t>Figure 156 : Appréciation des personnes enquêtées sur la sécurité des GAB de leur banque principale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_Toc523313839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40" w:history="1">
        <w:r w:rsidR="000F780F" w:rsidRPr="000F780F">
          <w:rPr>
            <w:rStyle w:val="Lienhypertexte"/>
            <w:rFonts w:ascii="Book Antiqua" w:hAnsi="Book Antiqua"/>
            <w:noProof/>
            <w:sz w:val="18"/>
            <w:szCs w:val="18"/>
          </w:rPr>
          <w:t>Figure 157: Appréciation des personnes enquêtées sur le délai de renouvellement de la carte bancaire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_Toc523313840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41" w:history="1">
        <w:r w:rsidR="000F780F" w:rsidRPr="000F780F">
          <w:rPr>
            <w:rStyle w:val="Lienhypertexte"/>
            <w:rFonts w:ascii="Book Antiqua" w:hAnsi="Book Antiqua"/>
            <w:noProof/>
            <w:sz w:val="18"/>
            <w:szCs w:val="18"/>
          </w:rPr>
          <w:t>Figure 158 : Utilisation des virements locaux selon la nature de l'activité exercée par les personnes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_Toc523313841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42" w:history="1">
        <w:r w:rsidR="000F780F" w:rsidRPr="000F780F">
          <w:rPr>
            <w:rStyle w:val="Lienhypertexte"/>
            <w:rFonts w:ascii="Book Antiqua" w:hAnsi="Book Antiqua"/>
            <w:noProof/>
            <w:sz w:val="18"/>
            <w:szCs w:val="18"/>
          </w:rPr>
          <w:t>Figure 159 : Taux d'utilisation des virements locaux selon le niveau de revenu</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_Toc523313842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43" w:history="1">
        <w:r w:rsidR="000F780F" w:rsidRPr="000F780F">
          <w:rPr>
            <w:rStyle w:val="Lienhypertexte"/>
            <w:rFonts w:ascii="Book Antiqua" w:hAnsi="Book Antiqua"/>
            <w:noProof/>
            <w:sz w:val="18"/>
            <w:szCs w:val="18"/>
          </w:rPr>
          <w:t>Figure 160 : Appréciation des enquêtés selon les régions sur la durée de traitement des virements locaux</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_Toc523313843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44" w:history="1">
        <w:r w:rsidR="000F780F" w:rsidRPr="000F780F">
          <w:rPr>
            <w:rStyle w:val="Lienhypertexte"/>
            <w:rFonts w:ascii="Book Antiqua" w:hAnsi="Book Antiqua"/>
            <w:noProof/>
            <w:sz w:val="18"/>
            <w:szCs w:val="18"/>
          </w:rPr>
          <w:t>Figure 161 : Taux d'utilisation des virements étrangers selon la nature de l'activité exercée par les enquêtés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_Toc523313844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118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45" w:history="1">
        <w:r w:rsidR="000F780F" w:rsidRPr="000F780F">
          <w:rPr>
            <w:rStyle w:val="Lienhypertexte"/>
            <w:rFonts w:ascii="Book Antiqua" w:hAnsi="Book Antiqua"/>
            <w:noProof/>
            <w:sz w:val="18"/>
            <w:szCs w:val="18"/>
          </w:rPr>
          <w:t>Figure 162 : Appréciation des enquêtés sur la périodicité de réception des relevés de compte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_Toc523313845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46" w:history="1">
        <w:r w:rsidR="000F780F" w:rsidRPr="000F780F">
          <w:rPr>
            <w:rStyle w:val="Lienhypertexte"/>
            <w:rFonts w:ascii="Book Antiqua" w:hAnsi="Book Antiqua"/>
            <w:noProof/>
            <w:sz w:val="18"/>
            <w:szCs w:val="18"/>
          </w:rPr>
          <w:t>Figure 163 : Fréquence de contestation chez les clients d'irrégularités dans les relevés de compte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_Toc523313846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47" w:history="1">
        <w:r w:rsidR="000F780F" w:rsidRPr="000F780F">
          <w:rPr>
            <w:rStyle w:val="Lienhypertexte"/>
            <w:rFonts w:ascii="Book Antiqua" w:hAnsi="Book Antiqua"/>
            <w:noProof/>
            <w:sz w:val="18"/>
            <w:szCs w:val="18"/>
          </w:rPr>
          <w:t>Figure 164 : Appréciation des personnes enquêtées sur le délai de renouvellement du chéquier</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_Toc523313847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48" w:history="1">
        <w:r w:rsidR="000F780F" w:rsidRPr="000F780F">
          <w:rPr>
            <w:rStyle w:val="Lienhypertexte"/>
            <w:rFonts w:ascii="Book Antiqua" w:hAnsi="Book Antiqua"/>
            <w:noProof/>
            <w:sz w:val="18"/>
            <w:szCs w:val="18"/>
          </w:rPr>
          <w:t>Figure 165 : Taux d'utilisation du chéquier selon le genre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_Toc523313848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49" w:history="1">
        <w:r w:rsidR="000F780F" w:rsidRPr="000F780F">
          <w:rPr>
            <w:rStyle w:val="Lienhypertexte"/>
            <w:rFonts w:ascii="Book Antiqua" w:hAnsi="Book Antiqua"/>
            <w:noProof/>
            <w:sz w:val="18"/>
            <w:szCs w:val="18"/>
          </w:rPr>
          <w:t>Figure 166 : Taux d'utilisation du chéquier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_Toc523313849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50" w:history="1">
        <w:r w:rsidR="000F780F" w:rsidRPr="000F780F">
          <w:rPr>
            <w:rStyle w:val="Lienhypertexte"/>
            <w:rFonts w:ascii="Book Antiqua" w:hAnsi="Book Antiqua"/>
            <w:noProof/>
            <w:sz w:val="18"/>
            <w:szCs w:val="18"/>
          </w:rPr>
          <w:t>Figure 167 : Taux d'utilisation du chéquier selon la tranche d'âge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_Toc523313850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51" w:history="1">
        <w:r w:rsidR="000F780F" w:rsidRPr="000F780F">
          <w:rPr>
            <w:rStyle w:val="Lienhypertexte"/>
            <w:rFonts w:ascii="Book Antiqua" w:hAnsi="Book Antiqua"/>
            <w:noProof/>
            <w:sz w:val="18"/>
            <w:szCs w:val="18"/>
          </w:rPr>
          <w:t>Figure 168 : Appréciation des enquêtés selon les régions selon sur le délai de traitement du renouvellement du chéquier</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_Toc523313851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52" w:history="1">
        <w:r w:rsidR="000F780F" w:rsidRPr="000F780F">
          <w:rPr>
            <w:rStyle w:val="Lienhypertexte"/>
            <w:rFonts w:ascii="Book Antiqua" w:hAnsi="Book Antiqua"/>
            <w:noProof/>
            <w:sz w:val="18"/>
            <w:szCs w:val="18"/>
          </w:rPr>
          <w:t>Figure 169 : Appréciation des personnes enquêtées sur les dates de valeur</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_Toc523313852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53" w:history="1">
        <w:r w:rsidR="000F780F" w:rsidRPr="000F780F">
          <w:rPr>
            <w:rStyle w:val="Lienhypertexte"/>
            <w:rFonts w:ascii="Book Antiqua" w:hAnsi="Book Antiqua"/>
            <w:noProof/>
            <w:sz w:val="18"/>
            <w:szCs w:val="18"/>
          </w:rPr>
          <w:t>Figure 170 : Appréciation sur l'adéquation entre produits bancaires et revenus des enquêtés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_Toc523313853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54" w:history="1">
        <w:r w:rsidR="000F780F" w:rsidRPr="000F780F">
          <w:rPr>
            <w:rStyle w:val="Lienhypertexte"/>
            <w:rFonts w:ascii="Book Antiqua" w:hAnsi="Book Antiqua"/>
            <w:noProof/>
            <w:sz w:val="18"/>
            <w:szCs w:val="18"/>
          </w:rPr>
          <w:t>Figure 171 : Appréciation sur l'adéquation entre produits bancaires et revenus des personnes enquêtées selon l'âge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_Toc523313854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55" w:history="1">
        <w:r w:rsidR="000F780F" w:rsidRPr="000F780F">
          <w:rPr>
            <w:rStyle w:val="Lienhypertexte"/>
            <w:rFonts w:ascii="Book Antiqua" w:hAnsi="Book Antiqua"/>
            <w:noProof/>
            <w:sz w:val="18"/>
            <w:szCs w:val="18"/>
          </w:rPr>
          <w:t>Figure 172 : Appréciation sur l'adéquation entre produits de la banque et revenus des enquêtés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_Toc523313855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56" w:history="1">
        <w:r w:rsidR="000F780F" w:rsidRPr="000F780F">
          <w:rPr>
            <w:rStyle w:val="Lienhypertexte"/>
            <w:rFonts w:ascii="Book Antiqua" w:hAnsi="Book Antiqua"/>
            <w:noProof/>
            <w:sz w:val="18"/>
            <w:szCs w:val="18"/>
          </w:rPr>
          <w:t>Figure 173 : Appréciation  sur l'adéquation des produits de la banque avec les projets des clients enquêtés selon leur âge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_Toc523313856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57" w:history="1">
        <w:r w:rsidR="000F780F" w:rsidRPr="000F780F">
          <w:rPr>
            <w:rStyle w:val="Lienhypertexte"/>
            <w:rFonts w:ascii="Book Antiqua" w:hAnsi="Book Antiqua"/>
            <w:noProof/>
            <w:sz w:val="18"/>
            <w:szCs w:val="18"/>
          </w:rPr>
          <w:t>Figure 174 : Appréciation sur l'adéquation des produits bancaires avec les projets des enquêtés selon leur niveau de revenus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_Toc523313857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58" w:history="1">
        <w:r w:rsidR="000F780F" w:rsidRPr="000F780F">
          <w:rPr>
            <w:rStyle w:val="Lienhypertexte"/>
            <w:rFonts w:ascii="Book Antiqua" w:hAnsi="Book Antiqua"/>
            <w:noProof/>
            <w:sz w:val="18"/>
            <w:szCs w:val="18"/>
          </w:rPr>
          <w:t>Figure 175 : Appréciation des personnes enquêtées sur le coût de la carte bancaire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_Toc523313858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59" w:history="1">
        <w:r w:rsidR="000F780F" w:rsidRPr="000F780F">
          <w:rPr>
            <w:rStyle w:val="Lienhypertexte"/>
            <w:rFonts w:ascii="Book Antiqua" w:hAnsi="Book Antiqua"/>
            <w:noProof/>
            <w:sz w:val="18"/>
            <w:szCs w:val="18"/>
          </w:rPr>
          <w:t>Figure 176 : Appréciation des personnes enquêtées sur le coût hors réseau GAB</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_Toc523313859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60" w:history="1">
        <w:r w:rsidR="000F780F" w:rsidRPr="000F780F">
          <w:rPr>
            <w:rStyle w:val="Lienhypertexte"/>
            <w:rFonts w:ascii="Book Antiqua" w:hAnsi="Book Antiqua"/>
            <w:noProof/>
            <w:sz w:val="18"/>
            <w:szCs w:val="18"/>
          </w:rPr>
          <w:t>Figure 177 : Proportion des clients personnes physiques bénéficiaires de crédits selon l'âge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_Toc523313860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61" w:history="1">
        <w:r w:rsidR="000F780F" w:rsidRPr="000F780F">
          <w:rPr>
            <w:rStyle w:val="Lienhypertexte"/>
            <w:rFonts w:ascii="Book Antiqua" w:hAnsi="Book Antiqua"/>
            <w:noProof/>
            <w:sz w:val="18"/>
            <w:szCs w:val="18"/>
          </w:rPr>
          <w:t>Figure 178 : Proportion des clients personnes physiques bénéficiaires de crédits selon la catégorie socioprofessionnelle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_Toc523313861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62" w:history="1">
        <w:r w:rsidR="000F780F" w:rsidRPr="000F780F">
          <w:rPr>
            <w:rStyle w:val="Lienhypertexte"/>
            <w:rFonts w:ascii="Book Antiqua" w:hAnsi="Book Antiqua"/>
            <w:noProof/>
            <w:sz w:val="18"/>
            <w:szCs w:val="18"/>
          </w:rPr>
          <w:t>Figure 179 : Proportion des clients personnes physiques bénéficiaires de crédits selon le niveau de revenu</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_Toc523313862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129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63" w:history="1">
        <w:r w:rsidR="000F780F" w:rsidRPr="000F780F">
          <w:rPr>
            <w:rStyle w:val="Lienhypertexte"/>
            <w:rFonts w:ascii="Book Antiqua" w:hAnsi="Book Antiqua"/>
            <w:noProof/>
            <w:sz w:val="18"/>
            <w:szCs w:val="18"/>
          </w:rPr>
          <w:t>Figure 180 : Typologie des prêts consentis aux personnes physiques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_Toc523313863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64" w:history="1">
        <w:r w:rsidR="000F780F" w:rsidRPr="000F780F">
          <w:rPr>
            <w:rStyle w:val="Lienhypertexte"/>
            <w:rFonts w:ascii="Book Antiqua" w:hAnsi="Book Antiqua"/>
            <w:noProof/>
            <w:sz w:val="18"/>
            <w:szCs w:val="18"/>
          </w:rPr>
          <w:t>Figure 181 : Niveau de connaissance des engagements antérieurs des clients avant l'octroi de crédit selon la nature de l'activité</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_Toc523313864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65" w:history="1">
        <w:r w:rsidR="000F780F" w:rsidRPr="000F780F">
          <w:rPr>
            <w:rStyle w:val="Lienhypertexte"/>
            <w:rFonts w:ascii="Book Antiqua" w:hAnsi="Book Antiqua"/>
            <w:noProof/>
            <w:sz w:val="18"/>
            <w:szCs w:val="18"/>
          </w:rPr>
          <w:t>Figure 182 : Niveau de connaissance des engagements antérieurs des clients selon la catégorie professionnelle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_Toc523313865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66" w:history="1">
        <w:r w:rsidR="000F780F" w:rsidRPr="000F780F">
          <w:rPr>
            <w:rStyle w:val="Lienhypertexte"/>
            <w:rFonts w:ascii="Book Antiqua" w:hAnsi="Book Antiqua"/>
            <w:noProof/>
            <w:sz w:val="18"/>
            <w:szCs w:val="18"/>
          </w:rPr>
          <w:t>Figure 183 : Délais d'instruction des demandes de prêt des clients personnes physiques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_Toc523313866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67" w:history="1">
        <w:r w:rsidR="000F780F" w:rsidRPr="000F780F">
          <w:rPr>
            <w:rStyle w:val="Lienhypertexte"/>
            <w:rFonts w:ascii="Book Antiqua" w:hAnsi="Book Antiqua"/>
            <w:noProof/>
            <w:sz w:val="18"/>
            <w:szCs w:val="18"/>
          </w:rPr>
          <w:t>Figure 184: Délais d'instruction des demandes de prêts selon leur nature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_Toc523313867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68" w:history="1">
        <w:r w:rsidR="000F780F" w:rsidRPr="000F780F">
          <w:rPr>
            <w:rStyle w:val="Lienhypertexte"/>
            <w:rFonts w:ascii="Book Antiqua" w:hAnsi="Book Antiqua"/>
            <w:noProof/>
            <w:sz w:val="18"/>
            <w:szCs w:val="18"/>
          </w:rPr>
          <w:t>Figure 185 : Appréciation des clients personnes physiques sur les délais de traitement des demandes de prêts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_Toc523313868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69" w:history="1">
        <w:r w:rsidR="000F780F" w:rsidRPr="000F780F">
          <w:rPr>
            <w:rStyle w:val="Lienhypertexte"/>
            <w:rFonts w:ascii="Book Antiqua" w:hAnsi="Book Antiqua"/>
            <w:noProof/>
            <w:sz w:val="18"/>
            <w:szCs w:val="18"/>
          </w:rPr>
          <w:t>Figure 186 : Appréciation des clients personnes physiques sur les niveaux des taux d'intérêt débiteurs des banques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_Toc523313869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70" w:history="1">
        <w:r w:rsidR="000F780F" w:rsidRPr="000F780F">
          <w:rPr>
            <w:rStyle w:val="Lienhypertexte"/>
            <w:rFonts w:ascii="Book Antiqua" w:hAnsi="Book Antiqua"/>
            <w:noProof/>
            <w:sz w:val="18"/>
            <w:szCs w:val="18"/>
          </w:rPr>
          <w:t>Figure 187 : Appréciation des clients sur l'information préalable concernant le TEG</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_Toc523313870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71" w:history="1">
        <w:r w:rsidR="000F780F" w:rsidRPr="000F780F">
          <w:rPr>
            <w:rStyle w:val="Lienhypertexte"/>
            <w:rFonts w:ascii="Book Antiqua" w:hAnsi="Book Antiqua"/>
            <w:noProof/>
            <w:sz w:val="18"/>
            <w:szCs w:val="18"/>
          </w:rPr>
          <w:t>Figure 188 : Perception des clients personnes physiques sur les garanties assorties aux prêts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_Toc523313871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72" w:history="1">
        <w:r w:rsidR="000F780F" w:rsidRPr="000F780F">
          <w:rPr>
            <w:rStyle w:val="Lienhypertexte"/>
            <w:rFonts w:ascii="Book Antiqua" w:hAnsi="Book Antiqua"/>
            <w:noProof/>
            <w:sz w:val="18"/>
            <w:szCs w:val="18"/>
          </w:rPr>
          <w:t>Figure 189 : Appréciation des clients personnes physiques sur le coût de dépassement ponctuel</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_Toc523313872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73" w:history="1">
        <w:r w:rsidR="000F780F" w:rsidRPr="000F780F">
          <w:rPr>
            <w:rStyle w:val="Lienhypertexte"/>
            <w:rFonts w:ascii="Book Antiqua" w:hAnsi="Book Antiqua"/>
            <w:noProof/>
            <w:sz w:val="18"/>
            <w:szCs w:val="18"/>
          </w:rPr>
          <w:t>Figure 190 : Appréciation des clients personnes physiques sur le délai de traitement des demandes de dépassement</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_Toc523313873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74" w:history="1">
        <w:r w:rsidR="000F780F" w:rsidRPr="000F780F">
          <w:rPr>
            <w:rStyle w:val="Lienhypertexte"/>
            <w:rFonts w:ascii="Book Antiqua" w:hAnsi="Book Antiqua"/>
            <w:noProof/>
            <w:sz w:val="18"/>
            <w:szCs w:val="18"/>
          </w:rPr>
          <w:t>Figure 191 : Appréciation des clients personnes physiques sur les coûts de gestion du compte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_Toc523313874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75" w:history="1">
        <w:r w:rsidR="000F780F" w:rsidRPr="000F780F">
          <w:rPr>
            <w:rStyle w:val="Lienhypertexte"/>
            <w:rFonts w:ascii="Book Antiqua" w:hAnsi="Book Antiqua"/>
            <w:noProof/>
            <w:sz w:val="18"/>
            <w:szCs w:val="18"/>
          </w:rPr>
          <w:t>Figure 192 : Appréciation des personnes enquêtées sur la qualité du service de consultation à distance de leur banque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_Toc523313875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76" w:history="1">
        <w:r w:rsidR="000F780F" w:rsidRPr="000F780F">
          <w:rPr>
            <w:rStyle w:val="Lienhypertexte"/>
            <w:rFonts w:ascii="Book Antiqua" w:hAnsi="Book Antiqua"/>
            <w:noProof/>
            <w:sz w:val="18"/>
            <w:szCs w:val="18"/>
          </w:rPr>
          <w:t>Figure 193: Appréciation des clients personnes physiques sur le coût du service de consultance à distance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_Toc523313876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77" w:history="1">
        <w:r w:rsidR="000F780F" w:rsidRPr="000F780F">
          <w:rPr>
            <w:rStyle w:val="Lienhypertexte"/>
            <w:rFonts w:ascii="Book Antiqua" w:hAnsi="Book Antiqua"/>
            <w:noProof/>
            <w:sz w:val="18"/>
            <w:szCs w:val="18"/>
          </w:rPr>
          <w:t>Figure 194 : Appréciation des personnes enquêtées sur l'accessibilité géographique des agences bancaires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_Toc523313877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78" w:history="1">
        <w:r w:rsidR="000F780F" w:rsidRPr="000F780F">
          <w:rPr>
            <w:rStyle w:val="Lienhypertexte"/>
            <w:rFonts w:ascii="Book Antiqua" w:hAnsi="Book Antiqua"/>
            <w:noProof/>
            <w:sz w:val="18"/>
            <w:szCs w:val="18"/>
          </w:rPr>
          <w:t>Figure 195 : Satisfaction des enquêtés sur l'accessibilité géographique des agences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_Toc523313878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139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79" w:history="1">
        <w:r w:rsidR="000F780F" w:rsidRPr="000F780F">
          <w:rPr>
            <w:rStyle w:val="Lienhypertexte"/>
            <w:rFonts w:ascii="Book Antiqua" w:hAnsi="Book Antiqua"/>
            <w:noProof/>
            <w:sz w:val="18"/>
            <w:szCs w:val="18"/>
          </w:rPr>
          <w:t>Figure 196 : Opinions des enquêtés sur les horaires de service des agences bancaires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_Toc523313879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80" w:history="1">
        <w:r w:rsidR="000F780F" w:rsidRPr="000F780F">
          <w:rPr>
            <w:rStyle w:val="Lienhypertexte"/>
            <w:rFonts w:ascii="Book Antiqua" w:hAnsi="Book Antiqua"/>
            <w:noProof/>
            <w:sz w:val="18"/>
            <w:szCs w:val="18"/>
          </w:rPr>
          <w:t>Figure 197 : Opinions des enquêtés sur les horaires de service des agences des banques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_Toc523313880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81" w:history="1">
        <w:r w:rsidR="000F780F" w:rsidRPr="000F780F">
          <w:rPr>
            <w:rStyle w:val="Lienhypertexte"/>
            <w:rFonts w:ascii="Book Antiqua" w:hAnsi="Book Antiqua"/>
            <w:noProof/>
            <w:sz w:val="18"/>
            <w:szCs w:val="18"/>
          </w:rPr>
          <w:t>Figure 198 : Opinions des clients enquêtés sur les horaires des agences des banques suivant les secteurs d'activités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_Toc523313881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82" w:history="1">
        <w:r w:rsidR="000F780F" w:rsidRPr="000F780F">
          <w:rPr>
            <w:rStyle w:val="Lienhypertexte"/>
            <w:rFonts w:ascii="Book Antiqua" w:hAnsi="Book Antiqua"/>
            <w:noProof/>
            <w:sz w:val="18"/>
            <w:szCs w:val="18"/>
          </w:rPr>
          <w:t>Figure 199 : Appréciation des personnes physiques sur la qualité de l'accès par téléphone à leur banque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_Toc523313882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141</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83" w:history="1">
        <w:r w:rsidR="000F780F" w:rsidRPr="000F780F">
          <w:rPr>
            <w:rStyle w:val="Lienhypertexte"/>
            <w:rFonts w:ascii="Book Antiqua" w:hAnsi="Book Antiqua"/>
            <w:noProof/>
            <w:sz w:val="18"/>
            <w:szCs w:val="18"/>
          </w:rPr>
          <w:t>Figure 200 : Appréciation des personnes enquêtées sur la qualité de l'accès par téléphone à leur banque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_Toc523313883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84" w:history="1">
        <w:r w:rsidR="000F780F" w:rsidRPr="000F780F">
          <w:rPr>
            <w:rStyle w:val="Lienhypertexte"/>
            <w:rFonts w:ascii="Book Antiqua" w:hAnsi="Book Antiqua"/>
            <w:noProof/>
            <w:sz w:val="18"/>
            <w:szCs w:val="18"/>
          </w:rPr>
          <w:t>Figure 201 : Appréciation des personnes physiques sur la qualité de l'accès par internet à leur banque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_Toc523313884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142</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85" w:history="1">
        <w:r w:rsidR="000F780F" w:rsidRPr="000F780F">
          <w:rPr>
            <w:rStyle w:val="Lienhypertexte"/>
            <w:rFonts w:ascii="Book Antiqua" w:hAnsi="Book Antiqua"/>
            <w:noProof/>
            <w:sz w:val="18"/>
            <w:szCs w:val="18"/>
          </w:rPr>
          <w:t>Figure 202 : Opinions des clients sur la qualité du suivi personnalisé de leur banque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_Toc523313885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86" w:history="1">
        <w:r w:rsidR="000F780F" w:rsidRPr="000F780F">
          <w:rPr>
            <w:rStyle w:val="Lienhypertexte"/>
            <w:rFonts w:ascii="Book Antiqua" w:hAnsi="Book Antiqua"/>
            <w:noProof/>
            <w:sz w:val="18"/>
            <w:szCs w:val="18"/>
          </w:rPr>
          <w:t>Figure 203 : Opinions des personnes physiques sur la qualité du suivi personnalisé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_Toc523313886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143</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87" w:history="1">
        <w:r w:rsidR="000F780F" w:rsidRPr="000F780F">
          <w:rPr>
            <w:rStyle w:val="Lienhypertexte"/>
            <w:rFonts w:ascii="Book Antiqua" w:hAnsi="Book Antiqua"/>
            <w:noProof/>
            <w:sz w:val="18"/>
            <w:szCs w:val="18"/>
          </w:rPr>
          <w:t>Figure 204 : Opinions des personnes physiques sur la qualité des conseils et la capacité d'écoute du conseiller</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_Toc523313887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88" w:history="1">
        <w:r w:rsidR="000F780F" w:rsidRPr="000F780F">
          <w:rPr>
            <w:rStyle w:val="Lienhypertexte"/>
            <w:rFonts w:ascii="Book Antiqua" w:hAnsi="Book Antiqua"/>
            <w:noProof/>
            <w:sz w:val="18"/>
            <w:szCs w:val="18"/>
          </w:rPr>
          <w:t>Figure 205 : Opinions des personnes interrogées sur la capacité d'écoute et la qualité des conseils selon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_Toc523313888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144</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89" w:history="1">
        <w:r w:rsidR="000F780F" w:rsidRPr="000F780F">
          <w:rPr>
            <w:rStyle w:val="Lienhypertexte"/>
            <w:rFonts w:ascii="Book Antiqua" w:hAnsi="Book Antiqua"/>
            <w:noProof/>
            <w:sz w:val="18"/>
            <w:szCs w:val="18"/>
          </w:rPr>
          <w:t>Figure 206 : Avis des clients sur la qualité de l'accueil du personnel de l'agence bancaire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_Toc523313889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90" w:history="1">
        <w:r w:rsidR="000F780F" w:rsidRPr="000F780F">
          <w:rPr>
            <w:rStyle w:val="Lienhypertexte"/>
            <w:rFonts w:ascii="Book Antiqua" w:hAnsi="Book Antiqua"/>
            <w:noProof/>
            <w:sz w:val="18"/>
            <w:szCs w:val="18"/>
          </w:rPr>
          <w:t>Figure 207 : Opinions des personnes physiques enquêtées sur le personnel d'accueil de l'agence de la banque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_Toc523313890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145</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91" w:history="1">
        <w:r w:rsidR="000F780F" w:rsidRPr="000F780F">
          <w:rPr>
            <w:rStyle w:val="Lienhypertexte"/>
            <w:rFonts w:ascii="Book Antiqua" w:hAnsi="Book Antiqua"/>
            <w:noProof/>
            <w:sz w:val="18"/>
            <w:szCs w:val="18"/>
          </w:rPr>
          <w:t>Figure 208 : Opinions des personnes enquêtées sur la qualité de la gestion de leur compte</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_Toc523313891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92" w:history="1">
        <w:r w:rsidR="000F780F" w:rsidRPr="000F780F">
          <w:rPr>
            <w:rStyle w:val="Lienhypertexte"/>
            <w:rFonts w:ascii="Book Antiqua" w:hAnsi="Book Antiqua"/>
            <w:noProof/>
            <w:sz w:val="18"/>
            <w:szCs w:val="18"/>
          </w:rPr>
          <w:t>Figure 209 : Opinions des personnes enquêtées sur la qualité de la gestion du compte suivant les régions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_Toc523313892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146</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93" w:history="1">
        <w:r w:rsidR="000F780F" w:rsidRPr="000F780F">
          <w:rPr>
            <w:rStyle w:val="Lienhypertexte"/>
            <w:rFonts w:ascii="Book Antiqua" w:hAnsi="Book Antiqua"/>
            <w:noProof/>
            <w:sz w:val="18"/>
            <w:szCs w:val="18"/>
          </w:rPr>
          <w:t>Figure 210 : Opinions des personnes enquêtées sur la qualité de l'information fournie sur les tarifs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_Toc523313893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94" w:history="1">
        <w:r w:rsidR="000F780F" w:rsidRPr="000F780F">
          <w:rPr>
            <w:rStyle w:val="Lienhypertexte"/>
            <w:rFonts w:ascii="Book Antiqua" w:hAnsi="Book Antiqua"/>
            <w:noProof/>
            <w:sz w:val="18"/>
            <w:szCs w:val="18"/>
          </w:rPr>
          <w:t>Figure 211 : Avis des personnes enquêtées sur la qualité des informations fournies par les banques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_Toc523313894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147</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95" w:history="1">
        <w:r w:rsidR="000F780F" w:rsidRPr="000F780F">
          <w:rPr>
            <w:rStyle w:val="Lienhypertexte"/>
            <w:rFonts w:ascii="Book Antiqua" w:hAnsi="Book Antiqua"/>
            <w:noProof/>
            <w:sz w:val="18"/>
            <w:szCs w:val="18"/>
          </w:rPr>
          <w:t>Figure 212 : Nombre de réclamations formulées par les personnes physiques enquêtées lors des 5 dernières années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_Toc523313895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148</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96" w:history="1">
        <w:r w:rsidR="000F780F" w:rsidRPr="000F780F">
          <w:rPr>
            <w:rStyle w:val="Lienhypertexte"/>
            <w:rFonts w:ascii="Book Antiqua" w:hAnsi="Book Antiqua"/>
            <w:noProof/>
            <w:sz w:val="18"/>
            <w:szCs w:val="18"/>
          </w:rPr>
          <w:t>Figure 213 : Causes des réclamations formulées par les personnes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_Toc523313896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97" w:history="1">
        <w:r w:rsidR="000F780F" w:rsidRPr="000F780F">
          <w:rPr>
            <w:rStyle w:val="Lienhypertexte"/>
            <w:rFonts w:ascii="Book Antiqua" w:hAnsi="Book Antiqua"/>
            <w:noProof/>
            <w:sz w:val="18"/>
            <w:szCs w:val="18"/>
          </w:rPr>
          <w:t>Figure 214 : Avis des personnes enquêtées sur la qualité du suivi des réclamations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_Toc523313897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149</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98" w:history="1">
        <w:r w:rsidR="000F780F" w:rsidRPr="000F780F">
          <w:rPr>
            <w:rStyle w:val="Lienhypertexte"/>
            <w:rFonts w:ascii="Book Antiqua" w:hAnsi="Book Antiqua"/>
            <w:noProof/>
            <w:sz w:val="18"/>
            <w:szCs w:val="18"/>
          </w:rPr>
          <w:t>Figure 215 : Fréquence de survenance des litiges déclarés par les personnes physiques enquêtées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_Toc523313898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150</w:t>
        </w:r>
        <w:r w:rsidRPr="000F780F">
          <w:rPr>
            <w:rFonts w:ascii="Book Antiqua" w:hAnsi="Book Antiqua"/>
            <w:noProof/>
            <w:webHidden/>
            <w:sz w:val="18"/>
            <w:szCs w:val="18"/>
          </w:rPr>
          <w:fldChar w:fldCharType="end"/>
        </w:r>
      </w:hyperlink>
    </w:p>
    <w:p w:rsidR="000F780F" w:rsidRPr="000F780F" w:rsidRDefault="000D65F2">
      <w:pPr>
        <w:pStyle w:val="Tabledesillustrations"/>
        <w:tabs>
          <w:tab w:val="right" w:leader="dot" w:pos="9572"/>
        </w:tabs>
        <w:rPr>
          <w:rFonts w:ascii="Book Antiqua" w:eastAsiaTheme="minorEastAsia" w:hAnsi="Book Antiqua" w:cstheme="minorBidi"/>
          <w:noProof/>
          <w:sz w:val="18"/>
          <w:szCs w:val="18"/>
        </w:rPr>
      </w:pPr>
      <w:hyperlink w:anchor="_Toc523313899" w:history="1">
        <w:r w:rsidR="000F780F" w:rsidRPr="000F780F">
          <w:rPr>
            <w:rStyle w:val="Lienhypertexte"/>
            <w:rFonts w:ascii="Book Antiqua" w:hAnsi="Book Antiqua"/>
            <w:noProof/>
            <w:sz w:val="18"/>
            <w:szCs w:val="18"/>
          </w:rPr>
          <w:t>Figure 216 : Typologie des litiges déclarés par les clients personnes physiques</w:t>
        </w:r>
        <w:r w:rsidR="000F780F" w:rsidRPr="000F780F">
          <w:rPr>
            <w:rFonts w:ascii="Book Antiqua" w:hAnsi="Book Antiqua"/>
            <w:noProof/>
            <w:webHidden/>
            <w:sz w:val="18"/>
            <w:szCs w:val="18"/>
          </w:rPr>
          <w:tab/>
        </w:r>
        <w:r w:rsidRPr="000F780F">
          <w:rPr>
            <w:rFonts w:ascii="Book Antiqua" w:hAnsi="Book Antiqua"/>
            <w:noProof/>
            <w:webHidden/>
            <w:sz w:val="18"/>
            <w:szCs w:val="18"/>
          </w:rPr>
          <w:fldChar w:fldCharType="begin"/>
        </w:r>
        <w:r w:rsidR="000F780F" w:rsidRPr="000F780F">
          <w:rPr>
            <w:rFonts w:ascii="Book Antiqua" w:hAnsi="Book Antiqua"/>
            <w:noProof/>
            <w:webHidden/>
            <w:sz w:val="18"/>
            <w:szCs w:val="18"/>
          </w:rPr>
          <w:instrText xml:space="preserve"> PAGEREF _Toc523313899 \h </w:instrText>
        </w:r>
        <w:r w:rsidRPr="000F780F">
          <w:rPr>
            <w:rFonts w:ascii="Book Antiqua" w:hAnsi="Book Antiqua"/>
            <w:noProof/>
            <w:webHidden/>
            <w:sz w:val="18"/>
            <w:szCs w:val="18"/>
          </w:rPr>
        </w:r>
        <w:r w:rsidRPr="000F780F">
          <w:rPr>
            <w:rFonts w:ascii="Book Antiqua" w:hAnsi="Book Antiqua"/>
            <w:noProof/>
            <w:webHidden/>
            <w:sz w:val="18"/>
            <w:szCs w:val="18"/>
          </w:rPr>
          <w:fldChar w:fldCharType="separate"/>
        </w:r>
        <w:r w:rsidR="00D76382">
          <w:rPr>
            <w:rFonts w:ascii="Book Antiqua" w:hAnsi="Book Antiqua"/>
            <w:noProof/>
            <w:webHidden/>
            <w:sz w:val="18"/>
            <w:szCs w:val="18"/>
          </w:rPr>
          <w:t>150</w:t>
        </w:r>
        <w:r w:rsidRPr="000F780F">
          <w:rPr>
            <w:rFonts w:ascii="Book Antiqua" w:hAnsi="Book Antiqua"/>
            <w:noProof/>
            <w:webHidden/>
            <w:sz w:val="18"/>
            <w:szCs w:val="18"/>
          </w:rPr>
          <w:fldChar w:fldCharType="end"/>
        </w:r>
      </w:hyperlink>
    </w:p>
    <w:p w:rsidR="00AA61C2" w:rsidRPr="000F780F" w:rsidRDefault="000D65F2" w:rsidP="002A668C">
      <w:pPr>
        <w:spacing w:after="120"/>
        <w:ind w:left="851" w:hanging="851"/>
        <w:contextualSpacing/>
        <w:jc w:val="both"/>
        <w:rPr>
          <w:rFonts w:ascii="Book Antiqua" w:hAnsi="Book Antiqua" w:cs="Arial"/>
          <w:sz w:val="18"/>
          <w:szCs w:val="18"/>
        </w:rPr>
      </w:pPr>
      <w:r w:rsidRPr="000F780F">
        <w:rPr>
          <w:rFonts w:ascii="Book Antiqua" w:hAnsi="Book Antiqua" w:cs="Arial"/>
          <w:i/>
          <w:sz w:val="18"/>
          <w:szCs w:val="18"/>
        </w:rPr>
        <w:fldChar w:fldCharType="end"/>
      </w:r>
    </w:p>
    <w:p w:rsidR="00AA61C2" w:rsidRPr="000F780F" w:rsidRDefault="00AA61C2" w:rsidP="00A43EFD">
      <w:pPr>
        <w:tabs>
          <w:tab w:val="left" w:pos="-720"/>
        </w:tabs>
        <w:suppressAutoHyphens/>
        <w:spacing w:line="312" w:lineRule="auto"/>
        <w:jc w:val="both"/>
        <w:rPr>
          <w:rFonts w:ascii="Book Antiqua" w:hAnsi="Book Antiqua" w:cs="Arial"/>
          <w:sz w:val="18"/>
          <w:szCs w:val="18"/>
        </w:rPr>
      </w:pPr>
    </w:p>
    <w:p w:rsidR="00941B3F" w:rsidRPr="000F780F" w:rsidRDefault="00941B3F" w:rsidP="00A43EFD">
      <w:pPr>
        <w:tabs>
          <w:tab w:val="left" w:pos="-720"/>
        </w:tabs>
        <w:suppressAutoHyphens/>
        <w:spacing w:line="312" w:lineRule="auto"/>
        <w:jc w:val="both"/>
        <w:rPr>
          <w:rFonts w:ascii="Arial" w:hAnsi="Arial" w:cs="Arial"/>
          <w:sz w:val="18"/>
          <w:szCs w:val="22"/>
        </w:rPr>
      </w:pPr>
    </w:p>
    <w:p w:rsidR="00941B3F" w:rsidRDefault="00941B3F" w:rsidP="00A43EFD">
      <w:pPr>
        <w:tabs>
          <w:tab w:val="left" w:pos="-720"/>
        </w:tabs>
        <w:suppressAutoHyphens/>
        <w:spacing w:line="312" w:lineRule="auto"/>
        <w:jc w:val="both"/>
        <w:rPr>
          <w:rFonts w:ascii="Arial" w:hAnsi="Arial" w:cs="Arial"/>
          <w:sz w:val="18"/>
          <w:szCs w:val="22"/>
        </w:rPr>
      </w:pPr>
    </w:p>
    <w:p w:rsidR="007030BD" w:rsidRPr="007B2558" w:rsidRDefault="007030BD" w:rsidP="00A43EFD">
      <w:pPr>
        <w:tabs>
          <w:tab w:val="left" w:pos="-720"/>
        </w:tabs>
        <w:suppressAutoHyphens/>
        <w:spacing w:line="312" w:lineRule="auto"/>
        <w:jc w:val="both"/>
        <w:rPr>
          <w:rFonts w:ascii="Arial" w:hAnsi="Arial" w:cs="Arial"/>
          <w:sz w:val="18"/>
          <w:szCs w:val="22"/>
        </w:rPr>
        <w:sectPr w:rsidR="007030BD" w:rsidRPr="007B2558" w:rsidSect="00AE2523">
          <w:pgSz w:w="11907" w:h="16840" w:code="9"/>
          <w:pgMar w:top="680" w:right="1134" w:bottom="680" w:left="1191" w:header="454" w:footer="454" w:gutter="0"/>
          <w:cols w:space="720"/>
          <w:docGrid w:linePitch="360"/>
        </w:sectPr>
      </w:pPr>
    </w:p>
    <w:p w:rsidR="003653F9" w:rsidRPr="00DD6CE8" w:rsidRDefault="003653F9" w:rsidP="003653F9">
      <w:pPr>
        <w:tabs>
          <w:tab w:val="left" w:pos="-720"/>
        </w:tabs>
        <w:suppressAutoHyphens/>
        <w:spacing w:line="312" w:lineRule="auto"/>
        <w:jc w:val="center"/>
        <w:outlineLvl w:val="0"/>
        <w:rPr>
          <w:rFonts w:ascii="Book Antiqua" w:hAnsi="Book Antiqua" w:cs="Arial"/>
          <w:b/>
          <w:sz w:val="22"/>
          <w:szCs w:val="22"/>
        </w:rPr>
      </w:pPr>
      <w:bookmarkStart w:id="2" w:name="_Toc523322011"/>
      <w:r w:rsidRPr="00F464A9">
        <w:rPr>
          <w:rFonts w:ascii="Book Antiqua" w:hAnsi="Book Antiqua" w:cs="Arial"/>
          <w:b/>
          <w:sz w:val="22"/>
          <w:szCs w:val="22"/>
        </w:rPr>
        <w:lastRenderedPageBreak/>
        <w:t>SIGLES ET ABREVIATIONS</w:t>
      </w:r>
      <w:bookmarkEnd w:id="2"/>
    </w:p>
    <w:p w:rsidR="007A5AC0" w:rsidRPr="007A5AC0" w:rsidRDefault="007A5AC0" w:rsidP="007A5AC0">
      <w:pPr>
        <w:rPr>
          <w:sz w:val="20"/>
          <w:szCs w:val="20"/>
        </w:rPr>
      </w:pP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bCs/>
          <w:sz w:val="20"/>
          <w:szCs w:val="20"/>
        </w:rPr>
        <w:t xml:space="preserve">ANSD : </w:t>
      </w:r>
      <w:r w:rsidRPr="00D746CC">
        <w:rPr>
          <w:rFonts w:ascii="Book Antiqua" w:hAnsi="Book Antiqua" w:cs="Arial"/>
          <w:sz w:val="20"/>
          <w:szCs w:val="20"/>
        </w:rPr>
        <w:t>Agence Nationale de la Statistique et de la Démographie</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 xml:space="preserve">BAS : </w:t>
      </w:r>
      <w:r w:rsidRPr="00D746CC">
        <w:rPr>
          <w:rFonts w:ascii="Book Antiqua" w:hAnsi="Book Antiqua" w:cs="Arial"/>
          <w:sz w:val="20"/>
          <w:szCs w:val="20"/>
        </w:rPr>
        <w:t>Banque Atlantique du Sénégal</w:t>
      </w:r>
    </w:p>
    <w:p w:rsidR="007A5AC0"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BHS :</w:t>
      </w:r>
      <w:r w:rsidRPr="00D746CC">
        <w:rPr>
          <w:rFonts w:ascii="Book Antiqua" w:hAnsi="Book Antiqua" w:cs="Arial"/>
          <w:sz w:val="20"/>
          <w:szCs w:val="20"/>
        </w:rPr>
        <w:t xml:space="preserve"> Banque de l’Habitat du Sénégal</w:t>
      </w:r>
    </w:p>
    <w:p w:rsidR="00551040" w:rsidRPr="00D746CC" w:rsidRDefault="0055104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B</w:t>
      </w:r>
      <w:r>
        <w:rPr>
          <w:rFonts w:ascii="Book Antiqua" w:hAnsi="Book Antiqua" w:cs="Arial"/>
          <w:b/>
          <w:sz w:val="20"/>
          <w:szCs w:val="20"/>
        </w:rPr>
        <w:t>IC</w:t>
      </w:r>
      <w:r w:rsidRPr="00D746CC">
        <w:rPr>
          <w:rFonts w:ascii="Book Antiqua" w:hAnsi="Book Antiqua" w:cs="Arial"/>
          <w:b/>
          <w:sz w:val="20"/>
          <w:szCs w:val="20"/>
        </w:rPr>
        <w:t> :</w:t>
      </w:r>
      <w:r w:rsidRPr="00D746CC">
        <w:rPr>
          <w:rFonts w:ascii="Book Antiqua" w:hAnsi="Book Antiqua" w:cs="Arial"/>
          <w:sz w:val="20"/>
          <w:szCs w:val="20"/>
        </w:rPr>
        <w:t xml:space="preserve"> B</w:t>
      </w:r>
      <w:r>
        <w:rPr>
          <w:rFonts w:ascii="Book Antiqua" w:hAnsi="Book Antiqua" w:cs="Arial"/>
          <w:sz w:val="20"/>
          <w:szCs w:val="20"/>
        </w:rPr>
        <w:t>ureau d’Information sur le Crédit</w:t>
      </w:r>
    </w:p>
    <w:p w:rsidR="007A5AC0" w:rsidRPr="00D746CC" w:rsidRDefault="007A5AC0" w:rsidP="00D746CC">
      <w:pPr>
        <w:autoSpaceDE w:val="0"/>
        <w:autoSpaceDN w:val="0"/>
        <w:adjustRightInd w:val="0"/>
        <w:spacing w:line="360" w:lineRule="auto"/>
        <w:contextualSpacing/>
        <w:jc w:val="both"/>
        <w:rPr>
          <w:rFonts w:ascii="Book Antiqua" w:hAnsi="Book Antiqua" w:cs="Arial"/>
          <w:b/>
          <w:sz w:val="20"/>
          <w:szCs w:val="20"/>
        </w:rPr>
      </w:pPr>
      <w:r w:rsidRPr="00D746CC">
        <w:rPr>
          <w:rFonts w:ascii="Book Antiqua" w:hAnsi="Book Antiqua" w:cs="Arial"/>
          <w:b/>
          <w:sz w:val="20"/>
          <w:szCs w:val="20"/>
        </w:rPr>
        <w:t>BICIS :</w:t>
      </w:r>
      <w:r w:rsidRPr="00D746CC">
        <w:rPr>
          <w:rFonts w:ascii="Book Antiqua" w:hAnsi="Book Antiqua" w:cs="Arial"/>
          <w:sz w:val="20"/>
          <w:szCs w:val="20"/>
        </w:rPr>
        <w:t xml:space="preserve"> Banque Internationale pour le Commerce et l’Industrie du Sénégal</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 xml:space="preserve">BIMAO : </w:t>
      </w:r>
      <w:r w:rsidRPr="00D746CC">
        <w:rPr>
          <w:rFonts w:ascii="Book Antiqua" w:hAnsi="Book Antiqua" w:cs="Arial"/>
          <w:sz w:val="20"/>
          <w:szCs w:val="20"/>
        </w:rPr>
        <w:t>Banque des Institutions Mutualistes d'Afrique de l'Ouest</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 xml:space="preserve">BIS : </w:t>
      </w:r>
      <w:r w:rsidRPr="00D746CC">
        <w:rPr>
          <w:rFonts w:ascii="Book Antiqua" w:hAnsi="Book Antiqua" w:cs="Arial"/>
          <w:sz w:val="20"/>
          <w:szCs w:val="20"/>
        </w:rPr>
        <w:t>Banque Islamique du Sénégal</w:t>
      </w:r>
    </w:p>
    <w:p w:rsidR="007A5AC0" w:rsidRPr="00D746CC" w:rsidRDefault="007A5AC0" w:rsidP="00D746CC">
      <w:pPr>
        <w:autoSpaceDE w:val="0"/>
        <w:autoSpaceDN w:val="0"/>
        <w:adjustRightInd w:val="0"/>
        <w:spacing w:line="360" w:lineRule="auto"/>
        <w:contextualSpacing/>
        <w:jc w:val="both"/>
        <w:rPr>
          <w:rFonts w:ascii="Book Antiqua" w:hAnsi="Book Antiqua" w:cs="Arial"/>
          <w:b/>
          <w:sz w:val="20"/>
          <w:szCs w:val="20"/>
        </w:rPr>
      </w:pPr>
      <w:r w:rsidRPr="00D746CC">
        <w:rPr>
          <w:rFonts w:ascii="Book Antiqua" w:hAnsi="Book Antiqua" w:cs="Arial"/>
          <w:b/>
          <w:sz w:val="20"/>
          <w:szCs w:val="20"/>
        </w:rPr>
        <w:t xml:space="preserve">BNDE: </w:t>
      </w:r>
      <w:r w:rsidRPr="00D746CC">
        <w:rPr>
          <w:rFonts w:ascii="Book Antiqua" w:hAnsi="Book Antiqua" w:cs="Arial"/>
          <w:sz w:val="20"/>
          <w:szCs w:val="20"/>
        </w:rPr>
        <w:t>Banque Nationale de Développement Economique</w:t>
      </w:r>
    </w:p>
    <w:p w:rsidR="007A5AC0" w:rsidRPr="00D746CC" w:rsidRDefault="007A5AC0" w:rsidP="00D746CC">
      <w:pPr>
        <w:autoSpaceDE w:val="0"/>
        <w:autoSpaceDN w:val="0"/>
        <w:adjustRightInd w:val="0"/>
        <w:spacing w:line="360" w:lineRule="auto"/>
        <w:contextualSpacing/>
        <w:jc w:val="both"/>
        <w:rPr>
          <w:rFonts w:ascii="Book Antiqua" w:hAnsi="Book Antiqua" w:cs="Arial"/>
          <w:b/>
          <w:sz w:val="20"/>
          <w:szCs w:val="20"/>
        </w:rPr>
      </w:pPr>
      <w:r w:rsidRPr="00D746CC">
        <w:rPr>
          <w:rFonts w:ascii="Book Antiqua" w:hAnsi="Book Antiqua" w:cs="Arial"/>
          <w:b/>
          <w:sz w:val="20"/>
          <w:szCs w:val="20"/>
        </w:rPr>
        <w:t xml:space="preserve">BOA : </w:t>
      </w:r>
      <w:r w:rsidRPr="00D746CC">
        <w:rPr>
          <w:rFonts w:ascii="Book Antiqua" w:hAnsi="Book Antiqua" w:cs="Arial"/>
          <w:sz w:val="20"/>
          <w:szCs w:val="20"/>
        </w:rPr>
        <w:t xml:space="preserve">Bank Of </w:t>
      </w:r>
      <w:proofErr w:type="spellStart"/>
      <w:r w:rsidRPr="00D746CC">
        <w:rPr>
          <w:rFonts w:ascii="Book Antiqua" w:hAnsi="Book Antiqua" w:cs="Arial"/>
          <w:sz w:val="20"/>
          <w:szCs w:val="20"/>
        </w:rPr>
        <w:t>Africa</w:t>
      </w:r>
      <w:proofErr w:type="spellEnd"/>
    </w:p>
    <w:p w:rsidR="007A5AC0" w:rsidRPr="00D746CC" w:rsidRDefault="007A5AC0" w:rsidP="00D746CC">
      <w:pPr>
        <w:autoSpaceDE w:val="0"/>
        <w:autoSpaceDN w:val="0"/>
        <w:adjustRightInd w:val="0"/>
        <w:spacing w:line="360" w:lineRule="auto"/>
        <w:contextualSpacing/>
        <w:jc w:val="both"/>
        <w:rPr>
          <w:rFonts w:ascii="Book Antiqua" w:hAnsi="Book Antiqua" w:cs="Arial"/>
          <w:b/>
          <w:sz w:val="20"/>
          <w:szCs w:val="20"/>
        </w:rPr>
      </w:pPr>
      <w:r w:rsidRPr="00D746CC">
        <w:rPr>
          <w:rFonts w:ascii="Book Antiqua" w:hAnsi="Book Antiqua" w:cs="Arial"/>
          <w:b/>
          <w:sz w:val="20"/>
          <w:szCs w:val="20"/>
        </w:rPr>
        <w:t xml:space="preserve">BRM : </w:t>
      </w:r>
      <w:r w:rsidRPr="00D746CC">
        <w:rPr>
          <w:rFonts w:ascii="Book Antiqua" w:hAnsi="Book Antiqua" w:cs="Arial"/>
          <w:sz w:val="20"/>
          <w:szCs w:val="20"/>
        </w:rPr>
        <w:t>Banque Régionale de Marchés</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 xml:space="preserve">BSIC: </w:t>
      </w:r>
      <w:r w:rsidRPr="00D746CC">
        <w:rPr>
          <w:rFonts w:ascii="Book Antiqua" w:hAnsi="Book Antiqua" w:cs="Arial"/>
          <w:sz w:val="20"/>
          <w:szCs w:val="20"/>
        </w:rPr>
        <w:t>Banque Sahélo Saharienne pour l'Investissement et le Commerce</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BTP</w:t>
      </w:r>
      <w:r w:rsidRPr="00D746CC">
        <w:rPr>
          <w:rFonts w:ascii="Book Antiqua" w:hAnsi="Book Antiqua" w:cs="Arial"/>
          <w:sz w:val="20"/>
          <w:szCs w:val="20"/>
        </w:rPr>
        <w:t> : Bâtiments et Travaux Publics</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CA</w:t>
      </w:r>
      <w:r w:rsidRPr="00D746CC">
        <w:rPr>
          <w:rFonts w:ascii="Book Antiqua" w:hAnsi="Book Antiqua" w:cs="Arial"/>
          <w:sz w:val="20"/>
          <w:szCs w:val="20"/>
        </w:rPr>
        <w:t> : Chiffre d’Affaire</w:t>
      </w:r>
    </w:p>
    <w:p w:rsidR="007A5AC0" w:rsidRPr="00D746CC" w:rsidRDefault="007A5AC0" w:rsidP="00D746CC">
      <w:pPr>
        <w:autoSpaceDE w:val="0"/>
        <w:autoSpaceDN w:val="0"/>
        <w:adjustRightInd w:val="0"/>
        <w:spacing w:line="360" w:lineRule="auto"/>
        <w:contextualSpacing/>
        <w:jc w:val="both"/>
        <w:rPr>
          <w:rFonts w:ascii="Book Antiqua" w:hAnsi="Book Antiqua" w:cs="Arial"/>
          <w:b/>
          <w:sz w:val="20"/>
          <w:szCs w:val="20"/>
        </w:rPr>
      </w:pPr>
      <w:r w:rsidRPr="00D746CC">
        <w:rPr>
          <w:rFonts w:ascii="Book Antiqua" w:hAnsi="Book Antiqua" w:cs="Arial"/>
          <w:b/>
          <w:sz w:val="20"/>
          <w:szCs w:val="20"/>
        </w:rPr>
        <w:t xml:space="preserve">CBAO: </w:t>
      </w:r>
      <w:r w:rsidRPr="00D746CC">
        <w:rPr>
          <w:rFonts w:ascii="Book Antiqua" w:hAnsi="Book Antiqua" w:cs="Arial"/>
          <w:sz w:val="20"/>
          <w:szCs w:val="20"/>
        </w:rPr>
        <w:t>Compagnie Bancaire de l'Afrique de l'Ouest</w:t>
      </w:r>
    </w:p>
    <w:p w:rsidR="007A5AC0" w:rsidRPr="00D746CC" w:rsidRDefault="007A5AC0" w:rsidP="00D746CC">
      <w:pPr>
        <w:autoSpaceDE w:val="0"/>
        <w:autoSpaceDN w:val="0"/>
        <w:adjustRightInd w:val="0"/>
        <w:spacing w:line="360" w:lineRule="auto"/>
        <w:contextualSpacing/>
        <w:jc w:val="both"/>
        <w:rPr>
          <w:rFonts w:ascii="Book Antiqua" w:hAnsi="Book Antiqua" w:cs="Arial"/>
          <w:b/>
          <w:sz w:val="20"/>
          <w:szCs w:val="20"/>
        </w:rPr>
      </w:pPr>
      <w:r w:rsidRPr="00D746CC">
        <w:rPr>
          <w:rFonts w:ascii="Book Antiqua" w:hAnsi="Book Antiqua" w:cs="Arial"/>
          <w:b/>
          <w:sz w:val="20"/>
          <w:szCs w:val="20"/>
        </w:rPr>
        <w:t xml:space="preserve">CDS : </w:t>
      </w:r>
      <w:r w:rsidRPr="00D746CC">
        <w:rPr>
          <w:rFonts w:ascii="Book Antiqua" w:hAnsi="Book Antiqua" w:cs="Arial"/>
          <w:sz w:val="20"/>
          <w:szCs w:val="20"/>
        </w:rPr>
        <w:t>Crédit du Sénégal</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 xml:space="preserve">CI : </w:t>
      </w:r>
      <w:r w:rsidRPr="00D746CC">
        <w:rPr>
          <w:rFonts w:ascii="Book Antiqua" w:hAnsi="Book Antiqua" w:cs="Arial"/>
          <w:sz w:val="20"/>
          <w:szCs w:val="20"/>
        </w:rPr>
        <w:t>Crédit International</w:t>
      </w:r>
    </w:p>
    <w:p w:rsidR="007A5AC0" w:rsidRPr="00D746CC" w:rsidRDefault="007A5AC0" w:rsidP="00D746CC">
      <w:pPr>
        <w:autoSpaceDE w:val="0"/>
        <w:autoSpaceDN w:val="0"/>
        <w:adjustRightInd w:val="0"/>
        <w:spacing w:line="360" w:lineRule="auto"/>
        <w:contextualSpacing/>
        <w:jc w:val="both"/>
        <w:rPr>
          <w:rFonts w:ascii="Book Antiqua" w:hAnsi="Book Antiqua" w:cs="Arial"/>
          <w:b/>
          <w:sz w:val="20"/>
          <w:szCs w:val="20"/>
        </w:rPr>
      </w:pPr>
      <w:r w:rsidRPr="00D746CC">
        <w:rPr>
          <w:rFonts w:ascii="Book Antiqua" w:hAnsi="Book Antiqua" w:cs="Arial"/>
          <w:b/>
          <w:sz w:val="20"/>
          <w:szCs w:val="20"/>
        </w:rPr>
        <w:t xml:space="preserve">CNCAS : </w:t>
      </w:r>
      <w:r w:rsidRPr="00D746CC">
        <w:rPr>
          <w:rFonts w:ascii="Book Antiqua" w:hAnsi="Book Antiqua" w:cs="Arial"/>
          <w:sz w:val="20"/>
          <w:szCs w:val="20"/>
        </w:rPr>
        <w:t>Caisse Nationale de Crédit Agricole du Sénégal</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CUCI</w:t>
      </w:r>
      <w:r w:rsidRPr="00D746CC">
        <w:rPr>
          <w:rFonts w:ascii="Book Antiqua" w:hAnsi="Book Antiqua" w:cs="Arial"/>
          <w:sz w:val="20"/>
          <w:szCs w:val="20"/>
        </w:rPr>
        <w:t xml:space="preserve"> : Centre Unique de Collecte de l’Information </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DAT</w:t>
      </w:r>
      <w:r w:rsidRPr="00D746CC">
        <w:rPr>
          <w:rFonts w:ascii="Book Antiqua" w:hAnsi="Book Antiqua" w:cs="Arial"/>
          <w:sz w:val="20"/>
          <w:szCs w:val="20"/>
        </w:rPr>
        <w:t> : Dépôt à terme</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 xml:space="preserve">ENPNB : </w:t>
      </w:r>
      <w:r w:rsidRPr="00D746CC">
        <w:rPr>
          <w:rFonts w:ascii="Book Antiqua" w:hAnsi="Book Antiqua" w:cs="Arial"/>
          <w:sz w:val="20"/>
          <w:szCs w:val="20"/>
        </w:rPr>
        <w:t xml:space="preserve">Enquête Nationale </w:t>
      </w:r>
      <w:r w:rsidR="00551040">
        <w:rPr>
          <w:rFonts w:ascii="Book Antiqua" w:hAnsi="Book Antiqua" w:cs="Arial"/>
          <w:sz w:val="20"/>
          <w:szCs w:val="20"/>
        </w:rPr>
        <w:t>auprès des Populations</w:t>
      </w:r>
      <w:r w:rsidRPr="00D746CC">
        <w:rPr>
          <w:rFonts w:ascii="Book Antiqua" w:hAnsi="Book Antiqua" w:cs="Arial"/>
          <w:sz w:val="20"/>
          <w:szCs w:val="20"/>
        </w:rPr>
        <w:t xml:space="preserve"> Non Bancarisé</w:t>
      </w:r>
      <w:r w:rsidR="00551040">
        <w:rPr>
          <w:rFonts w:ascii="Book Antiqua" w:hAnsi="Book Antiqua" w:cs="Arial"/>
          <w:sz w:val="20"/>
          <w:szCs w:val="20"/>
        </w:rPr>
        <w:t>e</w:t>
      </w:r>
      <w:r w:rsidRPr="00D746CC">
        <w:rPr>
          <w:rFonts w:ascii="Book Antiqua" w:hAnsi="Book Antiqua" w:cs="Arial"/>
          <w:sz w:val="20"/>
          <w:szCs w:val="20"/>
        </w:rPr>
        <w:t>s</w:t>
      </w:r>
    </w:p>
    <w:p w:rsidR="007A5AC0" w:rsidRPr="00D746CC" w:rsidRDefault="007A5AC0" w:rsidP="00D746CC">
      <w:pPr>
        <w:autoSpaceDE w:val="0"/>
        <w:autoSpaceDN w:val="0"/>
        <w:adjustRightInd w:val="0"/>
        <w:spacing w:line="360" w:lineRule="auto"/>
        <w:contextualSpacing/>
        <w:jc w:val="both"/>
        <w:rPr>
          <w:rFonts w:ascii="Book Antiqua" w:hAnsi="Book Antiqua" w:cs="Arial"/>
          <w:b/>
          <w:sz w:val="20"/>
          <w:szCs w:val="20"/>
        </w:rPr>
      </w:pPr>
      <w:r w:rsidRPr="00D746CC">
        <w:rPr>
          <w:rFonts w:ascii="Book Antiqua" w:hAnsi="Book Antiqua" w:cs="Arial"/>
          <w:b/>
          <w:sz w:val="20"/>
          <w:szCs w:val="20"/>
        </w:rPr>
        <w:t xml:space="preserve">ESUA : </w:t>
      </w:r>
      <w:r w:rsidRPr="00D746CC">
        <w:rPr>
          <w:rFonts w:ascii="Book Antiqua" w:hAnsi="Book Antiqua" w:cs="Arial"/>
          <w:sz w:val="20"/>
          <w:szCs w:val="20"/>
        </w:rPr>
        <w:t>Enquête de Satisfaction auprès des Usagers des Services d’Assurances</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 xml:space="preserve">ESUB : </w:t>
      </w:r>
      <w:r w:rsidRPr="00D746CC">
        <w:rPr>
          <w:rFonts w:ascii="Book Antiqua" w:hAnsi="Book Antiqua" w:cs="Arial"/>
          <w:sz w:val="20"/>
          <w:szCs w:val="20"/>
        </w:rPr>
        <w:t>Enquête de Satisfaction auprès des Usagers des Services Bancaires</w:t>
      </w:r>
    </w:p>
    <w:p w:rsidR="007A5AC0" w:rsidRPr="00D746CC" w:rsidRDefault="007A5AC0" w:rsidP="00D746CC">
      <w:pPr>
        <w:autoSpaceDE w:val="0"/>
        <w:autoSpaceDN w:val="0"/>
        <w:adjustRightInd w:val="0"/>
        <w:spacing w:line="360" w:lineRule="auto"/>
        <w:contextualSpacing/>
        <w:jc w:val="both"/>
        <w:rPr>
          <w:rFonts w:ascii="Book Antiqua" w:hAnsi="Book Antiqua" w:cs="Arial"/>
          <w:b/>
          <w:sz w:val="20"/>
          <w:szCs w:val="20"/>
        </w:rPr>
      </w:pPr>
      <w:r w:rsidRPr="00D746CC">
        <w:rPr>
          <w:rFonts w:ascii="Book Antiqua" w:hAnsi="Book Antiqua" w:cs="Arial"/>
          <w:b/>
          <w:sz w:val="20"/>
          <w:szCs w:val="20"/>
        </w:rPr>
        <w:t xml:space="preserve">ESUPOSTE : </w:t>
      </w:r>
      <w:r w:rsidRPr="00D746CC">
        <w:rPr>
          <w:rFonts w:ascii="Book Antiqua" w:hAnsi="Book Antiqua" w:cs="Arial"/>
          <w:sz w:val="20"/>
          <w:szCs w:val="20"/>
        </w:rPr>
        <w:t>Enquête de Satisfaction auprès des Usagers de La Poste</w:t>
      </w:r>
    </w:p>
    <w:p w:rsidR="007A5AC0" w:rsidRPr="00D746CC" w:rsidRDefault="007A5AC0" w:rsidP="00D746CC">
      <w:pPr>
        <w:autoSpaceDE w:val="0"/>
        <w:autoSpaceDN w:val="0"/>
        <w:adjustRightInd w:val="0"/>
        <w:spacing w:line="360" w:lineRule="auto"/>
        <w:ind w:right="-142"/>
        <w:contextualSpacing/>
        <w:jc w:val="both"/>
        <w:rPr>
          <w:rFonts w:ascii="Book Antiqua" w:hAnsi="Book Antiqua" w:cs="Arial"/>
          <w:b/>
          <w:sz w:val="20"/>
          <w:szCs w:val="20"/>
        </w:rPr>
      </w:pPr>
      <w:r w:rsidRPr="00D746CC">
        <w:rPr>
          <w:rFonts w:ascii="Book Antiqua" w:hAnsi="Book Antiqua" w:cs="Arial"/>
          <w:b/>
          <w:sz w:val="20"/>
          <w:szCs w:val="20"/>
        </w:rPr>
        <w:t xml:space="preserve">ESUSFD : </w:t>
      </w:r>
      <w:r w:rsidRPr="00D746CC">
        <w:rPr>
          <w:rFonts w:ascii="Book Antiqua" w:hAnsi="Book Antiqua" w:cs="Arial"/>
          <w:sz w:val="20"/>
          <w:szCs w:val="20"/>
        </w:rPr>
        <w:t>Enquête de Satisfaction auprès des Usagers des Systèmes Financiers Décentralisés</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FICOB</w:t>
      </w:r>
      <w:r w:rsidRPr="00D746CC">
        <w:rPr>
          <w:rFonts w:ascii="Book Antiqua" w:hAnsi="Book Antiqua" w:cs="Arial"/>
          <w:sz w:val="20"/>
          <w:szCs w:val="20"/>
        </w:rPr>
        <w:t xml:space="preserve"> : Fichier des </w:t>
      </w:r>
      <w:r w:rsidR="008F325B">
        <w:rPr>
          <w:rFonts w:ascii="Book Antiqua" w:hAnsi="Book Antiqua" w:cs="Arial"/>
          <w:sz w:val="20"/>
          <w:szCs w:val="20"/>
        </w:rPr>
        <w:t>Comptes</w:t>
      </w:r>
      <w:r w:rsidRPr="00D746CC">
        <w:rPr>
          <w:rFonts w:ascii="Book Antiqua" w:hAnsi="Book Antiqua" w:cs="Arial"/>
          <w:sz w:val="20"/>
          <w:szCs w:val="20"/>
        </w:rPr>
        <w:t xml:space="preserve"> Bancaires </w:t>
      </w:r>
    </w:p>
    <w:p w:rsidR="007A5AC0" w:rsidRPr="00D746CC" w:rsidRDefault="007A5AC0" w:rsidP="00D746CC">
      <w:pPr>
        <w:autoSpaceDE w:val="0"/>
        <w:autoSpaceDN w:val="0"/>
        <w:adjustRightInd w:val="0"/>
        <w:spacing w:line="360" w:lineRule="auto"/>
        <w:contextualSpacing/>
        <w:jc w:val="both"/>
        <w:rPr>
          <w:rFonts w:ascii="Arial" w:hAnsi="Arial" w:cs="Arial"/>
          <w:sz w:val="20"/>
          <w:szCs w:val="20"/>
        </w:rPr>
      </w:pPr>
      <w:r w:rsidRPr="00D746CC">
        <w:rPr>
          <w:rFonts w:ascii="Book Antiqua" w:hAnsi="Book Antiqua" w:cs="Arial"/>
          <w:b/>
          <w:bCs/>
          <w:sz w:val="20"/>
          <w:szCs w:val="20"/>
        </w:rPr>
        <w:t xml:space="preserve">GIE : </w:t>
      </w:r>
      <w:r w:rsidRPr="00D746CC">
        <w:rPr>
          <w:rFonts w:ascii="Book Antiqua" w:hAnsi="Book Antiqua" w:cs="Arial"/>
          <w:sz w:val="20"/>
          <w:szCs w:val="20"/>
        </w:rPr>
        <w:t>Groupement d’Intérêt Economique</w:t>
      </w:r>
    </w:p>
    <w:p w:rsidR="007A5AC0" w:rsidRPr="00D746CC" w:rsidRDefault="007A5AC0" w:rsidP="00D746CC">
      <w:pPr>
        <w:autoSpaceDE w:val="0"/>
        <w:autoSpaceDN w:val="0"/>
        <w:adjustRightInd w:val="0"/>
        <w:spacing w:line="360" w:lineRule="auto"/>
        <w:contextualSpacing/>
        <w:jc w:val="both"/>
        <w:rPr>
          <w:rFonts w:ascii="Book Antiqua" w:hAnsi="Book Antiqua" w:cs="Arial"/>
          <w:b/>
          <w:sz w:val="20"/>
          <w:szCs w:val="20"/>
        </w:rPr>
      </w:pPr>
      <w:r w:rsidRPr="00D746CC">
        <w:rPr>
          <w:rFonts w:ascii="Book Antiqua" w:hAnsi="Book Antiqua" w:cs="Arial"/>
          <w:b/>
          <w:sz w:val="20"/>
          <w:szCs w:val="20"/>
        </w:rPr>
        <w:t xml:space="preserve">ICB : </w:t>
      </w:r>
      <w:r w:rsidRPr="00D746CC">
        <w:rPr>
          <w:rFonts w:ascii="Book Antiqua" w:hAnsi="Book Antiqua" w:cs="Arial"/>
          <w:sz w:val="20"/>
          <w:szCs w:val="20"/>
        </w:rPr>
        <w:t>International Commercial Bank</w:t>
      </w:r>
    </w:p>
    <w:p w:rsidR="007A5AC0" w:rsidRPr="00D746CC" w:rsidRDefault="007A5AC0" w:rsidP="00D746CC">
      <w:pPr>
        <w:autoSpaceDE w:val="0"/>
        <w:autoSpaceDN w:val="0"/>
        <w:adjustRightInd w:val="0"/>
        <w:spacing w:line="360" w:lineRule="auto"/>
        <w:contextualSpacing/>
        <w:jc w:val="both"/>
        <w:rPr>
          <w:rFonts w:ascii="Book Antiqua" w:hAnsi="Book Antiqua"/>
          <w:sz w:val="20"/>
          <w:szCs w:val="20"/>
        </w:rPr>
      </w:pPr>
      <w:r w:rsidRPr="00D746CC">
        <w:rPr>
          <w:rFonts w:ascii="Book Antiqua" w:hAnsi="Book Antiqua"/>
          <w:b/>
          <w:sz w:val="20"/>
          <w:szCs w:val="20"/>
        </w:rPr>
        <w:t>PEF</w:t>
      </w:r>
      <w:r w:rsidRPr="00D746CC">
        <w:rPr>
          <w:rFonts w:ascii="Book Antiqua" w:hAnsi="Book Antiqua"/>
          <w:sz w:val="20"/>
          <w:szCs w:val="20"/>
        </w:rPr>
        <w:t xml:space="preserve"> : Programme d’Education Financière </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sz w:val="20"/>
          <w:szCs w:val="20"/>
        </w:rPr>
        <w:t xml:space="preserve">PME : </w:t>
      </w:r>
      <w:r w:rsidRPr="00D746CC">
        <w:rPr>
          <w:rFonts w:ascii="Book Antiqua" w:hAnsi="Book Antiqua" w:cs="Arial"/>
          <w:sz w:val="20"/>
          <w:szCs w:val="20"/>
        </w:rPr>
        <w:t>Petites et Moyennes Entreprises</w:t>
      </w:r>
    </w:p>
    <w:p w:rsidR="007A5AC0" w:rsidRPr="00D746CC" w:rsidRDefault="007A5AC0" w:rsidP="00D746CC">
      <w:pPr>
        <w:autoSpaceDE w:val="0"/>
        <w:autoSpaceDN w:val="0"/>
        <w:adjustRightInd w:val="0"/>
        <w:spacing w:line="360" w:lineRule="auto"/>
        <w:contextualSpacing/>
        <w:jc w:val="both"/>
        <w:rPr>
          <w:rFonts w:ascii="Book Antiqua" w:hAnsi="Book Antiqua" w:cs="Arial"/>
          <w:bCs/>
          <w:sz w:val="20"/>
          <w:szCs w:val="20"/>
        </w:rPr>
      </w:pPr>
      <w:r w:rsidRPr="00D746CC">
        <w:rPr>
          <w:rFonts w:ascii="Book Antiqua" w:hAnsi="Book Antiqua" w:cs="Arial"/>
          <w:b/>
          <w:bCs/>
          <w:sz w:val="20"/>
          <w:szCs w:val="20"/>
        </w:rPr>
        <w:t xml:space="preserve">SA : </w:t>
      </w:r>
      <w:r w:rsidRPr="00D746CC">
        <w:rPr>
          <w:rFonts w:ascii="Book Antiqua" w:hAnsi="Book Antiqua" w:cs="Arial"/>
          <w:sz w:val="20"/>
          <w:szCs w:val="20"/>
        </w:rPr>
        <w:t>Société Anonyme</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bCs/>
          <w:sz w:val="20"/>
          <w:szCs w:val="20"/>
        </w:rPr>
        <w:t xml:space="preserve">SARL : </w:t>
      </w:r>
      <w:r w:rsidRPr="00D746CC">
        <w:rPr>
          <w:rFonts w:ascii="Book Antiqua" w:hAnsi="Book Antiqua" w:cs="Arial"/>
          <w:sz w:val="20"/>
          <w:szCs w:val="20"/>
        </w:rPr>
        <w:t>Société Anonyme à Responsabilité Limitée</w:t>
      </w:r>
    </w:p>
    <w:p w:rsidR="007A5AC0" w:rsidRPr="00D746CC" w:rsidRDefault="007A5AC0" w:rsidP="00D746CC">
      <w:pPr>
        <w:autoSpaceDE w:val="0"/>
        <w:autoSpaceDN w:val="0"/>
        <w:adjustRightInd w:val="0"/>
        <w:spacing w:line="360" w:lineRule="auto"/>
        <w:contextualSpacing/>
        <w:jc w:val="both"/>
        <w:rPr>
          <w:rFonts w:ascii="Book Antiqua" w:hAnsi="Book Antiqua" w:cs="Arial"/>
          <w:b/>
          <w:sz w:val="20"/>
          <w:szCs w:val="20"/>
        </w:rPr>
      </w:pPr>
      <w:r w:rsidRPr="00D746CC">
        <w:rPr>
          <w:rFonts w:ascii="Book Antiqua" w:hAnsi="Book Antiqua" w:cs="Arial"/>
          <w:b/>
          <w:sz w:val="20"/>
          <w:szCs w:val="20"/>
        </w:rPr>
        <w:t xml:space="preserve">SGBS: </w:t>
      </w:r>
      <w:r w:rsidRPr="00D746CC">
        <w:rPr>
          <w:rFonts w:ascii="Book Antiqua" w:hAnsi="Book Antiqua" w:cs="Arial"/>
          <w:sz w:val="20"/>
          <w:szCs w:val="20"/>
        </w:rPr>
        <w:t>Société Générale de Banques au Sénégal</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bCs/>
          <w:sz w:val="20"/>
          <w:szCs w:val="20"/>
        </w:rPr>
        <w:t xml:space="preserve">SNC : </w:t>
      </w:r>
      <w:r w:rsidRPr="00D746CC">
        <w:rPr>
          <w:rFonts w:ascii="Book Antiqua" w:hAnsi="Book Antiqua" w:cs="Arial"/>
          <w:sz w:val="20"/>
          <w:szCs w:val="20"/>
        </w:rPr>
        <w:t>Société en Nom Collectif</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bCs/>
          <w:sz w:val="20"/>
          <w:szCs w:val="20"/>
        </w:rPr>
        <w:t xml:space="preserve">SU : </w:t>
      </w:r>
      <w:r w:rsidRPr="00D746CC">
        <w:rPr>
          <w:rFonts w:ascii="Book Antiqua" w:hAnsi="Book Antiqua" w:cs="Arial"/>
          <w:sz w:val="20"/>
          <w:szCs w:val="20"/>
        </w:rPr>
        <w:t>Société Unipersonnelle</w:t>
      </w:r>
    </w:p>
    <w:p w:rsidR="007A5AC0" w:rsidRPr="00D746CC" w:rsidRDefault="002708B0" w:rsidP="00D746CC">
      <w:pPr>
        <w:autoSpaceDE w:val="0"/>
        <w:autoSpaceDN w:val="0"/>
        <w:adjustRightInd w:val="0"/>
        <w:spacing w:line="360" w:lineRule="auto"/>
        <w:contextualSpacing/>
        <w:jc w:val="both"/>
        <w:rPr>
          <w:rFonts w:ascii="Book Antiqua" w:hAnsi="Book Antiqua" w:cs="Arial"/>
          <w:sz w:val="20"/>
          <w:szCs w:val="20"/>
          <w:lang w:val="en-US"/>
        </w:rPr>
      </w:pPr>
      <w:proofErr w:type="gramStart"/>
      <w:r w:rsidRPr="00D746CC">
        <w:rPr>
          <w:rFonts w:ascii="Book Antiqua" w:hAnsi="Book Antiqua" w:cs="Arial"/>
          <w:b/>
          <w:bCs/>
          <w:sz w:val="20"/>
          <w:szCs w:val="20"/>
          <w:lang w:val="en-US"/>
        </w:rPr>
        <w:t>TEG</w:t>
      </w:r>
      <w:r>
        <w:rPr>
          <w:rFonts w:ascii="Book Antiqua" w:hAnsi="Book Antiqua" w:cs="Arial"/>
          <w:b/>
          <w:bCs/>
          <w:sz w:val="20"/>
          <w:szCs w:val="20"/>
          <w:lang w:val="en-US"/>
        </w:rPr>
        <w:t xml:space="preserve"> :</w:t>
      </w:r>
      <w:proofErr w:type="gramEnd"/>
      <w:r w:rsidR="007A5AC0" w:rsidRPr="00D746CC">
        <w:rPr>
          <w:rFonts w:ascii="Book Antiqua" w:hAnsi="Book Antiqua" w:cs="Arial"/>
          <w:b/>
          <w:bCs/>
          <w:sz w:val="20"/>
          <w:szCs w:val="20"/>
          <w:lang w:val="en-US"/>
        </w:rPr>
        <w:t xml:space="preserve"> </w:t>
      </w:r>
      <w:proofErr w:type="spellStart"/>
      <w:r w:rsidR="007A5AC0" w:rsidRPr="00D746CC">
        <w:rPr>
          <w:rFonts w:ascii="Book Antiqua" w:hAnsi="Book Antiqua" w:cs="Arial"/>
          <w:sz w:val="20"/>
          <w:szCs w:val="20"/>
          <w:lang w:val="en-US"/>
        </w:rPr>
        <w:t>Taux</w:t>
      </w:r>
      <w:proofErr w:type="spellEnd"/>
      <w:r w:rsidR="007A5AC0" w:rsidRPr="00D746CC">
        <w:rPr>
          <w:rFonts w:ascii="Book Antiqua" w:hAnsi="Book Antiqua" w:cs="Arial"/>
          <w:sz w:val="20"/>
          <w:szCs w:val="20"/>
          <w:lang w:val="en-US"/>
        </w:rPr>
        <w:t xml:space="preserve"> </w:t>
      </w:r>
      <w:proofErr w:type="spellStart"/>
      <w:r w:rsidR="007A5AC0" w:rsidRPr="00D746CC">
        <w:rPr>
          <w:rFonts w:ascii="Book Antiqua" w:hAnsi="Book Antiqua" w:cs="Arial"/>
          <w:sz w:val="20"/>
          <w:szCs w:val="20"/>
          <w:lang w:val="en-US"/>
        </w:rPr>
        <w:t>Effectif</w:t>
      </w:r>
      <w:proofErr w:type="spellEnd"/>
      <w:r w:rsidR="007A5AC0" w:rsidRPr="00D746CC">
        <w:rPr>
          <w:rFonts w:ascii="Book Antiqua" w:hAnsi="Book Antiqua" w:cs="Arial"/>
          <w:sz w:val="20"/>
          <w:szCs w:val="20"/>
          <w:lang w:val="en-US"/>
        </w:rPr>
        <w:t xml:space="preserve"> Global</w:t>
      </w:r>
    </w:p>
    <w:p w:rsidR="007A5AC0" w:rsidRPr="00D746CC" w:rsidRDefault="00CF3056" w:rsidP="00D746CC">
      <w:pPr>
        <w:autoSpaceDE w:val="0"/>
        <w:autoSpaceDN w:val="0"/>
        <w:adjustRightInd w:val="0"/>
        <w:spacing w:line="360" w:lineRule="auto"/>
        <w:contextualSpacing/>
        <w:jc w:val="both"/>
        <w:rPr>
          <w:rFonts w:ascii="Book Antiqua" w:hAnsi="Book Antiqua" w:cs="Arial"/>
          <w:sz w:val="20"/>
          <w:szCs w:val="20"/>
          <w:lang w:val="en-US"/>
        </w:rPr>
      </w:pPr>
      <w:proofErr w:type="gramStart"/>
      <w:r w:rsidRPr="00D746CC">
        <w:rPr>
          <w:rFonts w:ascii="Book Antiqua" w:hAnsi="Book Antiqua" w:cs="Arial"/>
          <w:b/>
          <w:sz w:val="20"/>
          <w:szCs w:val="20"/>
          <w:lang w:val="en-US"/>
        </w:rPr>
        <w:t>UBA</w:t>
      </w:r>
      <w:r>
        <w:rPr>
          <w:rFonts w:ascii="Book Antiqua" w:hAnsi="Book Antiqua" w:cs="Arial"/>
          <w:b/>
          <w:sz w:val="20"/>
          <w:szCs w:val="20"/>
          <w:lang w:val="en-US"/>
        </w:rPr>
        <w:t xml:space="preserve"> :</w:t>
      </w:r>
      <w:proofErr w:type="gramEnd"/>
      <w:r w:rsidR="007A5AC0" w:rsidRPr="00D746CC">
        <w:rPr>
          <w:rFonts w:ascii="Book Antiqua" w:hAnsi="Book Antiqua" w:cs="Arial"/>
          <w:b/>
          <w:sz w:val="20"/>
          <w:szCs w:val="20"/>
          <w:lang w:val="en-US"/>
        </w:rPr>
        <w:t xml:space="preserve"> </w:t>
      </w:r>
      <w:r w:rsidR="007A5AC0" w:rsidRPr="00D746CC">
        <w:rPr>
          <w:rFonts w:ascii="Book Antiqua" w:hAnsi="Book Antiqua" w:cs="Arial"/>
          <w:sz w:val="20"/>
          <w:szCs w:val="20"/>
          <w:lang w:val="en-US"/>
        </w:rPr>
        <w:t>United Bank of Africa</w:t>
      </w:r>
    </w:p>
    <w:p w:rsidR="007A5AC0" w:rsidRPr="00D746CC" w:rsidRDefault="007A5AC0" w:rsidP="00D746CC">
      <w:pPr>
        <w:autoSpaceDE w:val="0"/>
        <w:autoSpaceDN w:val="0"/>
        <w:adjustRightInd w:val="0"/>
        <w:spacing w:line="360" w:lineRule="auto"/>
        <w:contextualSpacing/>
        <w:jc w:val="both"/>
        <w:rPr>
          <w:rFonts w:ascii="Book Antiqua" w:hAnsi="Book Antiqua" w:cs="Arial"/>
          <w:sz w:val="20"/>
          <w:szCs w:val="20"/>
        </w:rPr>
      </w:pPr>
      <w:r w:rsidRPr="00D746CC">
        <w:rPr>
          <w:rFonts w:ascii="Book Antiqua" w:hAnsi="Book Antiqua" w:cs="Arial"/>
          <w:b/>
          <w:bCs/>
          <w:sz w:val="20"/>
          <w:szCs w:val="20"/>
        </w:rPr>
        <w:t xml:space="preserve">UNACOIS : </w:t>
      </w:r>
      <w:r w:rsidRPr="00D746CC">
        <w:rPr>
          <w:rFonts w:ascii="Book Antiqua" w:hAnsi="Book Antiqua" w:cs="Arial"/>
          <w:sz w:val="20"/>
          <w:szCs w:val="20"/>
        </w:rPr>
        <w:t>Union Nationale des Commerçants et Industriels du Sénégal</w:t>
      </w:r>
    </w:p>
    <w:p w:rsidR="003653F9" w:rsidRPr="00DD6CE8" w:rsidRDefault="003653F9" w:rsidP="003653F9">
      <w:pPr>
        <w:tabs>
          <w:tab w:val="left" w:pos="-720"/>
        </w:tabs>
        <w:suppressAutoHyphens/>
        <w:spacing w:line="312" w:lineRule="auto"/>
        <w:jc w:val="both"/>
        <w:outlineLvl w:val="0"/>
        <w:rPr>
          <w:rFonts w:ascii="Book Antiqua" w:hAnsi="Book Antiqua" w:cs="Arial"/>
          <w:b/>
          <w:sz w:val="22"/>
          <w:szCs w:val="22"/>
        </w:rPr>
        <w:sectPr w:rsidR="003653F9" w:rsidRPr="00DD6CE8" w:rsidSect="00AE2523">
          <w:pgSz w:w="11907" w:h="16840" w:code="9"/>
          <w:pgMar w:top="680" w:right="1134" w:bottom="680" w:left="1191" w:header="454" w:footer="454" w:gutter="0"/>
          <w:cols w:space="720"/>
          <w:docGrid w:linePitch="360"/>
        </w:sectPr>
      </w:pPr>
    </w:p>
    <w:p w:rsidR="003653F9" w:rsidRDefault="003653F9" w:rsidP="003653F9">
      <w:pPr>
        <w:tabs>
          <w:tab w:val="left" w:pos="-720"/>
        </w:tabs>
        <w:suppressAutoHyphens/>
        <w:spacing w:line="312" w:lineRule="auto"/>
        <w:jc w:val="center"/>
        <w:outlineLvl w:val="0"/>
        <w:rPr>
          <w:rFonts w:ascii="Book Antiqua" w:hAnsi="Book Antiqua" w:cs="Arial"/>
          <w:b/>
          <w:sz w:val="22"/>
          <w:szCs w:val="22"/>
        </w:rPr>
      </w:pPr>
      <w:bookmarkStart w:id="3" w:name="_Toc523322012"/>
      <w:r w:rsidRPr="00F464A9">
        <w:rPr>
          <w:rFonts w:ascii="Book Antiqua" w:hAnsi="Book Antiqua" w:cs="Arial"/>
          <w:b/>
          <w:sz w:val="22"/>
          <w:szCs w:val="22"/>
        </w:rPr>
        <w:lastRenderedPageBreak/>
        <w:t>GLOSSAIRE</w:t>
      </w:r>
      <w:bookmarkEnd w:id="3"/>
    </w:p>
    <w:p w:rsidR="00404ACF" w:rsidRPr="00DD6CE8" w:rsidRDefault="00404ACF" w:rsidP="003653F9">
      <w:pPr>
        <w:tabs>
          <w:tab w:val="left" w:pos="-720"/>
        </w:tabs>
        <w:suppressAutoHyphens/>
        <w:spacing w:line="312" w:lineRule="auto"/>
        <w:jc w:val="center"/>
        <w:outlineLvl w:val="0"/>
        <w:rPr>
          <w:rFonts w:ascii="Book Antiqua" w:hAnsi="Book Antiqua" w:cs="Arial"/>
          <w:b/>
          <w:sz w:val="22"/>
          <w:szCs w:val="22"/>
        </w:rPr>
      </w:pPr>
    </w:p>
    <w:p w:rsidR="00404ACF" w:rsidRDefault="00E14488" w:rsidP="00413872">
      <w:pPr>
        <w:pStyle w:val="Paragraphedeliste"/>
        <w:numPr>
          <w:ilvl w:val="0"/>
          <w:numId w:val="57"/>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Affacturage : </w:t>
      </w:r>
      <w:r w:rsidRPr="00404ACF">
        <w:rPr>
          <w:rFonts w:ascii="Book Antiqua" w:hAnsi="Book Antiqua" w:cs="Arial"/>
          <w:sz w:val="22"/>
          <w:szCs w:val="22"/>
        </w:rPr>
        <w:t>opération de crédit par laquelle un étab</w:t>
      </w:r>
      <w:r w:rsidR="00C20EF7" w:rsidRPr="00404ACF">
        <w:rPr>
          <w:rFonts w:ascii="Book Antiqua" w:hAnsi="Book Antiqua" w:cs="Arial"/>
          <w:sz w:val="22"/>
          <w:szCs w:val="22"/>
        </w:rPr>
        <w:t xml:space="preserve">lissement de crédit spécialisé qui est </w:t>
      </w:r>
      <w:r w:rsidRPr="00404ACF">
        <w:rPr>
          <w:rFonts w:ascii="Book Antiqua" w:hAnsi="Book Antiqua" w:cs="Arial"/>
          <w:sz w:val="22"/>
          <w:szCs w:val="22"/>
        </w:rPr>
        <w:t xml:space="preserve">appelé « </w:t>
      </w:r>
      <w:r w:rsidR="00404ACF" w:rsidRPr="00404ACF">
        <w:rPr>
          <w:rFonts w:ascii="Book Antiqua" w:hAnsi="Book Antiqua" w:cs="Arial"/>
          <w:sz w:val="22"/>
          <w:szCs w:val="22"/>
        </w:rPr>
        <w:t>Affactureur</w:t>
      </w:r>
      <w:r w:rsidRPr="00404ACF">
        <w:rPr>
          <w:rFonts w:ascii="Book Antiqua" w:hAnsi="Book Antiqua" w:cs="Arial"/>
          <w:sz w:val="22"/>
          <w:szCs w:val="22"/>
        </w:rPr>
        <w:t xml:space="preserve"> », prend en charge, moyennant rémunération, le recouvrement de créances d'une entreprise dans le cadre d'un contrat, en supportant de manière optionnelle, les pertes éventuelles sur les débiteurs insolvables.</w:t>
      </w:r>
    </w:p>
    <w:p w:rsidR="00404ACF" w:rsidRDefault="00E14488" w:rsidP="00413872">
      <w:pPr>
        <w:pStyle w:val="Paragraphedeliste"/>
        <w:numPr>
          <w:ilvl w:val="0"/>
          <w:numId w:val="57"/>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Agence bancaire : </w:t>
      </w:r>
      <w:r w:rsidRPr="00404ACF">
        <w:rPr>
          <w:rFonts w:ascii="Book Antiqua" w:hAnsi="Book Antiqua" w:cs="Arial"/>
          <w:sz w:val="22"/>
          <w:szCs w:val="22"/>
        </w:rPr>
        <w:t>lieu d’accueil de la clientèle d’une banque.</w:t>
      </w:r>
    </w:p>
    <w:p w:rsidR="00404ACF" w:rsidRDefault="00E14488" w:rsidP="00413872">
      <w:pPr>
        <w:pStyle w:val="Paragraphedeliste"/>
        <w:numPr>
          <w:ilvl w:val="0"/>
          <w:numId w:val="57"/>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Autorisation de découvert : </w:t>
      </w:r>
      <w:r w:rsidRPr="00404ACF">
        <w:rPr>
          <w:rFonts w:ascii="Book Antiqua" w:hAnsi="Book Antiqua" w:cs="Arial"/>
          <w:sz w:val="22"/>
          <w:szCs w:val="22"/>
        </w:rPr>
        <w:t xml:space="preserve">accord donné par </w:t>
      </w:r>
      <w:r w:rsidR="008F325B" w:rsidRPr="00404ACF">
        <w:rPr>
          <w:rFonts w:ascii="Book Antiqua" w:hAnsi="Book Antiqua" w:cs="Arial"/>
          <w:sz w:val="22"/>
          <w:szCs w:val="22"/>
        </w:rPr>
        <w:t>une</w:t>
      </w:r>
      <w:r w:rsidRPr="00404ACF">
        <w:rPr>
          <w:rFonts w:ascii="Book Antiqua" w:hAnsi="Book Antiqua" w:cs="Arial"/>
          <w:sz w:val="22"/>
          <w:szCs w:val="22"/>
        </w:rPr>
        <w:t xml:space="preserve"> banque permettant au client de bénéficier d’un crédit d’un montant maximum déterminé et remboursable selon des modalités convenues d’avance, notamment dans la convention de compte de dépôt ou dans un contrat spécifique.</w:t>
      </w:r>
    </w:p>
    <w:p w:rsidR="00404ACF" w:rsidRDefault="00E14488" w:rsidP="00413872">
      <w:pPr>
        <w:pStyle w:val="Paragraphedeliste"/>
        <w:numPr>
          <w:ilvl w:val="0"/>
          <w:numId w:val="57"/>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Aval : </w:t>
      </w:r>
      <w:r w:rsidRPr="00404ACF">
        <w:rPr>
          <w:rFonts w:ascii="Book Antiqua" w:hAnsi="Book Antiqua" w:cs="Arial"/>
          <w:sz w:val="22"/>
          <w:szCs w:val="22"/>
        </w:rPr>
        <w:t>garantie donnée sur un effet de commerce par une personne appelée « donneur d’aval » ou « avaliste » ou « avaliseur », qui s’engage à payer tout ou partie du montant de l’effet à l’échéance, en cas de défaillance du ou des signataires</w:t>
      </w:r>
      <w:r w:rsidR="00EE548A" w:rsidRPr="00404ACF">
        <w:rPr>
          <w:rFonts w:ascii="Book Antiqua" w:hAnsi="Book Antiqua" w:cs="Arial"/>
          <w:sz w:val="22"/>
          <w:szCs w:val="22"/>
        </w:rPr>
        <w:t xml:space="preserve"> (avalisés)</w:t>
      </w:r>
      <w:r w:rsidR="00C20EF7" w:rsidRPr="00404ACF">
        <w:rPr>
          <w:rFonts w:ascii="Book Antiqua" w:hAnsi="Book Antiqua" w:cs="Arial"/>
          <w:sz w:val="22"/>
          <w:szCs w:val="22"/>
        </w:rPr>
        <w:t xml:space="preserve"> </w:t>
      </w:r>
      <w:r w:rsidRPr="00404ACF">
        <w:rPr>
          <w:rFonts w:ascii="Book Antiqua" w:hAnsi="Book Antiqua" w:cs="Arial"/>
          <w:sz w:val="22"/>
          <w:szCs w:val="22"/>
        </w:rPr>
        <w:t>p</w:t>
      </w:r>
      <w:r w:rsidR="00EE548A" w:rsidRPr="00404ACF">
        <w:rPr>
          <w:rFonts w:ascii="Book Antiqua" w:hAnsi="Book Antiqua" w:cs="Arial"/>
          <w:sz w:val="22"/>
          <w:szCs w:val="22"/>
        </w:rPr>
        <w:t>our lesquels l’aval a été donné</w:t>
      </w:r>
      <w:r w:rsidRPr="00404ACF">
        <w:rPr>
          <w:rFonts w:ascii="Book Antiqua" w:hAnsi="Book Antiqua" w:cs="Arial"/>
          <w:sz w:val="22"/>
          <w:szCs w:val="22"/>
        </w:rPr>
        <w:t>.</w:t>
      </w:r>
    </w:p>
    <w:p w:rsidR="00404ACF" w:rsidRDefault="00E14488" w:rsidP="00413872">
      <w:pPr>
        <w:pStyle w:val="Paragraphedeliste"/>
        <w:numPr>
          <w:ilvl w:val="0"/>
          <w:numId w:val="57"/>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Bancarisation : </w:t>
      </w:r>
      <w:r w:rsidRPr="00404ACF">
        <w:rPr>
          <w:rFonts w:ascii="Book Antiqua" w:hAnsi="Book Antiqua" w:cs="Arial"/>
          <w:sz w:val="22"/>
          <w:szCs w:val="22"/>
        </w:rPr>
        <w:t xml:space="preserve">processus </w:t>
      </w:r>
      <w:r w:rsidR="00EE548A" w:rsidRPr="00404ACF">
        <w:rPr>
          <w:rFonts w:ascii="Book Antiqua" w:hAnsi="Book Antiqua" w:cs="Arial"/>
          <w:sz w:val="22"/>
          <w:szCs w:val="22"/>
        </w:rPr>
        <w:t>lié à l’accès et à l</w:t>
      </w:r>
      <w:r w:rsidRPr="00404ACF">
        <w:rPr>
          <w:rFonts w:ascii="Book Antiqua" w:hAnsi="Book Antiqua" w:cs="Arial"/>
          <w:sz w:val="22"/>
          <w:szCs w:val="22"/>
        </w:rPr>
        <w:t>’utilisation des services bancaires par les populations.</w:t>
      </w:r>
    </w:p>
    <w:p w:rsidR="00E14488" w:rsidRPr="00404ACF" w:rsidRDefault="00E14488" w:rsidP="00413872">
      <w:pPr>
        <w:pStyle w:val="Paragraphedeliste"/>
        <w:numPr>
          <w:ilvl w:val="0"/>
          <w:numId w:val="57"/>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Bon de caisse : </w:t>
      </w:r>
      <w:r w:rsidR="00537F29" w:rsidRPr="00404ACF">
        <w:rPr>
          <w:rFonts w:ascii="Book Antiqua" w:hAnsi="Book Antiqua" w:cs="Arial"/>
          <w:bCs/>
          <w:sz w:val="22"/>
          <w:szCs w:val="22"/>
        </w:rPr>
        <w:t>placement de titre à terme effectué</w:t>
      </w:r>
      <w:r w:rsidR="0067080A" w:rsidRPr="00404ACF">
        <w:rPr>
          <w:rFonts w:ascii="Book Antiqua" w:hAnsi="Book Antiqua" w:cs="Arial"/>
          <w:bCs/>
          <w:sz w:val="22"/>
          <w:szCs w:val="22"/>
        </w:rPr>
        <w:t xml:space="preserve"> </w:t>
      </w:r>
      <w:r w:rsidR="00537F29" w:rsidRPr="00404ACF">
        <w:rPr>
          <w:rFonts w:ascii="Book Antiqua" w:hAnsi="Book Antiqua" w:cs="Arial"/>
          <w:bCs/>
          <w:sz w:val="22"/>
          <w:szCs w:val="22"/>
        </w:rPr>
        <w:t>par</w:t>
      </w:r>
      <w:r w:rsidR="00390196" w:rsidRPr="00404ACF">
        <w:rPr>
          <w:rFonts w:ascii="Book Antiqua" w:hAnsi="Book Antiqua" w:cs="Arial"/>
          <w:bCs/>
          <w:sz w:val="22"/>
          <w:szCs w:val="22"/>
        </w:rPr>
        <w:t xml:space="preserve"> </w:t>
      </w:r>
      <w:r w:rsidR="00537F29" w:rsidRPr="00404ACF">
        <w:rPr>
          <w:rFonts w:ascii="Book Antiqua" w:hAnsi="Book Antiqua" w:cs="Arial"/>
          <w:sz w:val="22"/>
          <w:szCs w:val="22"/>
        </w:rPr>
        <w:t xml:space="preserve">une entreprise auprès d’une </w:t>
      </w:r>
      <w:r w:rsidR="00EE548A" w:rsidRPr="00404ACF">
        <w:rPr>
          <w:rFonts w:ascii="Book Antiqua" w:hAnsi="Book Antiqua" w:cs="Arial"/>
          <w:sz w:val="22"/>
          <w:szCs w:val="22"/>
        </w:rPr>
        <w:t>banque</w:t>
      </w:r>
      <w:r w:rsidR="00537F29" w:rsidRPr="00404ACF">
        <w:rPr>
          <w:rFonts w:ascii="Book Antiqua" w:hAnsi="Book Antiqua" w:cs="Arial"/>
          <w:sz w:val="22"/>
          <w:szCs w:val="22"/>
        </w:rPr>
        <w:t xml:space="preserve">, </w:t>
      </w:r>
      <w:r w:rsidR="007F0962" w:rsidRPr="00404ACF">
        <w:rPr>
          <w:rFonts w:ascii="Book Antiqua" w:hAnsi="Book Antiqua" w:cs="Arial"/>
          <w:sz w:val="22"/>
          <w:szCs w:val="22"/>
        </w:rPr>
        <w:t>rémunéré selon des modalités convenues d’accord partie</w:t>
      </w:r>
      <w:r w:rsidRPr="00404ACF">
        <w:rPr>
          <w:rFonts w:ascii="Book Antiqua" w:hAnsi="Book Antiqua" w:cs="Arial"/>
          <w:sz w:val="22"/>
          <w:szCs w:val="22"/>
        </w:rPr>
        <w:t>. Dans le cas où l’</w:t>
      </w:r>
      <w:r w:rsidR="007F0962" w:rsidRPr="00404ACF">
        <w:rPr>
          <w:rFonts w:ascii="Book Antiqua" w:hAnsi="Book Antiqua" w:cs="Arial"/>
          <w:sz w:val="22"/>
          <w:szCs w:val="22"/>
        </w:rPr>
        <w:t xml:space="preserve">émetteur </w:t>
      </w:r>
      <w:r w:rsidRPr="00404ACF">
        <w:rPr>
          <w:rFonts w:ascii="Book Antiqua" w:hAnsi="Book Antiqua" w:cs="Arial"/>
          <w:sz w:val="22"/>
          <w:szCs w:val="22"/>
        </w:rPr>
        <w:t xml:space="preserve">est l’Etat, le </w:t>
      </w:r>
      <w:r w:rsidR="00537F29" w:rsidRPr="00404ACF">
        <w:rPr>
          <w:rFonts w:ascii="Book Antiqua" w:hAnsi="Book Antiqua" w:cs="Arial"/>
          <w:sz w:val="22"/>
          <w:szCs w:val="22"/>
        </w:rPr>
        <w:t>titre</w:t>
      </w:r>
      <w:r w:rsidRPr="00404ACF">
        <w:rPr>
          <w:rFonts w:ascii="Book Antiqua" w:hAnsi="Book Antiqua" w:cs="Arial"/>
          <w:sz w:val="22"/>
          <w:szCs w:val="22"/>
        </w:rPr>
        <w:t xml:space="preserve"> remis sera appelé </w:t>
      </w:r>
      <w:r w:rsidR="00537F29" w:rsidRPr="00404ACF">
        <w:rPr>
          <w:rFonts w:ascii="Book Antiqua" w:hAnsi="Book Antiqua" w:cs="Arial"/>
          <w:sz w:val="22"/>
          <w:szCs w:val="22"/>
        </w:rPr>
        <w:t>« </w:t>
      </w:r>
      <w:r w:rsidRPr="00404ACF">
        <w:rPr>
          <w:rFonts w:ascii="Book Antiqua" w:hAnsi="Book Antiqua" w:cs="Arial"/>
          <w:sz w:val="22"/>
          <w:szCs w:val="22"/>
        </w:rPr>
        <w:t>Bon du Trésor</w:t>
      </w:r>
      <w:r w:rsidR="00537F29" w:rsidRPr="00404ACF">
        <w:rPr>
          <w:rFonts w:ascii="Book Antiqua" w:hAnsi="Book Antiqua" w:cs="Arial"/>
          <w:sz w:val="22"/>
          <w:szCs w:val="22"/>
        </w:rPr>
        <w:t> »</w:t>
      </w:r>
      <w:r w:rsidRPr="00404ACF">
        <w:rPr>
          <w:rFonts w:ascii="Book Antiqua" w:hAnsi="Book Antiqua" w:cs="Arial"/>
          <w:sz w:val="22"/>
          <w:szCs w:val="22"/>
        </w:rPr>
        <w:t>.</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Cautionnement : </w:t>
      </w:r>
      <w:r w:rsidRPr="00404ACF">
        <w:rPr>
          <w:rFonts w:ascii="Book Antiqua" w:hAnsi="Book Antiqua" w:cs="Arial"/>
          <w:sz w:val="22"/>
          <w:szCs w:val="22"/>
        </w:rPr>
        <w:t>contrat p</w:t>
      </w:r>
      <w:r w:rsidR="00537F29" w:rsidRPr="00404ACF">
        <w:rPr>
          <w:rFonts w:ascii="Book Antiqua" w:hAnsi="Book Antiqua" w:cs="Arial"/>
          <w:sz w:val="22"/>
          <w:szCs w:val="22"/>
        </w:rPr>
        <w:t>ar lequel une personne appelée C</w:t>
      </w:r>
      <w:r w:rsidRPr="00404ACF">
        <w:rPr>
          <w:rFonts w:ascii="Book Antiqua" w:hAnsi="Book Antiqua" w:cs="Arial"/>
          <w:sz w:val="22"/>
          <w:szCs w:val="22"/>
        </w:rPr>
        <w:t>aution, s’engage, envers le créancier qui l’accepte, à exécuter l’obligation du débiteur si celui-ci n’y satisfait pas lui-même.</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Carte bancaire : </w:t>
      </w:r>
      <w:r w:rsidRPr="00404ACF">
        <w:rPr>
          <w:rFonts w:ascii="Book Antiqua" w:hAnsi="Book Antiqua" w:cs="Arial"/>
          <w:sz w:val="22"/>
          <w:szCs w:val="22"/>
        </w:rPr>
        <w:t>moyen de paiement prenant la forme d’un</w:t>
      </w:r>
      <w:r w:rsidR="00EA184C" w:rsidRPr="00404ACF">
        <w:rPr>
          <w:rFonts w:ascii="Book Antiqua" w:hAnsi="Book Antiqua" w:cs="Arial"/>
          <w:sz w:val="22"/>
          <w:szCs w:val="22"/>
        </w:rPr>
        <w:t xml:space="preserve"> support </w:t>
      </w:r>
      <w:r w:rsidR="001A2977" w:rsidRPr="00404ACF">
        <w:rPr>
          <w:rFonts w:ascii="Book Antiqua" w:hAnsi="Book Antiqua" w:cs="Arial"/>
          <w:sz w:val="22"/>
          <w:szCs w:val="22"/>
        </w:rPr>
        <w:t xml:space="preserve">électronique </w:t>
      </w:r>
      <w:r w:rsidRPr="00404ACF">
        <w:rPr>
          <w:rFonts w:ascii="Book Antiqua" w:hAnsi="Book Antiqua" w:cs="Arial"/>
          <w:sz w:val="22"/>
          <w:szCs w:val="22"/>
        </w:rPr>
        <w:t xml:space="preserve">émis par </w:t>
      </w:r>
      <w:r w:rsidR="00371C76" w:rsidRPr="00404ACF">
        <w:rPr>
          <w:rFonts w:ascii="Book Antiqua" w:hAnsi="Book Antiqua" w:cs="Arial"/>
          <w:sz w:val="22"/>
          <w:szCs w:val="22"/>
        </w:rPr>
        <w:t>un établissement émetteur de monnaie électronique,</w:t>
      </w:r>
      <w:r w:rsidRPr="00404ACF">
        <w:rPr>
          <w:rFonts w:ascii="Book Antiqua" w:hAnsi="Book Antiqua" w:cs="Arial"/>
          <w:sz w:val="22"/>
          <w:szCs w:val="22"/>
        </w:rPr>
        <w:t xml:space="preserve"> permettant à son titulaire</w:t>
      </w:r>
      <w:r w:rsidR="001A2977" w:rsidRPr="00404ACF">
        <w:rPr>
          <w:rFonts w:ascii="Book Antiqua" w:hAnsi="Book Antiqua" w:cs="Arial"/>
          <w:sz w:val="22"/>
          <w:szCs w:val="22"/>
        </w:rPr>
        <w:t xml:space="preserve"> (porteur)</w:t>
      </w:r>
      <w:r w:rsidR="0067080A" w:rsidRPr="00404ACF">
        <w:rPr>
          <w:rFonts w:ascii="Book Antiqua" w:hAnsi="Book Antiqua" w:cs="Arial"/>
          <w:sz w:val="22"/>
          <w:szCs w:val="22"/>
        </w:rPr>
        <w:t xml:space="preserve"> </w:t>
      </w:r>
      <w:r w:rsidR="001A2977" w:rsidRPr="00404ACF">
        <w:rPr>
          <w:rFonts w:ascii="Book Antiqua" w:hAnsi="Book Antiqua" w:cs="Arial"/>
          <w:sz w:val="22"/>
          <w:szCs w:val="22"/>
        </w:rPr>
        <w:t>d’effectuer des opérations courantes (retrait, dépôt ou paiement d'un bien ou d'un service),</w:t>
      </w:r>
      <w:r w:rsidR="0067080A" w:rsidRPr="00404ACF">
        <w:rPr>
          <w:rFonts w:ascii="Book Antiqua" w:hAnsi="Book Antiqua" w:cs="Arial"/>
          <w:sz w:val="22"/>
          <w:szCs w:val="22"/>
        </w:rPr>
        <w:t xml:space="preserve"> </w:t>
      </w:r>
      <w:r w:rsidRPr="00404ACF">
        <w:rPr>
          <w:rFonts w:ascii="Book Antiqua" w:hAnsi="Book Antiqua" w:cs="Arial"/>
          <w:sz w:val="22"/>
          <w:szCs w:val="22"/>
        </w:rPr>
        <w:t xml:space="preserve">conformément au contrat passé avec </w:t>
      </w:r>
      <w:r w:rsidR="00371C76" w:rsidRPr="00404ACF">
        <w:rPr>
          <w:rFonts w:ascii="Book Antiqua" w:hAnsi="Book Antiqua" w:cs="Arial"/>
          <w:sz w:val="22"/>
          <w:szCs w:val="22"/>
        </w:rPr>
        <w:t>l’institution</w:t>
      </w:r>
      <w:r w:rsidRPr="00404ACF">
        <w:rPr>
          <w:rFonts w:ascii="Book Antiqua" w:hAnsi="Book Antiqua" w:cs="Arial"/>
          <w:sz w:val="22"/>
          <w:szCs w:val="22"/>
        </w:rPr>
        <w:t>.</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Chèque : </w:t>
      </w:r>
      <w:r w:rsidRPr="00404ACF">
        <w:rPr>
          <w:rFonts w:ascii="Book Antiqua" w:hAnsi="Book Antiqua" w:cs="Arial"/>
          <w:sz w:val="22"/>
          <w:szCs w:val="22"/>
        </w:rPr>
        <w:t xml:space="preserve">moyen de paiement avec lequel le titulaire (tireur) d’un compte donne l’ordre à son banquier (tiré) de payer au bénéficiaire la somme </w:t>
      </w:r>
      <w:r w:rsidR="001A2977" w:rsidRPr="00404ACF">
        <w:rPr>
          <w:rFonts w:ascii="Book Antiqua" w:hAnsi="Book Antiqua" w:cs="Arial"/>
          <w:sz w:val="22"/>
          <w:szCs w:val="22"/>
        </w:rPr>
        <w:t>qui y figure</w:t>
      </w:r>
      <w:r w:rsidRPr="00404ACF">
        <w:rPr>
          <w:rFonts w:ascii="Book Antiqua" w:hAnsi="Book Antiqua" w:cs="Arial"/>
          <w:sz w:val="22"/>
          <w:szCs w:val="22"/>
        </w:rPr>
        <w:t>.</w:t>
      </w:r>
    </w:p>
    <w:p w:rsidR="00A75633"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Compte de dépôt : </w:t>
      </w:r>
      <w:r w:rsidRPr="00404ACF">
        <w:rPr>
          <w:rFonts w:ascii="Book Antiqua" w:hAnsi="Book Antiqua" w:cs="Arial"/>
          <w:sz w:val="22"/>
          <w:szCs w:val="22"/>
        </w:rPr>
        <w:t xml:space="preserve">compte bancaire </w:t>
      </w:r>
      <w:r w:rsidR="00A75633" w:rsidRPr="00404ACF">
        <w:rPr>
          <w:rFonts w:ascii="Book Antiqua" w:hAnsi="Book Antiqua" w:cs="Arial"/>
          <w:sz w:val="22"/>
          <w:szCs w:val="22"/>
        </w:rPr>
        <w:t>ouvert</w:t>
      </w:r>
      <w:r w:rsidR="0067080A" w:rsidRPr="00404ACF">
        <w:rPr>
          <w:rFonts w:ascii="Book Antiqua" w:hAnsi="Book Antiqua" w:cs="Arial"/>
          <w:sz w:val="22"/>
          <w:szCs w:val="22"/>
        </w:rPr>
        <w:t xml:space="preserve"> </w:t>
      </w:r>
      <w:r w:rsidR="00A75633" w:rsidRPr="00404ACF">
        <w:rPr>
          <w:rFonts w:ascii="Book Antiqua" w:hAnsi="Book Antiqua" w:cs="Arial"/>
          <w:sz w:val="22"/>
          <w:szCs w:val="22"/>
        </w:rPr>
        <w:t>par un client destiné à la gestion de ses opérations courantes d’encaissements et de décaissements.</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Convention : </w:t>
      </w:r>
      <w:r w:rsidRPr="00404ACF">
        <w:rPr>
          <w:rFonts w:ascii="Book Antiqua" w:hAnsi="Book Antiqua" w:cs="Arial"/>
          <w:sz w:val="22"/>
          <w:szCs w:val="22"/>
        </w:rPr>
        <w:t xml:space="preserve">accord de volonté </w:t>
      </w:r>
      <w:r w:rsidR="00A75633" w:rsidRPr="00404ACF">
        <w:rPr>
          <w:rFonts w:ascii="Book Antiqua" w:hAnsi="Book Antiqua" w:cs="Arial"/>
          <w:sz w:val="22"/>
          <w:szCs w:val="22"/>
        </w:rPr>
        <w:t>qui régit les droits et obligations entre la banque et le client</w:t>
      </w:r>
      <w:r w:rsidRPr="00404ACF">
        <w:rPr>
          <w:rFonts w:ascii="Book Antiqua" w:hAnsi="Book Antiqua" w:cs="Arial"/>
          <w:sz w:val="22"/>
          <w:szCs w:val="22"/>
        </w:rPr>
        <w:t>.</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Crédit : </w:t>
      </w:r>
      <w:r w:rsidRPr="00404ACF">
        <w:rPr>
          <w:rFonts w:ascii="Book Antiqua" w:hAnsi="Book Antiqua" w:cs="Arial"/>
          <w:sz w:val="22"/>
          <w:szCs w:val="22"/>
        </w:rPr>
        <w:t>opération par laquelle un établissement de crédit met ou promet de mettre à la disposition d’un client</w:t>
      </w:r>
      <w:r w:rsidR="00914367" w:rsidRPr="00404ACF">
        <w:rPr>
          <w:rFonts w:ascii="Book Antiqua" w:hAnsi="Book Antiqua" w:cs="Arial"/>
          <w:sz w:val="22"/>
          <w:szCs w:val="22"/>
        </w:rPr>
        <w:t xml:space="preserve"> (emprunteur)</w:t>
      </w:r>
      <w:r w:rsidRPr="00404ACF">
        <w:rPr>
          <w:rFonts w:ascii="Book Antiqua" w:hAnsi="Book Antiqua" w:cs="Arial"/>
          <w:sz w:val="22"/>
          <w:szCs w:val="22"/>
        </w:rPr>
        <w:t xml:space="preserve"> une somme d’argent </w:t>
      </w:r>
      <w:r w:rsidR="00A75633" w:rsidRPr="00404ACF">
        <w:rPr>
          <w:rFonts w:ascii="Book Antiqua" w:hAnsi="Book Antiqua" w:cs="Arial"/>
          <w:sz w:val="22"/>
          <w:szCs w:val="22"/>
        </w:rPr>
        <w:t>selon des modalités définies dans la convention de crédit</w:t>
      </w:r>
      <w:r w:rsidRPr="00404ACF">
        <w:rPr>
          <w:rFonts w:ascii="Book Antiqua" w:hAnsi="Book Antiqua" w:cs="Arial"/>
          <w:sz w:val="22"/>
          <w:szCs w:val="22"/>
        </w:rPr>
        <w:t>.</w:t>
      </w:r>
    </w:p>
    <w:p w:rsidR="00E14488" w:rsidRPr="00404ACF" w:rsidRDefault="00C35F79"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Crédit-bail</w:t>
      </w:r>
      <w:r w:rsidR="00E14488" w:rsidRPr="00404ACF">
        <w:rPr>
          <w:rFonts w:ascii="Book Antiqua" w:hAnsi="Book Antiqua" w:cs="Arial"/>
          <w:b/>
          <w:bCs/>
          <w:sz w:val="22"/>
          <w:szCs w:val="22"/>
        </w:rPr>
        <w:t xml:space="preserve"> : </w:t>
      </w:r>
      <w:r w:rsidR="00914367" w:rsidRPr="00404ACF">
        <w:rPr>
          <w:rFonts w:ascii="Book Antiqua" w:hAnsi="Book Antiqua" w:cs="Arial"/>
          <w:bCs/>
          <w:sz w:val="22"/>
          <w:szCs w:val="22"/>
        </w:rPr>
        <w:t>contrat par lequel</w:t>
      </w:r>
      <w:r w:rsidR="0067080A" w:rsidRPr="00404ACF">
        <w:rPr>
          <w:rFonts w:ascii="Book Antiqua" w:hAnsi="Book Antiqua" w:cs="Arial"/>
          <w:bCs/>
          <w:sz w:val="22"/>
          <w:szCs w:val="22"/>
        </w:rPr>
        <w:t xml:space="preserve"> </w:t>
      </w:r>
      <w:r w:rsidR="00914367" w:rsidRPr="00404ACF">
        <w:rPr>
          <w:rFonts w:ascii="Book Antiqua" w:hAnsi="Book Antiqua" w:cs="Arial"/>
          <w:sz w:val="22"/>
          <w:szCs w:val="22"/>
        </w:rPr>
        <w:t>une personne morale</w:t>
      </w:r>
      <w:r w:rsidRPr="00404ACF">
        <w:rPr>
          <w:rFonts w:ascii="Book Antiqua" w:hAnsi="Book Antiqua" w:cs="Arial"/>
          <w:sz w:val="22"/>
          <w:szCs w:val="22"/>
        </w:rPr>
        <w:t xml:space="preserve">, le crédit </w:t>
      </w:r>
      <w:r w:rsidR="00914367" w:rsidRPr="00404ACF">
        <w:rPr>
          <w:rFonts w:ascii="Book Antiqua" w:hAnsi="Book Antiqua" w:cs="Arial"/>
          <w:sz w:val="22"/>
          <w:szCs w:val="22"/>
        </w:rPr>
        <w:t>bailleur (</w:t>
      </w:r>
      <w:r w:rsidRPr="00404ACF">
        <w:rPr>
          <w:rFonts w:ascii="Book Antiqua" w:hAnsi="Book Antiqua" w:cs="Arial"/>
          <w:sz w:val="22"/>
          <w:szCs w:val="22"/>
        </w:rPr>
        <w:t>société de financement, banque, etc.</w:t>
      </w:r>
      <w:r w:rsidR="00914367" w:rsidRPr="00404ACF">
        <w:rPr>
          <w:rFonts w:ascii="Book Antiqua" w:hAnsi="Book Antiqua" w:cs="Arial"/>
          <w:sz w:val="22"/>
          <w:szCs w:val="22"/>
        </w:rPr>
        <w:t>), achète un bien d’équipements mobiliers ou immobiliers, à usage professionnel, et le met à la disposition d’une autre personne</w:t>
      </w:r>
      <w:r w:rsidR="00390196" w:rsidRPr="00404ACF">
        <w:rPr>
          <w:rFonts w:ascii="Book Antiqua" w:hAnsi="Book Antiqua" w:cs="Arial"/>
          <w:sz w:val="22"/>
          <w:szCs w:val="22"/>
        </w:rPr>
        <w:t xml:space="preserve"> </w:t>
      </w:r>
      <w:r w:rsidRPr="00404ACF">
        <w:rPr>
          <w:rFonts w:ascii="Book Antiqua" w:hAnsi="Book Antiqua" w:cs="Arial"/>
          <w:sz w:val="22"/>
          <w:szCs w:val="22"/>
        </w:rPr>
        <w:t>morale</w:t>
      </w:r>
      <w:r w:rsidR="00914367" w:rsidRPr="00404ACF">
        <w:rPr>
          <w:rFonts w:ascii="Book Antiqua" w:hAnsi="Book Antiqua" w:cs="Arial"/>
          <w:sz w:val="22"/>
          <w:szCs w:val="22"/>
        </w:rPr>
        <w:t>, le preneur (</w:t>
      </w:r>
      <w:r w:rsidRPr="00404ACF">
        <w:rPr>
          <w:rFonts w:ascii="Book Antiqua" w:hAnsi="Book Antiqua" w:cs="Arial"/>
          <w:sz w:val="22"/>
          <w:szCs w:val="22"/>
        </w:rPr>
        <w:t>locataire</w:t>
      </w:r>
      <w:r w:rsidR="00914367" w:rsidRPr="00404ACF">
        <w:rPr>
          <w:rFonts w:ascii="Book Antiqua" w:hAnsi="Book Antiqua" w:cs="Arial"/>
          <w:sz w:val="22"/>
          <w:szCs w:val="22"/>
        </w:rPr>
        <w:t>), moyennant le paiement d’un loyer</w:t>
      </w:r>
      <w:r w:rsidR="00390196" w:rsidRPr="00404ACF">
        <w:rPr>
          <w:rFonts w:ascii="Book Antiqua" w:hAnsi="Book Antiqua" w:cs="Arial"/>
          <w:sz w:val="22"/>
          <w:szCs w:val="22"/>
        </w:rPr>
        <w:t xml:space="preserve"> </w:t>
      </w:r>
      <w:r w:rsidRPr="00404ACF">
        <w:rPr>
          <w:rFonts w:ascii="Book Antiqua" w:hAnsi="Book Antiqua" w:cs="Arial"/>
          <w:sz w:val="22"/>
          <w:szCs w:val="22"/>
        </w:rPr>
        <w:t>pour une durée déterminée.</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lastRenderedPageBreak/>
        <w:t xml:space="preserve">Crédit documentaire : </w:t>
      </w:r>
      <w:r w:rsidRPr="00404ACF">
        <w:rPr>
          <w:rFonts w:ascii="Book Antiqua" w:hAnsi="Book Antiqua" w:cs="Arial"/>
          <w:sz w:val="22"/>
          <w:szCs w:val="22"/>
        </w:rPr>
        <w:t xml:space="preserve">convention par laquelle un donneur d'ordre demande à sa banque, dans le cadre d’une opération </w:t>
      </w:r>
      <w:r w:rsidR="00F266FD" w:rsidRPr="00404ACF">
        <w:rPr>
          <w:rFonts w:ascii="Book Antiqua" w:hAnsi="Book Antiqua" w:cs="Arial"/>
          <w:sz w:val="22"/>
          <w:szCs w:val="22"/>
        </w:rPr>
        <w:t xml:space="preserve">commerciale </w:t>
      </w:r>
      <w:r w:rsidRPr="00404ACF">
        <w:rPr>
          <w:rFonts w:ascii="Book Antiqua" w:hAnsi="Book Antiqua" w:cs="Arial"/>
          <w:sz w:val="22"/>
          <w:szCs w:val="22"/>
        </w:rPr>
        <w:t>à l’</w:t>
      </w:r>
      <w:r w:rsidR="00F266FD" w:rsidRPr="00404ACF">
        <w:rPr>
          <w:rFonts w:ascii="Book Antiqua" w:hAnsi="Book Antiqua" w:cs="Arial"/>
          <w:sz w:val="22"/>
          <w:szCs w:val="22"/>
        </w:rPr>
        <w:t>international (import-</w:t>
      </w:r>
      <w:r w:rsidRPr="00404ACF">
        <w:rPr>
          <w:rFonts w:ascii="Book Antiqua" w:hAnsi="Book Antiqua" w:cs="Arial"/>
          <w:sz w:val="22"/>
          <w:szCs w:val="22"/>
        </w:rPr>
        <w:t>export</w:t>
      </w:r>
      <w:r w:rsidR="00F266FD" w:rsidRPr="00404ACF">
        <w:rPr>
          <w:rFonts w:ascii="Book Antiqua" w:hAnsi="Book Antiqua" w:cs="Arial"/>
          <w:sz w:val="22"/>
          <w:szCs w:val="22"/>
        </w:rPr>
        <w:t>)</w:t>
      </w:r>
      <w:r w:rsidRPr="00404ACF">
        <w:rPr>
          <w:rFonts w:ascii="Book Antiqua" w:hAnsi="Book Antiqua" w:cs="Arial"/>
          <w:sz w:val="22"/>
          <w:szCs w:val="22"/>
        </w:rPr>
        <w:t xml:space="preserve">, de mettre à la disposition du vendeur un montant déterminé contre la remise </w:t>
      </w:r>
      <w:r w:rsidR="009C6AF2" w:rsidRPr="00404ACF">
        <w:rPr>
          <w:rFonts w:ascii="Book Antiqua" w:hAnsi="Book Antiqua" w:cs="Arial"/>
          <w:sz w:val="22"/>
          <w:szCs w:val="22"/>
        </w:rPr>
        <w:t>de</w:t>
      </w:r>
      <w:r w:rsidRPr="00404ACF">
        <w:rPr>
          <w:rFonts w:ascii="Book Antiqua" w:hAnsi="Book Antiqua" w:cs="Arial"/>
          <w:sz w:val="22"/>
          <w:szCs w:val="22"/>
        </w:rPr>
        <w:t xml:space="preserve"> document</w:t>
      </w:r>
      <w:r w:rsidR="009C6AF2" w:rsidRPr="00404ACF">
        <w:rPr>
          <w:rFonts w:ascii="Book Antiqua" w:hAnsi="Book Antiqua" w:cs="Arial"/>
          <w:sz w:val="22"/>
          <w:szCs w:val="22"/>
        </w:rPr>
        <w:t>s</w:t>
      </w:r>
      <w:r w:rsidRPr="00404ACF">
        <w:rPr>
          <w:rFonts w:ascii="Book Antiqua" w:hAnsi="Book Antiqua" w:cs="Arial"/>
          <w:sz w:val="22"/>
          <w:szCs w:val="22"/>
        </w:rPr>
        <w:t>.</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Dates de valeur : </w:t>
      </w:r>
      <w:r w:rsidRPr="00404ACF">
        <w:rPr>
          <w:rFonts w:ascii="Book Antiqua" w:hAnsi="Book Antiqua" w:cs="Arial"/>
          <w:sz w:val="22"/>
          <w:szCs w:val="22"/>
        </w:rPr>
        <w:t>dates à partir desquelles les opérations effectuées sont créditées ou</w:t>
      </w:r>
      <w:r w:rsidR="00390196" w:rsidRPr="00404ACF">
        <w:rPr>
          <w:rFonts w:ascii="Book Antiqua" w:hAnsi="Book Antiqua" w:cs="Arial"/>
          <w:sz w:val="22"/>
          <w:szCs w:val="22"/>
        </w:rPr>
        <w:t xml:space="preserve"> </w:t>
      </w:r>
      <w:r w:rsidRPr="00404ACF">
        <w:rPr>
          <w:rFonts w:ascii="Book Antiqua" w:hAnsi="Book Antiqua" w:cs="Arial"/>
          <w:sz w:val="22"/>
          <w:szCs w:val="22"/>
        </w:rPr>
        <w:t>débitées dans le compte du client.</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Découvert du compte : </w:t>
      </w:r>
      <w:r w:rsidRPr="00404ACF">
        <w:rPr>
          <w:rFonts w:ascii="Book Antiqua" w:hAnsi="Book Antiqua" w:cs="Arial"/>
          <w:sz w:val="22"/>
          <w:szCs w:val="22"/>
        </w:rPr>
        <w:t>position d’un compte de dépôt lorsque son solde est négatif. Cette situation peut avoir été contractualisée (autorisation de découvert) préalablement ou non.</w:t>
      </w:r>
    </w:p>
    <w:p w:rsidR="00144A43" w:rsidRPr="00404ACF" w:rsidRDefault="00144A43"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Dépassement ponctuel de découvert : </w:t>
      </w:r>
      <w:r w:rsidRPr="00404ACF">
        <w:rPr>
          <w:rFonts w:ascii="Book Antiqua" w:hAnsi="Book Antiqua" w:cs="Arial"/>
          <w:sz w:val="22"/>
          <w:szCs w:val="22"/>
        </w:rPr>
        <w:t>situation où le compte du client présente un solde débiteur soit en cas de découvert non autorisé, soit en cas de dépassement du plafond du découvert autorisé.</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Dépôt à terme (DAT) : </w:t>
      </w:r>
      <w:r w:rsidRPr="00404ACF">
        <w:rPr>
          <w:rFonts w:ascii="Book Antiqua" w:hAnsi="Book Antiqua" w:cs="Arial"/>
          <w:sz w:val="22"/>
          <w:szCs w:val="22"/>
        </w:rPr>
        <w:t>contrat par lequel une personne (le déposant) place une somme d’argent auprès d’une banque (le dépositaire) qui s’engage à la restituer à l’échéance convenue moyennant rémunération</w:t>
      </w:r>
      <w:r w:rsidR="008A39DC" w:rsidRPr="00404ACF">
        <w:rPr>
          <w:rFonts w:ascii="Book Antiqua" w:hAnsi="Book Antiqua" w:cs="Arial"/>
          <w:sz w:val="22"/>
          <w:szCs w:val="22"/>
        </w:rPr>
        <w:t xml:space="preserve"> (intérêts créditeurs)</w:t>
      </w:r>
      <w:r w:rsidRPr="00404ACF">
        <w:rPr>
          <w:rFonts w:ascii="Book Antiqua" w:hAnsi="Book Antiqua" w:cs="Arial"/>
          <w:sz w:val="22"/>
          <w:szCs w:val="22"/>
        </w:rPr>
        <w:t>.</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Escompte : </w:t>
      </w:r>
      <w:r w:rsidRPr="00404ACF">
        <w:rPr>
          <w:rFonts w:ascii="Book Antiqua" w:hAnsi="Book Antiqua" w:cs="Arial"/>
          <w:sz w:val="22"/>
          <w:szCs w:val="22"/>
        </w:rPr>
        <w:t xml:space="preserve">technique de mobilisation de créance par laquelle la banque endossataire paie le montant de l’effet de commerce à l’endosseur, avant l’échéance prévue par l’effet, sous déduction d’une </w:t>
      </w:r>
      <w:r w:rsidR="008A39DC" w:rsidRPr="00404ACF">
        <w:rPr>
          <w:rFonts w:ascii="Book Antiqua" w:hAnsi="Book Antiqua" w:cs="Arial"/>
          <w:sz w:val="22"/>
          <w:szCs w:val="22"/>
        </w:rPr>
        <w:t>commission</w:t>
      </w:r>
      <w:r w:rsidR="002A50D2" w:rsidRPr="00404ACF">
        <w:rPr>
          <w:rFonts w:ascii="Book Antiqua" w:hAnsi="Book Antiqua" w:cs="Arial"/>
          <w:sz w:val="22"/>
          <w:szCs w:val="22"/>
        </w:rPr>
        <w:t xml:space="preserve"> </w:t>
      </w:r>
      <w:r w:rsidR="008A39DC" w:rsidRPr="00404ACF">
        <w:rPr>
          <w:rFonts w:ascii="Book Antiqua" w:hAnsi="Book Antiqua" w:cs="Arial"/>
          <w:sz w:val="22"/>
          <w:szCs w:val="22"/>
        </w:rPr>
        <w:t xml:space="preserve">proportionnelle à la période à courir </w:t>
      </w:r>
      <w:r w:rsidRPr="00404ACF">
        <w:rPr>
          <w:rFonts w:ascii="Book Antiqua" w:hAnsi="Book Antiqua" w:cs="Arial"/>
          <w:sz w:val="22"/>
          <w:szCs w:val="22"/>
        </w:rPr>
        <w:t>jusqu’à l’échéance.</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Facilité de caisse : </w:t>
      </w:r>
      <w:r w:rsidRPr="00404ACF">
        <w:rPr>
          <w:rFonts w:ascii="Book Antiqua" w:hAnsi="Book Antiqua" w:cs="Arial"/>
          <w:sz w:val="22"/>
          <w:szCs w:val="22"/>
        </w:rPr>
        <w:t xml:space="preserve">autorisation de découvert d’une durée généralement limitée et portant sur un montant </w:t>
      </w:r>
      <w:r w:rsidR="00150A9D" w:rsidRPr="00404ACF">
        <w:rPr>
          <w:rFonts w:ascii="Book Antiqua" w:hAnsi="Book Antiqua" w:cs="Arial"/>
          <w:sz w:val="22"/>
          <w:szCs w:val="22"/>
        </w:rPr>
        <w:t xml:space="preserve">proportionnel aux </w:t>
      </w:r>
      <w:r w:rsidRPr="00404ACF">
        <w:rPr>
          <w:rFonts w:ascii="Book Antiqua" w:hAnsi="Book Antiqua" w:cs="Arial"/>
          <w:sz w:val="22"/>
          <w:szCs w:val="22"/>
        </w:rPr>
        <w:t>revenus du client.</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Frais : </w:t>
      </w:r>
      <w:r w:rsidRPr="00404ACF">
        <w:rPr>
          <w:rFonts w:ascii="Book Antiqua" w:hAnsi="Book Antiqua" w:cs="Arial"/>
          <w:sz w:val="22"/>
          <w:szCs w:val="22"/>
        </w:rPr>
        <w:t>montant prélevé par l’établissement de crédit au titre de la réalisation d’une opération ou de la fourniture d’un service.</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Frais de tenue de compte : </w:t>
      </w:r>
      <w:r w:rsidRPr="00404ACF">
        <w:rPr>
          <w:rFonts w:ascii="Book Antiqua" w:hAnsi="Book Antiqua" w:cs="Arial"/>
          <w:sz w:val="22"/>
          <w:szCs w:val="22"/>
        </w:rPr>
        <w:t xml:space="preserve">commissions </w:t>
      </w:r>
      <w:r w:rsidR="00150A9D" w:rsidRPr="00404ACF">
        <w:rPr>
          <w:rFonts w:ascii="Book Antiqua" w:hAnsi="Book Antiqua" w:cs="Arial"/>
          <w:sz w:val="22"/>
          <w:szCs w:val="22"/>
        </w:rPr>
        <w:t xml:space="preserve">périodiques perçues </w:t>
      </w:r>
      <w:r w:rsidRPr="00404ACF">
        <w:rPr>
          <w:rFonts w:ascii="Book Antiqua" w:hAnsi="Book Antiqua" w:cs="Arial"/>
          <w:sz w:val="22"/>
          <w:szCs w:val="22"/>
        </w:rPr>
        <w:t xml:space="preserve">par la banque </w:t>
      </w:r>
      <w:r w:rsidR="00150A9D" w:rsidRPr="00404ACF">
        <w:rPr>
          <w:rFonts w:ascii="Book Antiqua" w:hAnsi="Book Antiqua" w:cs="Arial"/>
          <w:sz w:val="22"/>
          <w:szCs w:val="22"/>
        </w:rPr>
        <w:t xml:space="preserve">au titre  de </w:t>
      </w:r>
      <w:r w:rsidRPr="00404ACF">
        <w:rPr>
          <w:rFonts w:ascii="Book Antiqua" w:hAnsi="Book Antiqua" w:cs="Arial"/>
          <w:sz w:val="22"/>
          <w:szCs w:val="22"/>
        </w:rPr>
        <w:t>la gestion du compte du client.</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Front office : </w:t>
      </w:r>
      <w:r w:rsidRPr="00404ACF">
        <w:rPr>
          <w:rFonts w:ascii="Book Antiqua" w:hAnsi="Book Antiqua" w:cs="Arial"/>
          <w:sz w:val="22"/>
          <w:szCs w:val="22"/>
        </w:rPr>
        <w:t>personnel de la banque en contact direct avec la clientèle.</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Guichet Automatique Bancaire</w:t>
      </w:r>
      <w:r w:rsidR="002A50D2" w:rsidRPr="00404ACF">
        <w:rPr>
          <w:rFonts w:ascii="Book Antiqua" w:hAnsi="Book Antiqua" w:cs="Arial"/>
          <w:b/>
          <w:bCs/>
          <w:sz w:val="22"/>
          <w:szCs w:val="22"/>
        </w:rPr>
        <w:t xml:space="preserve"> </w:t>
      </w:r>
      <w:r w:rsidR="00ED055E" w:rsidRPr="00404ACF">
        <w:rPr>
          <w:rFonts w:ascii="Book Antiqua" w:hAnsi="Book Antiqua" w:cs="Arial"/>
          <w:b/>
          <w:bCs/>
          <w:sz w:val="22"/>
          <w:szCs w:val="22"/>
        </w:rPr>
        <w:t>(GAB)</w:t>
      </w:r>
      <w:r w:rsidRPr="00404ACF">
        <w:rPr>
          <w:rFonts w:ascii="Book Antiqua" w:hAnsi="Book Antiqua" w:cs="Arial"/>
          <w:b/>
          <w:bCs/>
          <w:sz w:val="22"/>
          <w:szCs w:val="22"/>
        </w:rPr>
        <w:t xml:space="preserve"> : </w:t>
      </w:r>
      <w:r w:rsidRPr="00404ACF">
        <w:rPr>
          <w:rFonts w:ascii="Book Antiqua" w:hAnsi="Book Antiqua" w:cs="Arial"/>
          <w:sz w:val="22"/>
          <w:szCs w:val="22"/>
        </w:rPr>
        <w:t>appareil qui permet, à l’aide d’une carte bancaire et d’un code confidentiel, d’effectuer un certain nombre d’opérations sur un compte (retrait d’argent, consultation du compte, etc.), contrairement au Distributeur Automatique de Billets</w:t>
      </w:r>
      <w:r w:rsidR="002A50D2" w:rsidRPr="00404ACF">
        <w:rPr>
          <w:rFonts w:ascii="Book Antiqua" w:hAnsi="Book Antiqua" w:cs="Arial"/>
          <w:sz w:val="22"/>
          <w:szCs w:val="22"/>
        </w:rPr>
        <w:t xml:space="preserve"> </w:t>
      </w:r>
      <w:r w:rsidR="00973A4E" w:rsidRPr="00404ACF">
        <w:rPr>
          <w:rFonts w:ascii="Book Antiqua" w:hAnsi="Book Antiqua" w:cs="Arial"/>
          <w:b/>
          <w:sz w:val="22"/>
          <w:szCs w:val="22"/>
        </w:rPr>
        <w:t>(</w:t>
      </w:r>
      <w:r w:rsidR="00973A4E" w:rsidRPr="00404ACF">
        <w:rPr>
          <w:rFonts w:ascii="Book Antiqua" w:hAnsi="Book Antiqua" w:cs="Arial"/>
          <w:b/>
          <w:bCs/>
          <w:sz w:val="22"/>
          <w:szCs w:val="22"/>
        </w:rPr>
        <w:t>DAB</w:t>
      </w:r>
      <w:r w:rsidRPr="00404ACF">
        <w:rPr>
          <w:rFonts w:ascii="Book Antiqua" w:hAnsi="Book Antiqua" w:cs="Arial"/>
          <w:b/>
          <w:sz w:val="22"/>
          <w:szCs w:val="22"/>
        </w:rPr>
        <w:t>)</w:t>
      </w:r>
      <w:r w:rsidRPr="00404ACF">
        <w:rPr>
          <w:rFonts w:ascii="Book Antiqua" w:hAnsi="Book Antiqua" w:cs="Arial"/>
          <w:sz w:val="22"/>
          <w:szCs w:val="22"/>
        </w:rPr>
        <w:t xml:space="preserve"> qui ne permet que des retraits d</w:t>
      </w:r>
      <w:r w:rsidR="00973A4E" w:rsidRPr="00404ACF">
        <w:rPr>
          <w:rFonts w:ascii="Book Antiqua" w:hAnsi="Book Antiqua" w:cs="Arial"/>
          <w:sz w:val="22"/>
          <w:szCs w:val="22"/>
        </w:rPr>
        <w:t>’</w:t>
      </w:r>
      <w:r w:rsidRPr="00404ACF">
        <w:rPr>
          <w:rFonts w:ascii="Book Antiqua" w:hAnsi="Book Antiqua" w:cs="Arial"/>
          <w:sz w:val="22"/>
          <w:szCs w:val="22"/>
        </w:rPr>
        <w:t>e</w:t>
      </w:r>
      <w:r w:rsidR="00973A4E" w:rsidRPr="00404ACF">
        <w:rPr>
          <w:rFonts w:ascii="Book Antiqua" w:hAnsi="Book Antiqua" w:cs="Arial"/>
          <w:sz w:val="22"/>
          <w:szCs w:val="22"/>
        </w:rPr>
        <w:t>spèces</w:t>
      </w:r>
      <w:r w:rsidRPr="00404ACF">
        <w:rPr>
          <w:rFonts w:ascii="Book Antiqua" w:hAnsi="Book Antiqua" w:cs="Arial"/>
          <w:sz w:val="22"/>
          <w:szCs w:val="22"/>
        </w:rPr>
        <w:t>.</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Hypothèque : </w:t>
      </w:r>
      <w:r w:rsidRPr="00404ACF">
        <w:rPr>
          <w:rFonts w:ascii="Book Antiqua" w:hAnsi="Book Antiqua" w:cs="Arial"/>
          <w:sz w:val="22"/>
          <w:szCs w:val="22"/>
        </w:rPr>
        <w:t xml:space="preserve">affectation d’un bien immeuble du débiteur en garantie de l’exécution d’une obligation à l’égard d’un créancier sans qu’il y ait dépossession du débiteur. Elle peut être forcée ou conventionnelle et confère </w:t>
      </w:r>
      <w:r w:rsidR="00E06C9C" w:rsidRPr="00404ACF">
        <w:rPr>
          <w:rFonts w:ascii="Book Antiqua" w:hAnsi="Book Antiqua" w:cs="Arial"/>
          <w:sz w:val="22"/>
          <w:szCs w:val="22"/>
        </w:rPr>
        <w:t xml:space="preserve">au </w:t>
      </w:r>
      <w:r w:rsidRPr="00404ACF">
        <w:rPr>
          <w:rFonts w:ascii="Book Antiqua" w:hAnsi="Book Antiqua" w:cs="Arial"/>
          <w:sz w:val="22"/>
          <w:szCs w:val="22"/>
        </w:rPr>
        <w:t>créancier un droit de suite et de préférence.</w:t>
      </w:r>
    </w:p>
    <w:p w:rsidR="00E14488" w:rsidRPr="00404ACF" w:rsidRDefault="00E14488" w:rsidP="00413872">
      <w:pPr>
        <w:pStyle w:val="Paragraphedeliste"/>
        <w:numPr>
          <w:ilvl w:val="0"/>
          <w:numId w:val="58"/>
        </w:numPr>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Intérêts créditeurs : </w:t>
      </w:r>
      <w:r w:rsidRPr="00404ACF">
        <w:rPr>
          <w:rFonts w:ascii="Book Antiqua" w:hAnsi="Book Antiqua" w:cs="Arial"/>
          <w:sz w:val="22"/>
          <w:szCs w:val="22"/>
        </w:rPr>
        <w:t xml:space="preserve">sommes dues au client au titre de ses </w:t>
      </w:r>
      <w:r w:rsidR="00E06C9C" w:rsidRPr="00404ACF">
        <w:rPr>
          <w:rFonts w:ascii="Book Antiqua" w:hAnsi="Book Antiqua" w:cs="Arial"/>
          <w:sz w:val="22"/>
          <w:szCs w:val="22"/>
        </w:rPr>
        <w:t>placements ou comptes rémunérés</w:t>
      </w:r>
      <w:r w:rsidRPr="00404ACF">
        <w:rPr>
          <w:rFonts w:ascii="Book Antiqua" w:hAnsi="Book Antiqua" w:cs="Arial"/>
          <w:sz w:val="22"/>
          <w:szCs w:val="22"/>
        </w:rPr>
        <w:t>. Le calcul de cette somme tient compte des dates de valeur applicables</w:t>
      </w:r>
      <w:r w:rsidR="00E06C9C" w:rsidRPr="00404ACF">
        <w:rPr>
          <w:rFonts w:ascii="Book Antiqua" w:hAnsi="Book Antiqua" w:cs="Arial"/>
          <w:sz w:val="22"/>
          <w:szCs w:val="22"/>
        </w:rPr>
        <w:t>.</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Intérêts débiteurs : </w:t>
      </w:r>
      <w:r w:rsidRPr="00404ACF">
        <w:rPr>
          <w:rFonts w:ascii="Book Antiqua" w:hAnsi="Book Antiqua" w:cs="Arial"/>
          <w:sz w:val="22"/>
          <w:szCs w:val="22"/>
        </w:rPr>
        <w:t xml:space="preserve">sommes dues à la banque </w:t>
      </w:r>
      <w:r w:rsidR="00E06C9C" w:rsidRPr="00404ACF">
        <w:rPr>
          <w:rFonts w:ascii="Book Antiqua" w:hAnsi="Book Antiqua" w:cs="Arial"/>
          <w:sz w:val="22"/>
          <w:szCs w:val="22"/>
        </w:rPr>
        <w:t xml:space="preserve">au titre des crédits accordés ou des comptes </w:t>
      </w:r>
      <w:r w:rsidRPr="00404ACF">
        <w:rPr>
          <w:rFonts w:ascii="Book Antiqua" w:hAnsi="Book Antiqua" w:cs="Arial"/>
          <w:sz w:val="22"/>
          <w:szCs w:val="22"/>
        </w:rPr>
        <w:t>présent</w:t>
      </w:r>
      <w:r w:rsidR="00A831EE" w:rsidRPr="00404ACF">
        <w:rPr>
          <w:rFonts w:ascii="Book Antiqua" w:hAnsi="Book Antiqua" w:cs="Arial"/>
          <w:sz w:val="22"/>
          <w:szCs w:val="22"/>
        </w:rPr>
        <w:t xml:space="preserve">ant </w:t>
      </w:r>
      <w:r w:rsidRPr="00404ACF">
        <w:rPr>
          <w:rFonts w:ascii="Book Antiqua" w:hAnsi="Book Antiqua" w:cs="Arial"/>
          <w:sz w:val="22"/>
          <w:szCs w:val="22"/>
        </w:rPr>
        <w:t>un solde négatif</w:t>
      </w:r>
      <w:r w:rsidR="00A831EE" w:rsidRPr="00404ACF">
        <w:rPr>
          <w:rFonts w:ascii="Book Antiqua" w:hAnsi="Book Antiqua" w:cs="Arial"/>
          <w:sz w:val="22"/>
          <w:szCs w:val="22"/>
        </w:rPr>
        <w:t xml:space="preserve">. </w:t>
      </w:r>
      <w:r w:rsidRPr="00404ACF">
        <w:rPr>
          <w:rFonts w:ascii="Book Antiqua" w:hAnsi="Book Antiqua" w:cs="Arial"/>
          <w:sz w:val="22"/>
          <w:szCs w:val="22"/>
        </w:rPr>
        <w:t xml:space="preserve">Le calcul de ces sommes tient compte des </w:t>
      </w:r>
      <w:r w:rsidR="00A831EE" w:rsidRPr="00404ACF">
        <w:rPr>
          <w:rFonts w:ascii="Book Antiqua" w:hAnsi="Book Antiqua" w:cs="Arial"/>
          <w:sz w:val="22"/>
          <w:szCs w:val="22"/>
        </w:rPr>
        <w:t xml:space="preserve">termes de la convention de crédit ou des </w:t>
      </w:r>
      <w:r w:rsidRPr="00404ACF">
        <w:rPr>
          <w:rFonts w:ascii="Book Antiqua" w:hAnsi="Book Antiqua" w:cs="Arial"/>
          <w:sz w:val="22"/>
          <w:szCs w:val="22"/>
        </w:rPr>
        <w:t>dates de valeur applicables.</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Relevé de compte : </w:t>
      </w:r>
      <w:r w:rsidRPr="00404ACF">
        <w:rPr>
          <w:rFonts w:ascii="Book Antiqua" w:hAnsi="Book Antiqua" w:cs="Arial"/>
          <w:sz w:val="22"/>
          <w:szCs w:val="22"/>
        </w:rPr>
        <w:t xml:space="preserve">document qui récapitule les </w:t>
      </w:r>
      <w:r w:rsidR="00A831EE" w:rsidRPr="00404ACF">
        <w:rPr>
          <w:rFonts w:ascii="Book Antiqua" w:hAnsi="Book Antiqua" w:cs="Arial"/>
          <w:sz w:val="22"/>
          <w:szCs w:val="22"/>
        </w:rPr>
        <w:t xml:space="preserve">mouvements du compte d’un client </w:t>
      </w:r>
      <w:r w:rsidRPr="00404ACF">
        <w:rPr>
          <w:rFonts w:ascii="Book Antiqua" w:hAnsi="Book Antiqua" w:cs="Arial"/>
          <w:sz w:val="22"/>
          <w:szCs w:val="22"/>
        </w:rPr>
        <w:t>sur une période donnée.</w:t>
      </w:r>
    </w:p>
    <w:p w:rsidR="00E14488" w:rsidRPr="00404ACF" w:rsidRDefault="00A831EE"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Taux Effectif Global (</w:t>
      </w:r>
      <w:r w:rsidR="00E14488" w:rsidRPr="00404ACF">
        <w:rPr>
          <w:rFonts w:ascii="Book Antiqua" w:hAnsi="Book Antiqua" w:cs="Arial"/>
          <w:b/>
          <w:bCs/>
          <w:sz w:val="22"/>
          <w:szCs w:val="22"/>
        </w:rPr>
        <w:t>TEG</w:t>
      </w:r>
      <w:r w:rsidRPr="00404ACF">
        <w:rPr>
          <w:rFonts w:ascii="Book Antiqua" w:hAnsi="Book Antiqua" w:cs="Arial"/>
          <w:b/>
          <w:bCs/>
          <w:sz w:val="22"/>
          <w:szCs w:val="22"/>
        </w:rPr>
        <w:t>)</w:t>
      </w:r>
      <w:r w:rsidR="00E14488" w:rsidRPr="00404ACF">
        <w:rPr>
          <w:rFonts w:ascii="Book Antiqua" w:hAnsi="Book Antiqua" w:cs="Arial"/>
          <w:b/>
          <w:bCs/>
          <w:sz w:val="22"/>
          <w:szCs w:val="22"/>
        </w:rPr>
        <w:t xml:space="preserve"> : </w:t>
      </w:r>
      <w:r w:rsidR="00E14488" w:rsidRPr="00404ACF">
        <w:rPr>
          <w:rFonts w:ascii="Book Antiqua" w:hAnsi="Book Antiqua" w:cs="Arial"/>
          <w:sz w:val="22"/>
          <w:szCs w:val="22"/>
        </w:rPr>
        <w:t xml:space="preserve">taux d’intérêt d’une créance, calculé en tenant compte de l’amortissement de la créance et auquel s’ajoutent les frais et rémunérations de toute nature, y </w:t>
      </w:r>
      <w:r w:rsidR="00E14488" w:rsidRPr="00404ACF">
        <w:rPr>
          <w:rFonts w:ascii="Book Antiqua" w:hAnsi="Book Antiqua" w:cs="Arial"/>
          <w:sz w:val="22"/>
          <w:szCs w:val="22"/>
        </w:rPr>
        <w:lastRenderedPageBreak/>
        <w:t>compris ceux payés à des intermédiaires intervenus de quelque manière que ce soit dans l’octroi du prêt, à l’exclusion des impôts payés à l’occasion de la conclusion ou de l’exécution du contrat, des frais payables par l’emprunteur du fait de l’inexécution de l’une de ses obligations figurant dans la convention de prêt, des frais de transfert de fonds, ainsi que des frais relatifs au maintien d’un compte destiné à recevoir les prélèvements effectués au titre de l’amortissement en principal du prêt, du règlement des intérêts et des autres charges, sous réserve que ces frais ne soient pas anormalement élevés.</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r w:rsidRPr="00404ACF">
        <w:rPr>
          <w:rFonts w:ascii="Book Antiqua" w:hAnsi="Book Antiqua" w:cs="Arial"/>
          <w:b/>
          <w:bCs/>
          <w:sz w:val="22"/>
          <w:szCs w:val="22"/>
        </w:rPr>
        <w:t xml:space="preserve">Taux d’intérêt : </w:t>
      </w:r>
      <w:r w:rsidRPr="00404ACF">
        <w:rPr>
          <w:rFonts w:ascii="Book Antiqua" w:hAnsi="Book Antiqua" w:cs="Arial"/>
          <w:sz w:val="22"/>
          <w:szCs w:val="22"/>
        </w:rPr>
        <w:t>pourcentage permettant de calculer la rémunération d’une somme d’argent prêtée ou placée pour une période donnée.</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cs="Arial"/>
          <w:sz w:val="22"/>
          <w:szCs w:val="22"/>
        </w:rPr>
      </w:pPr>
      <w:proofErr w:type="spellStart"/>
      <w:r w:rsidRPr="00404ACF">
        <w:rPr>
          <w:rFonts w:ascii="Book Antiqua" w:hAnsi="Book Antiqua" w:cs="Arial"/>
          <w:b/>
          <w:bCs/>
          <w:sz w:val="22"/>
          <w:szCs w:val="22"/>
        </w:rPr>
        <w:t>Turn</w:t>
      </w:r>
      <w:proofErr w:type="spellEnd"/>
      <w:r w:rsidRPr="00404ACF">
        <w:rPr>
          <w:rFonts w:ascii="Book Antiqua" w:hAnsi="Book Antiqua" w:cs="Arial"/>
          <w:b/>
          <w:bCs/>
          <w:sz w:val="22"/>
          <w:szCs w:val="22"/>
        </w:rPr>
        <w:t xml:space="preserve"> over : </w:t>
      </w:r>
      <w:r w:rsidR="005E5E83" w:rsidRPr="00404ACF">
        <w:rPr>
          <w:rFonts w:ascii="Book Antiqua" w:hAnsi="Book Antiqua" w:cs="Arial"/>
          <w:bCs/>
          <w:sz w:val="22"/>
          <w:szCs w:val="22"/>
        </w:rPr>
        <w:t>exprime le caractère volatile du portefeuille clientèle d’une banque sur une période donnée</w:t>
      </w:r>
      <w:r w:rsidRPr="00404ACF">
        <w:rPr>
          <w:rFonts w:ascii="Book Antiqua" w:hAnsi="Book Antiqua" w:cs="Arial"/>
          <w:sz w:val="22"/>
          <w:szCs w:val="22"/>
        </w:rPr>
        <w:t>.</w:t>
      </w:r>
    </w:p>
    <w:p w:rsidR="00E14488" w:rsidRPr="00404ACF" w:rsidRDefault="00E14488" w:rsidP="00413872">
      <w:pPr>
        <w:pStyle w:val="Paragraphedeliste"/>
        <w:numPr>
          <w:ilvl w:val="0"/>
          <w:numId w:val="58"/>
        </w:numPr>
        <w:autoSpaceDE w:val="0"/>
        <w:autoSpaceDN w:val="0"/>
        <w:adjustRightInd w:val="0"/>
        <w:spacing w:before="120" w:after="120" w:line="276" w:lineRule="auto"/>
        <w:ind w:left="357" w:hanging="357"/>
        <w:contextualSpacing w:val="0"/>
        <w:jc w:val="both"/>
        <w:rPr>
          <w:rFonts w:ascii="Book Antiqua" w:hAnsi="Book Antiqua"/>
          <w:sz w:val="22"/>
          <w:szCs w:val="22"/>
        </w:rPr>
      </w:pPr>
      <w:r w:rsidRPr="00404ACF">
        <w:rPr>
          <w:rFonts w:ascii="Book Antiqua" w:hAnsi="Book Antiqua" w:cs="Arial"/>
          <w:b/>
          <w:bCs/>
          <w:sz w:val="22"/>
          <w:szCs w:val="22"/>
        </w:rPr>
        <w:t xml:space="preserve">Virement : </w:t>
      </w:r>
      <w:r w:rsidRPr="00404ACF">
        <w:rPr>
          <w:rFonts w:ascii="Book Antiqua" w:hAnsi="Book Antiqua" w:cs="Arial"/>
          <w:sz w:val="22"/>
          <w:szCs w:val="22"/>
        </w:rPr>
        <w:t xml:space="preserve">opération </w:t>
      </w:r>
      <w:r w:rsidR="005E5E83" w:rsidRPr="00404ACF">
        <w:rPr>
          <w:rFonts w:ascii="Book Antiqua" w:hAnsi="Book Antiqua" w:cs="Arial"/>
          <w:sz w:val="22"/>
          <w:szCs w:val="22"/>
        </w:rPr>
        <w:t xml:space="preserve">de transfert de fonds </w:t>
      </w:r>
      <w:r w:rsidRPr="00404ACF">
        <w:rPr>
          <w:rFonts w:ascii="Book Antiqua" w:hAnsi="Book Antiqua" w:cs="Arial"/>
          <w:sz w:val="22"/>
          <w:szCs w:val="22"/>
        </w:rPr>
        <w:t>par laquelle un client donne l’ordre à sa banque de débiter son compte pour en créditer un autre. Il peut être occasionnel ou permanent.</w:t>
      </w:r>
    </w:p>
    <w:p w:rsidR="003653F9" w:rsidRPr="00DD6CE8" w:rsidRDefault="003653F9" w:rsidP="00404ACF">
      <w:pPr>
        <w:widowControl w:val="0"/>
        <w:spacing w:before="120" w:line="312" w:lineRule="auto"/>
        <w:jc w:val="both"/>
        <w:rPr>
          <w:rFonts w:ascii="Book Antiqua" w:hAnsi="Book Antiqua" w:cs="Arial"/>
          <w:sz w:val="22"/>
          <w:szCs w:val="22"/>
        </w:rPr>
      </w:pPr>
    </w:p>
    <w:p w:rsidR="003653F9" w:rsidRPr="00DD6CE8" w:rsidRDefault="003653F9" w:rsidP="00404ACF">
      <w:pPr>
        <w:widowControl w:val="0"/>
        <w:spacing w:before="120" w:line="312" w:lineRule="auto"/>
        <w:jc w:val="both"/>
        <w:rPr>
          <w:rFonts w:ascii="Book Antiqua" w:hAnsi="Book Antiqua" w:cs="Arial"/>
          <w:sz w:val="22"/>
          <w:szCs w:val="22"/>
        </w:rPr>
      </w:pPr>
    </w:p>
    <w:p w:rsidR="003653F9" w:rsidRPr="00DD6CE8" w:rsidRDefault="003653F9" w:rsidP="003653F9">
      <w:pPr>
        <w:widowControl w:val="0"/>
        <w:spacing w:before="120" w:line="312" w:lineRule="auto"/>
        <w:jc w:val="both"/>
        <w:rPr>
          <w:rFonts w:ascii="Book Antiqua" w:hAnsi="Book Antiqua" w:cs="Arial"/>
          <w:sz w:val="22"/>
          <w:szCs w:val="22"/>
        </w:rPr>
        <w:sectPr w:rsidR="003653F9" w:rsidRPr="00DD6CE8" w:rsidSect="00AE2523">
          <w:pgSz w:w="11907" w:h="16840" w:code="9"/>
          <w:pgMar w:top="680" w:right="1134" w:bottom="680" w:left="1191" w:header="454" w:footer="454" w:gutter="0"/>
          <w:cols w:space="720"/>
          <w:docGrid w:linePitch="360"/>
        </w:sectPr>
      </w:pPr>
    </w:p>
    <w:p w:rsidR="00231AE0" w:rsidRDefault="00231AE0" w:rsidP="0002267A">
      <w:pPr>
        <w:numPr>
          <w:ilvl w:val="0"/>
          <w:numId w:val="1"/>
        </w:numPr>
        <w:suppressAutoHyphens/>
        <w:spacing w:after="240" w:line="312" w:lineRule="auto"/>
        <w:ind w:left="0" w:firstLine="142"/>
        <w:jc w:val="both"/>
        <w:outlineLvl w:val="0"/>
        <w:rPr>
          <w:rFonts w:ascii="Book Antiqua" w:hAnsi="Book Antiqua" w:cs="Tahoma"/>
          <w:b/>
          <w:sz w:val="22"/>
          <w:szCs w:val="22"/>
        </w:rPr>
      </w:pPr>
      <w:bookmarkStart w:id="4" w:name="_Toc523322013"/>
      <w:r w:rsidRPr="00F464A9">
        <w:rPr>
          <w:rFonts w:ascii="Book Antiqua" w:hAnsi="Book Antiqua" w:cs="Tahoma"/>
          <w:b/>
          <w:sz w:val="22"/>
          <w:szCs w:val="22"/>
        </w:rPr>
        <w:lastRenderedPageBreak/>
        <w:t>INTRODUCTION</w:t>
      </w:r>
      <w:bookmarkEnd w:id="4"/>
    </w:p>
    <w:p w:rsidR="00A15539" w:rsidRPr="005715F2" w:rsidRDefault="00A94CE3" w:rsidP="00413872">
      <w:pPr>
        <w:spacing w:before="200" w:after="200" w:line="276" w:lineRule="auto"/>
        <w:jc w:val="both"/>
        <w:rPr>
          <w:rFonts w:ascii="Book Antiqua" w:hAnsi="Book Antiqua"/>
          <w:sz w:val="22"/>
          <w:szCs w:val="22"/>
        </w:rPr>
      </w:pPr>
      <w:r w:rsidRPr="00005297">
        <w:rPr>
          <w:rFonts w:ascii="Book Antiqua" w:hAnsi="Book Antiqua"/>
          <w:sz w:val="22"/>
          <w:szCs w:val="22"/>
        </w:rPr>
        <w:t xml:space="preserve">Le secteur bancaire sénégalais compte, à fin décembre 2016, vingt-sept (27) établissements de crédit </w:t>
      </w:r>
      <w:r>
        <w:rPr>
          <w:rFonts w:ascii="Book Antiqua" w:hAnsi="Book Antiqua"/>
          <w:sz w:val="22"/>
          <w:szCs w:val="22"/>
        </w:rPr>
        <w:t xml:space="preserve">dont </w:t>
      </w:r>
      <w:r w:rsidRPr="00005297">
        <w:rPr>
          <w:rFonts w:ascii="Book Antiqua" w:hAnsi="Book Antiqua"/>
          <w:sz w:val="22"/>
          <w:szCs w:val="22"/>
        </w:rPr>
        <w:t xml:space="preserve">vingt-quatre (24) banques </w:t>
      </w:r>
      <w:r>
        <w:rPr>
          <w:rFonts w:ascii="Book Antiqua" w:hAnsi="Book Antiqua"/>
          <w:sz w:val="22"/>
          <w:szCs w:val="22"/>
        </w:rPr>
        <w:t>et</w:t>
      </w:r>
      <w:r w:rsidRPr="00005297">
        <w:rPr>
          <w:rFonts w:ascii="Book Antiqua" w:hAnsi="Book Antiqua"/>
          <w:sz w:val="22"/>
          <w:szCs w:val="22"/>
        </w:rPr>
        <w:t xml:space="preserve"> trois (3) établissements financiers</w:t>
      </w:r>
      <w:r>
        <w:rPr>
          <w:rFonts w:ascii="Book Antiqua" w:hAnsi="Book Antiqua"/>
          <w:sz w:val="22"/>
          <w:szCs w:val="22"/>
        </w:rPr>
        <w:t xml:space="preserve">. </w:t>
      </w:r>
      <w:r w:rsidRPr="00005297">
        <w:rPr>
          <w:rFonts w:ascii="Book Antiqua" w:hAnsi="Book Antiqua" w:cs="Arial"/>
          <w:sz w:val="22"/>
          <w:szCs w:val="22"/>
        </w:rPr>
        <w:t xml:space="preserve">Le nombre </w:t>
      </w:r>
      <w:r w:rsidRPr="00005297">
        <w:rPr>
          <w:rFonts w:ascii="Book Antiqua" w:hAnsi="Book Antiqua"/>
          <w:sz w:val="22"/>
          <w:szCs w:val="22"/>
        </w:rPr>
        <w:t>d’agences et de bureaux s’établit</w:t>
      </w:r>
      <w:r w:rsidR="005715F2">
        <w:rPr>
          <w:rFonts w:ascii="Book Antiqua" w:hAnsi="Book Antiqua"/>
          <w:sz w:val="22"/>
          <w:szCs w:val="22"/>
        </w:rPr>
        <w:t xml:space="preserve"> à quatre cent quatre vingt six</w:t>
      </w:r>
      <w:r w:rsidRPr="00005297">
        <w:rPr>
          <w:rFonts w:ascii="Book Antiqua" w:hAnsi="Book Antiqua"/>
          <w:sz w:val="22"/>
          <w:szCs w:val="22"/>
        </w:rPr>
        <w:t xml:space="preserve"> (486) agences en 2016 contre trois cen</w:t>
      </w:r>
      <w:r>
        <w:rPr>
          <w:rFonts w:ascii="Book Antiqua" w:hAnsi="Book Antiqua"/>
          <w:sz w:val="22"/>
          <w:szCs w:val="22"/>
        </w:rPr>
        <w:t>t quatre vingt dix sept (397) pour</w:t>
      </w:r>
      <w:r w:rsidRPr="00005297">
        <w:rPr>
          <w:rFonts w:ascii="Book Antiqua" w:hAnsi="Book Antiqua"/>
          <w:sz w:val="22"/>
          <w:szCs w:val="22"/>
        </w:rPr>
        <w:t xml:space="preserve"> 2015.</w:t>
      </w:r>
      <w:r w:rsidRPr="00005297">
        <w:rPr>
          <w:rFonts w:ascii="Book Antiqua" w:hAnsi="Book Antiqua" w:cs="Arial"/>
          <w:sz w:val="22"/>
          <w:szCs w:val="22"/>
        </w:rPr>
        <w:t xml:space="preserve"> </w:t>
      </w:r>
      <w:r w:rsidRPr="00005297">
        <w:rPr>
          <w:rFonts w:ascii="Book Antiqua" w:hAnsi="Book Antiqua"/>
          <w:sz w:val="22"/>
          <w:szCs w:val="22"/>
        </w:rPr>
        <w:t xml:space="preserve">Le nombre de comptes bancaires de la clientèle </w:t>
      </w:r>
      <w:r>
        <w:rPr>
          <w:rFonts w:ascii="Book Antiqua" w:hAnsi="Book Antiqua"/>
          <w:sz w:val="22"/>
          <w:szCs w:val="22"/>
        </w:rPr>
        <w:t xml:space="preserve">se situe </w:t>
      </w:r>
      <w:r w:rsidRPr="00005297">
        <w:rPr>
          <w:rFonts w:ascii="Book Antiqua" w:hAnsi="Book Antiqua"/>
          <w:sz w:val="22"/>
          <w:szCs w:val="22"/>
        </w:rPr>
        <w:t>à 1 595 698 en 2016 contre 1 396 2</w:t>
      </w:r>
      <w:r>
        <w:rPr>
          <w:rFonts w:ascii="Book Antiqua" w:hAnsi="Book Antiqua"/>
          <w:sz w:val="22"/>
          <w:szCs w:val="22"/>
        </w:rPr>
        <w:t xml:space="preserve">05 en 2015, en hausse de 14,2 %. </w:t>
      </w:r>
      <w:r w:rsidRPr="00005297">
        <w:rPr>
          <w:rFonts w:ascii="Book Antiqua" w:hAnsi="Book Antiqua" w:cs="Arial"/>
          <w:sz w:val="22"/>
          <w:szCs w:val="22"/>
        </w:rPr>
        <w:t xml:space="preserve">Le taux de financement bancaire de l'économie est </w:t>
      </w:r>
      <w:r>
        <w:rPr>
          <w:rFonts w:ascii="Book Antiqua" w:hAnsi="Book Antiqua" w:cs="Arial"/>
          <w:sz w:val="22"/>
          <w:szCs w:val="22"/>
        </w:rPr>
        <w:t xml:space="preserve">passé </w:t>
      </w:r>
      <w:r w:rsidRPr="00005297">
        <w:rPr>
          <w:rFonts w:ascii="Book Antiqua" w:hAnsi="Book Antiqua" w:cs="Arial"/>
          <w:sz w:val="22"/>
          <w:szCs w:val="22"/>
        </w:rPr>
        <w:t xml:space="preserve">à 34,2% en 2016, contre 34,0% un an auparavant.  </w:t>
      </w:r>
    </w:p>
    <w:p w:rsidR="00F464A9" w:rsidRDefault="00F464A9" w:rsidP="00413872">
      <w:pPr>
        <w:spacing w:before="200" w:after="200" w:line="276" w:lineRule="auto"/>
        <w:jc w:val="both"/>
        <w:rPr>
          <w:rFonts w:ascii="Book Antiqua" w:hAnsi="Book Antiqua"/>
          <w:sz w:val="22"/>
          <w:szCs w:val="22"/>
        </w:rPr>
      </w:pPr>
      <w:r w:rsidRPr="00005297">
        <w:rPr>
          <w:rFonts w:ascii="Book Antiqua" w:eastAsiaTheme="minorHAnsi" w:hAnsi="Book Antiqua" w:cs="Book Antiqua"/>
          <w:iCs/>
          <w:sz w:val="22"/>
          <w:szCs w:val="22"/>
          <w:lang w:eastAsia="en-US"/>
        </w:rPr>
        <w:t xml:space="preserve">Cependant, </w:t>
      </w:r>
      <w:r w:rsidR="00B86A4A">
        <w:rPr>
          <w:rFonts w:ascii="Book Antiqua" w:eastAsiaTheme="minorHAnsi" w:hAnsi="Book Antiqua" w:cs="Book Antiqua"/>
          <w:iCs/>
          <w:sz w:val="22"/>
          <w:szCs w:val="22"/>
          <w:lang w:eastAsia="en-US"/>
        </w:rPr>
        <w:t>le dynamisme constaté dans le secteur est</w:t>
      </w:r>
      <w:r w:rsidRPr="00005297">
        <w:rPr>
          <w:rFonts w:ascii="Book Antiqua" w:eastAsiaTheme="minorHAnsi" w:hAnsi="Book Antiqua" w:cs="Book Antiqua"/>
          <w:iCs/>
          <w:sz w:val="22"/>
          <w:szCs w:val="22"/>
          <w:lang w:eastAsia="en-US"/>
        </w:rPr>
        <w:t xml:space="preserve"> atténué</w:t>
      </w:r>
      <w:r w:rsidR="00B86A4A">
        <w:rPr>
          <w:rFonts w:ascii="Book Antiqua" w:eastAsiaTheme="minorHAnsi" w:hAnsi="Book Antiqua" w:cs="Book Antiqua"/>
          <w:iCs/>
          <w:sz w:val="22"/>
          <w:szCs w:val="22"/>
          <w:lang w:eastAsia="en-US"/>
        </w:rPr>
        <w:t xml:space="preserve"> par </w:t>
      </w:r>
      <w:r w:rsidRPr="00005297">
        <w:rPr>
          <w:rFonts w:ascii="Book Antiqua" w:eastAsiaTheme="minorHAnsi" w:hAnsi="Book Antiqua" w:cs="Book Antiqua"/>
          <w:iCs/>
          <w:sz w:val="22"/>
          <w:szCs w:val="22"/>
          <w:lang w:eastAsia="en-US"/>
        </w:rPr>
        <w:t xml:space="preserve">la faiblesse du taux d’accès des populations aux services bancaires </w:t>
      </w:r>
      <w:r w:rsidRPr="00005297">
        <w:rPr>
          <w:rFonts w:ascii="Book Antiqua" w:hAnsi="Book Antiqua"/>
          <w:sz w:val="22"/>
          <w:szCs w:val="22"/>
        </w:rPr>
        <w:t>qui se situe</w:t>
      </w:r>
      <w:r w:rsidR="002A50D2">
        <w:rPr>
          <w:rFonts w:ascii="Book Antiqua" w:hAnsi="Book Antiqua"/>
          <w:sz w:val="22"/>
          <w:szCs w:val="22"/>
        </w:rPr>
        <w:t xml:space="preserve"> </w:t>
      </w:r>
      <w:r w:rsidRPr="00005297">
        <w:rPr>
          <w:rFonts w:ascii="Book Antiqua" w:hAnsi="Book Antiqua"/>
          <w:sz w:val="22"/>
          <w:szCs w:val="22"/>
        </w:rPr>
        <w:t xml:space="preserve">à </w:t>
      </w:r>
      <w:r w:rsidR="001A38BA">
        <w:rPr>
          <w:rFonts w:ascii="Book Antiqua" w:hAnsi="Book Antiqua"/>
          <w:sz w:val="22"/>
          <w:szCs w:val="22"/>
        </w:rPr>
        <w:t>18,29%</w:t>
      </w:r>
      <w:r w:rsidRPr="00005297">
        <w:rPr>
          <w:rFonts w:ascii="Book Antiqua" w:hAnsi="Book Antiqua"/>
          <w:sz w:val="22"/>
          <w:szCs w:val="22"/>
        </w:rPr>
        <w:t xml:space="preserve"> en 201</w:t>
      </w:r>
      <w:r w:rsidR="00D9633E">
        <w:rPr>
          <w:rFonts w:ascii="Book Antiqua" w:hAnsi="Book Antiqua"/>
          <w:sz w:val="22"/>
          <w:szCs w:val="22"/>
        </w:rPr>
        <w:t xml:space="preserve">6 contre 17,00% en 2015. </w:t>
      </w:r>
      <w:r w:rsidR="00F04D52">
        <w:rPr>
          <w:rFonts w:ascii="Book Antiqua" w:hAnsi="Book Antiqua"/>
          <w:sz w:val="22"/>
          <w:szCs w:val="22"/>
        </w:rPr>
        <w:t xml:space="preserve"> </w:t>
      </w:r>
      <w:r w:rsidR="00D9633E">
        <w:rPr>
          <w:rFonts w:ascii="Book Antiqua" w:hAnsi="Book Antiqua"/>
          <w:sz w:val="22"/>
          <w:szCs w:val="22"/>
        </w:rPr>
        <w:t>Ces taux</w:t>
      </w:r>
      <w:r>
        <w:rPr>
          <w:rFonts w:ascii="Book Antiqua" w:hAnsi="Book Antiqua"/>
          <w:sz w:val="22"/>
          <w:szCs w:val="22"/>
        </w:rPr>
        <w:t xml:space="preserve"> reste</w:t>
      </w:r>
      <w:r w:rsidR="00D9633E">
        <w:rPr>
          <w:rFonts w:ascii="Book Antiqua" w:hAnsi="Book Antiqua"/>
          <w:sz w:val="22"/>
          <w:szCs w:val="22"/>
        </w:rPr>
        <w:t>nt</w:t>
      </w:r>
      <w:r>
        <w:rPr>
          <w:rFonts w:ascii="Book Antiqua" w:hAnsi="Book Antiqua"/>
          <w:sz w:val="22"/>
          <w:szCs w:val="22"/>
        </w:rPr>
        <w:t xml:space="preserve"> </w:t>
      </w:r>
      <w:r w:rsidRPr="00005297">
        <w:rPr>
          <w:rFonts w:ascii="Book Antiqua" w:hAnsi="Book Antiqua"/>
          <w:sz w:val="22"/>
          <w:szCs w:val="22"/>
        </w:rPr>
        <w:t xml:space="preserve">en deçà des taux observés, à titre d’exemple, au Maroc </w:t>
      </w:r>
      <w:r w:rsidRPr="00404ACF">
        <w:rPr>
          <w:rFonts w:ascii="Book Antiqua" w:hAnsi="Book Antiqua"/>
          <w:sz w:val="22"/>
          <w:szCs w:val="22"/>
        </w:rPr>
        <w:t>(45%) ou en Tunisie (60%).</w:t>
      </w:r>
      <w:r w:rsidRPr="00005297">
        <w:rPr>
          <w:rFonts w:ascii="Book Antiqua" w:hAnsi="Book Antiqua"/>
          <w:sz w:val="22"/>
          <w:szCs w:val="22"/>
        </w:rPr>
        <w:t xml:space="preserve"> En outre, </w:t>
      </w:r>
      <w:r w:rsidR="00A0145E">
        <w:rPr>
          <w:rFonts w:ascii="Book Antiqua" w:hAnsi="Book Antiqua"/>
          <w:sz w:val="22"/>
          <w:szCs w:val="22"/>
        </w:rPr>
        <w:t>des</w:t>
      </w:r>
      <w:r w:rsidRPr="00005297">
        <w:rPr>
          <w:rFonts w:ascii="Book Antiqua" w:hAnsi="Book Antiqua"/>
          <w:sz w:val="22"/>
          <w:szCs w:val="22"/>
        </w:rPr>
        <w:t xml:space="preserve"> facteurs </w:t>
      </w:r>
      <w:proofErr w:type="spellStart"/>
      <w:r w:rsidRPr="00005297">
        <w:rPr>
          <w:rFonts w:ascii="Book Antiqua" w:hAnsi="Book Antiqua"/>
          <w:sz w:val="22"/>
          <w:szCs w:val="22"/>
        </w:rPr>
        <w:t>limitants</w:t>
      </w:r>
      <w:proofErr w:type="spellEnd"/>
      <w:r w:rsidR="00B86A4A">
        <w:rPr>
          <w:rFonts w:ascii="Book Antiqua" w:hAnsi="Book Antiqua"/>
          <w:sz w:val="22"/>
          <w:szCs w:val="22"/>
        </w:rPr>
        <w:t xml:space="preserve"> relevés </w:t>
      </w:r>
      <w:r w:rsidR="001B2BEC">
        <w:rPr>
          <w:rFonts w:ascii="Book Antiqua" w:hAnsi="Book Antiqua"/>
          <w:sz w:val="22"/>
          <w:szCs w:val="22"/>
        </w:rPr>
        <w:t xml:space="preserve">aussi bien </w:t>
      </w:r>
      <w:r w:rsidR="00B86A4A">
        <w:rPr>
          <w:rFonts w:ascii="Book Antiqua" w:hAnsi="Book Antiqua"/>
          <w:sz w:val="22"/>
          <w:szCs w:val="22"/>
        </w:rPr>
        <w:t xml:space="preserve">au niveau de </w:t>
      </w:r>
      <w:r w:rsidRPr="00005297">
        <w:rPr>
          <w:rFonts w:ascii="Book Antiqua" w:hAnsi="Book Antiqua"/>
          <w:sz w:val="22"/>
          <w:szCs w:val="22"/>
        </w:rPr>
        <w:t xml:space="preserve">l’offre </w:t>
      </w:r>
      <w:r w:rsidR="001B2BEC">
        <w:rPr>
          <w:rFonts w:ascii="Book Antiqua" w:hAnsi="Book Antiqua"/>
          <w:sz w:val="22"/>
          <w:szCs w:val="22"/>
        </w:rPr>
        <w:t xml:space="preserve">que </w:t>
      </w:r>
      <w:r w:rsidRPr="00005297">
        <w:rPr>
          <w:rFonts w:ascii="Book Antiqua" w:hAnsi="Book Antiqua"/>
          <w:sz w:val="22"/>
          <w:szCs w:val="22"/>
        </w:rPr>
        <w:t>de la demande de services financiers</w:t>
      </w:r>
      <w:r w:rsidR="00B86A4A">
        <w:rPr>
          <w:rFonts w:ascii="Book Antiqua" w:hAnsi="Book Antiqua"/>
          <w:sz w:val="22"/>
          <w:szCs w:val="22"/>
        </w:rPr>
        <w:t>,</w:t>
      </w:r>
      <w:r w:rsidRPr="00005297">
        <w:rPr>
          <w:rFonts w:ascii="Book Antiqua" w:hAnsi="Book Antiqua"/>
          <w:sz w:val="22"/>
          <w:szCs w:val="22"/>
        </w:rPr>
        <w:t xml:space="preserve"> constitu</w:t>
      </w:r>
      <w:r w:rsidR="00B86A4A" w:rsidRPr="001B2BEC">
        <w:rPr>
          <w:rFonts w:ascii="Book Antiqua" w:hAnsi="Book Antiqua"/>
          <w:sz w:val="22"/>
          <w:szCs w:val="22"/>
        </w:rPr>
        <w:t>e</w:t>
      </w:r>
      <w:r w:rsidR="00A0145E">
        <w:rPr>
          <w:rFonts w:ascii="Book Antiqua" w:hAnsi="Book Antiqua"/>
          <w:sz w:val="22"/>
          <w:szCs w:val="22"/>
        </w:rPr>
        <w:t>nt</w:t>
      </w:r>
      <w:r w:rsidR="002A50D2">
        <w:rPr>
          <w:rFonts w:ascii="Book Antiqua" w:hAnsi="Book Antiqua"/>
          <w:sz w:val="22"/>
          <w:szCs w:val="22"/>
        </w:rPr>
        <w:t xml:space="preserve"> </w:t>
      </w:r>
      <w:r w:rsidR="001B2BEC">
        <w:rPr>
          <w:rFonts w:ascii="Book Antiqua" w:hAnsi="Book Antiqua"/>
          <w:sz w:val="22"/>
          <w:szCs w:val="22"/>
        </w:rPr>
        <w:t xml:space="preserve">encore </w:t>
      </w:r>
      <w:r>
        <w:rPr>
          <w:rFonts w:ascii="Book Antiqua" w:hAnsi="Book Antiqua"/>
          <w:sz w:val="22"/>
          <w:szCs w:val="22"/>
        </w:rPr>
        <w:t>des</w:t>
      </w:r>
      <w:r w:rsidRPr="00005297">
        <w:rPr>
          <w:rFonts w:ascii="Book Antiqua" w:hAnsi="Book Antiqua"/>
          <w:sz w:val="22"/>
          <w:szCs w:val="22"/>
        </w:rPr>
        <w:t xml:space="preserve"> contraintes</w:t>
      </w:r>
      <w:r>
        <w:rPr>
          <w:rFonts w:ascii="Book Antiqua" w:hAnsi="Book Antiqua"/>
          <w:sz w:val="22"/>
          <w:szCs w:val="22"/>
        </w:rPr>
        <w:t xml:space="preserve"> majeures</w:t>
      </w:r>
      <w:r w:rsidRPr="00005297">
        <w:rPr>
          <w:rFonts w:ascii="Book Antiqua" w:hAnsi="Book Antiqua"/>
          <w:sz w:val="22"/>
          <w:szCs w:val="22"/>
        </w:rPr>
        <w:t xml:space="preserve"> à </w:t>
      </w:r>
      <w:r>
        <w:rPr>
          <w:rFonts w:ascii="Book Antiqua" w:hAnsi="Book Antiqua"/>
          <w:sz w:val="22"/>
          <w:szCs w:val="22"/>
        </w:rPr>
        <w:t xml:space="preserve">l’approfondissement du secteur. </w:t>
      </w:r>
    </w:p>
    <w:p w:rsidR="00F464A9" w:rsidRPr="001B2BEC" w:rsidRDefault="001B2BEC" w:rsidP="00413872">
      <w:pPr>
        <w:spacing w:before="200" w:after="200" w:line="276" w:lineRule="auto"/>
        <w:jc w:val="both"/>
        <w:rPr>
          <w:rFonts w:ascii="Book Antiqua" w:eastAsiaTheme="minorHAnsi" w:hAnsi="Book Antiqua" w:cs="Book Antiqua"/>
          <w:iCs/>
          <w:sz w:val="22"/>
          <w:szCs w:val="22"/>
          <w:lang w:eastAsia="en-US"/>
        </w:rPr>
      </w:pPr>
      <w:r w:rsidRPr="001B2BEC">
        <w:rPr>
          <w:rFonts w:ascii="Book Antiqua" w:eastAsiaTheme="minorHAnsi" w:hAnsi="Book Antiqua" w:cs="Book Antiqua"/>
          <w:iCs/>
          <w:sz w:val="22"/>
          <w:szCs w:val="22"/>
          <w:lang w:eastAsia="en-US"/>
        </w:rPr>
        <w:t>Ainsi, pour rendre le secteur plus performant, la B</w:t>
      </w:r>
      <w:r>
        <w:rPr>
          <w:rFonts w:ascii="Book Antiqua" w:eastAsiaTheme="minorHAnsi" w:hAnsi="Book Antiqua" w:cs="Book Antiqua"/>
          <w:iCs/>
          <w:sz w:val="22"/>
          <w:szCs w:val="22"/>
          <w:lang w:eastAsia="en-US"/>
        </w:rPr>
        <w:t xml:space="preserve">anque </w:t>
      </w:r>
      <w:r w:rsidRPr="001B2BEC">
        <w:rPr>
          <w:rFonts w:ascii="Book Antiqua" w:eastAsiaTheme="minorHAnsi" w:hAnsi="Book Antiqua" w:cs="Book Antiqua"/>
          <w:iCs/>
          <w:sz w:val="22"/>
          <w:szCs w:val="22"/>
          <w:lang w:eastAsia="en-US"/>
        </w:rPr>
        <w:t>C</w:t>
      </w:r>
      <w:r>
        <w:rPr>
          <w:rFonts w:ascii="Book Antiqua" w:eastAsiaTheme="minorHAnsi" w:hAnsi="Book Antiqua" w:cs="Book Antiqua"/>
          <w:iCs/>
          <w:sz w:val="22"/>
          <w:szCs w:val="22"/>
          <w:lang w:eastAsia="en-US"/>
        </w:rPr>
        <w:t>entrale</w:t>
      </w:r>
      <w:r w:rsidRPr="001B2BEC">
        <w:rPr>
          <w:rFonts w:ascii="Book Antiqua" w:eastAsiaTheme="minorHAnsi" w:hAnsi="Book Antiqua" w:cs="Book Antiqua"/>
          <w:iCs/>
          <w:sz w:val="22"/>
          <w:szCs w:val="22"/>
          <w:lang w:eastAsia="en-US"/>
        </w:rPr>
        <w:t xml:space="preserve"> a récemment pris un certain nombre </w:t>
      </w:r>
      <w:r w:rsidR="00332769">
        <w:rPr>
          <w:rFonts w:ascii="Book Antiqua" w:eastAsiaTheme="minorHAnsi" w:hAnsi="Book Antiqua" w:cs="Book Antiqua"/>
          <w:iCs/>
          <w:sz w:val="22"/>
          <w:szCs w:val="22"/>
          <w:lang w:eastAsia="en-US"/>
        </w:rPr>
        <w:t>de mesures</w:t>
      </w:r>
      <w:r w:rsidR="002A50D2">
        <w:rPr>
          <w:rFonts w:ascii="Book Antiqua" w:eastAsiaTheme="minorHAnsi" w:hAnsi="Book Antiqua" w:cs="Book Antiqua"/>
          <w:iCs/>
          <w:sz w:val="22"/>
          <w:szCs w:val="22"/>
          <w:lang w:eastAsia="en-US"/>
        </w:rPr>
        <w:t xml:space="preserve"> </w:t>
      </w:r>
      <w:r w:rsidR="00F464A9" w:rsidRPr="001B2BEC">
        <w:rPr>
          <w:rFonts w:ascii="Book Antiqua" w:eastAsiaTheme="minorHAnsi" w:hAnsi="Book Antiqua" w:cs="Book Antiqua"/>
          <w:iCs/>
          <w:sz w:val="22"/>
          <w:szCs w:val="22"/>
          <w:lang w:eastAsia="en-US"/>
        </w:rPr>
        <w:t>visant le renforcement de la transparence et de la protection des clients</w:t>
      </w:r>
      <w:r w:rsidRPr="001B2BEC">
        <w:rPr>
          <w:rFonts w:ascii="Book Antiqua" w:eastAsiaTheme="minorHAnsi" w:hAnsi="Book Antiqua" w:cs="Book Antiqua"/>
          <w:iCs/>
          <w:sz w:val="22"/>
          <w:szCs w:val="22"/>
          <w:lang w:eastAsia="en-US"/>
        </w:rPr>
        <w:t>. Au titre de ces initiatives,</w:t>
      </w:r>
      <w:r w:rsidR="00F464A9" w:rsidRPr="001B2BEC">
        <w:rPr>
          <w:rFonts w:ascii="Book Antiqua" w:eastAsiaTheme="minorHAnsi" w:hAnsi="Book Antiqua" w:cs="Book Antiqua"/>
          <w:iCs/>
          <w:sz w:val="22"/>
          <w:szCs w:val="22"/>
          <w:lang w:eastAsia="en-US"/>
        </w:rPr>
        <w:t xml:space="preserve"> il y a lieu de </w:t>
      </w:r>
      <w:r w:rsidRPr="00332769">
        <w:rPr>
          <w:rFonts w:ascii="Book Antiqua" w:eastAsiaTheme="minorHAnsi" w:hAnsi="Book Antiqua" w:cs="Book Antiqua"/>
          <w:iCs/>
          <w:sz w:val="22"/>
          <w:szCs w:val="22"/>
          <w:lang w:eastAsia="en-US"/>
        </w:rPr>
        <w:t>relever</w:t>
      </w:r>
      <w:r w:rsidR="00F464A9" w:rsidRPr="001B2BEC">
        <w:rPr>
          <w:rFonts w:ascii="Book Antiqua" w:eastAsiaTheme="minorHAnsi" w:hAnsi="Book Antiqua" w:cs="Book Antiqua"/>
          <w:iCs/>
          <w:sz w:val="22"/>
          <w:szCs w:val="22"/>
          <w:lang w:eastAsia="en-US"/>
        </w:rPr>
        <w:t xml:space="preserve"> l'harmonisation de la nomenclature des services bancaires, l’adoption de mesures visant la réduction de certains tarifs bancaires et celles en faveur d’une gratuité de services financiers de base ainsi que l’opérationnalisation des bureaux d’information sur le crédit (BIC). </w:t>
      </w:r>
    </w:p>
    <w:p w:rsidR="00F464A9" w:rsidRDefault="00F464A9" w:rsidP="00413872">
      <w:pPr>
        <w:tabs>
          <w:tab w:val="left" w:pos="-720"/>
        </w:tabs>
        <w:suppressAutoHyphens/>
        <w:spacing w:before="200" w:after="200" w:line="276" w:lineRule="auto"/>
        <w:jc w:val="both"/>
        <w:rPr>
          <w:rFonts w:ascii="Book Antiqua" w:hAnsi="Book Antiqua"/>
          <w:sz w:val="22"/>
          <w:szCs w:val="22"/>
        </w:rPr>
      </w:pPr>
      <w:r w:rsidRPr="00005297">
        <w:rPr>
          <w:rFonts w:ascii="Book Antiqua" w:hAnsi="Book Antiqua"/>
          <w:sz w:val="22"/>
          <w:szCs w:val="22"/>
        </w:rPr>
        <w:t xml:space="preserve">Toutefois, </w:t>
      </w:r>
      <w:r>
        <w:rPr>
          <w:rFonts w:ascii="Book Antiqua" w:hAnsi="Book Antiqua"/>
          <w:sz w:val="22"/>
          <w:szCs w:val="22"/>
        </w:rPr>
        <w:t>de nombreux</w:t>
      </w:r>
      <w:r w:rsidRPr="00005297">
        <w:rPr>
          <w:rFonts w:ascii="Book Antiqua" w:hAnsi="Book Antiqua"/>
          <w:sz w:val="22"/>
          <w:szCs w:val="22"/>
        </w:rPr>
        <w:t xml:space="preserve"> défis </w:t>
      </w:r>
      <w:r w:rsidR="00332769">
        <w:rPr>
          <w:rFonts w:ascii="Book Antiqua" w:hAnsi="Book Antiqua"/>
          <w:sz w:val="22"/>
          <w:szCs w:val="22"/>
        </w:rPr>
        <w:t>persistent</w:t>
      </w:r>
      <w:r w:rsidRPr="00005297">
        <w:rPr>
          <w:rFonts w:ascii="Book Antiqua" w:hAnsi="Book Antiqua"/>
          <w:sz w:val="22"/>
          <w:szCs w:val="22"/>
        </w:rPr>
        <w:t xml:space="preserve"> dans le secteur</w:t>
      </w:r>
      <w:r>
        <w:rPr>
          <w:rFonts w:ascii="Book Antiqua" w:hAnsi="Book Antiqua"/>
          <w:sz w:val="22"/>
          <w:szCs w:val="22"/>
        </w:rPr>
        <w:t xml:space="preserve"> parmi lesquels les coûts élevés des services, les entraves à la</w:t>
      </w:r>
      <w:r w:rsidRPr="00005297">
        <w:rPr>
          <w:rFonts w:ascii="Book Antiqua" w:hAnsi="Book Antiqua"/>
          <w:sz w:val="22"/>
          <w:szCs w:val="22"/>
        </w:rPr>
        <w:t xml:space="preserve"> mobilité bancaire des clients, le défaut de transparence financière</w:t>
      </w:r>
      <w:r>
        <w:rPr>
          <w:rFonts w:ascii="Book Antiqua" w:hAnsi="Book Antiqua"/>
          <w:sz w:val="22"/>
          <w:szCs w:val="22"/>
        </w:rPr>
        <w:t xml:space="preserve"> dans la relation contractuelle</w:t>
      </w:r>
      <w:r w:rsidRPr="00005297">
        <w:rPr>
          <w:rFonts w:ascii="Book Antiqua" w:hAnsi="Book Antiqua"/>
          <w:sz w:val="22"/>
          <w:szCs w:val="22"/>
        </w:rPr>
        <w:t xml:space="preserve">, le risque de surendettement des clients, le faible niveau d’éducation financière et l’inaccessibilité géographique aux réseaux de distribution </w:t>
      </w:r>
      <w:r w:rsidR="002525AB">
        <w:rPr>
          <w:rFonts w:ascii="Book Antiqua" w:hAnsi="Book Antiqua"/>
          <w:sz w:val="22"/>
          <w:szCs w:val="22"/>
        </w:rPr>
        <w:t>particulièrement</w:t>
      </w:r>
      <w:r w:rsidR="00A621DE">
        <w:rPr>
          <w:rFonts w:ascii="Book Antiqua" w:hAnsi="Book Antiqua"/>
          <w:sz w:val="22"/>
          <w:szCs w:val="22"/>
        </w:rPr>
        <w:t xml:space="preserve"> </w:t>
      </w:r>
      <w:r w:rsidR="002525AB">
        <w:rPr>
          <w:rFonts w:ascii="Book Antiqua" w:hAnsi="Book Antiqua"/>
          <w:sz w:val="22"/>
          <w:szCs w:val="22"/>
        </w:rPr>
        <w:t>en zone rurale</w:t>
      </w:r>
      <w:r w:rsidRPr="00005297">
        <w:rPr>
          <w:rFonts w:ascii="Book Antiqua" w:hAnsi="Book Antiqua"/>
          <w:sz w:val="22"/>
          <w:szCs w:val="22"/>
        </w:rPr>
        <w:t xml:space="preserve">. </w:t>
      </w:r>
      <w:r w:rsidR="008D0D24">
        <w:rPr>
          <w:rFonts w:ascii="Book Antiqua" w:hAnsi="Book Antiqua"/>
          <w:sz w:val="22"/>
          <w:szCs w:val="22"/>
        </w:rPr>
        <w:t>Par ailleurs</w:t>
      </w:r>
      <w:r>
        <w:rPr>
          <w:rFonts w:ascii="Book Antiqua" w:hAnsi="Book Antiqua"/>
          <w:sz w:val="22"/>
          <w:szCs w:val="22"/>
        </w:rPr>
        <w:t>,</w:t>
      </w:r>
      <w:r w:rsidR="00A621DE">
        <w:rPr>
          <w:rFonts w:ascii="Book Antiqua" w:hAnsi="Book Antiqua"/>
          <w:sz w:val="22"/>
          <w:szCs w:val="22"/>
        </w:rPr>
        <w:t xml:space="preserve"> </w:t>
      </w:r>
      <w:r w:rsidR="008D0D24" w:rsidRPr="00005297">
        <w:rPr>
          <w:rFonts w:ascii="Book Antiqua" w:hAnsi="Book Antiqua"/>
          <w:sz w:val="22"/>
          <w:szCs w:val="22"/>
        </w:rPr>
        <w:t>les problè</w:t>
      </w:r>
      <w:r w:rsidR="008D0D24">
        <w:rPr>
          <w:rFonts w:ascii="Book Antiqua" w:hAnsi="Book Antiqua"/>
          <w:sz w:val="22"/>
          <w:szCs w:val="22"/>
        </w:rPr>
        <w:t>mes d’asymétrie d’information</w:t>
      </w:r>
      <w:r w:rsidR="00A621DE">
        <w:rPr>
          <w:rFonts w:ascii="Book Antiqua" w:hAnsi="Book Antiqua"/>
          <w:sz w:val="22"/>
          <w:szCs w:val="22"/>
        </w:rPr>
        <w:t xml:space="preserve"> </w:t>
      </w:r>
      <w:r w:rsidR="008D0D24">
        <w:rPr>
          <w:rFonts w:ascii="Book Antiqua" w:hAnsi="Book Antiqua" w:cs="Book Antiqua"/>
          <w:sz w:val="22"/>
          <w:szCs w:val="22"/>
        </w:rPr>
        <w:t>restent un autre défi à relever pour les banques en vue de stimuler l’</w:t>
      </w:r>
      <w:r w:rsidRPr="00005297">
        <w:rPr>
          <w:rFonts w:ascii="Book Antiqua" w:hAnsi="Book Antiqua" w:cs="Book Antiqua"/>
          <w:sz w:val="22"/>
          <w:szCs w:val="22"/>
        </w:rPr>
        <w:t>offre de crédi</w:t>
      </w:r>
      <w:r w:rsidRPr="00005297">
        <w:rPr>
          <w:rFonts w:ascii="Book Antiqua" w:hAnsi="Book Antiqua"/>
          <w:sz w:val="22"/>
          <w:szCs w:val="22"/>
        </w:rPr>
        <w:t>t</w:t>
      </w:r>
      <w:r w:rsidR="008D0D24">
        <w:rPr>
          <w:rFonts w:ascii="Book Antiqua" w:hAnsi="Book Antiqua"/>
          <w:sz w:val="22"/>
          <w:szCs w:val="22"/>
        </w:rPr>
        <w:t xml:space="preserve"> et</w:t>
      </w:r>
      <w:r w:rsidR="002525AB">
        <w:rPr>
          <w:rFonts w:ascii="Book Antiqua" w:hAnsi="Book Antiqua"/>
          <w:sz w:val="22"/>
          <w:szCs w:val="22"/>
        </w:rPr>
        <w:t xml:space="preserve"> notamment </w:t>
      </w:r>
      <w:r w:rsidR="008D0D24">
        <w:rPr>
          <w:rFonts w:ascii="Book Antiqua" w:hAnsi="Book Antiqua"/>
          <w:sz w:val="22"/>
          <w:szCs w:val="22"/>
        </w:rPr>
        <w:t>le</w:t>
      </w:r>
      <w:r w:rsidR="002525AB" w:rsidRPr="00005297">
        <w:rPr>
          <w:rFonts w:ascii="Book Antiqua" w:hAnsi="Book Antiqua"/>
          <w:sz w:val="22"/>
          <w:szCs w:val="22"/>
        </w:rPr>
        <w:t xml:space="preserve"> financement des entreprises</w:t>
      </w:r>
      <w:r w:rsidR="008D0D24">
        <w:rPr>
          <w:rFonts w:ascii="Book Antiqua" w:hAnsi="Book Antiqua"/>
          <w:sz w:val="22"/>
          <w:szCs w:val="22"/>
        </w:rPr>
        <w:t xml:space="preserve">. </w:t>
      </w:r>
    </w:p>
    <w:p w:rsidR="0002267A" w:rsidRDefault="00734174" w:rsidP="00413872">
      <w:pPr>
        <w:tabs>
          <w:tab w:val="left" w:pos="-720"/>
        </w:tabs>
        <w:suppressAutoHyphens/>
        <w:spacing w:before="200" w:after="200" w:line="276" w:lineRule="auto"/>
        <w:jc w:val="both"/>
        <w:rPr>
          <w:rFonts w:ascii="Book Antiqua" w:hAnsi="Book Antiqua"/>
          <w:sz w:val="22"/>
          <w:szCs w:val="22"/>
        </w:rPr>
      </w:pPr>
      <w:r>
        <w:rPr>
          <w:rFonts w:ascii="Book Antiqua" w:hAnsi="Book Antiqua"/>
          <w:sz w:val="22"/>
          <w:szCs w:val="22"/>
        </w:rPr>
        <w:t>Dans la perspective de la prise en charge de ces préoccupations, l’Observatoire de la Qualité des Services Financiers (OQSF) a réalisé</w:t>
      </w:r>
      <w:r w:rsidR="00560B93">
        <w:rPr>
          <w:rFonts w:ascii="Book Antiqua" w:hAnsi="Book Antiqua"/>
          <w:sz w:val="22"/>
          <w:szCs w:val="22"/>
        </w:rPr>
        <w:t xml:space="preserve"> en 2015/2016</w:t>
      </w:r>
      <w:r>
        <w:rPr>
          <w:rFonts w:ascii="Book Antiqua" w:hAnsi="Book Antiqua"/>
          <w:sz w:val="22"/>
          <w:szCs w:val="22"/>
        </w:rPr>
        <w:t xml:space="preserve"> </w:t>
      </w:r>
      <w:r w:rsidR="00A87D14">
        <w:rPr>
          <w:rFonts w:ascii="Book Antiqua" w:hAnsi="Book Antiqua"/>
          <w:sz w:val="22"/>
          <w:szCs w:val="22"/>
        </w:rPr>
        <w:t>l’</w:t>
      </w:r>
      <w:r w:rsidR="00A87D14" w:rsidRPr="00005297">
        <w:rPr>
          <w:rFonts w:ascii="Book Antiqua" w:hAnsi="Book Antiqua"/>
          <w:sz w:val="22"/>
          <w:szCs w:val="22"/>
        </w:rPr>
        <w:t xml:space="preserve">enquête nationale de satisfaction auprès </w:t>
      </w:r>
      <w:r w:rsidR="00A87D14">
        <w:rPr>
          <w:rFonts w:ascii="Book Antiqua" w:hAnsi="Book Antiqua"/>
          <w:sz w:val="22"/>
          <w:szCs w:val="22"/>
        </w:rPr>
        <w:t xml:space="preserve">des usagers des </w:t>
      </w:r>
      <w:r w:rsidR="004D15FE">
        <w:rPr>
          <w:rFonts w:ascii="Book Antiqua" w:hAnsi="Book Antiqua"/>
          <w:sz w:val="22"/>
          <w:szCs w:val="22"/>
        </w:rPr>
        <w:t>services bancaires (ESUB)</w:t>
      </w:r>
      <w:r w:rsidR="00A87D14">
        <w:rPr>
          <w:rFonts w:ascii="Book Antiqua" w:hAnsi="Book Antiqua"/>
          <w:sz w:val="22"/>
          <w:szCs w:val="22"/>
        </w:rPr>
        <w:t xml:space="preserve">. Cette </w:t>
      </w:r>
      <w:r>
        <w:rPr>
          <w:rFonts w:ascii="Book Antiqua" w:hAnsi="Book Antiqua"/>
          <w:sz w:val="22"/>
          <w:szCs w:val="22"/>
        </w:rPr>
        <w:t>enquête</w:t>
      </w:r>
      <w:r w:rsidR="00A87D14">
        <w:rPr>
          <w:rFonts w:ascii="Book Antiqua" w:hAnsi="Book Antiqua"/>
          <w:sz w:val="22"/>
          <w:szCs w:val="22"/>
        </w:rPr>
        <w:t>, qui fait suite à celle de 2011,</w:t>
      </w:r>
      <w:r>
        <w:rPr>
          <w:rFonts w:ascii="Book Antiqua" w:hAnsi="Book Antiqua"/>
          <w:sz w:val="22"/>
          <w:szCs w:val="22"/>
        </w:rPr>
        <w:t xml:space="preserve"> vise à actualiser les indicateurs de satisfaction sur les services bancaires et à</w:t>
      </w:r>
      <w:r w:rsidRPr="000D718F">
        <w:rPr>
          <w:rFonts w:ascii="Book Antiqua" w:hAnsi="Book Antiqua"/>
          <w:sz w:val="22"/>
          <w:szCs w:val="22"/>
        </w:rPr>
        <w:t xml:space="preserve"> formuler des recommandations allant dans le sens de l’amélioration de la qualité des services offerts </w:t>
      </w:r>
      <w:r>
        <w:rPr>
          <w:rFonts w:ascii="Book Antiqua" w:hAnsi="Book Antiqua"/>
          <w:sz w:val="22"/>
          <w:szCs w:val="22"/>
        </w:rPr>
        <w:t>à la clientèle et du renforcement de la performance des banques</w:t>
      </w:r>
      <w:r w:rsidR="008C1474">
        <w:rPr>
          <w:rFonts w:ascii="Book Antiqua" w:hAnsi="Book Antiqua"/>
          <w:sz w:val="22"/>
          <w:szCs w:val="22"/>
        </w:rPr>
        <w:t>.</w:t>
      </w:r>
    </w:p>
    <w:p w:rsidR="0002267A" w:rsidRDefault="0002267A" w:rsidP="00580416">
      <w:pPr>
        <w:spacing w:before="200" w:after="200" w:line="276" w:lineRule="auto"/>
        <w:rPr>
          <w:rFonts w:ascii="Book Antiqua" w:hAnsi="Book Antiqua"/>
          <w:sz w:val="22"/>
          <w:szCs w:val="22"/>
        </w:rPr>
      </w:pPr>
      <w:r>
        <w:rPr>
          <w:rFonts w:ascii="Book Antiqua" w:hAnsi="Book Antiqua"/>
          <w:sz w:val="22"/>
          <w:szCs w:val="22"/>
        </w:rPr>
        <w:br w:type="page"/>
      </w:r>
    </w:p>
    <w:p w:rsidR="00231AE0" w:rsidRPr="00106109" w:rsidRDefault="00231AE0" w:rsidP="005D666F">
      <w:pPr>
        <w:pStyle w:val="Titre1"/>
        <w:tabs>
          <w:tab w:val="clear" w:pos="587"/>
        </w:tabs>
        <w:spacing w:before="240" w:after="240"/>
        <w:ind w:hanging="215"/>
      </w:pPr>
      <w:bookmarkStart w:id="5" w:name="_Toc523322014"/>
      <w:r w:rsidRPr="00106109">
        <w:lastRenderedPageBreak/>
        <w:t xml:space="preserve">CONTEXTE ET </w:t>
      </w:r>
      <w:r w:rsidR="00B53352" w:rsidRPr="00106109">
        <w:t xml:space="preserve">DEMARCHE </w:t>
      </w:r>
      <w:r w:rsidRPr="00106109">
        <w:t>METHODOLOGI</w:t>
      </w:r>
      <w:r w:rsidR="00B53352" w:rsidRPr="00106109">
        <w:t>QUE DE L’ESUB</w:t>
      </w:r>
      <w:r w:rsidR="00C84262">
        <w:t xml:space="preserve"> 2015/2016</w:t>
      </w:r>
      <w:bookmarkEnd w:id="5"/>
    </w:p>
    <w:p w:rsidR="00231AE0" w:rsidRPr="005D2B50" w:rsidRDefault="00560B93" w:rsidP="00BA203C">
      <w:pPr>
        <w:pStyle w:val="Titre1"/>
        <w:numPr>
          <w:ilvl w:val="0"/>
          <w:numId w:val="0"/>
        </w:numPr>
        <w:spacing w:before="240" w:after="240"/>
        <w:ind w:left="567" w:hanging="283"/>
      </w:pPr>
      <w:bookmarkStart w:id="6" w:name="_Toc523322015"/>
      <w:r>
        <w:t xml:space="preserve">II.1. </w:t>
      </w:r>
      <w:r w:rsidR="00231AE0" w:rsidRPr="005D2B50">
        <w:t xml:space="preserve">Contexte </w:t>
      </w:r>
      <w:r w:rsidR="00B53352" w:rsidRPr="005D2B50">
        <w:t>de l’enquête</w:t>
      </w:r>
      <w:bookmarkEnd w:id="6"/>
    </w:p>
    <w:p w:rsidR="00231AE0" w:rsidRDefault="00231AE0" w:rsidP="00413872">
      <w:pPr>
        <w:tabs>
          <w:tab w:val="left" w:pos="-720"/>
        </w:tabs>
        <w:suppressAutoHyphens/>
        <w:spacing w:before="200" w:after="120" w:line="276" w:lineRule="auto"/>
        <w:jc w:val="both"/>
        <w:rPr>
          <w:rFonts w:ascii="Book Antiqua" w:hAnsi="Book Antiqua" w:cs="Arial"/>
          <w:sz w:val="22"/>
          <w:szCs w:val="22"/>
        </w:rPr>
      </w:pPr>
      <w:r w:rsidRPr="00231AE0">
        <w:rPr>
          <w:rFonts w:ascii="Book Antiqua" w:hAnsi="Book Antiqua" w:cs="Arial"/>
          <w:sz w:val="22"/>
          <w:szCs w:val="22"/>
        </w:rPr>
        <w:t xml:space="preserve">Conformément aux dispositions de l’article 4 du décret n°2009-95 du 06 février 2009 qui l’a institué, l’Observatoire de la Qualité des Services Financiers (OQSF) a, </w:t>
      </w:r>
      <w:r w:rsidR="00B53352">
        <w:rPr>
          <w:rFonts w:ascii="Book Antiqua" w:hAnsi="Book Antiqua" w:cs="Arial"/>
          <w:sz w:val="22"/>
          <w:szCs w:val="22"/>
        </w:rPr>
        <w:t xml:space="preserve">comme principales </w:t>
      </w:r>
      <w:r w:rsidRPr="00231AE0">
        <w:rPr>
          <w:rFonts w:ascii="Book Antiqua" w:hAnsi="Book Antiqua" w:cs="Arial"/>
          <w:sz w:val="22"/>
          <w:szCs w:val="22"/>
        </w:rPr>
        <w:t>missions</w:t>
      </w:r>
      <w:r w:rsidR="002A50D2">
        <w:rPr>
          <w:rFonts w:ascii="Book Antiqua" w:hAnsi="Book Antiqua" w:cs="Arial"/>
          <w:sz w:val="22"/>
          <w:szCs w:val="22"/>
        </w:rPr>
        <w:t xml:space="preserve"> </w:t>
      </w:r>
      <w:r w:rsidR="00DA3D7E">
        <w:rPr>
          <w:rFonts w:ascii="Book Antiqua" w:hAnsi="Book Antiqua" w:cs="Arial"/>
          <w:sz w:val="22"/>
          <w:szCs w:val="22"/>
        </w:rPr>
        <w:t xml:space="preserve">le suivi </w:t>
      </w:r>
      <w:r w:rsidRPr="00231AE0">
        <w:rPr>
          <w:rFonts w:ascii="Book Antiqua" w:hAnsi="Book Antiqua" w:cs="Arial"/>
          <w:sz w:val="22"/>
          <w:szCs w:val="22"/>
        </w:rPr>
        <w:t xml:space="preserve">et </w:t>
      </w:r>
      <w:r w:rsidR="00DA3D7E">
        <w:rPr>
          <w:rFonts w:ascii="Book Antiqua" w:hAnsi="Book Antiqua" w:cs="Arial"/>
          <w:sz w:val="22"/>
          <w:szCs w:val="22"/>
        </w:rPr>
        <w:t xml:space="preserve">la promotion de </w:t>
      </w:r>
      <w:r w:rsidRPr="00231AE0">
        <w:rPr>
          <w:rFonts w:ascii="Book Antiqua" w:hAnsi="Book Antiqua" w:cs="Arial"/>
          <w:sz w:val="22"/>
          <w:szCs w:val="22"/>
        </w:rPr>
        <w:t>la qualité des services financiers</w:t>
      </w:r>
      <w:r w:rsidR="00B53352">
        <w:rPr>
          <w:rFonts w:ascii="Book Antiqua" w:hAnsi="Book Antiqua" w:cs="Arial"/>
          <w:sz w:val="22"/>
          <w:szCs w:val="22"/>
        </w:rPr>
        <w:t xml:space="preserve"> à travers</w:t>
      </w:r>
      <w:r w:rsidR="00DA3D7E">
        <w:rPr>
          <w:rFonts w:ascii="Book Antiqua" w:hAnsi="Book Antiqua" w:cs="Arial"/>
          <w:sz w:val="22"/>
          <w:szCs w:val="22"/>
        </w:rPr>
        <w:t xml:space="preserve"> notamment des </w:t>
      </w:r>
      <w:r w:rsidRPr="00231AE0">
        <w:rPr>
          <w:rFonts w:ascii="Book Antiqua" w:hAnsi="Book Antiqua" w:cs="Arial"/>
          <w:sz w:val="22"/>
          <w:szCs w:val="22"/>
        </w:rPr>
        <w:t xml:space="preserve">enquêtes de satisfaction auprès des usagers des </w:t>
      </w:r>
      <w:r w:rsidR="00B53352" w:rsidRPr="00231AE0">
        <w:rPr>
          <w:rFonts w:ascii="Book Antiqua" w:hAnsi="Book Antiqua" w:cs="Arial"/>
          <w:sz w:val="22"/>
          <w:szCs w:val="22"/>
        </w:rPr>
        <w:t>services</w:t>
      </w:r>
      <w:r w:rsidR="008A0986">
        <w:rPr>
          <w:rFonts w:ascii="Book Antiqua" w:hAnsi="Book Antiqua" w:cs="Arial"/>
          <w:sz w:val="22"/>
          <w:szCs w:val="22"/>
        </w:rPr>
        <w:t xml:space="preserve"> financiers.</w:t>
      </w:r>
    </w:p>
    <w:p w:rsidR="00066520" w:rsidRDefault="00231AE0" w:rsidP="00413872">
      <w:pPr>
        <w:tabs>
          <w:tab w:val="left" w:pos="-720"/>
        </w:tabs>
        <w:suppressAutoHyphens/>
        <w:spacing w:before="240" w:after="240" w:line="276" w:lineRule="auto"/>
        <w:jc w:val="both"/>
        <w:rPr>
          <w:rFonts w:ascii="Book Antiqua" w:hAnsi="Book Antiqua" w:cs="Arial"/>
          <w:sz w:val="22"/>
          <w:szCs w:val="22"/>
        </w:rPr>
      </w:pPr>
      <w:r w:rsidRPr="00231AE0">
        <w:rPr>
          <w:rFonts w:ascii="Book Antiqua" w:hAnsi="Book Antiqua" w:cs="Arial"/>
          <w:sz w:val="22"/>
          <w:szCs w:val="22"/>
        </w:rPr>
        <w:t xml:space="preserve">Ainsi, depuis sa mise en place, l’Observatoire a réalisé une série d’enquêtes nationales sur la qualité des services financiers </w:t>
      </w:r>
      <w:r w:rsidRPr="00F464A9">
        <w:rPr>
          <w:rFonts w:ascii="Book Antiqua" w:hAnsi="Book Antiqua" w:cs="Arial"/>
          <w:sz w:val="22"/>
          <w:szCs w:val="22"/>
        </w:rPr>
        <w:t>(</w:t>
      </w:r>
      <w:r w:rsidR="004204AC" w:rsidRPr="00F464A9">
        <w:rPr>
          <w:rFonts w:ascii="Book Antiqua" w:hAnsi="Book Antiqua" w:cs="Arial"/>
          <w:sz w:val="22"/>
          <w:szCs w:val="22"/>
        </w:rPr>
        <w:t>ESUB</w:t>
      </w:r>
      <w:r w:rsidR="00106109" w:rsidRPr="00F464A9">
        <w:rPr>
          <w:rStyle w:val="Appelnotedebasdep"/>
          <w:rFonts w:ascii="Book Antiqua" w:hAnsi="Book Antiqua" w:cs="Arial"/>
          <w:sz w:val="22"/>
          <w:szCs w:val="22"/>
        </w:rPr>
        <w:footnoteReference w:id="2"/>
      </w:r>
      <w:r w:rsidR="004204AC" w:rsidRPr="00F464A9">
        <w:rPr>
          <w:rFonts w:ascii="Book Antiqua" w:hAnsi="Book Antiqua" w:cs="Arial"/>
          <w:sz w:val="22"/>
          <w:szCs w:val="22"/>
        </w:rPr>
        <w:t>-2010, ESUA</w:t>
      </w:r>
      <w:r w:rsidR="00106109" w:rsidRPr="00F464A9">
        <w:rPr>
          <w:rStyle w:val="Appelnotedebasdep"/>
          <w:rFonts w:ascii="Book Antiqua" w:hAnsi="Book Antiqua" w:cs="Arial"/>
          <w:sz w:val="22"/>
          <w:szCs w:val="22"/>
        </w:rPr>
        <w:footnoteReference w:id="3"/>
      </w:r>
      <w:r w:rsidR="004204AC" w:rsidRPr="00F464A9">
        <w:rPr>
          <w:rFonts w:ascii="Book Antiqua" w:hAnsi="Book Antiqua" w:cs="Arial"/>
          <w:sz w:val="22"/>
          <w:szCs w:val="22"/>
        </w:rPr>
        <w:t>-2010, ESUSFD</w:t>
      </w:r>
      <w:r w:rsidR="00106109" w:rsidRPr="00F464A9">
        <w:rPr>
          <w:rStyle w:val="Appelnotedebasdep"/>
          <w:rFonts w:ascii="Book Antiqua" w:hAnsi="Book Antiqua" w:cs="Arial"/>
          <w:sz w:val="22"/>
          <w:szCs w:val="22"/>
        </w:rPr>
        <w:footnoteReference w:id="4"/>
      </w:r>
      <w:r w:rsidR="004204AC" w:rsidRPr="00F464A9">
        <w:rPr>
          <w:rFonts w:ascii="Book Antiqua" w:hAnsi="Book Antiqua" w:cs="Arial"/>
          <w:sz w:val="22"/>
          <w:szCs w:val="22"/>
        </w:rPr>
        <w:t>-2012, ESUPOSTE</w:t>
      </w:r>
      <w:r w:rsidR="00106109" w:rsidRPr="00F464A9">
        <w:rPr>
          <w:rStyle w:val="Appelnotedebasdep"/>
          <w:rFonts w:ascii="Book Antiqua" w:hAnsi="Book Antiqua" w:cs="Arial"/>
          <w:sz w:val="22"/>
          <w:szCs w:val="22"/>
        </w:rPr>
        <w:footnoteReference w:id="5"/>
      </w:r>
      <w:r w:rsidR="004204AC" w:rsidRPr="00F464A9">
        <w:rPr>
          <w:rFonts w:ascii="Book Antiqua" w:hAnsi="Book Antiqua" w:cs="Arial"/>
          <w:sz w:val="22"/>
          <w:szCs w:val="22"/>
        </w:rPr>
        <w:t>-2012, ENPNB</w:t>
      </w:r>
      <w:r w:rsidR="00106109" w:rsidRPr="00F464A9">
        <w:rPr>
          <w:rStyle w:val="Appelnotedebasdep"/>
          <w:rFonts w:ascii="Book Antiqua" w:hAnsi="Book Antiqua" w:cs="Arial"/>
          <w:sz w:val="22"/>
          <w:szCs w:val="22"/>
        </w:rPr>
        <w:footnoteReference w:id="6"/>
      </w:r>
      <w:r w:rsidR="004204AC" w:rsidRPr="00F464A9">
        <w:rPr>
          <w:rFonts w:ascii="Book Antiqua" w:hAnsi="Book Antiqua" w:cs="Arial"/>
          <w:sz w:val="22"/>
          <w:szCs w:val="22"/>
        </w:rPr>
        <w:t>-2012</w:t>
      </w:r>
      <w:r w:rsidRPr="00F464A9">
        <w:rPr>
          <w:rFonts w:ascii="Book Antiqua" w:hAnsi="Book Antiqua" w:cs="Arial"/>
          <w:sz w:val="22"/>
          <w:szCs w:val="22"/>
        </w:rPr>
        <w:t>).</w:t>
      </w:r>
      <w:r w:rsidRPr="00231AE0">
        <w:rPr>
          <w:rFonts w:ascii="Book Antiqua" w:hAnsi="Book Antiqua" w:cs="Arial"/>
          <w:sz w:val="22"/>
          <w:szCs w:val="22"/>
        </w:rPr>
        <w:t xml:space="preserve"> L’exploitation des résultats de ces enquêtes a permis de mettre au point des indicateurs de satisfaction sur la qualité des services et de formuler des recommandations aussi bien à l’endroit des autorités</w:t>
      </w:r>
      <w:r w:rsidR="00066520">
        <w:rPr>
          <w:rFonts w:ascii="Book Antiqua" w:hAnsi="Book Antiqua" w:cs="Arial"/>
          <w:sz w:val="22"/>
          <w:szCs w:val="22"/>
        </w:rPr>
        <w:t xml:space="preserve"> étatiques et monétaires</w:t>
      </w:r>
      <w:r w:rsidRPr="00231AE0">
        <w:rPr>
          <w:rFonts w:ascii="Book Antiqua" w:hAnsi="Book Antiqua" w:cs="Arial"/>
          <w:sz w:val="22"/>
          <w:szCs w:val="22"/>
        </w:rPr>
        <w:t xml:space="preserve"> qu’à l’endroit des opérateurs</w:t>
      </w:r>
      <w:r w:rsidR="00066520">
        <w:rPr>
          <w:rFonts w:ascii="Book Antiqua" w:hAnsi="Book Antiqua" w:cs="Arial"/>
          <w:sz w:val="22"/>
          <w:szCs w:val="22"/>
        </w:rPr>
        <w:t xml:space="preserve"> financiers</w:t>
      </w:r>
      <w:r w:rsidRPr="00231AE0">
        <w:rPr>
          <w:rFonts w:ascii="Book Antiqua" w:hAnsi="Book Antiqua" w:cs="Arial"/>
        </w:rPr>
        <w:t>.</w:t>
      </w:r>
    </w:p>
    <w:p w:rsidR="00066520" w:rsidRPr="00231AE0" w:rsidRDefault="00683B4E" w:rsidP="00413872">
      <w:pPr>
        <w:tabs>
          <w:tab w:val="left" w:pos="-720"/>
        </w:tabs>
        <w:suppressAutoHyphens/>
        <w:spacing w:before="240" w:after="240" w:line="276" w:lineRule="auto"/>
        <w:jc w:val="both"/>
        <w:rPr>
          <w:rFonts w:ascii="Book Antiqua" w:hAnsi="Book Antiqua" w:cs="Arial"/>
          <w:sz w:val="22"/>
          <w:szCs w:val="22"/>
        </w:rPr>
      </w:pPr>
      <w:r>
        <w:rPr>
          <w:rFonts w:ascii="Book Antiqua" w:hAnsi="Book Antiqua" w:cs="Arial"/>
          <w:sz w:val="22"/>
          <w:szCs w:val="22"/>
        </w:rPr>
        <w:t>Dans la perspective</w:t>
      </w:r>
      <w:r w:rsidRPr="00231AE0">
        <w:rPr>
          <w:rFonts w:ascii="Book Antiqua" w:hAnsi="Book Antiqua" w:cs="Arial"/>
          <w:sz w:val="22"/>
          <w:szCs w:val="22"/>
        </w:rPr>
        <w:t xml:space="preserve"> d’actualiser</w:t>
      </w:r>
      <w:r w:rsidR="002A50D2">
        <w:rPr>
          <w:rFonts w:ascii="Book Antiqua" w:hAnsi="Book Antiqua" w:cs="Arial"/>
          <w:sz w:val="22"/>
          <w:szCs w:val="22"/>
        </w:rPr>
        <w:t xml:space="preserve"> </w:t>
      </w:r>
      <w:r>
        <w:rPr>
          <w:rFonts w:ascii="Book Antiqua" w:hAnsi="Book Antiqua" w:cs="Arial"/>
          <w:sz w:val="22"/>
          <w:szCs w:val="22"/>
        </w:rPr>
        <w:t>les données de l’ESUB</w:t>
      </w:r>
      <w:r w:rsidR="00131489">
        <w:rPr>
          <w:rFonts w:ascii="Book Antiqua" w:hAnsi="Book Antiqua" w:cs="Arial"/>
          <w:sz w:val="22"/>
          <w:szCs w:val="22"/>
        </w:rPr>
        <w:t>-2010</w:t>
      </w:r>
      <w:r w:rsidR="00C80201">
        <w:rPr>
          <w:rFonts w:ascii="Book Antiqua" w:hAnsi="Book Antiqua" w:cs="Arial"/>
          <w:sz w:val="22"/>
          <w:szCs w:val="22"/>
        </w:rPr>
        <w:t>,</w:t>
      </w:r>
      <w:r w:rsidR="002A50D2">
        <w:rPr>
          <w:rFonts w:ascii="Book Antiqua" w:hAnsi="Book Antiqua" w:cs="Arial"/>
          <w:sz w:val="22"/>
          <w:szCs w:val="22"/>
        </w:rPr>
        <w:t xml:space="preserve"> </w:t>
      </w:r>
      <w:r w:rsidR="00C80201">
        <w:rPr>
          <w:rFonts w:ascii="Book Antiqua" w:hAnsi="Book Antiqua" w:cs="Arial"/>
          <w:sz w:val="22"/>
          <w:szCs w:val="22"/>
        </w:rPr>
        <w:t>l’Observatoire a entrepris</w:t>
      </w:r>
      <w:r w:rsidR="00C80201" w:rsidRPr="00231AE0">
        <w:rPr>
          <w:rFonts w:ascii="Book Antiqua" w:hAnsi="Book Antiqua" w:cs="Arial"/>
          <w:sz w:val="22"/>
          <w:szCs w:val="22"/>
        </w:rPr>
        <w:t xml:space="preserve"> une seconde enquête nationale auprès des usagers des services bancaires</w:t>
      </w:r>
      <w:r w:rsidR="00C80201">
        <w:rPr>
          <w:rFonts w:ascii="Book Antiqua" w:hAnsi="Book Antiqua" w:cs="Arial"/>
          <w:sz w:val="22"/>
          <w:szCs w:val="22"/>
        </w:rPr>
        <w:t xml:space="preserve"> en 2015</w:t>
      </w:r>
      <w:r w:rsidR="002A50D2">
        <w:rPr>
          <w:rFonts w:ascii="Book Antiqua" w:hAnsi="Book Antiqua" w:cs="Arial"/>
          <w:sz w:val="22"/>
          <w:szCs w:val="22"/>
        </w:rPr>
        <w:t xml:space="preserve">/2016 </w:t>
      </w:r>
      <w:r>
        <w:rPr>
          <w:rFonts w:ascii="Book Antiqua" w:hAnsi="Book Antiqua" w:cs="Arial"/>
          <w:sz w:val="22"/>
          <w:szCs w:val="22"/>
        </w:rPr>
        <w:t>à l’effet de suivre l’évolution de ses</w:t>
      </w:r>
      <w:r w:rsidRPr="00231AE0">
        <w:rPr>
          <w:rFonts w:ascii="Book Antiqua" w:hAnsi="Book Antiqua" w:cs="Arial"/>
          <w:sz w:val="22"/>
          <w:szCs w:val="22"/>
        </w:rPr>
        <w:t xml:space="preserve"> indicateurs</w:t>
      </w:r>
      <w:r>
        <w:rPr>
          <w:rFonts w:ascii="Book Antiqua" w:hAnsi="Book Antiqua" w:cs="Arial"/>
          <w:sz w:val="22"/>
          <w:szCs w:val="22"/>
        </w:rPr>
        <w:t xml:space="preserve"> de satisfaction ainsi que</w:t>
      </w:r>
      <w:r w:rsidRPr="00231AE0">
        <w:rPr>
          <w:rFonts w:ascii="Book Antiqua" w:hAnsi="Book Antiqua" w:cs="Arial"/>
          <w:sz w:val="22"/>
          <w:szCs w:val="22"/>
        </w:rPr>
        <w:t xml:space="preserve"> le niveau de mise en œuvre des recommandations formulées</w:t>
      </w:r>
      <w:r>
        <w:rPr>
          <w:rFonts w:ascii="Book Antiqua" w:hAnsi="Book Antiqua" w:cs="Arial"/>
          <w:sz w:val="22"/>
          <w:szCs w:val="22"/>
        </w:rPr>
        <w:t xml:space="preserve"> dans ce cadr</w:t>
      </w:r>
      <w:r w:rsidR="00C80201">
        <w:rPr>
          <w:rFonts w:ascii="Book Antiqua" w:hAnsi="Book Antiqua" w:cs="Arial"/>
          <w:sz w:val="22"/>
          <w:szCs w:val="22"/>
        </w:rPr>
        <w:t>e.</w:t>
      </w:r>
    </w:p>
    <w:p w:rsidR="00B53352" w:rsidRDefault="00560B93" w:rsidP="00BA203C">
      <w:pPr>
        <w:pStyle w:val="Titre2"/>
        <w:numPr>
          <w:ilvl w:val="0"/>
          <w:numId w:val="0"/>
        </w:numPr>
        <w:spacing w:before="240" w:after="240"/>
        <w:ind w:left="567" w:hanging="283"/>
        <w:contextualSpacing w:val="0"/>
      </w:pPr>
      <w:bookmarkStart w:id="7" w:name="_Toc523322016"/>
      <w:r>
        <w:t xml:space="preserve">II.2. </w:t>
      </w:r>
      <w:r w:rsidR="00B53352">
        <w:t xml:space="preserve">Démarche méthodologique de </w:t>
      </w:r>
      <w:r>
        <w:t>l’enquête</w:t>
      </w:r>
      <w:bookmarkEnd w:id="7"/>
      <w:r>
        <w:t xml:space="preserve"> </w:t>
      </w:r>
    </w:p>
    <w:p w:rsidR="00231AE0" w:rsidRPr="00DB18B4" w:rsidRDefault="00B53352" w:rsidP="00BA203C">
      <w:pPr>
        <w:pStyle w:val="Titre1"/>
        <w:numPr>
          <w:ilvl w:val="0"/>
          <w:numId w:val="0"/>
        </w:numPr>
        <w:spacing w:before="240" w:after="240"/>
        <w:ind w:firstLine="567"/>
      </w:pPr>
      <w:bookmarkStart w:id="8" w:name="_Toc523322017"/>
      <w:r w:rsidRPr="00DB18B4">
        <w:t xml:space="preserve">II.2.1. </w:t>
      </w:r>
      <w:r w:rsidR="00231AE0" w:rsidRPr="00DB18B4">
        <w:t>Objectifs</w:t>
      </w:r>
      <w:r w:rsidR="002A50D2">
        <w:t xml:space="preserve"> </w:t>
      </w:r>
      <w:r w:rsidRPr="00DB18B4">
        <w:t>de l’enquête</w:t>
      </w:r>
      <w:bookmarkEnd w:id="8"/>
    </w:p>
    <w:p w:rsidR="00231AE0" w:rsidRPr="00231AE0" w:rsidRDefault="00231AE0" w:rsidP="00413872">
      <w:pPr>
        <w:widowControl w:val="0"/>
        <w:spacing w:before="200" w:after="120" w:line="276" w:lineRule="auto"/>
        <w:jc w:val="both"/>
        <w:rPr>
          <w:rFonts w:ascii="Book Antiqua" w:hAnsi="Book Antiqua" w:cs="Arial"/>
          <w:sz w:val="22"/>
          <w:szCs w:val="22"/>
        </w:rPr>
      </w:pPr>
      <w:r w:rsidRPr="00231AE0">
        <w:rPr>
          <w:rFonts w:ascii="Book Antiqua" w:hAnsi="Book Antiqua" w:cs="Arial"/>
          <w:sz w:val="22"/>
          <w:szCs w:val="22"/>
        </w:rPr>
        <w:t xml:space="preserve">L’Enquête de Satisfaction auprès des Usagers des Services </w:t>
      </w:r>
      <w:r w:rsidR="002A50D2">
        <w:rPr>
          <w:rFonts w:ascii="Book Antiqua" w:hAnsi="Book Antiqua" w:cs="Arial"/>
          <w:sz w:val="22"/>
          <w:szCs w:val="22"/>
        </w:rPr>
        <w:t>Bancaires au Sénégal (ESUB)</w:t>
      </w:r>
      <w:r w:rsidRPr="00231AE0">
        <w:rPr>
          <w:rFonts w:ascii="Book Antiqua" w:hAnsi="Book Antiqua" w:cs="Arial"/>
          <w:sz w:val="22"/>
          <w:szCs w:val="22"/>
        </w:rPr>
        <w:t xml:space="preserve"> a pour objectif principal la collecte de toutes informations </w:t>
      </w:r>
      <w:r w:rsidR="00C86828">
        <w:rPr>
          <w:rFonts w:ascii="Book Antiqua" w:hAnsi="Book Antiqua" w:cs="Arial"/>
          <w:sz w:val="22"/>
          <w:szCs w:val="22"/>
        </w:rPr>
        <w:t>permettant</w:t>
      </w:r>
      <w:r w:rsidR="002A50D2">
        <w:rPr>
          <w:rFonts w:ascii="Book Antiqua" w:hAnsi="Book Antiqua" w:cs="Arial"/>
          <w:sz w:val="22"/>
          <w:szCs w:val="22"/>
        </w:rPr>
        <w:t xml:space="preserve"> </w:t>
      </w:r>
      <w:r w:rsidR="00C86828">
        <w:rPr>
          <w:rFonts w:ascii="Book Antiqua" w:hAnsi="Book Antiqua" w:cs="Arial"/>
          <w:sz w:val="22"/>
          <w:szCs w:val="22"/>
        </w:rPr>
        <w:t xml:space="preserve">d’analyser </w:t>
      </w:r>
      <w:r w:rsidRPr="00231AE0">
        <w:rPr>
          <w:rFonts w:ascii="Book Antiqua" w:hAnsi="Book Antiqua" w:cs="Arial"/>
          <w:sz w:val="22"/>
          <w:szCs w:val="22"/>
        </w:rPr>
        <w:t xml:space="preserve">la qualité des services proposés par les banques implantées au Sénégal. </w:t>
      </w:r>
    </w:p>
    <w:p w:rsidR="00231AE0" w:rsidRPr="00231AE0" w:rsidRDefault="00231AE0" w:rsidP="00413872">
      <w:pPr>
        <w:widowControl w:val="0"/>
        <w:spacing w:before="200" w:after="120" w:line="276" w:lineRule="auto"/>
        <w:jc w:val="both"/>
        <w:rPr>
          <w:rFonts w:ascii="Book Antiqua" w:hAnsi="Book Antiqua" w:cs="Arial"/>
          <w:sz w:val="22"/>
          <w:szCs w:val="22"/>
        </w:rPr>
      </w:pPr>
      <w:r w:rsidRPr="00231AE0">
        <w:rPr>
          <w:rFonts w:ascii="Book Antiqua" w:hAnsi="Book Antiqua" w:cs="Arial"/>
          <w:sz w:val="22"/>
          <w:szCs w:val="22"/>
        </w:rPr>
        <w:t>De façon plus spécifique, cette enquête</w:t>
      </w:r>
      <w:r w:rsidR="00C86828">
        <w:rPr>
          <w:rFonts w:ascii="Book Antiqua" w:hAnsi="Book Antiqua" w:cs="Arial"/>
          <w:sz w:val="22"/>
          <w:szCs w:val="22"/>
        </w:rPr>
        <w:t xml:space="preserve"> vise à :  </w:t>
      </w:r>
    </w:p>
    <w:p w:rsidR="00231AE0" w:rsidRDefault="00231AE0" w:rsidP="00413872">
      <w:pPr>
        <w:widowControl w:val="0"/>
        <w:numPr>
          <w:ilvl w:val="0"/>
          <w:numId w:val="16"/>
        </w:numPr>
        <w:spacing w:before="80" w:after="80" w:line="276" w:lineRule="auto"/>
        <w:ind w:left="568" w:hanging="284"/>
        <w:jc w:val="both"/>
        <w:rPr>
          <w:rFonts w:ascii="Book Antiqua" w:hAnsi="Book Antiqua" w:cs="Arial"/>
          <w:sz w:val="22"/>
          <w:szCs w:val="22"/>
        </w:rPr>
      </w:pPr>
      <w:r w:rsidRPr="00231AE0">
        <w:rPr>
          <w:rFonts w:ascii="Book Antiqua" w:hAnsi="Book Antiqua" w:cs="Arial"/>
          <w:sz w:val="22"/>
          <w:szCs w:val="22"/>
        </w:rPr>
        <w:t>appréhender les attentes et le degré de satisfaction des clients par rapport à l’offre de services bancaires ;</w:t>
      </w:r>
    </w:p>
    <w:p w:rsidR="00A13195" w:rsidRPr="00A13195" w:rsidRDefault="00A13195" w:rsidP="00413872">
      <w:pPr>
        <w:widowControl w:val="0"/>
        <w:numPr>
          <w:ilvl w:val="0"/>
          <w:numId w:val="16"/>
        </w:numPr>
        <w:spacing w:before="80" w:after="80" w:line="276" w:lineRule="auto"/>
        <w:ind w:left="568" w:hanging="284"/>
        <w:jc w:val="both"/>
        <w:rPr>
          <w:rFonts w:ascii="Book Antiqua" w:hAnsi="Book Antiqua" w:cs="Arial"/>
          <w:sz w:val="22"/>
          <w:szCs w:val="22"/>
        </w:rPr>
      </w:pPr>
      <w:r>
        <w:rPr>
          <w:rFonts w:ascii="Book Antiqua" w:hAnsi="Book Antiqua" w:cs="Arial"/>
          <w:sz w:val="22"/>
          <w:szCs w:val="22"/>
        </w:rPr>
        <w:t>suivre les</w:t>
      </w:r>
      <w:r w:rsidRPr="00231AE0">
        <w:rPr>
          <w:rFonts w:ascii="Book Antiqua" w:hAnsi="Book Antiqua" w:cs="Arial"/>
          <w:sz w:val="22"/>
          <w:szCs w:val="22"/>
          <w:lang w:val="fr-CA"/>
        </w:rPr>
        <w:t xml:space="preserve"> indicateurs</w:t>
      </w:r>
      <w:r w:rsidR="002A50D2">
        <w:rPr>
          <w:rFonts w:ascii="Book Antiqua" w:hAnsi="Book Antiqua" w:cs="Arial"/>
          <w:sz w:val="22"/>
          <w:szCs w:val="22"/>
          <w:lang w:val="fr-CA"/>
        </w:rPr>
        <w:t xml:space="preserve"> </w:t>
      </w:r>
      <w:r w:rsidRPr="00231AE0">
        <w:rPr>
          <w:rFonts w:ascii="Book Antiqua" w:hAnsi="Book Antiqua" w:cs="Arial"/>
          <w:sz w:val="22"/>
          <w:szCs w:val="22"/>
          <w:lang w:val="fr-CA"/>
        </w:rPr>
        <w:t>de</w:t>
      </w:r>
      <w:r>
        <w:rPr>
          <w:rFonts w:ascii="Book Antiqua" w:hAnsi="Book Antiqua" w:cs="Arial"/>
          <w:sz w:val="22"/>
          <w:szCs w:val="22"/>
          <w:lang w:val="fr-CA"/>
        </w:rPr>
        <w:t xml:space="preserve"> satisfaction</w:t>
      </w:r>
      <w:r w:rsidRPr="00231AE0">
        <w:rPr>
          <w:rFonts w:ascii="Book Antiqua" w:hAnsi="Book Antiqua" w:cs="Arial"/>
          <w:sz w:val="22"/>
          <w:szCs w:val="22"/>
          <w:lang w:val="fr-CA"/>
        </w:rPr>
        <w:t xml:space="preserve"> à partir de l’analyse</w:t>
      </w:r>
      <w:r>
        <w:rPr>
          <w:rFonts w:ascii="Book Antiqua" w:hAnsi="Book Antiqua" w:cs="Arial"/>
          <w:sz w:val="22"/>
          <w:szCs w:val="22"/>
          <w:lang w:val="fr-CA"/>
        </w:rPr>
        <w:t xml:space="preserve"> actualisée</w:t>
      </w:r>
      <w:r w:rsidRPr="00231AE0">
        <w:rPr>
          <w:rFonts w:ascii="Book Antiqua" w:hAnsi="Book Antiqua" w:cs="Arial"/>
          <w:sz w:val="22"/>
          <w:szCs w:val="22"/>
          <w:lang w:val="fr-CA"/>
        </w:rPr>
        <w:t xml:space="preserve"> des opinions exprimées par les clients et usagers</w:t>
      </w:r>
      <w:r w:rsidRPr="00231AE0">
        <w:rPr>
          <w:rFonts w:ascii="Book Antiqua" w:hAnsi="Book Antiqua" w:cs="Arial"/>
          <w:sz w:val="22"/>
          <w:szCs w:val="22"/>
        </w:rPr>
        <w:t> ;</w:t>
      </w:r>
    </w:p>
    <w:p w:rsidR="00231AE0" w:rsidRPr="00231AE0" w:rsidRDefault="00231AE0" w:rsidP="00413872">
      <w:pPr>
        <w:numPr>
          <w:ilvl w:val="0"/>
          <w:numId w:val="16"/>
        </w:numPr>
        <w:spacing w:before="80" w:after="80" w:line="276" w:lineRule="auto"/>
        <w:ind w:left="568" w:hanging="284"/>
        <w:jc w:val="both"/>
        <w:rPr>
          <w:rFonts w:ascii="Book Antiqua" w:hAnsi="Book Antiqua" w:cs="Arial"/>
          <w:sz w:val="22"/>
          <w:szCs w:val="22"/>
        </w:rPr>
      </w:pPr>
      <w:r w:rsidRPr="00231AE0">
        <w:rPr>
          <w:rFonts w:ascii="Book Antiqua" w:hAnsi="Book Antiqua" w:cs="Arial"/>
          <w:sz w:val="22"/>
          <w:szCs w:val="22"/>
        </w:rPr>
        <w:t>faire ressortir les niches d’</w:t>
      </w:r>
      <w:r w:rsidR="00A13195" w:rsidRPr="00231AE0">
        <w:rPr>
          <w:rFonts w:ascii="Book Antiqua" w:hAnsi="Book Antiqua" w:cs="Arial"/>
          <w:sz w:val="22"/>
          <w:szCs w:val="22"/>
        </w:rPr>
        <w:t>insatisfaction</w:t>
      </w:r>
      <w:r w:rsidR="00A13195">
        <w:rPr>
          <w:rFonts w:ascii="Book Antiqua" w:hAnsi="Book Antiqua" w:cs="Arial"/>
          <w:sz w:val="22"/>
          <w:szCs w:val="22"/>
        </w:rPr>
        <w:t xml:space="preserve"> ressortant d</w:t>
      </w:r>
      <w:r w:rsidR="005D2B50">
        <w:rPr>
          <w:rFonts w:ascii="Book Antiqua" w:hAnsi="Book Antiqua" w:cs="Arial"/>
          <w:sz w:val="22"/>
          <w:szCs w:val="22"/>
        </w:rPr>
        <w:t xml:space="preserve">e la perception des enquêtés ; </w:t>
      </w:r>
    </w:p>
    <w:p w:rsidR="00231AE0" w:rsidRPr="00231AE0" w:rsidRDefault="00231AE0" w:rsidP="00413872">
      <w:pPr>
        <w:widowControl w:val="0"/>
        <w:numPr>
          <w:ilvl w:val="0"/>
          <w:numId w:val="16"/>
        </w:numPr>
        <w:spacing w:before="80" w:after="80" w:line="276" w:lineRule="auto"/>
        <w:ind w:left="568" w:hanging="284"/>
        <w:jc w:val="both"/>
        <w:rPr>
          <w:rFonts w:ascii="Book Antiqua" w:hAnsi="Book Antiqua" w:cs="Arial"/>
          <w:sz w:val="22"/>
          <w:szCs w:val="22"/>
        </w:rPr>
      </w:pPr>
      <w:r w:rsidRPr="00231AE0">
        <w:rPr>
          <w:rFonts w:ascii="Book Antiqua" w:hAnsi="Book Antiqua" w:cs="Arial"/>
          <w:sz w:val="22"/>
          <w:szCs w:val="22"/>
        </w:rPr>
        <w:t>fournir des recommandations visant l’amélioration de la qualité des services offerts par les banques.</w:t>
      </w:r>
    </w:p>
    <w:p w:rsidR="009260C9" w:rsidRPr="00560B93" w:rsidRDefault="00B53352" w:rsidP="00BA203C">
      <w:pPr>
        <w:pStyle w:val="Titre1"/>
        <w:numPr>
          <w:ilvl w:val="0"/>
          <w:numId w:val="0"/>
        </w:numPr>
        <w:spacing w:before="240" w:after="240"/>
        <w:ind w:firstLine="567"/>
      </w:pPr>
      <w:bookmarkStart w:id="9" w:name="_Toc523322018"/>
      <w:r w:rsidRPr="00560B93">
        <w:t xml:space="preserve">II.2.2. </w:t>
      </w:r>
      <w:r w:rsidR="00231AE0" w:rsidRPr="00560B93">
        <w:t>Méthodologie</w:t>
      </w:r>
      <w:r w:rsidRPr="00560B93">
        <w:t xml:space="preserve"> de collecte</w:t>
      </w:r>
      <w:bookmarkEnd w:id="9"/>
    </w:p>
    <w:p w:rsidR="00231AE0" w:rsidRDefault="000E32E3" w:rsidP="00413872">
      <w:pPr>
        <w:widowControl w:val="0"/>
        <w:spacing w:before="240" w:after="240" w:line="276" w:lineRule="auto"/>
        <w:jc w:val="both"/>
        <w:rPr>
          <w:rFonts w:ascii="Book Antiqua" w:hAnsi="Book Antiqua" w:cs="Arial"/>
          <w:sz w:val="22"/>
          <w:szCs w:val="22"/>
        </w:rPr>
      </w:pPr>
      <w:r>
        <w:rPr>
          <w:rFonts w:ascii="Book Antiqua" w:hAnsi="Book Antiqua" w:cs="Arial"/>
          <w:sz w:val="22"/>
          <w:szCs w:val="22"/>
        </w:rPr>
        <w:t>L’enquête</w:t>
      </w:r>
      <w:r w:rsidR="00A621DE">
        <w:rPr>
          <w:rFonts w:ascii="Book Antiqua" w:hAnsi="Book Antiqua" w:cs="Arial"/>
          <w:sz w:val="22"/>
          <w:szCs w:val="22"/>
        </w:rPr>
        <w:t xml:space="preserve"> </w:t>
      </w:r>
      <w:r w:rsidR="00A13195">
        <w:rPr>
          <w:rFonts w:ascii="Book Antiqua" w:hAnsi="Book Antiqua" w:cs="Arial"/>
          <w:sz w:val="22"/>
          <w:szCs w:val="22"/>
        </w:rPr>
        <w:t>a été</w:t>
      </w:r>
      <w:r w:rsidR="00231AE0" w:rsidRPr="00231AE0">
        <w:rPr>
          <w:rFonts w:ascii="Book Antiqua" w:hAnsi="Book Antiqua" w:cs="Arial"/>
          <w:sz w:val="22"/>
          <w:szCs w:val="22"/>
        </w:rPr>
        <w:t xml:space="preserve"> menée </w:t>
      </w:r>
      <w:r w:rsidR="00A13195">
        <w:rPr>
          <w:rFonts w:ascii="Book Antiqua" w:hAnsi="Book Antiqua" w:cs="Arial"/>
          <w:sz w:val="22"/>
          <w:szCs w:val="22"/>
        </w:rPr>
        <w:t xml:space="preserve">à l’échelle nationale </w:t>
      </w:r>
      <w:r w:rsidR="00231AE0" w:rsidRPr="00231AE0">
        <w:rPr>
          <w:rFonts w:ascii="Book Antiqua" w:hAnsi="Book Antiqua" w:cs="Arial"/>
          <w:sz w:val="22"/>
          <w:szCs w:val="22"/>
        </w:rPr>
        <w:t xml:space="preserve">auprès des </w:t>
      </w:r>
      <w:r w:rsidR="00A13195">
        <w:rPr>
          <w:rFonts w:ascii="Book Antiqua" w:hAnsi="Book Antiqua" w:cs="Arial"/>
          <w:sz w:val="22"/>
          <w:szCs w:val="22"/>
        </w:rPr>
        <w:t> </w:t>
      </w:r>
      <w:r w:rsidR="002B4540">
        <w:rPr>
          <w:rFonts w:ascii="Book Antiqua" w:hAnsi="Book Antiqua" w:cs="Arial"/>
          <w:sz w:val="22"/>
          <w:szCs w:val="22"/>
        </w:rPr>
        <w:t>usagers « </w:t>
      </w:r>
      <w:r w:rsidR="00231AE0" w:rsidRPr="00231AE0">
        <w:rPr>
          <w:rFonts w:ascii="Book Antiqua" w:hAnsi="Book Antiqua" w:cs="Arial"/>
          <w:sz w:val="22"/>
          <w:szCs w:val="22"/>
        </w:rPr>
        <w:t>personnes physiques</w:t>
      </w:r>
      <w:r w:rsidR="002B4540">
        <w:rPr>
          <w:rFonts w:ascii="Book Antiqua" w:hAnsi="Book Antiqua" w:cs="Arial"/>
          <w:sz w:val="22"/>
          <w:szCs w:val="22"/>
        </w:rPr>
        <w:t> »</w:t>
      </w:r>
      <w:r w:rsidR="00A13195">
        <w:rPr>
          <w:rFonts w:ascii="Book Antiqua" w:hAnsi="Book Antiqua" w:cs="Arial"/>
          <w:sz w:val="22"/>
          <w:szCs w:val="22"/>
        </w:rPr>
        <w:t> </w:t>
      </w:r>
      <w:r w:rsidR="00231AE0" w:rsidRPr="00231AE0">
        <w:rPr>
          <w:rFonts w:ascii="Book Antiqua" w:hAnsi="Book Antiqua" w:cs="Arial"/>
          <w:sz w:val="22"/>
          <w:szCs w:val="22"/>
        </w:rPr>
        <w:t xml:space="preserve"> et</w:t>
      </w:r>
      <w:r w:rsidR="00A13195">
        <w:rPr>
          <w:rFonts w:ascii="Book Antiqua" w:hAnsi="Book Antiqua" w:cs="Arial"/>
          <w:sz w:val="22"/>
          <w:szCs w:val="22"/>
        </w:rPr>
        <w:t> </w:t>
      </w:r>
      <w:r w:rsidR="002B4540">
        <w:rPr>
          <w:rFonts w:ascii="Book Antiqua" w:hAnsi="Book Antiqua" w:cs="Arial"/>
          <w:sz w:val="22"/>
          <w:szCs w:val="22"/>
        </w:rPr>
        <w:t>« </w:t>
      </w:r>
      <w:r w:rsidR="00231AE0" w:rsidRPr="00231AE0">
        <w:rPr>
          <w:rFonts w:ascii="Book Antiqua" w:hAnsi="Book Antiqua" w:cs="Arial"/>
          <w:sz w:val="22"/>
          <w:szCs w:val="22"/>
        </w:rPr>
        <w:t>personnes morales</w:t>
      </w:r>
      <w:r w:rsidR="00A13195">
        <w:rPr>
          <w:rFonts w:ascii="Book Antiqua" w:hAnsi="Book Antiqua" w:cs="Arial"/>
          <w:sz w:val="22"/>
          <w:szCs w:val="22"/>
        </w:rPr>
        <w:t> »</w:t>
      </w:r>
      <w:r w:rsidR="00231AE0" w:rsidRPr="00231AE0">
        <w:rPr>
          <w:rFonts w:ascii="Book Antiqua" w:hAnsi="Book Antiqua" w:cs="Arial"/>
          <w:sz w:val="22"/>
          <w:szCs w:val="22"/>
        </w:rPr>
        <w:t xml:space="preserve"> titulaires d’un compte bancaire résid</w:t>
      </w:r>
      <w:r w:rsidR="002B4540">
        <w:rPr>
          <w:rFonts w:ascii="Book Antiqua" w:hAnsi="Book Antiqua" w:cs="Arial"/>
          <w:sz w:val="22"/>
          <w:szCs w:val="22"/>
        </w:rPr>
        <w:t>a</w:t>
      </w:r>
      <w:r w:rsidR="00231AE0" w:rsidRPr="00231AE0">
        <w:rPr>
          <w:rFonts w:ascii="Book Antiqua" w:hAnsi="Book Antiqua" w:cs="Arial"/>
          <w:sz w:val="22"/>
          <w:szCs w:val="22"/>
        </w:rPr>
        <w:t>nt au Sénégal.</w:t>
      </w:r>
    </w:p>
    <w:p w:rsidR="00143111" w:rsidRPr="00231AE0" w:rsidRDefault="00143111" w:rsidP="004539FF">
      <w:pPr>
        <w:widowControl w:val="0"/>
        <w:spacing w:before="240" w:after="240" w:line="276" w:lineRule="auto"/>
        <w:jc w:val="both"/>
        <w:rPr>
          <w:rFonts w:ascii="Book Antiqua" w:hAnsi="Book Antiqua" w:cs="Arial"/>
          <w:sz w:val="22"/>
          <w:szCs w:val="22"/>
        </w:rPr>
      </w:pPr>
      <w:r>
        <w:rPr>
          <w:rFonts w:ascii="Book Antiqua" w:hAnsi="Book Antiqua" w:cs="Arial"/>
          <w:sz w:val="22"/>
          <w:szCs w:val="22"/>
        </w:rPr>
        <w:lastRenderedPageBreak/>
        <w:t xml:space="preserve">La collecte des données a été effectuée en tenant compte de spécificités liées aux unités enquêtées et </w:t>
      </w:r>
      <w:r w:rsidR="00807348">
        <w:rPr>
          <w:rFonts w:ascii="Book Antiqua" w:hAnsi="Book Antiqua" w:cs="Arial"/>
          <w:sz w:val="22"/>
          <w:szCs w:val="22"/>
        </w:rPr>
        <w:t xml:space="preserve">à la structure de </w:t>
      </w:r>
      <w:r>
        <w:rPr>
          <w:rFonts w:ascii="Book Antiqua" w:hAnsi="Book Antiqua" w:cs="Arial"/>
          <w:sz w:val="22"/>
          <w:szCs w:val="22"/>
        </w:rPr>
        <w:t>la population statistique.</w:t>
      </w:r>
    </w:p>
    <w:p w:rsidR="009260C9" w:rsidRPr="00F43478" w:rsidRDefault="00B53352" w:rsidP="00BA203C">
      <w:pPr>
        <w:pStyle w:val="Titre4"/>
        <w:spacing w:before="240" w:after="240" w:line="276" w:lineRule="auto"/>
        <w:ind w:left="0" w:firstLine="851"/>
        <w:contextualSpacing w:val="0"/>
      </w:pPr>
      <w:r w:rsidRPr="00F43478">
        <w:t xml:space="preserve">II.2.2.1. </w:t>
      </w:r>
      <w:r w:rsidR="00231AE0" w:rsidRPr="00F43478">
        <w:t>Base de sondage</w:t>
      </w:r>
    </w:p>
    <w:p w:rsidR="003575F5" w:rsidRDefault="00231AE0" w:rsidP="004539FF">
      <w:pPr>
        <w:widowControl w:val="0"/>
        <w:spacing w:before="240" w:after="240" w:line="276" w:lineRule="auto"/>
        <w:jc w:val="both"/>
        <w:rPr>
          <w:rFonts w:ascii="Book Antiqua" w:hAnsi="Book Antiqua" w:cs="Arial"/>
          <w:sz w:val="22"/>
          <w:szCs w:val="22"/>
        </w:rPr>
      </w:pPr>
      <w:r w:rsidRPr="00231AE0">
        <w:rPr>
          <w:rFonts w:ascii="Book Antiqua" w:hAnsi="Book Antiqua" w:cs="Arial"/>
          <w:sz w:val="22"/>
          <w:szCs w:val="22"/>
        </w:rPr>
        <w:t xml:space="preserve">La population « mère » de </w:t>
      </w:r>
      <w:r w:rsidR="003575F5">
        <w:rPr>
          <w:rFonts w:ascii="Book Antiqua" w:hAnsi="Book Antiqua" w:cs="Arial"/>
          <w:sz w:val="22"/>
          <w:szCs w:val="22"/>
        </w:rPr>
        <w:t>l’</w:t>
      </w:r>
      <w:r w:rsidRPr="00231AE0">
        <w:rPr>
          <w:rFonts w:ascii="Book Antiqua" w:hAnsi="Book Antiqua" w:cs="Arial"/>
          <w:sz w:val="22"/>
          <w:szCs w:val="22"/>
        </w:rPr>
        <w:t xml:space="preserve">enquête </w:t>
      </w:r>
      <w:r w:rsidR="003575F5">
        <w:rPr>
          <w:rFonts w:ascii="Book Antiqua" w:hAnsi="Book Antiqua" w:cs="Arial"/>
          <w:sz w:val="22"/>
          <w:szCs w:val="22"/>
        </w:rPr>
        <w:t xml:space="preserve">est </w:t>
      </w:r>
      <w:r w:rsidRPr="00231AE0">
        <w:rPr>
          <w:rFonts w:ascii="Book Antiqua" w:hAnsi="Book Antiqua" w:cs="Arial"/>
          <w:sz w:val="22"/>
          <w:szCs w:val="22"/>
        </w:rPr>
        <w:t xml:space="preserve"> constituée de la base</w:t>
      </w:r>
      <w:r w:rsidR="003575F5">
        <w:rPr>
          <w:rFonts w:ascii="Book Antiqua" w:hAnsi="Book Antiqua" w:cs="Arial"/>
          <w:sz w:val="22"/>
          <w:szCs w:val="22"/>
        </w:rPr>
        <w:t xml:space="preserve"> de données</w:t>
      </w:r>
      <w:r w:rsidRPr="00231AE0">
        <w:rPr>
          <w:rFonts w:ascii="Book Antiqua" w:hAnsi="Book Antiqua" w:cs="Arial"/>
          <w:sz w:val="22"/>
          <w:szCs w:val="22"/>
        </w:rPr>
        <w:t xml:space="preserve"> de clients </w:t>
      </w:r>
      <w:r w:rsidR="003575F5">
        <w:rPr>
          <w:rFonts w:ascii="Book Antiqua" w:hAnsi="Book Antiqua" w:cs="Arial"/>
          <w:sz w:val="22"/>
          <w:szCs w:val="22"/>
        </w:rPr>
        <w:t>choisis à partir de l’exploitation</w:t>
      </w:r>
      <w:r w:rsidR="00F5498A">
        <w:rPr>
          <w:rFonts w:ascii="Book Antiqua" w:hAnsi="Book Antiqua" w:cs="Arial"/>
          <w:sz w:val="22"/>
          <w:szCs w:val="22"/>
        </w:rPr>
        <w:t xml:space="preserve"> des statistiques</w:t>
      </w:r>
      <w:r w:rsidR="003575F5">
        <w:rPr>
          <w:rFonts w:ascii="Book Antiqua" w:hAnsi="Book Antiqua" w:cs="Arial"/>
          <w:sz w:val="22"/>
          <w:szCs w:val="22"/>
        </w:rPr>
        <w:t xml:space="preserve"> du </w:t>
      </w:r>
      <w:r w:rsidR="004204AC" w:rsidRPr="00F464A9">
        <w:rPr>
          <w:rFonts w:ascii="Book Antiqua" w:hAnsi="Book Antiqua" w:cs="Arial"/>
          <w:sz w:val="22"/>
          <w:szCs w:val="22"/>
        </w:rPr>
        <w:t xml:space="preserve">Fichier </w:t>
      </w:r>
      <w:r w:rsidR="00087245" w:rsidRPr="00F464A9">
        <w:rPr>
          <w:rFonts w:ascii="Book Antiqua" w:hAnsi="Book Antiqua" w:cs="Arial"/>
          <w:sz w:val="22"/>
          <w:szCs w:val="22"/>
        </w:rPr>
        <w:t>Clientèle des Opérations</w:t>
      </w:r>
      <w:r w:rsidR="004204AC" w:rsidRPr="00F464A9">
        <w:rPr>
          <w:rFonts w:ascii="Book Antiqua" w:hAnsi="Book Antiqua" w:cs="Arial"/>
          <w:sz w:val="22"/>
          <w:szCs w:val="22"/>
        </w:rPr>
        <w:t xml:space="preserve"> Bancaires (FICOB)</w:t>
      </w:r>
      <w:r w:rsidR="008C1474">
        <w:rPr>
          <w:rFonts w:ascii="Book Antiqua" w:hAnsi="Book Antiqua" w:cs="Arial"/>
          <w:sz w:val="22"/>
          <w:szCs w:val="22"/>
        </w:rPr>
        <w:t xml:space="preserve"> </w:t>
      </w:r>
      <w:r w:rsidRPr="00231AE0">
        <w:rPr>
          <w:rFonts w:ascii="Book Antiqua" w:hAnsi="Book Antiqua" w:cs="Arial"/>
          <w:sz w:val="22"/>
          <w:szCs w:val="22"/>
        </w:rPr>
        <w:t>de l’ensemble des établissements de crédit agréés au Sénégal au 31 décembre 2013</w:t>
      </w:r>
      <w:r w:rsidR="00F5498A">
        <w:rPr>
          <w:rStyle w:val="Appelnotedebasdep"/>
          <w:rFonts w:ascii="Book Antiqua" w:hAnsi="Book Antiqua" w:cs="Arial"/>
          <w:sz w:val="22"/>
          <w:szCs w:val="22"/>
        </w:rPr>
        <w:footnoteReference w:id="7"/>
      </w:r>
      <w:r w:rsidRPr="00231AE0">
        <w:rPr>
          <w:rFonts w:ascii="Book Antiqua" w:hAnsi="Book Antiqua" w:cs="Arial"/>
          <w:sz w:val="22"/>
          <w:szCs w:val="22"/>
        </w:rPr>
        <w:t xml:space="preserve">, à l’exception </w:t>
      </w:r>
      <w:r w:rsidR="005E1DC4">
        <w:rPr>
          <w:rFonts w:ascii="Book Antiqua" w:hAnsi="Book Antiqua" w:cs="Arial"/>
          <w:sz w:val="22"/>
          <w:szCs w:val="22"/>
        </w:rPr>
        <w:t>des banques dont le</w:t>
      </w:r>
      <w:r w:rsidR="00087245">
        <w:rPr>
          <w:rFonts w:ascii="Book Antiqua" w:hAnsi="Book Antiqua" w:cs="Arial"/>
          <w:sz w:val="22"/>
          <w:szCs w:val="22"/>
        </w:rPr>
        <w:t>s</w:t>
      </w:r>
      <w:r w:rsidR="005E1DC4">
        <w:rPr>
          <w:rFonts w:ascii="Book Antiqua" w:hAnsi="Book Antiqua" w:cs="Arial"/>
          <w:sz w:val="22"/>
          <w:szCs w:val="22"/>
        </w:rPr>
        <w:t xml:space="preserve"> activités ont démarré </w:t>
      </w:r>
      <w:r w:rsidR="00087245">
        <w:rPr>
          <w:rFonts w:ascii="Book Antiqua" w:hAnsi="Book Antiqua" w:cs="Arial"/>
          <w:sz w:val="22"/>
          <w:szCs w:val="22"/>
        </w:rPr>
        <w:t xml:space="preserve">postérieurement à la période en référence. </w:t>
      </w:r>
    </w:p>
    <w:p w:rsidR="00231AE0" w:rsidRPr="00231AE0" w:rsidRDefault="00F5498A" w:rsidP="004539FF">
      <w:pPr>
        <w:widowControl w:val="0"/>
        <w:spacing w:before="240" w:after="240" w:line="276" w:lineRule="auto"/>
        <w:jc w:val="both"/>
        <w:rPr>
          <w:rFonts w:ascii="Book Antiqua" w:hAnsi="Book Antiqua" w:cs="Arial"/>
          <w:sz w:val="22"/>
          <w:szCs w:val="22"/>
        </w:rPr>
      </w:pPr>
      <w:r>
        <w:rPr>
          <w:rFonts w:ascii="Book Antiqua" w:hAnsi="Book Antiqua" w:cs="Arial"/>
          <w:sz w:val="22"/>
          <w:szCs w:val="22"/>
        </w:rPr>
        <w:t>Au total, c</w:t>
      </w:r>
      <w:r w:rsidR="00231AE0" w:rsidRPr="00231AE0">
        <w:rPr>
          <w:rFonts w:ascii="Book Antiqua" w:hAnsi="Book Antiqua" w:cs="Arial"/>
          <w:sz w:val="22"/>
          <w:szCs w:val="22"/>
        </w:rPr>
        <w:t xml:space="preserve">ette population « mère » </w:t>
      </w:r>
      <w:r w:rsidR="00EC39F1">
        <w:rPr>
          <w:rFonts w:ascii="Book Antiqua" w:hAnsi="Book Antiqua" w:cs="Arial"/>
          <w:sz w:val="22"/>
          <w:szCs w:val="22"/>
        </w:rPr>
        <w:t>est</w:t>
      </w:r>
      <w:r w:rsidR="008C1474">
        <w:rPr>
          <w:rFonts w:ascii="Book Antiqua" w:hAnsi="Book Antiqua" w:cs="Arial"/>
          <w:sz w:val="22"/>
          <w:szCs w:val="22"/>
        </w:rPr>
        <w:t xml:space="preserve"> </w:t>
      </w:r>
      <w:r w:rsidR="00231AE0" w:rsidRPr="00231AE0">
        <w:rPr>
          <w:rFonts w:ascii="Book Antiqua" w:hAnsi="Book Antiqua" w:cs="Arial"/>
          <w:sz w:val="22"/>
          <w:szCs w:val="22"/>
        </w:rPr>
        <w:t xml:space="preserve">subdivisée en deux sous-populations : les clients </w:t>
      </w:r>
      <w:r w:rsidR="00F43478">
        <w:rPr>
          <w:rFonts w:ascii="Book Antiqua" w:hAnsi="Book Antiqua" w:cs="Arial"/>
          <w:sz w:val="22"/>
          <w:szCs w:val="22"/>
        </w:rPr>
        <w:t>« </w:t>
      </w:r>
      <w:r w:rsidR="00231AE0" w:rsidRPr="00231AE0">
        <w:rPr>
          <w:rFonts w:ascii="Book Antiqua" w:hAnsi="Book Antiqua" w:cs="Arial"/>
          <w:sz w:val="22"/>
          <w:szCs w:val="22"/>
        </w:rPr>
        <w:t>personnes physiques</w:t>
      </w:r>
      <w:r w:rsidR="00F43478">
        <w:rPr>
          <w:rFonts w:ascii="Book Antiqua" w:hAnsi="Book Antiqua" w:cs="Arial"/>
          <w:sz w:val="22"/>
          <w:szCs w:val="22"/>
        </w:rPr>
        <w:t> »</w:t>
      </w:r>
      <w:r w:rsidR="00231AE0" w:rsidRPr="00231AE0">
        <w:rPr>
          <w:rFonts w:ascii="Book Antiqua" w:hAnsi="Book Antiqua" w:cs="Arial"/>
          <w:sz w:val="22"/>
          <w:szCs w:val="22"/>
        </w:rPr>
        <w:t xml:space="preserve"> et les clients </w:t>
      </w:r>
      <w:r w:rsidR="00F43478">
        <w:rPr>
          <w:rFonts w:ascii="Book Antiqua" w:hAnsi="Book Antiqua" w:cs="Arial"/>
          <w:sz w:val="22"/>
          <w:szCs w:val="22"/>
        </w:rPr>
        <w:t>« </w:t>
      </w:r>
      <w:r w:rsidR="00231AE0" w:rsidRPr="00231AE0">
        <w:rPr>
          <w:rFonts w:ascii="Book Antiqua" w:hAnsi="Book Antiqua" w:cs="Arial"/>
          <w:sz w:val="22"/>
          <w:szCs w:val="22"/>
        </w:rPr>
        <w:t>personnes morales</w:t>
      </w:r>
      <w:r w:rsidR="00F43478">
        <w:rPr>
          <w:rFonts w:ascii="Book Antiqua" w:hAnsi="Book Antiqua" w:cs="Arial"/>
          <w:sz w:val="22"/>
          <w:szCs w:val="22"/>
        </w:rPr>
        <w:t> »</w:t>
      </w:r>
      <w:r w:rsidR="00231AE0" w:rsidRPr="00231AE0">
        <w:rPr>
          <w:rFonts w:ascii="Book Antiqua" w:hAnsi="Book Antiqua" w:cs="Arial"/>
          <w:sz w:val="22"/>
          <w:szCs w:val="22"/>
        </w:rPr>
        <w:t>.</w:t>
      </w:r>
    </w:p>
    <w:p w:rsidR="00231AE0" w:rsidRPr="00231AE0" w:rsidRDefault="00B114C2" w:rsidP="004539FF">
      <w:pPr>
        <w:widowControl w:val="0"/>
        <w:spacing w:before="240" w:after="240" w:line="276" w:lineRule="auto"/>
        <w:jc w:val="both"/>
        <w:rPr>
          <w:rFonts w:ascii="Book Antiqua" w:hAnsi="Book Antiqua" w:cs="Arial"/>
          <w:sz w:val="22"/>
          <w:szCs w:val="22"/>
        </w:rPr>
      </w:pPr>
      <w:r>
        <w:rPr>
          <w:rFonts w:ascii="Book Antiqua" w:hAnsi="Book Antiqua" w:cs="Arial"/>
          <w:sz w:val="22"/>
          <w:szCs w:val="22"/>
        </w:rPr>
        <w:t>S’agissant du volet « personnes morales »</w:t>
      </w:r>
      <w:r w:rsidR="00231AE0" w:rsidRPr="00231AE0">
        <w:rPr>
          <w:rFonts w:ascii="Book Antiqua" w:hAnsi="Book Antiqua" w:cs="Arial"/>
          <w:sz w:val="22"/>
          <w:szCs w:val="22"/>
        </w:rPr>
        <w:t>,</w:t>
      </w:r>
      <w:r w:rsidR="008C1474">
        <w:rPr>
          <w:rFonts w:ascii="Book Antiqua" w:hAnsi="Book Antiqua" w:cs="Arial"/>
          <w:sz w:val="22"/>
          <w:szCs w:val="22"/>
        </w:rPr>
        <w:t xml:space="preserve"> </w:t>
      </w:r>
      <w:r w:rsidR="006A2AB3">
        <w:rPr>
          <w:rFonts w:ascii="Book Antiqua" w:hAnsi="Book Antiqua" w:cs="Arial"/>
          <w:sz w:val="22"/>
          <w:szCs w:val="22"/>
        </w:rPr>
        <w:t>le fichier FICOB a été complété par</w:t>
      </w:r>
      <w:r w:rsidR="00231AE0" w:rsidRPr="00231AE0">
        <w:rPr>
          <w:rFonts w:ascii="Book Antiqua" w:hAnsi="Book Antiqua" w:cs="Arial"/>
          <w:sz w:val="22"/>
          <w:szCs w:val="22"/>
        </w:rPr>
        <w:t>la base de données du Centre Unique de Collecte de l’Information (CUCI) de l’Agence Nationale de la Statistique et de la Démographie (ANSD), celle de l’UNACOIS et des Chambres de Commerce et d’Industrie ainsi que celle relative aux inscriptions sur le programme d’éducation financière des PME</w:t>
      </w:r>
      <w:r w:rsidR="00CA0848">
        <w:rPr>
          <w:rFonts w:ascii="Book Antiqua" w:hAnsi="Book Antiqua" w:cs="Arial"/>
          <w:sz w:val="22"/>
          <w:szCs w:val="22"/>
        </w:rPr>
        <w:t xml:space="preserve"> de l’OQSF</w:t>
      </w:r>
      <w:r w:rsidR="00CA0848">
        <w:rPr>
          <w:rStyle w:val="Appelnotedebasdep"/>
          <w:rFonts w:ascii="Book Antiqua" w:hAnsi="Book Antiqua" w:cs="Arial"/>
          <w:sz w:val="22"/>
          <w:szCs w:val="22"/>
        </w:rPr>
        <w:footnoteReference w:id="8"/>
      </w:r>
      <w:r w:rsidR="00CA0848">
        <w:rPr>
          <w:rFonts w:ascii="Book Antiqua" w:hAnsi="Book Antiqua" w:cs="Arial"/>
          <w:sz w:val="22"/>
          <w:szCs w:val="22"/>
        </w:rPr>
        <w:t xml:space="preserve">. </w:t>
      </w:r>
    </w:p>
    <w:p w:rsidR="0049629A" w:rsidRDefault="00231AE0" w:rsidP="004539FF">
      <w:pPr>
        <w:widowControl w:val="0"/>
        <w:spacing w:before="240" w:after="240" w:line="276" w:lineRule="auto"/>
        <w:jc w:val="both"/>
        <w:rPr>
          <w:rFonts w:ascii="Book Antiqua" w:hAnsi="Book Antiqua" w:cs="Arial"/>
          <w:sz w:val="22"/>
          <w:szCs w:val="22"/>
        </w:rPr>
      </w:pPr>
      <w:r w:rsidRPr="00231AE0">
        <w:rPr>
          <w:rFonts w:ascii="Book Antiqua" w:hAnsi="Book Antiqua" w:cs="Arial"/>
          <w:sz w:val="22"/>
          <w:szCs w:val="22"/>
        </w:rPr>
        <w:t xml:space="preserve">Pour le volet « personnes physiques », l’échantillon </w:t>
      </w:r>
      <w:r w:rsidR="00131489">
        <w:rPr>
          <w:rFonts w:ascii="Book Antiqua" w:hAnsi="Book Antiqua" w:cs="Arial"/>
          <w:sz w:val="22"/>
          <w:szCs w:val="22"/>
        </w:rPr>
        <w:t>retenu est</w:t>
      </w:r>
      <w:r w:rsidR="00B86B5C">
        <w:rPr>
          <w:rFonts w:ascii="Book Antiqua" w:hAnsi="Book Antiqua" w:cs="Arial"/>
          <w:sz w:val="22"/>
          <w:szCs w:val="22"/>
        </w:rPr>
        <w:t xml:space="preserve"> principalement</w:t>
      </w:r>
      <w:r w:rsidR="00131489">
        <w:rPr>
          <w:rFonts w:ascii="Book Antiqua" w:hAnsi="Book Antiqua" w:cs="Arial"/>
          <w:sz w:val="22"/>
          <w:szCs w:val="22"/>
        </w:rPr>
        <w:t xml:space="preserve"> constitué </w:t>
      </w:r>
      <w:r w:rsidRPr="00231AE0">
        <w:rPr>
          <w:rFonts w:ascii="Book Antiqua" w:hAnsi="Book Antiqua" w:cs="Arial"/>
          <w:sz w:val="22"/>
          <w:szCs w:val="22"/>
        </w:rPr>
        <w:t>de clients</w:t>
      </w:r>
      <w:r w:rsidR="00131489">
        <w:rPr>
          <w:rFonts w:ascii="Book Antiqua" w:hAnsi="Book Antiqua" w:cs="Arial"/>
          <w:sz w:val="22"/>
          <w:szCs w:val="22"/>
        </w:rPr>
        <w:t xml:space="preserve"> de banques</w:t>
      </w:r>
      <w:r w:rsidRPr="00231AE0">
        <w:rPr>
          <w:rFonts w:ascii="Book Antiqua" w:hAnsi="Book Antiqua" w:cs="Arial"/>
          <w:sz w:val="22"/>
          <w:szCs w:val="22"/>
        </w:rPr>
        <w:t xml:space="preserve"> interrogés</w:t>
      </w:r>
      <w:r w:rsidR="00131489">
        <w:rPr>
          <w:rFonts w:ascii="Book Antiqua" w:hAnsi="Book Antiqua" w:cs="Arial"/>
          <w:sz w:val="22"/>
          <w:szCs w:val="22"/>
        </w:rPr>
        <w:t xml:space="preserve"> dans le cadre</w:t>
      </w:r>
      <w:r w:rsidR="008C1474">
        <w:rPr>
          <w:rFonts w:ascii="Book Antiqua" w:hAnsi="Book Antiqua" w:cs="Arial"/>
          <w:sz w:val="22"/>
          <w:szCs w:val="22"/>
        </w:rPr>
        <w:t xml:space="preserve"> </w:t>
      </w:r>
      <w:r w:rsidRPr="00231AE0">
        <w:rPr>
          <w:rFonts w:ascii="Book Antiqua" w:hAnsi="Book Antiqua" w:cs="Arial"/>
          <w:sz w:val="22"/>
          <w:szCs w:val="22"/>
        </w:rPr>
        <w:t>de l’ESUB-2010</w:t>
      </w:r>
      <w:r w:rsidR="00131489">
        <w:rPr>
          <w:rFonts w:ascii="Book Antiqua" w:hAnsi="Book Antiqua" w:cs="Arial"/>
          <w:sz w:val="22"/>
          <w:szCs w:val="22"/>
        </w:rPr>
        <w:t xml:space="preserve"> et de l’ESUA-2010. </w:t>
      </w:r>
      <w:r w:rsidR="00B66E1C" w:rsidRPr="0058283F">
        <w:rPr>
          <w:rFonts w:ascii="Book Antiqua" w:hAnsi="Book Antiqua" w:cs="Arial"/>
          <w:sz w:val="22"/>
          <w:szCs w:val="22"/>
        </w:rPr>
        <w:t xml:space="preserve">Pour des besoins de suivi de l’évolution du niveau de satisfaction des clients entre </w:t>
      </w:r>
      <w:r w:rsidR="004204AC" w:rsidRPr="00A93C60">
        <w:rPr>
          <w:rFonts w:ascii="Book Antiqua" w:hAnsi="Book Antiqua" w:cs="Arial"/>
          <w:sz w:val="22"/>
          <w:szCs w:val="22"/>
        </w:rPr>
        <w:t>l’ESUB-2010</w:t>
      </w:r>
      <w:r w:rsidR="00B66E1C" w:rsidRPr="0058283F">
        <w:rPr>
          <w:rFonts w:ascii="Book Antiqua" w:hAnsi="Book Antiqua" w:cs="Arial"/>
          <w:sz w:val="22"/>
          <w:szCs w:val="22"/>
        </w:rPr>
        <w:t xml:space="preserve"> et </w:t>
      </w:r>
      <w:r w:rsidR="00F04D52">
        <w:rPr>
          <w:rFonts w:ascii="Book Antiqua" w:hAnsi="Book Antiqua" w:cs="Arial"/>
          <w:sz w:val="22"/>
          <w:szCs w:val="22"/>
        </w:rPr>
        <w:t>l’ESUB-</w:t>
      </w:r>
      <w:r w:rsidR="00151130">
        <w:rPr>
          <w:rFonts w:ascii="Book Antiqua" w:hAnsi="Book Antiqua" w:cs="Arial"/>
          <w:sz w:val="22"/>
          <w:szCs w:val="22"/>
        </w:rPr>
        <w:t>2015/</w:t>
      </w:r>
      <w:r w:rsidR="00F04D52">
        <w:rPr>
          <w:rFonts w:ascii="Book Antiqua" w:hAnsi="Book Antiqua" w:cs="Arial"/>
          <w:sz w:val="22"/>
          <w:szCs w:val="22"/>
        </w:rPr>
        <w:t>2016</w:t>
      </w:r>
      <w:r w:rsidR="004204AC" w:rsidRPr="00A93C60">
        <w:rPr>
          <w:rFonts w:ascii="Book Antiqua" w:hAnsi="Book Antiqua" w:cs="Arial"/>
          <w:sz w:val="22"/>
          <w:szCs w:val="22"/>
        </w:rPr>
        <w:t xml:space="preserve"> </w:t>
      </w:r>
      <w:r w:rsidR="00B66E1C" w:rsidRPr="0058283F">
        <w:rPr>
          <w:rFonts w:ascii="Book Antiqua" w:hAnsi="Book Antiqua" w:cs="Arial"/>
          <w:sz w:val="22"/>
          <w:szCs w:val="22"/>
        </w:rPr>
        <w:t>il</w:t>
      </w:r>
      <w:r w:rsidR="004204AC" w:rsidRPr="00A93C60">
        <w:rPr>
          <w:rFonts w:ascii="Book Antiqua" w:hAnsi="Book Antiqua" w:cs="Arial"/>
          <w:sz w:val="22"/>
          <w:szCs w:val="22"/>
        </w:rPr>
        <w:t xml:space="preserve"> a été jugé nécessaire </w:t>
      </w:r>
      <w:r w:rsidR="00B66E1C" w:rsidRPr="0058283F">
        <w:rPr>
          <w:rFonts w:ascii="Book Antiqua" w:hAnsi="Book Antiqua" w:cs="Arial"/>
          <w:sz w:val="22"/>
          <w:szCs w:val="22"/>
        </w:rPr>
        <w:t xml:space="preserve">de </w:t>
      </w:r>
      <w:r w:rsidR="0058283F">
        <w:rPr>
          <w:rFonts w:ascii="Book Antiqua" w:hAnsi="Book Antiqua" w:cs="Arial"/>
          <w:sz w:val="22"/>
          <w:szCs w:val="22"/>
        </w:rPr>
        <w:t>constituer une cohorte en vue de recueillir leur perception sur la qualité des produits et services offerts par les banques.</w:t>
      </w:r>
    </w:p>
    <w:p w:rsidR="009260C9" w:rsidRDefault="00B53352" w:rsidP="00BA203C">
      <w:pPr>
        <w:tabs>
          <w:tab w:val="left" w:pos="-720"/>
        </w:tabs>
        <w:suppressAutoHyphens/>
        <w:spacing w:before="240" w:after="240" w:line="276" w:lineRule="auto"/>
        <w:ind w:firstLine="851"/>
        <w:jc w:val="both"/>
        <w:rPr>
          <w:rFonts w:ascii="Book Antiqua" w:hAnsi="Book Antiqua" w:cs="Arial"/>
          <w:b/>
          <w:sz w:val="22"/>
          <w:szCs w:val="22"/>
        </w:rPr>
      </w:pPr>
      <w:r>
        <w:rPr>
          <w:rFonts w:ascii="Book Antiqua" w:hAnsi="Book Antiqua" w:cs="Tahoma"/>
          <w:b/>
          <w:sz w:val="22"/>
          <w:szCs w:val="22"/>
        </w:rPr>
        <w:t xml:space="preserve">II.2.2.2. </w:t>
      </w:r>
      <w:r w:rsidR="00231AE0" w:rsidRPr="00231AE0">
        <w:rPr>
          <w:rFonts w:ascii="Book Antiqua" w:hAnsi="Book Antiqua" w:cs="Arial"/>
          <w:b/>
          <w:sz w:val="22"/>
          <w:szCs w:val="22"/>
        </w:rPr>
        <w:t>Méthode d’échantillonnage</w:t>
      </w:r>
    </w:p>
    <w:p w:rsidR="00231AE0" w:rsidRDefault="00231AE0" w:rsidP="004539FF">
      <w:pPr>
        <w:spacing w:line="276" w:lineRule="auto"/>
        <w:jc w:val="both"/>
        <w:rPr>
          <w:rFonts w:ascii="Book Antiqua" w:hAnsi="Book Antiqua" w:cs="Arial"/>
          <w:sz w:val="22"/>
          <w:szCs w:val="22"/>
        </w:rPr>
      </w:pPr>
      <w:r w:rsidRPr="00231AE0">
        <w:rPr>
          <w:rFonts w:ascii="Book Antiqua" w:hAnsi="Book Antiqua" w:cs="Arial"/>
          <w:sz w:val="22"/>
          <w:szCs w:val="22"/>
        </w:rPr>
        <w:t>Dans le souci de réduire l’erreur d’échantillonnage</w:t>
      </w:r>
      <w:r w:rsidR="000B62B6">
        <w:rPr>
          <w:rFonts w:ascii="Book Antiqua" w:hAnsi="Book Antiqua" w:cs="Arial"/>
          <w:sz w:val="22"/>
          <w:szCs w:val="22"/>
        </w:rPr>
        <w:t xml:space="preserve"> et de favoriser une meilleure répartition des cibles</w:t>
      </w:r>
      <w:r w:rsidR="00376C63">
        <w:rPr>
          <w:rFonts w:ascii="Book Antiqua" w:hAnsi="Book Antiqua" w:cs="Arial"/>
          <w:sz w:val="22"/>
          <w:szCs w:val="22"/>
        </w:rPr>
        <w:t xml:space="preserve"> </w:t>
      </w:r>
      <w:r w:rsidR="000B62B6">
        <w:rPr>
          <w:rFonts w:ascii="Book Antiqua" w:hAnsi="Book Antiqua" w:cs="Arial"/>
          <w:sz w:val="22"/>
          <w:szCs w:val="22"/>
        </w:rPr>
        <w:t>(</w:t>
      </w:r>
      <w:r w:rsidR="000B62B6" w:rsidRPr="00231AE0">
        <w:rPr>
          <w:rFonts w:ascii="Book Antiqua" w:hAnsi="Book Antiqua" w:cs="Arial"/>
          <w:sz w:val="22"/>
          <w:szCs w:val="22"/>
        </w:rPr>
        <w:t>personnes physiques et personnes morales</w:t>
      </w:r>
      <w:r w:rsidR="000B62B6">
        <w:rPr>
          <w:rFonts w:ascii="Book Antiqua" w:hAnsi="Book Antiqua" w:cs="Arial"/>
          <w:sz w:val="22"/>
          <w:szCs w:val="22"/>
        </w:rPr>
        <w:t>)</w:t>
      </w:r>
      <w:r w:rsidRPr="00231AE0">
        <w:rPr>
          <w:rFonts w:ascii="Book Antiqua" w:hAnsi="Book Antiqua" w:cs="Arial"/>
          <w:sz w:val="22"/>
          <w:szCs w:val="22"/>
        </w:rPr>
        <w:t xml:space="preserve">, la méthode de tirage </w:t>
      </w:r>
      <w:r w:rsidR="000B62B6">
        <w:rPr>
          <w:rFonts w:ascii="Book Antiqua" w:hAnsi="Book Antiqua" w:cs="Arial"/>
          <w:sz w:val="22"/>
          <w:szCs w:val="22"/>
        </w:rPr>
        <w:t xml:space="preserve">aléatoire </w:t>
      </w:r>
      <w:r w:rsidRPr="00231AE0">
        <w:rPr>
          <w:rFonts w:ascii="Book Antiqua" w:hAnsi="Book Antiqua" w:cs="Arial"/>
          <w:sz w:val="22"/>
          <w:szCs w:val="22"/>
        </w:rPr>
        <w:t>stratifiée à deux degrés</w:t>
      </w:r>
      <w:r w:rsidR="00376C63">
        <w:rPr>
          <w:rFonts w:ascii="Book Antiqua" w:hAnsi="Book Antiqua" w:cs="Arial"/>
          <w:sz w:val="22"/>
          <w:szCs w:val="22"/>
        </w:rPr>
        <w:t xml:space="preserve"> </w:t>
      </w:r>
      <w:r w:rsidR="001F2998">
        <w:rPr>
          <w:rFonts w:ascii="Book Antiqua" w:hAnsi="Book Antiqua" w:cs="Arial"/>
          <w:sz w:val="22"/>
          <w:szCs w:val="22"/>
        </w:rPr>
        <w:t>(</w:t>
      </w:r>
      <w:r w:rsidR="001F2998" w:rsidRPr="00231AE0">
        <w:rPr>
          <w:rFonts w:ascii="Book Antiqua" w:hAnsi="Book Antiqua" w:cs="Arial"/>
          <w:sz w:val="22"/>
          <w:szCs w:val="22"/>
        </w:rPr>
        <w:t>banque et région</w:t>
      </w:r>
      <w:r w:rsidR="001F2998">
        <w:rPr>
          <w:rFonts w:ascii="Book Antiqua" w:hAnsi="Book Antiqua" w:cs="Arial"/>
          <w:sz w:val="22"/>
          <w:szCs w:val="22"/>
        </w:rPr>
        <w:t>)</w:t>
      </w:r>
      <w:r w:rsidR="000B62B6">
        <w:rPr>
          <w:rFonts w:ascii="Book Antiqua" w:hAnsi="Book Antiqua" w:cs="Arial"/>
          <w:sz w:val="22"/>
          <w:szCs w:val="22"/>
        </w:rPr>
        <w:t xml:space="preserve"> a été privilégiée. </w:t>
      </w:r>
      <w:r w:rsidR="00DB1F88">
        <w:rPr>
          <w:rFonts w:ascii="Book Antiqua" w:hAnsi="Book Antiqua" w:cs="Arial"/>
          <w:sz w:val="22"/>
          <w:szCs w:val="22"/>
        </w:rPr>
        <w:t> </w:t>
      </w:r>
    </w:p>
    <w:p w:rsidR="00376C63" w:rsidRPr="00231AE0" w:rsidRDefault="00376C63" w:rsidP="004539FF">
      <w:pPr>
        <w:spacing w:line="276" w:lineRule="auto"/>
        <w:jc w:val="both"/>
        <w:rPr>
          <w:rFonts w:ascii="Book Antiqua" w:hAnsi="Book Antiqua" w:cs="Arial"/>
          <w:sz w:val="22"/>
          <w:szCs w:val="22"/>
        </w:rPr>
      </w:pPr>
    </w:p>
    <w:p w:rsidR="00231AE0" w:rsidRPr="00231AE0" w:rsidRDefault="00E00DBA" w:rsidP="004539FF">
      <w:pPr>
        <w:widowControl w:val="0"/>
        <w:spacing w:line="276" w:lineRule="auto"/>
        <w:jc w:val="both"/>
        <w:rPr>
          <w:rFonts w:ascii="Book Antiqua" w:hAnsi="Book Antiqua" w:cs="Arial"/>
          <w:sz w:val="22"/>
          <w:szCs w:val="22"/>
        </w:rPr>
      </w:pPr>
      <w:r>
        <w:rPr>
          <w:rFonts w:ascii="Book Antiqua" w:hAnsi="Book Antiqua" w:cs="Arial"/>
          <w:sz w:val="22"/>
          <w:szCs w:val="22"/>
        </w:rPr>
        <w:t>P</w:t>
      </w:r>
      <w:r w:rsidR="00231AE0" w:rsidRPr="00231AE0">
        <w:rPr>
          <w:rFonts w:ascii="Book Antiqua" w:hAnsi="Book Antiqua" w:cs="Arial"/>
          <w:sz w:val="22"/>
          <w:szCs w:val="22"/>
        </w:rPr>
        <w:t>our le volet « clients pers</w:t>
      </w:r>
      <w:r w:rsidR="00376C63">
        <w:rPr>
          <w:rFonts w:ascii="Book Antiqua" w:hAnsi="Book Antiqua" w:cs="Arial"/>
          <w:sz w:val="22"/>
          <w:szCs w:val="22"/>
        </w:rPr>
        <w:t>onnes physiques »</w:t>
      </w:r>
      <w:r w:rsidR="00231AE0" w:rsidRPr="00231AE0">
        <w:rPr>
          <w:rFonts w:ascii="Book Antiqua" w:hAnsi="Book Antiqua" w:cs="Arial"/>
          <w:sz w:val="22"/>
          <w:szCs w:val="22"/>
        </w:rPr>
        <w:t xml:space="preserve">, </w:t>
      </w:r>
      <w:r w:rsidR="00231AE0" w:rsidRPr="00231AE0">
        <w:rPr>
          <w:rFonts w:ascii="Book Antiqua" w:hAnsi="Book Antiqua" w:cs="Arial"/>
          <w:sz w:val="22"/>
          <w:szCs w:val="22"/>
          <w:lang w:eastAsia="en-US"/>
        </w:rPr>
        <w:t xml:space="preserve">l’échantillon </w:t>
      </w:r>
      <w:r w:rsidR="001F2998">
        <w:rPr>
          <w:rFonts w:ascii="Book Antiqua" w:hAnsi="Book Antiqua" w:cs="Arial"/>
          <w:sz w:val="22"/>
          <w:szCs w:val="22"/>
          <w:lang w:eastAsia="en-US"/>
        </w:rPr>
        <w:t xml:space="preserve">global </w:t>
      </w:r>
      <w:r w:rsidR="001046D5">
        <w:rPr>
          <w:rFonts w:ascii="Book Antiqua" w:hAnsi="Book Antiqua" w:cs="Arial"/>
          <w:sz w:val="22"/>
          <w:szCs w:val="22"/>
          <w:lang w:eastAsia="en-US"/>
        </w:rPr>
        <w:t>est</w:t>
      </w:r>
      <w:r w:rsidR="00376C63">
        <w:rPr>
          <w:rFonts w:ascii="Book Antiqua" w:hAnsi="Book Antiqua" w:cs="Arial"/>
          <w:sz w:val="22"/>
          <w:szCs w:val="22"/>
          <w:lang w:eastAsia="en-US"/>
        </w:rPr>
        <w:t xml:space="preserve"> </w:t>
      </w:r>
      <w:r w:rsidR="00231AE0" w:rsidRPr="00231AE0">
        <w:rPr>
          <w:rFonts w:ascii="Book Antiqua" w:hAnsi="Book Antiqua" w:cs="Arial"/>
          <w:sz w:val="22"/>
          <w:szCs w:val="22"/>
          <w:lang w:eastAsia="en-US"/>
        </w:rPr>
        <w:t xml:space="preserve">composé de 3 000 clients répartis suivant </w:t>
      </w:r>
      <w:r w:rsidR="00231AE0" w:rsidRPr="00231AE0">
        <w:rPr>
          <w:rFonts w:ascii="Book Antiqua" w:hAnsi="Book Antiqua" w:cs="Arial"/>
          <w:sz w:val="22"/>
          <w:szCs w:val="22"/>
        </w:rPr>
        <w:t xml:space="preserve">leur banque d’appartenance et leur zone d’habitation. </w:t>
      </w:r>
      <w:r w:rsidR="001046D5">
        <w:rPr>
          <w:rFonts w:ascii="Book Antiqua" w:hAnsi="Book Antiqua" w:cs="Arial"/>
          <w:sz w:val="22"/>
          <w:szCs w:val="22"/>
        </w:rPr>
        <w:t xml:space="preserve">La </w:t>
      </w:r>
      <w:r w:rsidR="00231AE0" w:rsidRPr="00231AE0">
        <w:rPr>
          <w:rFonts w:ascii="Book Antiqua" w:hAnsi="Book Antiqua" w:cs="Arial"/>
          <w:sz w:val="22"/>
          <w:szCs w:val="22"/>
        </w:rPr>
        <w:t xml:space="preserve">stratification </w:t>
      </w:r>
      <w:r w:rsidR="00DB1F88">
        <w:rPr>
          <w:rFonts w:ascii="Book Antiqua" w:hAnsi="Book Antiqua" w:cs="Arial"/>
          <w:sz w:val="22"/>
          <w:szCs w:val="22"/>
        </w:rPr>
        <w:t>suivant</w:t>
      </w:r>
      <w:r w:rsidR="001046D5">
        <w:rPr>
          <w:rFonts w:ascii="Book Antiqua" w:hAnsi="Book Antiqua" w:cs="Arial"/>
          <w:sz w:val="22"/>
          <w:szCs w:val="22"/>
        </w:rPr>
        <w:t xml:space="preserve"> la </w:t>
      </w:r>
      <w:r w:rsidR="00231AE0" w:rsidRPr="00231AE0">
        <w:rPr>
          <w:rFonts w:ascii="Book Antiqua" w:hAnsi="Book Antiqua" w:cs="Arial"/>
          <w:sz w:val="22"/>
          <w:szCs w:val="22"/>
        </w:rPr>
        <w:t xml:space="preserve">banque d’appartenance se fera </w:t>
      </w:r>
      <w:r w:rsidR="001046D5">
        <w:rPr>
          <w:rFonts w:ascii="Book Antiqua" w:hAnsi="Book Antiqua" w:cs="Arial"/>
          <w:sz w:val="22"/>
          <w:szCs w:val="22"/>
        </w:rPr>
        <w:t xml:space="preserve">sur la base de </w:t>
      </w:r>
      <w:r w:rsidR="00231AE0" w:rsidRPr="00231AE0">
        <w:rPr>
          <w:rFonts w:ascii="Book Antiqua" w:hAnsi="Book Antiqua" w:cs="Arial"/>
          <w:sz w:val="22"/>
          <w:szCs w:val="22"/>
        </w:rPr>
        <w:t xml:space="preserve">la distribution du FICOB (population « mère ») telle que présentée au tableau 1. </w:t>
      </w:r>
      <w:r w:rsidR="006804C0">
        <w:rPr>
          <w:rFonts w:ascii="Book Antiqua" w:hAnsi="Book Antiqua" w:cs="Arial"/>
          <w:sz w:val="22"/>
          <w:szCs w:val="22"/>
        </w:rPr>
        <w:t xml:space="preserve">Le </w:t>
      </w:r>
      <w:r w:rsidR="00231AE0" w:rsidRPr="00231AE0">
        <w:rPr>
          <w:rFonts w:ascii="Book Antiqua" w:hAnsi="Book Antiqua" w:cs="Arial"/>
          <w:sz w:val="22"/>
          <w:szCs w:val="22"/>
        </w:rPr>
        <w:t xml:space="preserve">nombre total de clients à interroger par banque </w:t>
      </w:r>
      <w:r w:rsidR="006804C0">
        <w:rPr>
          <w:rFonts w:ascii="Book Antiqua" w:hAnsi="Book Antiqua" w:cs="Arial"/>
          <w:sz w:val="22"/>
          <w:szCs w:val="22"/>
        </w:rPr>
        <w:t xml:space="preserve"> a été </w:t>
      </w:r>
      <w:r w:rsidR="00231AE0" w:rsidRPr="00231AE0">
        <w:rPr>
          <w:rFonts w:ascii="Book Antiqua" w:hAnsi="Book Antiqua" w:cs="Arial"/>
          <w:sz w:val="22"/>
          <w:szCs w:val="22"/>
        </w:rPr>
        <w:t xml:space="preserve">relevé </w:t>
      </w:r>
      <w:r w:rsidR="006804C0">
        <w:rPr>
          <w:rFonts w:ascii="Book Antiqua" w:hAnsi="Book Antiqua" w:cs="Arial"/>
          <w:sz w:val="22"/>
          <w:szCs w:val="22"/>
        </w:rPr>
        <w:t xml:space="preserve">pour les </w:t>
      </w:r>
      <w:r w:rsidR="00231AE0" w:rsidRPr="00231AE0">
        <w:rPr>
          <w:rFonts w:ascii="Book Antiqua" w:hAnsi="Book Antiqua" w:cs="Arial"/>
          <w:sz w:val="22"/>
          <w:szCs w:val="22"/>
        </w:rPr>
        <w:t>banques</w:t>
      </w:r>
      <w:r w:rsidR="006804C0">
        <w:rPr>
          <w:rFonts w:ascii="Book Antiqua" w:hAnsi="Book Antiqua" w:cs="Arial"/>
          <w:sz w:val="22"/>
          <w:szCs w:val="22"/>
        </w:rPr>
        <w:t xml:space="preserve"> dont le quota a été jugé faible. </w:t>
      </w:r>
    </w:p>
    <w:p w:rsidR="00207D4E" w:rsidRPr="00231AE0" w:rsidRDefault="00207D4E" w:rsidP="00231AE0">
      <w:pPr>
        <w:widowControl w:val="0"/>
        <w:spacing w:line="312" w:lineRule="auto"/>
        <w:jc w:val="both"/>
        <w:rPr>
          <w:rFonts w:ascii="Book Antiqua" w:hAnsi="Book Antiqua" w:cs="Arial"/>
          <w:sz w:val="22"/>
          <w:szCs w:val="22"/>
        </w:rPr>
      </w:pPr>
    </w:p>
    <w:p w:rsidR="004539FF" w:rsidRDefault="004539FF">
      <w:pPr>
        <w:spacing w:after="200" w:line="276" w:lineRule="auto"/>
        <w:rPr>
          <w:b/>
          <w:bCs/>
          <w:sz w:val="18"/>
          <w:szCs w:val="18"/>
        </w:rPr>
      </w:pPr>
      <w:bookmarkStart w:id="10" w:name="_Toc523318879"/>
      <w:r>
        <w:rPr>
          <w:b/>
          <w:bCs/>
          <w:sz w:val="18"/>
          <w:szCs w:val="18"/>
        </w:rPr>
        <w:br w:type="page"/>
      </w:r>
    </w:p>
    <w:p w:rsidR="00231AE0" w:rsidRPr="00231AE0" w:rsidRDefault="00231AE0" w:rsidP="00231AE0">
      <w:pPr>
        <w:keepNext/>
        <w:spacing w:after="200"/>
        <w:jc w:val="center"/>
        <w:rPr>
          <w:b/>
          <w:bCs/>
          <w:sz w:val="18"/>
          <w:szCs w:val="18"/>
        </w:rPr>
      </w:pPr>
      <w:r w:rsidRPr="00231AE0">
        <w:rPr>
          <w:b/>
          <w:bCs/>
          <w:sz w:val="18"/>
          <w:szCs w:val="18"/>
        </w:rPr>
        <w:lastRenderedPageBreak/>
        <w:t xml:space="preserve">Tableau </w:t>
      </w:r>
      <w:r w:rsidR="000D65F2" w:rsidRPr="00231AE0">
        <w:rPr>
          <w:bCs/>
          <w:sz w:val="18"/>
          <w:szCs w:val="18"/>
        </w:rPr>
        <w:fldChar w:fldCharType="begin"/>
      </w:r>
      <w:r w:rsidRPr="00231AE0">
        <w:rPr>
          <w:b/>
          <w:bCs/>
          <w:sz w:val="18"/>
          <w:szCs w:val="18"/>
        </w:rPr>
        <w:instrText xml:space="preserve"> SEQ Tableau \* ARABIC </w:instrText>
      </w:r>
      <w:r w:rsidR="000D65F2" w:rsidRPr="00231AE0">
        <w:rPr>
          <w:bCs/>
          <w:sz w:val="18"/>
          <w:szCs w:val="18"/>
        </w:rPr>
        <w:fldChar w:fldCharType="separate"/>
      </w:r>
      <w:r w:rsidR="005749DF">
        <w:rPr>
          <w:b/>
          <w:bCs/>
          <w:noProof/>
          <w:sz w:val="18"/>
          <w:szCs w:val="18"/>
        </w:rPr>
        <w:t>1</w:t>
      </w:r>
      <w:r w:rsidR="000D65F2" w:rsidRPr="00231AE0">
        <w:rPr>
          <w:bCs/>
          <w:sz w:val="18"/>
          <w:szCs w:val="18"/>
        </w:rPr>
        <w:fldChar w:fldCharType="end"/>
      </w:r>
      <w:r w:rsidRPr="00231AE0">
        <w:rPr>
          <w:b/>
          <w:bCs/>
          <w:sz w:val="18"/>
          <w:szCs w:val="18"/>
        </w:rPr>
        <w:t>: Répartition de l'échantillon</w:t>
      </w:r>
      <w:r w:rsidR="000B62B6">
        <w:rPr>
          <w:b/>
          <w:bCs/>
          <w:sz w:val="18"/>
          <w:szCs w:val="18"/>
        </w:rPr>
        <w:t xml:space="preserve"> ciblé</w:t>
      </w:r>
      <w:r w:rsidRPr="00231AE0">
        <w:rPr>
          <w:b/>
          <w:bCs/>
          <w:sz w:val="18"/>
          <w:szCs w:val="18"/>
        </w:rPr>
        <w:t xml:space="preserve"> suivant les banques</w:t>
      </w:r>
      <w:bookmarkEnd w:id="10"/>
    </w:p>
    <w:tbl>
      <w:tblPr>
        <w:tblW w:w="6242" w:type="dxa"/>
        <w:jc w:val="center"/>
        <w:tblCellMar>
          <w:left w:w="70" w:type="dxa"/>
          <w:right w:w="70" w:type="dxa"/>
        </w:tblCellMar>
        <w:tblLook w:val="04A0"/>
      </w:tblPr>
      <w:tblGrid>
        <w:gridCol w:w="1960"/>
        <w:gridCol w:w="1200"/>
        <w:gridCol w:w="1800"/>
        <w:gridCol w:w="1327"/>
      </w:tblGrid>
      <w:tr w:rsidR="00231AE0" w:rsidRPr="00231AE0" w:rsidTr="00376C63">
        <w:trPr>
          <w:trHeight w:val="338"/>
          <w:tblHeader/>
          <w:jc w:val="center"/>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r w:rsidRPr="00231AE0">
              <w:t> </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rsidR="00231AE0" w:rsidRPr="00231AE0" w:rsidRDefault="00376C63" w:rsidP="00376C63">
            <w:pPr>
              <w:jc w:val="center"/>
              <w:rPr>
                <w:b/>
                <w:bCs/>
              </w:rPr>
            </w:pPr>
            <w:r w:rsidRPr="00231AE0">
              <w:rPr>
                <w:b/>
                <w:bCs/>
              </w:rPr>
              <w:t>FICOB</w:t>
            </w:r>
          </w:p>
        </w:tc>
        <w:tc>
          <w:tcPr>
            <w:tcW w:w="1800" w:type="dxa"/>
            <w:tcBorders>
              <w:top w:val="single" w:sz="4" w:space="0" w:color="auto"/>
              <w:left w:val="nil"/>
              <w:bottom w:val="single" w:sz="4" w:space="0" w:color="auto"/>
              <w:right w:val="single" w:sz="4" w:space="0" w:color="auto"/>
            </w:tcBorders>
            <w:shd w:val="clear" w:color="000000" w:fill="D9D9D9"/>
            <w:noWrap/>
            <w:vAlign w:val="center"/>
            <w:hideMark/>
          </w:tcPr>
          <w:p w:rsidR="00231AE0" w:rsidRPr="00231AE0" w:rsidRDefault="00376C63" w:rsidP="00F02705">
            <w:pPr>
              <w:rPr>
                <w:b/>
                <w:bCs/>
              </w:rPr>
            </w:pPr>
            <w:r w:rsidRPr="00231AE0">
              <w:rPr>
                <w:b/>
                <w:bCs/>
              </w:rPr>
              <w:t>Pourcentage</w:t>
            </w:r>
          </w:p>
        </w:tc>
        <w:tc>
          <w:tcPr>
            <w:tcW w:w="1282" w:type="dxa"/>
            <w:tcBorders>
              <w:top w:val="single" w:sz="4" w:space="0" w:color="auto"/>
              <w:left w:val="nil"/>
              <w:bottom w:val="single" w:sz="4" w:space="0" w:color="auto"/>
              <w:right w:val="single" w:sz="4" w:space="0" w:color="auto"/>
            </w:tcBorders>
            <w:shd w:val="clear" w:color="000000" w:fill="D9D9D9"/>
            <w:vAlign w:val="center"/>
            <w:hideMark/>
          </w:tcPr>
          <w:p w:rsidR="00231AE0" w:rsidRPr="00231AE0" w:rsidRDefault="00376C63" w:rsidP="00F02705">
            <w:pPr>
              <w:rPr>
                <w:b/>
                <w:bCs/>
              </w:rPr>
            </w:pPr>
            <w:r w:rsidRPr="00231AE0">
              <w:rPr>
                <w:b/>
                <w:bCs/>
              </w:rPr>
              <w:t xml:space="preserve">Echantillon </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BA</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34 088</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2,86%</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75</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BHS</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93 700</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7,86%</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206</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BICIS</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123 570</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10,36%</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272</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BIMAO</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508</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0,04%</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506510">
              <w:rPr>
                <w:sz w:val="16"/>
              </w:rPr>
              <w:t>50</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BIS</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15 519</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1,30%</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34</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BNDE</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0</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0,00%</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50</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BOA</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100 530</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8,43%</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221</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BRM</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92</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0,01%</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50</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BSIC</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17 317</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1,45%</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38</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CBAO</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220 476</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F464A9" w:rsidRDefault="004204AC" w:rsidP="00376C63">
            <w:pPr>
              <w:jc w:val="center"/>
              <w:rPr>
                <w:sz w:val="16"/>
              </w:rPr>
            </w:pPr>
            <w:r w:rsidRPr="00F464A9">
              <w:rPr>
                <w:sz w:val="16"/>
              </w:rPr>
              <w:t>18,49%</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484</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CDS</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20 441</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F464A9" w:rsidRDefault="00231AE0" w:rsidP="00376C63">
            <w:pPr>
              <w:jc w:val="center"/>
              <w:rPr>
                <w:sz w:val="16"/>
              </w:rPr>
            </w:pPr>
            <w:r w:rsidRPr="00F464A9">
              <w:rPr>
                <w:sz w:val="16"/>
              </w:rPr>
              <w:t>1,71%</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45</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CI</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794</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F464A9" w:rsidRDefault="00231AE0" w:rsidP="00376C63">
            <w:pPr>
              <w:jc w:val="center"/>
              <w:rPr>
                <w:sz w:val="16"/>
              </w:rPr>
            </w:pPr>
            <w:r w:rsidRPr="00F464A9">
              <w:rPr>
                <w:sz w:val="16"/>
              </w:rPr>
              <w:t>0,07%</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50</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CITIBANK</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137</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F464A9" w:rsidRDefault="00231AE0" w:rsidP="00376C63">
            <w:pPr>
              <w:jc w:val="center"/>
              <w:rPr>
                <w:sz w:val="16"/>
              </w:rPr>
            </w:pPr>
            <w:r w:rsidRPr="00F464A9">
              <w:rPr>
                <w:sz w:val="16"/>
              </w:rPr>
              <w:t>0,01%</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50</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CNCAS</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105 548</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F464A9" w:rsidRDefault="004204AC" w:rsidP="00376C63">
            <w:pPr>
              <w:jc w:val="center"/>
              <w:rPr>
                <w:sz w:val="16"/>
              </w:rPr>
            </w:pPr>
            <w:r w:rsidRPr="00F464A9">
              <w:rPr>
                <w:sz w:val="16"/>
              </w:rPr>
              <w:t>8,85%</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232</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DIAMOND</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2 009</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F464A9" w:rsidRDefault="00231AE0" w:rsidP="00376C63">
            <w:pPr>
              <w:jc w:val="center"/>
              <w:rPr>
                <w:sz w:val="16"/>
              </w:rPr>
            </w:pPr>
            <w:r w:rsidRPr="00F464A9">
              <w:rPr>
                <w:sz w:val="16"/>
              </w:rPr>
              <w:t>0,17%</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50</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ECOBANK</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241 449</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F464A9" w:rsidRDefault="004204AC" w:rsidP="00376C63">
            <w:pPr>
              <w:jc w:val="center"/>
              <w:rPr>
                <w:sz w:val="16"/>
              </w:rPr>
            </w:pPr>
            <w:r w:rsidRPr="00F464A9">
              <w:rPr>
                <w:sz w:val="16"/>
              </w:rPr>
              <w:t>20,25%</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531</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ORABANK</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21 278</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F464A9" w:rsidRDefault="00231AE0" w:rsidP="00376C63">
            <w:pPr>
              <w:jc w:val="center"/>
              <w:rPr>
                <w:sz w:val="16"/>
              </w:rPr>
            </w:pPr>
            <w:r w:rsidRPr="00F464A9">
              <w:rPr>
                <w:sz w:val="16"/>
              </w:rPr>
              <w:t>1,78%</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47</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ICB</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3 321</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F464A9" w:rsidRDefault="00231AE0" w:rsidP="00376C63">
            <w:pPr>
              <w:jc w:val="center"/>
              <w:rPr>
                <w:sz w:val="16"/>
              </w:rPr>
            </w:pPr>
            <w:r w:rsidRPr="00F464A9">
              <w:rPr>
                <w:sz w:val="16"/>
              </w:rPr>
              <w:t>0,28%</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50</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SGBS</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189 248</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F464A9" w:rsidRDefault="004204AC" w:rsidP="00376C63">
            <w:pPr>
              <w:jc w:val="center"/>
              <w:rPr>
                <w:sz w:val="16"/>
              </w:rPr>
            </w:pPr>
            <w:r w:rsidRPr="00F464A9">
              <w:rPr>
                <w:sz w:val="16"/>
              </w:rPr>
              <w:t>15,87%</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416</w:t>
            </w:r>
          </w:p>
        </w:tc>
      </w:tr>
      <w:tr w:rsidR="00231AE0" w:rsidRPr="00231AE0" w:rsidTr="00376C63">
        <w:trPr>
          <w:trHeight w:hRule="exact" w:val="227"/>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rPr>
                <w:sz w:val="16"/>
              </w:rPr>
            </w:pPr>
            <w:r w:rsidRPr="00231AE0">
              <w:rPr>
                <w:sz w:val="16"/>
              </w:rPr>
              <w:t xml:space="preserve"> UBA</w:t>
            </w:r>
          </w:p>
        </w:tc>
        <w:tc>
          <w:tcPr>
            <w:tcW w:w="1200"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2 289</w:t>
            </w:r>
          </w:p>
        </w:tc>
        <w:tc>
          <w:tcPr>
            <w:tcW w:w="1800" w:type="dxa"/>
            <w:tcBorders>
              <w:top w:val="nil"/>
              <w:left w:val="nil"/>
              <w:bottom w:val="single" w:sz="4" w:space="0" w:color="auto"/>
              <w:right w:val="single" w:sz="4" w:space="0" w:color="auto"/>
            </w:tcBorders>
            <w:shd w:val="clear" w:color="auto" w:fill="auto"/>
            <w:noWrap/>
            <w:vAlign w:val="center"/>
            <w:hideMark/>
          </w:tcPr>
          <w:p w:rsidR="00231AE0" w:rsidRPr="00F464A9" w:rsidRDefault="00231AE0" w:rsidP="00376C63">
            <w:pPr>
              <w:jc w:val="center"/>
              <w:rPr>
                <w:sz w:val="16"/>
              </w:rPr>
            </w:pPr>
            <w:r w:rsidRPr="00F464A9">
              <w:rPr>
                <w:sz w:val="16"/>
              </w:rPr>
              <w:t>0,19%</w:t>
            </w:r>
          </w:p>
        </w:tc>
        <w:tc>
          <w:tcPr>
            <w:tcW w:w="1282" w:type="dxa"/>
            <w:tcBorders>
              <w:top w:val="nil"/>
              <w:left w:val="nil"/>
              <w:bottom w:val="single" w:sz="4" w:space="0" w:color="auto"/>
              <w:right w:val="single" w:sz="4" w:space="0" w:color="auto"/>
            </w:tcBorders>
            <w:shd w:val="clear" w:color="auto" w:fill="auto"/>
            <w:noWrap/>
            <w:vAlign w:val="center"/>
            <w:hideMark/>
          </w:tcPr>
          <w:p w:rsidR="00231AE0" w:rsidRPr="00231AE0" w:rsidRDefault="00231AE0" w:rsidP="00376C63">
            <w:pPr>
              <w:jc w:val="center"/>
              <w:rPr>
                <w:sz w:val="16"/>
              </w:rPr>
            </w:pPr>
            <w:r w:rsidRPr="00231AE0">
              <w:rPr>
                <w:sz w:val="16"/>
              </w:rPr>
              <w:t>50</w:t>
            </w:r>
          </w:p>
        </w:tc>
      </w:tr>
      <w:tr w:rsidR="00231AE0" w:rsidRPr="00231AE0" w:rsidTr="00376C63">
        <w:trPr>
          <w:trHeight w:val="45"/>
          <w:jc w:val="center"/>
        </w:trPr>
        <w:tc>
          <w:tcPr>
            <w:tcW w:w="62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AE0" w:rsidRPr="00231AE0" w:rsidRDefault="00231AE0" w:rsidP="00F02705">
            <w:pPr>
              <w:jc w:val="right"/>
              <w:rPr>
                <w:sz w:val="2"/>
              </w:rPr>
            </w:pPr>
          </w:p>
        </w:tc>
      </w:tr>
      <w:tr w:rsidR="00231AE0" w:rsidRPr="00231AE0" w:rsidTr="00376C63">
        <w:trPr>
          <w:trHeight w:val="223"/>
          <w:jc w:val="center"/>
        </w:trPr>
        <w:tc>
          <w:tcPr>
            <w:tcW w:w="1960" w:type="dxa"/>
            <w:tcBorders>
              <w:top w:val="nil"/>
              <w:left w:val="single" w:sz="4" w:space="0" w:color="auto"/>
              <w:bottom w:val="single" w:sz="4" w:space="0" w:color="auto"/>
              <w:right w:val="single" w:sz="4" w:space="0" w:color="auto"/>
            </w:tcBorders>
            <w:shd w:val="clear" w:color="000000" w:fill="D9D9D9"/>
            <w:noWrap/>
            <w:vAlign w:val="center"/>
            <w:hideMark/>
          </w:tcPr>
          <w:p w:rsidR="00231AE0" w:rsidRPr="00231AE0" w:rsidRDefault="00231AE0" w:rsidP="00F02705">
            <w:pPr>
              <w:rPr>
                <w:b/>
                <w:bCs/>
              </w:rPr>
            </w:pPr>
            <w:r w:rsidRPr="00231AE0">
              <w:rPr>
                <w:b/>
                <w:bCs/>
              </w:rPr>
              <w:t>TOTAL</w:t>
            </w:r>
          </w:p>
        </w:tc>
        <w:tc>
          <w:tcPr>
            <w:tcW w:w="1200" w:type="dxa"/>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F02705">
            <w:pPr>
              <w:jc w:val="right"/>
              <w:rPr>
                <w:b/>
                <w:bCs/>
              </w:rPr>
            </w:pPr>
            <w:r w:rsidRPr="00231AE0">
              <w:rPr>
                <w:b/>
                <w:bCs/>
              </w:rPr>
              <w:t>1 192 314</w:t>
            </w:r>
          </w:p>
        </w:tc>
        <w:tc>
          <w:tcPr>
            <w:tcW w:w="1800" w:type="dxa"/>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F02705">
            <w:pPr>
              <w:jc w:val="right"/>
              <w:rPr>
                <w:b/>
                <w:bCs/>
              </w:rPr>
            </w:pPr>
            <w:r w:rsidRPr="00231AE0">
              <w:rPr>
                <w:b/>
                <w:bCs/>
              </w:rPr>
              <w:t>100%</w:t>
            </w:r>
          </w:p>
        </w:tc>
        <w:tc>
          <w:tcPr>
            <w:tcW w:w="1282" w:type="dxa"/>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F02705">
            <w:pPr>
              <w:jc w:val="right"/>
              <w:rPr>
                <w:b/>
                <w:bCs/>
              </w:rPr>
            </w:pPr>
            <w:r w:rsidRPr="00231AE0">
              <w:rPr>
                <w:b/>
                <w:bCs/>
              </w:rPr>
              <w:t>3 000</w:t>
            </w:r>
          </w:p>
        </w:tc>
      </w:tr>
    </w:tbl>
    <w:p w:rsidR="00231AE0" w:rsidRPr="00753A12" w:rsidRDefault="00231AE0" w:rsidP="00753A12">
      <w:pPr>
        <w:spacing w:after="200"/>
        <w:jc w:val="center"/>
        <w:rPr>
          <w:rFonts w:ascii="Book Antiqua" w:hAnsi="Book Antiqua" w:cs="Arial"/>
          <w:b/>
          <w:bCs/>
          <w:sz w:val="20"/>
          <w:szCs w:val="22"/>
        </w:rPr>
      </w:pPr>
      <w:r w:rsidRPr="00231AE0">
        <w:rPr>
          <w:b/>
          <w:bCs/>
          <w:sz w:val="16"/>
          <w:szCs w:val="18"/>
        </w:rPr>
        <w:t>Source: Rapport de la Commission bancaire 2013</w:t>
      </w:r>
    </w:p>
    <w:p w:rsidR="00231AE0" w:rsidRPr="00231AE0" w:rsidRDefault="00231AE0" w:rsidP="004539FF">
      <w:pPr>
        <w:widowControl w:val="0"/>
        <w:spacing w:before="240" w:line="276" w:lineRule="auto"/>
        <w:jc w:val="both"/>
        <w:rPr>
          <w:rFonts w:ascii="Book Antiqua" w:hAnsi="Book Antiqua" w:cs="Arial"/>
          <w:sz w:val="22"/>
          <w:szCs w:val="22"/>
        </w:rPr>
      </w:pPr>
      <w:r w:rsidRPr="00231AE0">
        <w:rPr>
          <w:rFonts w:ascii="Book Antiqua" w:hAnsi="Book Antiqua" w:cs="Arial"/>
          <w:sz w:val="22"/>
          <w:szCs w:val="22"/>
        </w:rPr>
        <w:t xml:space="preserve">A défaut de disposer de la répartition du FICOB suivant les régions, la stratification de cet échantillon suivant le critère </w:t>
      </w:r>
      <w:r w:rsidR="00142EEB">
        <w:rPr>
          <w:rFonts w:ascii="Book Antiqua" w:hAnsi="Book Antiqua" w:cs="Arial"/>
          <w:sz w:val="22"/>
          <w:szCs w:val="22"/>
        </w:rPr>
        <w:t xml:space="preserve">géographique </w:t>
      </w:r>
      <w:r w:rsidR="00363260">
        <w:rPr>
          <w:rFonts w:ascii="Book Antiqua" w:hAnsi="Book Antiqua" w:cs="Arial"/>
          <w:sz w:val="22"/>
          <w:szCs w:val="22"/>
        </w:rPr>
        <w:t xml:space="preserve">est faite </w:t>
      </w:r>
      <w:r w:rsidRPr="00231AE0">
        <w:rPr>
          <w:rFonts w:ascii="Book Antiqua" w:hAnsi="Book Antiqua" w:cs="Arial"/>
          <w:sz w:val="22"/>
          <w:szCs w:val="22"/>
        </w:rPr>
        <w:t xml:space="preserve">en utilisant comme </w:t>
      </w:r>
      <w:r w:rsidR="00142EEB">
        <w:rPr>
          <w:rFonts w:ascii="Book Antiqua" w:hAnsi="Book Antiqua" w:cs="Arial"/>
          <w:sz w:val="22"/>
          <w:szCs w:val="22"/>
        </w:rPr>
        <w:t>« </w:t>
      </w:r>
      <w:r w:rsidRPr="00231AE0">
        <w:rPr>
          <w:rFonts w:ascii="Book Antiqua" w:hAnsi="Book Antiqua" w:cs="Arial"/>
          <w:sz w:val="22"/>
          <w:szCs w:val="22"/>
        </w:rPr>
        <w:t>proxy</w:t>
      </w:r>
      <w:r w:rsidR="00142EEB">
        <w:rPr>
          <w:rFonts w:ascii="Book Antiqua" w:hAnsi="Book Antiqua" w:cs="Arial"/>
          <w:sz w:val="22"/>
          <w:szCs w:val="22"/>
        </w:rPr>
        <w:t> »</w:t>
      </w:r>
      <w:r w:rsidR="00370DA8">
        <w:rPr>
          <w:rFonts w:ascii="Book Antiqua" w:hAnsi="Book Antiqua" w:cs="Arial"/>
          <w:sz w:val="22"/>
          <w:szCs w:val="22"/>
        </w:rPr>
        <w:t>, pour chaque banque,</w:t>
      </w:r>
      <w:r w:rsidR="00376C63">
        <w:rPr>
          <w:rFonts w:ascii="Book Antiqua" w:hAnsi="Book Antiqua" w:cs="Arial"/>
          <w:sz w:val="22"/>
          <w:szCs w:val="22"/>
        </w:rPr>
        <w:t xml:space="preserve"> </w:t>
      </w:r>
      <w:r w:rsidR="00142EEB">
        <w:rPr>
          <w:rFonts w:ascii="Book Antiqua" w:hAnsi="Book Antiqua" w:cs="Arial"/>
          <w:sz w:val="22"/>
          <w:szCs w:val="22"/>
        </w:rPr>
        <w:t xml:space="preserve">le poids </w:t>
      </w:r>
      <w:r w:rsidRPr="00231AE0">
        <w:rPr>
          <w:rFonts w:ascii="Book Antiqua" w:hAnsi="Book Antiqua" w:cs="Arial"/>
          <w:sz w:val="22"/>
          <w:szCs w:val="22"/>
        </w:rPr>
        <w:t>de</w:t>
      </w:r>
      <w:r w:rsidR="00CF373E">
        <w:rPr>
          <w:rFonts w:ascii="Book Antiqua" w:hAnsi="Book Antiqua" w:cs="Arial"/>
          <w:sz w:val="22"/>
          <w:szCs w:val="22"/>
        </w:rPr>
        <w:t xml:space="preserve"> ses</w:t>
      </w:r>
      <w:r w:rsidRPr="00231AE0">
        <w:rPr>
          <w:rFonts w:ascii="Book Antiqua" w:hAnsi="Book Antiqua" w:cs="Arial"/>
          <w:sz w:val="22"/>
          <w:szCs w:val="22"/>
        </w:rPr>
        <w:t xml:space="preserve"> agences </w:t>
      </w:r>
      <w:r w:rsidR="00142EEB">
        <w:rPr>
          <w:rFonts w:ascii="Book Antiqua" w:hAnsi="Book Antiqua" w:cs="Arial"/>
          <w:sz w:val="22"/>
          <w:szCs w:val="22"/>
        </w:rPr>
        <w:t xml:space="preserve">à </w:t>
      </w:r>
      <w:r w:rsidRPr="00231AE0">
        <w:rPr>
          <w:rFonts w:ascii="Book Antiqua" w:hAnsi="Book Antiqua" w:cs="Arial"/>
          <w:sz w:val="22"/>
          <w:szCs w:val="22"/>
        </w:rPr>
        <w:t xml:space="preserve">Dakar </w:t>
      </w:r>
      <w:r w:rsidR="00370DA8">
        <w:rPr>
          <w:rFonts w:ascii="Book Antiqua" w:hAnsi="Book Antiqua" w:cs="Arial"/>
          <w:sz w:val="22"/>
          <w:szCs w:val="22"/>
        </w:rPr>
        <w:t xml:space="preserve">par rapport aux </w:t>
      </w:r>
      <w:r w:rsidRPr="00231AE0">
        <w:rPr>
          <w:rFonts w:ascii="Book Antiqua" w:hAnsi="Book Antiqua" w:cs="Arial"/>
          <w:sz w:val="22"/>
          <w:szCs w:val="22"/>
        </w:rPr>
        <w:t>autres régions</w:t>
      </w:r>
      <w:r w:rsidR="00376C63">
        <w:rPr>
          <w:rFonts w:ascii="Book Antiqua" w:hAnsi="Book Antiqua" w:cs="Arial"/>
          <w:sz w:val="22"/>
          <w:szCs w:val="22"/>
        </w:rPr>
        <w:t xml:space="preserve"> </w:t>
      </w:r>
      <w:r w:rsidRPr="00231AE0">
        <w:rPr>
          <w:rFonts w:ascii="Book Antiqua" w:hAnsi="Book Antiqua" w:cs="Arial"/>
          <w:sz w:val="22"/>
          <w:szCs w:val="22"/>
        </w:rPr>
        <w:t>(tableau 2).</w:t>
      </w:r>
    </w:p>
    <w:p w:rsidR="004539FF" w:rsidRDefault="004539FF" w:rsidP="00231AE0">
      <w:pPr>
        <w:keepNext/>
        <w:spacing w:after="200"/>
        <w:jc w:val="center"/>
        <w:rPr>
          <w:b/>
          <w:bCs/>
          <w:sz w:val="18"/>
          <w:szCs w:val="18"/>
        </w:rPr>
      </w:pPr>
      <w:bookmarkStart w:id="11" w:name="_Toc523318880"/>
    </w:p>
    <w:p w:rsidR="00231AE0" w:rsidRPr="00231AE0" w:rsidRDefault="00231AE0" w:rsidP="00231AE0">
      <w:pPr>
        <w:keepNext/>
        <w:spacing w:after="200"/>
        <w:jc w:val="center"/>
        <w:rPr>
          <w:b/>
          <w:bCs/>
          <w:sz w:val="18"/>
          <w:szCs w:val="18"/>
        </w:rPr>
      </w:pPr>
      <w:r w:rsidRPr="00231AE0">
        <w:rPr>
          <w:b/>
          <w:bCs/>
          <w:sz w:val="18"/>
          <w:szCs w:val="18"/>
        </w:rPr>
        <w:t xml:space="preserve">Tableau </w:t>
      </w:r>
      <w:r w:rsidR="000D65F2" w:rsidRPr="00231AE0">
        <w:rPr>
          <w:bCs/>
          <w:sz w:val="18"/>
          <w:szCs w:val="18"/>
        </w:rPr>
        <w:fldChar w:fldCharType="begin"/>
      </w:r>
      <w:r w:rsidRPr="00231AE0">
        <w:rPr>
          <w:b/>
          <w:bCs/>
          <w:sz w:val="18"/>
          <w:szCs w:val="18"/>
        </w:rPr>
        <w:instrText xml:space="preserve"> SEQ Tableau \* ARABIC </w:instrText>
      </w:r>
      <w:r w:rsidR="000D65F2" w:rsidRPr="00231AE0">
        <w:rPr>
          <w:bCs/>
          <w:sz w:val="18"/>
          <w:szCs w:val="18"/>
        </w:rPr>
        <w:fldChar w:fldCharType="separate"/>
      </w:r>
      <w:r w:rsidR="005749DF">
        <w:rPr>
          <w:b/>
          <w:bCs/>
          <w:noProof/>
          <w:sz w:val="18"/>
          <w:szCs w:val="18"/>
        </w:rPr>
        <w:t>2</w:t>
      </w:r>
      <w:r w:rsidR="000D65F2" w:rsidRPr="00231AE0">
        <w:rPr>
          <w:bCs/>
          <w:sz w:val="18"/>
          <w:szCs w:val="18"/>
        </w:rPr>
        <w:fldChar w:fldCharType="end"/>
      </w:r>
      <w:r w:rsidRPr="00231AE0">
        <w:rPr>
          <w:b/>
          <w:bCs/>
          <w:sz w:val="18"/>
          <w:szCs w:val="18"/>
        </w:rPr>
        <w:t>: Répartition échantillon "personnes physiques" par banque et par zone</w:t>
      </w:r>
      <w:bookmarkEnd w:id="11"/>
    </w:p>
    <w:tbl>
      <w:tblPr>
        <w:tblW w:w="0" w:type="auto"/>
        <w:jc w:val="center"/>
        <w:tblCellMar>
          <w:left w:w="70" w:type="dxa"/>
          <w:right w:w="70" w:type="dxa"/>
        </w:tblCellMar>
        <w:tblLook w:val="04A0"/>
      </w:tblPr>
      <w:tblGrid>
        <w:gridCol w:w="1251"/>
        <w:gridCol w:w="1087"/>
        <w:gridCol w:w="881"/>
        <w:gridCol w:w="1087"/>
        <w:gridCol w:w="881"/>
        <w:gridCol w:w="1257"/>
      </w:tblGrid>
      <w:tr w:rsidR="00231AE0" w:rsidRPr="00231AE0" w:rsidTr="00562878">
        <w:trPr>
          <w:trHeight w:val="375"/>
          <w:tblHeader/>
          <w:jc w:val="center"/>
        </w:trPr>
        <w:tc>
          <w:tcPr>
            <w:tcW w:w="0" w:type="auto"/>
            <w:vMerge w:val="restart"/>
            <w:tcBorders>
              <w:top w:val="single" w:sz="4" w:space="0" w:color="000000"/>
              <w:left w:val="single" w:sz="4" w:space="0" w:color="000000"/>
              <w:bottom w:val="single" w:sz="4" w:space="0" w:color="000000"/>
              <w:right w:val="single" w:sz="4" w:space="0" w:color="auto"/>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 </w:t>
            </w:r>
          </w:p>
        </w:tc>
        <w:tc>
          <w:tcPr>
            <w:tcW w:w="0" w:type="auto"/>
            <w:gridSpan w:val="2"/>
            <w:tcBorders>
              <w:top w:val="single" w:sz="4" w:space="0" w:color="auto"/>
              <w:left w:val="nil"/>
              <w:bottom w:val="single" w:sz="4" w:space="0" w:color="000000"/>
              <w:right w:val="nil"/>
            </w:tcBorders>
            <w:shd w:val="clear" w:color="FFFFCC"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DAKAR</w:t>
            </w:r>
          </w:p>
        </w:tc>
        <w:tc>
          <w:tcPr>
            <w:tcW w:w="0" w:type="auto"/>
            <w:gridSpan w:val="2"/>
            <w:tcBorders>
              <w:top w:val="single" w:sz="4" w:space="0" w:color="auto"/>
              <w:left w:val="single" w:sz="4" w:space="0" w:color="auto"/>
              <w:bottom w:val="single" w:sz="4" w:space="0" w:color="auto"/>
              <w:right w:val="single" w:sz="4" w:space="0" w:color="000000"/>
            </w:tcBorders>
            <w:shd w:val="clear" w:color="FFFFCC"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AUTRES REGIONS</w:t>
            </w:r>
          </w:p>
        </w:tc>
        <w:tc>
          <w:tcPr>
            <w:tcW w:w="0" w:type="auto"/>
            <w:vMerge w:val="restart"/>
            <w:tcBorders>
              <w:top w:val="single" w:sz="4" w:space="0" w:color="auto"/>
              <w:left w:val="nil"/>
              <w:bottom w:val="single" w:sz="4" w:space="0" w:color="000000"/>
              <w:right w:val="single" w:sz="4" w:space="0" w:color="auto"/>
            </w:tcBorders>
            <w:shd w:val="clear" w:color="FFFFCC"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Echantillon Total</w:t>
            </w:r>
          </w:p>
        </w:tc>
      </w:tr>
      <w:tr w:rsidR="00231AE0" w:rsidRPr="00231AE0" w:rsidTr="00562878">
        <w:trPr>
          <w:trHeight w:val="375"/>
          <w:tblHeader/>
          <w:jc w:val="center"/>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231AE0" w:rsidRPr="00231AE0" w:rsidRDefault="00231AE0" w:rsidP="00231AE0">
            <w:pPr>
              <w:contextualSpacing/>
              <w:rPr>
                <w:rFonts w:ascii="Calibri" w:hAnsi="Calibri"/>
                <w:b/>
                <w:bCs/>
                <w:color w:val="000000"/>
                <w:sz w:val="16"/>
                <w:szCs w:val="16"/>
              </w:rPr>
            </w:pPr>
          </w:p>
        </w:tc>
        <w:tc>
          <w:tcPr>
            <w:tcW w:w="0" w:type="auto"/>
            <w:tcBorders>
              <w:top w:val="nil"/>
              <w:left w:val="nil"/>
              <w:bottom w:val="single" w:sz="4" w:space="0" w:color="auto"/>
              <w:right w:val="single" w:sz="4" w:space="0" w:color="000000"/>
            </w:tcBorders>
            <w:shd w:val="clear" w:color="FFFFCC"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Poids Agences</w:t>
            </w:r>
          </w:p>
        </w:tc>
        <w:tc>
          <w:tcPr>
            <w:tcW w:w="0" w:type="auto"/>
            <w:tcBorders>
              <w:top w:val="nil"/>
              <w:left w:val="nil"/>
              <w:bottom w:val="single" w:sz="4" w:space="0" w:color="auto"/>
              <w:right w:val="single" w:sz="4" w:space="0" w:color="000000"/>
            </w:tcBorders>
            <w:shd w:val="clear" w:color="FFFFCC"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Echantillon</w:t>
            </w:r>
          </w:p>
        </w:tc>
        <w:tc>
          <w:tcPr>
            <w:tcW w:w="0" w:type="auto"/>
            <w:tcBorders>
              <w:top w:val="nil"/>
              <w:left w:val="nil"/>
              <w:bottom w:val="single" w:sz="4" w:space="0" w:color="auto"/>
              <w:right w:val="single" w:sz="4" w:space="0" w:color="000000"/>
            </w:tcBorders>
            <w:shd w:val="clear" w:color="FFFFCC"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Poids Agences</w:t>
            </w:r>
          </w:p>
        </w:tc>
        <w:tc>
          <w:tcPr>
            <w:tcW w:w="0" w:type="auto"/>
            <w:tcBorders>
              <w:top w:val="nil"/>
              <w:left w:val="nil"/>
              <w:bottom w:val="single" w:sz="4" w:space="0" w:color="auto"/>
              <w:right w:val="single" w:sz="4" w:space="0" w:color="000000"/>
            </w:tcBorders>
            <w:shd w:val="clear" w:color="FFFFCC"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Echantillon</w:t>
            </w:r>
          </w:p>
        </w:tc>
        <w:tc>
          <w:tcPr>
            <w:tcW w:w="0" w:type="auto"/>
            <w:vMerge/>
            <w:tcBorders>
              <w:top w:val="single" w:sz="4" w:space="0" w:color="auto"/>
              <w:left w:val="nil"/>
              <w:bottom w:val="single" w:sz="4" w:space="0" w:color="000000"/>
              <w:right w:val="single" w:sz="4" w:space="0" w:color="auto"/>
            </w:tcBorders>
            <w:vAlign w:val="center"/>
            <w:hideMark/>
          </w:tcPr>
          <w:p w:rsidR="00231AE0" w:rsidRPr="00231AE0" w:rsidRDefault="00231AE0" w:rsidP="00231AE0">
            <w:pPr>
              <w:contextualSpacing/>
              <w:rPr>
                <w:rFonts w:ascii="Calibri" w:hAnsi="Calibri"/>
                <w:b/>
                <w:bCs/>
                <w:color w:val="000000"/>
                <w:sz w:val="16"/>
                <w:szCs w:val="16"/>
              </w:rPr>
            </w:pPr>
          </w:p>
        </w:tc>
      </w:tr>
      <w:tr w:rsidR="00231AE0" w:rsidRPr="00231AE0" w:rsidTr="00376C63">
        <w:trPr>
          <w:trHeight w:val="127"/>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BAS</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94,4%</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71</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5,6%</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4</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75</w:t>
            </w:r>
          </w:p>
        </w:tc>
      </w:tr>
      <w:tr w:rsidR="00231AE0" w:rsidRPr="00231AE0" w:rsidTr="00376C63">
        <w:trPr>
          <w:trHeight w:val="75"/>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BHS</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50,0%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103</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50,0%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103</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206</w:t>
            </w:r>
          </w:p>
        </w:tc>
      </w:tr>
      <w:tr w:rsidR="00231AE0" w:rsidRPr="00231AE0" w:rsidTr="00376C63">
        <w:trPr>
          <w:trHeight w:val="50"/>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BICIS</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65,9%</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179</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34,1%</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93</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272</w:t>
            </w:r>
          </w:p>
        </w:tc>
      </w:tr>
      <w:tr w:rsidR="00231AE0" w:rsidRPr="00231AE0" w:rsidTr="00376C63">
        <w:trPr>
          <w:trHeight w:val="50"/>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BIMAO</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33,3%</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17</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66,7%</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33</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r>
      <w:tr w:rsidR="00231AE0" w:rsidRPr="00231AE0" w:rsidTr="00376C63">
        <w:trPr>
          <w:trHeight w:val="103"/>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BIS</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77,8%</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27</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22,2%</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8</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34</w:t>
            </w:r>
          </w:p>
        </w:tc>
      </w:tr>
      <w:tr w:rsidR="00231AE0" w:rsidRPr="00231AE0" w:rsidTr="00376C63">
        <w:trPr>
          <w:trHeight w:val="50"/>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BNDE</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r>
      <w:tr w:rsidR="00231AE0" w:rsidRPr="00231AE0" w:rsidTr="00376C63">
        <w:trPr>
          <w:trHeight w:val="50"/>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BOA</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65,4%</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144</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34,6%</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76</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221</w:t>
            </w:r>
          </w:p>
        </w:tc>
      </w:tr>
      <w:tr w:rsidR="00231AE0" w:rsidRPr="00231AE0" w:rsidTr="00376C63">
        <w:trPr>
          <w:trHeight w:val="117"/>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BRM</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r>
      <w:tr w:rsidR="00231AE0" w:rsidRPr="00231AE0" w:rsidTr="00376C63">
        <w:trPr>
          <w:trHeight w:val="78"/>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BSIC</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38</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38</w:t>
            </w:r>
          </w:p>
        </w:tc>
      </w:tr>
      <w:tr w:rsidR="00231AE0" w:rsidRPr="00231AE0" w:rsidTr="00376C63">
        <w:trPr>
          <w:trHeight w:val="125"/>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CBAO</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50,5%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245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49,5%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240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484</w:t>
            </w:r>
          </w:p>
        </w:tc>
      </w:tr>
      <w:tr w:rsidR="00231AE0" w:rsidRPr="00231AE0" w:rsidTr="00376C63">
        <w:trPr>
          <w:trHeight w:val="56"/>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CDS</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45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45</w:t>
            </w:r>
          </w:p>
        </w:tc>
      </w:tr>
      <w:tr w:rsidR="00231AE0" w:rsidRPr="00231AE0" w:rsidTr="00376C63">
        <w:trPr>
          <w:trHeight w:val="50"/>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CI</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r>
      <w:tr w:rsidR="00231AE0" w:rsidRPr="00231AE0" w:rsidTr="00376C63">
        <w:trPr>
          <w:trHeight w:val="205"/>
          <w:jc w:val="center"/>
        </w:trPr>
        <w:tc>
          <w:tcPr>
            <w:tcW w:w="0" w:type="auto"/>
            <w:tcBorders>
              <w:top w:val="nil"/>
              <w:left w:val="single" w:sz="4" w:space="0" w:color="000000"/>
              <w:bottom w:val="single" w:sz="4" w:space="0" w:color="auto"/>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CITIBANK</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r>
      <w:tr w:rsidR="00231AE0" w:rsidRPr="00231AE0" w:rsidTr="00376C63">
        <w:trPr>
          <w:trHeight w:val="50"/>
          <w:jc w:val="center"/>
        </w:trPr>
        <w:tc>
          <w:tcPr>
            <w:tcW w:w="0" w:type="auto"/>
            <w:tcBorders>
              <w:top w:val="single" w:sz="4" w:space="0" w:color="auto"/>
              <w:left w:val="single" w:sz="4" w:space="0" w:color="auto"/>
              <w:bottom w:val="single" w:sz="4" w:space="0" w:color="auto"/>
              <w:right w:val="single" w:sz="4" w:space="0" w:color="auto"/>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CNCAS</w:t>
            </w:r>
          </w:p>
        </w:tc>
        <w:tc>
          <w:tcPr>
            <w:tcW w:w="0" w:type="auto"/>
            <w:tcBorders>
              <w:top w:val="nil"/>
              <w:left w:val="single" w:sz="4" w:space="0" w:color="auto"/>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13,3%</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31</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86,7%</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201</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232</w:t>
            </w:r>
          </w:p>
        </w:tc>
      </w:tr>
      <w:tr w:rsidR="00231AE0" w:rsidRPr="00231AE0" w:rsidTr="00376C63">
        <w:trPr>
          <w:trHeight w:val="211"/>
          <w:jc w:val="center"/>
        </w:trPr>
        <w:tc>
          <w:tcPr>
            <w:tcW w:w="0" w:type="auto"/>
            <w:tcBorders>
              <w:top w:val="single" w:sz="4" w:space="0" w:color="auto"/>
              <w:left w:val="single" w:sz="4" w:space="0" w:color="auto"/>
              <w:bottom w:val="single" w:sz="4" w:space="0" w:color="auto"/>
              <w:right w:val="single" w:sz="4" w:space="0" w:color="auto"/>
            </w:tcBorders>
            <w:shd w:val="clear" w:color="FFFFCC" w:fill="D9D9D9"/>
            <w:noWrap/>
            <w:vAlign w:val="center"/>
            <w:hideMark/>
          </w:tcPr>
          <w:p w:rsidR="00231AE0" w:rsidRPr="00231AE0" w:rsidRDefault="00231AE0" w:rsidP="00231AE0">
            <w:pPr>
              <w:contextualSpacing/>
              <w:rPr>
                <w:rFonts w:ascii="Calibri" w:hAnsi="Calibri"/>
                <w:b/>
                <w:bCs/>
                <w:sz w:val="16"/>
                <w:szCs w:val="16"/>
              </w:rPr>
            </w:pPr>
            <w:r w:rsidRPr="00231AE0">
              <w:rPr>
                <w:rFonts w:ascii="Calibri" w:hAnsi="Calibri"/>
                <w:b/>
                <w:bCs/>
                <w:sz w:val="16"/>
                <w:szCs w:val="16"/>
              </w:rPr>
              <w:t>DIAMOND BANK</w:t>
            </w:r>
          </w:p>
        </w:tc>
        <w:tc>
          <w:tcPr>
            <w:tcW w:w="0" w:type="auto"/>
            <w:tcBorders>
              <w:top w:val="nil"/>
              <w:left w:val="single" w:sz="4" w:space="0" w:color="auto"/>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r>
      <w:tr w:rsidR="00231AE0" w:rsidRPr="00231AE0" w:rsidTr="00376C63">
        <w:trPr>
          <w:trHeight w:val="50"/>
          <w:jc w:val="center"/>
        </w:trPr>
        <w:tc>
          <w:tcPr>
            <w:tcW w:w="0" w:type="auto"/>
            <w:tcBorders>
              <w:top w:val="single" w:sz="4" w:space="0" w:color="auto"/>
              <w:left w:val="single" w:sz="4" w:space="0" w:color="auto"/>
              <w:bottom w:val="single" w:sz="4" w:space="0" w:color="auto"/>
              <w:right w:val="single" w:sz="4" w:space="0" w:color="auto"/>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ECOBANK</w:t>
            </w:r>
          </w:p>
        </w:tc>
        <w:tc>
          <w:tcPr>
            <w:tcW w:w="0" w:type="auto"/>
            <w:tcBorders>
              <w:top w:val="nil"/>
              <w:left w:val="single" w:sz="4" w:space="0" w:color="auto"/>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65,8%</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349</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34,2%</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182</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531</w:t>
            </w:r>
          </w:p>
        </w:tc>
      </w:tr>
      <w:tr w:rsidR="00231AE0" w:rsidRPr="00231AE0" w:rsidTr="00376C63">
        <w:trPr>
          <w:trHeight w:val="50"/>
          <w:jc w:val="center"/>
        </w:trPr>
        <w:tc>
          <w:tcPr>
            <w:tcW w:w="0" w:type="auto"/>
            <w:tcBorders>
              <w:top w:val="single" w:sz="4" w:space="0" w:color="auto"/>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ORABANK</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50,0%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23</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50,0%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23</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47</w:t>
            </w:r>
          </w:p>
        </w:tc>
      </w:tr>
      <w:tr w:rsidR="00231AE0" w:rsidRPr="00231AE0" w:rsidTr="00376C63">
        <w:trPr>
          <w:trHeight w:val="50"/>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ICB</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r>
      <w:tr w:rsidR="00231AE0" w:rsidRPr="00231AE0" w:rsidTr="00376C63">
        <w:trPr>
          <w:trHeight w:val="95"/>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SGBS</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75,9%</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316</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24,1%</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100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416</w:t>
            </w:r>
          </w:p>
        </w:tc>
      </w:tr>
      <w:tr w:rsidR="00231AE0" w:rsidRPr="00231AE0" w:rsidTr="00376C63">
        <w:trPr>
          <w:trHeight w:val="50"/>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rPr>
                <w:rFonts w:ascii="Calibri" w:hAnsi="Calibri"/>
                <w:b/>
                <w:bCs/>
                <w:color w:val="000000"/>
                <w:sz w:val="16"/>
                <w:szCs w:val="16"/>
              </w:rPr>
            </w:pPr>
            <w:r w:rsidRPr="00231AE0">
              <w:rPr>
                <w:rFonts w:ascii="Calibri" w:hAnsi="Calibri"/>
                <w:b/>
                <w:bCs/>
                <w:color w:val="000000"/>
                <w:sz w:val="16"/>
                <w:szCs w:val="16"/>
              </w:rPr>
              <w:t>UBA</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50</w:t>
            </w:r>
          </w:p>
        </w:tc>
      </w:tr>
      <w:tr w:rsidR="00231AE0" w:rsidRPr="00231AE0" w:rsidTr="00376C63">
        <w:trPr>
          <w:trHeight w:val="101"/>
          <w:jc w:val="center"/>
        </w:trPr>
        <w:tc>
          <w:tcPr>
            <w:tcW w:w="0" w:type="auto"/>
            <w:tcBorders>
              <w:top w:val="nil"/>
              <w:left w:val="single" w:sz="4" w:space="0" w:color="000000"/>
              <w:bottom w:val="single" w:sz="4" w:space="0" w:color="000000"/>
              <w:right w:val="single" w:sz="4" w:space="0" w:color="000000"/>
            </w:tcBorders>
            <w:shd w:val="clear" w:color="FFFFFF" w:fill="D9D9D9"/>
            <w:noWrap/>
            <w:vAlign w:val="center"/>
            <w:hideMark/>
          </w:tcPr>
          <w:p w:rsidR="00231AE0" w:rsidRPr="00231AE0" w:rsidRDefault="00231AE0" w:rsidP="00231AE0">
            <w:pPr>
              <w:contextualSpacing/>
              <w:rPr>
                <w:rFonts w:ascii="Calibri" w:hAnsi="Calibri"/>
                <w:b/>
                <w:bCs/>
                <w:color w:val="333300"/>
                <w:sz w:val="16"/>
                <w:szCs w:val="16"/>
              </w:rPr>
            </w:pPr>
            <w:r w:rsidRPr="00231AE0">
              <w:rPr>
                <w:rFonts w:ascii="Calibri" w:hAnsi="Calibri"/>
                <w:b/>
                <w:bCs/>
                <w:color w:val="333300"/>
                <w:sz w:val="16"/>
                <w:szCs w:val="16"/>
              </w:rPr>
              <w:t>Total</w:t>
            </w:r>
          </w:p>
        </w:tc>
        <w:tc>
          <w:tcPr>
            <w:tcW w:w="0" w:type="auto"/>
            <w:tcBorders>
              <w:top w:val="nil"/>
              <w:left w:val="nil"/>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60,8%</w:t>
            </w:r>
          </w:p>
        </w:tc>
        <w:tc>
          <w:tcPr>
            <w:tcW w:w="0" w:type="auto"/>
            <w:tcBorders>
              <w:top w:val="nil"/>
              <w:left w:val="nil"/>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1 825</w:t>
            </w:r>
          </w:p>
        </w:tc>
        <w:tc>
          <w:tcPr>
            <w:tcW w:w="0" w:type="auto"/>
            <w:tcBorders>
              <w:top w:val="nil"/>
              <w:left w:val="nil"/>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39,2%</w:t>
            </w:r>
          </w:p>
        </w:tc>
        <w:tc>
          <w:tcPr>
            <w:tcW w:w="0" w:type="auto"/>
            <w:tcBorders>
              <w:top w:val="nil"/>
              <w:left w:val="nil"/>
              <w:bottom w:val="single" w:sz="4" w:space="0" w:color="000000"/>
              <w:right w:val="single" w:sz="4" w:space="0" w:color="000000"/>
            </w:tcBorders>
            <w:shd w:val="clear" w:color="FFFFCC" w:fill="D9D9D9"/>
            <w:noWrap/>
            <w:vAlign w:val="center"/>
            <w:hideMark/>
          </w:tcPr>
          <w:p w:rsidR="00231AE0" w:rsidRPr="00231AE0" w:rsidRDefault="00231AE0" w:rsidP="00231AE0">
            <w:pPr>
              <w:contextualSpacing/>
              <w:jc w:val="center"/>
              <w:rPr>
                <w:rFonts w:ascii="Calibri" w:hAnsi="Calibri"/>
                <w:b/>
                <w:bCs/>
                <w:color w:val="000000"/>
                <w:sz w:val="16"/>
                <w:szCs w:val="16"/>
              </w:rPr>
            </w:pPr>
            <w:r w:rsidRPr="00231AE0">
              <w:rPr>
                <w:rFonts w:ascii="Calibri" w:hAnsi="Calibri"/>
                <w:b/>
                <w:bCs/>
                <w:color w:val="000000"/>
                <w:sz w:val="16"/>
                <w:szCs w:val="16"/>
              </w:rPr>
              <w:t>1 175</w:t>
            </w:r>
          </w:p>
        </w:tc>
        <w:tc>
          <w:tcPr>
            <w:tcW w:w="0" w:type="auto"/>
            <w:tcBorders>
              <w:top w:val="nil"/>
              <w:left w:val="nil"/>
              <w:bottom w:val="single" w:sz="4" w:space="0" w:color="000000"/>
              <w:right w:val="single" w:sz="4" w:space="0" w:color="000000"/>
            </w:tcBorders>
            <w:shd w:val="clear" w:color="FFFFFF" w:fill="D9D9D9"/>
            <w:noWrap/>
            <w:vAlign w:val="center"/>
            <w:hideMark/>
          </w:tcPr>
          <w:p w:rsidR="00231AE0" w:rsidRPr="00231AE0" w:rsidRDefault="00231AE0" w:rsidP="00231AE0">
            <w:pPr>
              <w:keepNext/>
              <w:contextualSpacing/>
              <w:jc w:val="center"/>
              <w:rPr>
                <w:rFonts w:ascii="Calibri" w:hAnsi="Calibri"/>
                <w:b/>
                <w:bCs/>
                <w:color w:val="000000"/>
                <w:sz w:val="16"/>
                <w:szCs w:val="16"/>
              </w:rPr>
            </w:pPr>
            <w:r w:rsidRPr="00231AE0">
              <w:rPr>
                <w:rFonts w:ascii="Calibri" w:hAnsi="Calibri"/>
                <w:b/>
                <w:bCs/>
                <w:color w:val="000000"/>
                <w:sz w:val="16"/>
                <w:szCs w:val="16"/>
              </w:rPr>
              <w:t>3 000</w:t>
            </w:r>
          </w:p>
        </w:tc>
      </w:tr>
    </w:tbl>
    <w:p w:rsidR="00231AE0" w:rsidRPr="00231AE0" w:rsidRDefault="00231AE0" w:rsidP="00231AE0">
      <w:pPr>
        <w:spacing w:after="200"/>
        <w:jc w:val="center"/>
        <w:rPr>
          <w:rFonts w:ascii="Book Antiqua" w:hAnsi="Book Antiqua" w:cs="Arial"/>
          <w:b/>
          <w:bCs/>
          <w:sz w:val="20"/>
          <w:szCs w:val="22"/>
        </w:rPr>
      </w:pPr>
      <w:r w:rsidRPr="00231AE0">
        <w:rPr>
          <w:b/>
          <w:bCs/>
          <w:sz w:val="16"/>
          <w:szCs w:val="18"/>
        </w:rPr>
        <w:t>Source: Données BCEAO</w:t>
      </w:r>
      <w:r w:rsidRPr="00231AE0">
        <w:rPr>
          <w:b/>
          <w:bCs/>
          <w:noProof/>
          <w:sz w:val="16"/>
          <w:szCs w:val="18"/>
        </w:rPr>
        <w:t xml:space="preserve"> retraitées par l'OQSF</w:t>
      </w:r>
    </w:p>
    <w:p w:rsidR="00CF373E" w:rsidRPr="00231AE0" w:rsidRDefault="00E0197C" w:rsidP="004539FF">
      <w:pPr>
        <w:spacing w:before="240" w:after="240" w:line="276" w:lineRule="auto"/>
        <w:rPr>
          <w:rFonts w:ascii="Book Antiqua" w:hAnsi="Book Antiqua" w:cs="Arial"/>
          <w:sz w:val="22"/>
          <w:szCs w:val="22"/>
        </w:rPr>
      </w:pPr>
      <w:r>
        <w:rPr>
          <w:rFonts w:ascii="Book Antiqua" w:hAnsi="Book Antiqua" w:cs="Arial"/>
          <w:sz w:val="22"/>
          <w:szCs w:val="22"/>
        </w:rPr>
        <w:br w:type="page"/>
      </w:r>
      <w:r w:rsidR="008903EA" w:rsidRPr="00011360">
        <w:rPr>
          <w:rFonts w:ascii="Book Antiqua" w:hAnsi="Book Antiqua" w:cs="Arial"/>
          <w:sz w:val="22"/>
          <w:szCs w:val="22"/>
        </w:rPr>
        <w:lastRenderedPageBreak/>
        <w:t>En définitive</w:t>
      </w:r>
      <w:r w:rsidR="00355121" w:rsidRPr="00011360">
        <w:rPr>
          <w:rFonts w:ascii="Book Antiqua" w:hAnsi="Book Antiqua" w:cs="Arial"/>
          <w:sz w:val="22"/>
          <w:szCs w:val="22"/>
        </w:rPr>
        <w:t xml:space="preserve">, </w:t>
      </w:r>
      <w:r w:rsidR="00FD3BE5" w:rsidRPr="00011360">
        <w:rPr>
          <w:rFonts w:ascii="Book Antiqua" w:hAnsi="Book Antiqua" w:cs="Arial"/>
          <w:sz w:val="22"/>
          <w:szCs w:val="22"/>
        </w:rPr>
        <w:t>l</w:t>
      </w:r>
      <w:r w:rsidR="00231AE0" w:rsidRPr="00011360">
        <w:rPr>
          <w:rFonts w:ascii="Book Antiqua" w:hAnsi="Book Antiqua" w:cs="Arial"/>
          <w:sz w:val="22"/>
          <w:szCs w:val="22"/>
        </w:rPr>
        <w:t>a mise en œuvre de cette approche méthodologique conduit à un nombre de 1 825 clients</w:t>
      </w:r>
      <w:r w:rsidR="00C051EA" w:rsidRPr="00011360">
        <w:rPr>
          <w:rFonts w:ascii="Book Antiqua" w:hAnsi="Book Antiqua" w:cs="Arial"/>
          <w:sz w:val="22"/>
          <w:szCs w:val="22"/>
        </w:rPr>
        <w:t xml:space="preserve"> « personnes physiques »</w:t>
      </w:r>
      <w:r w:rsidR="00231AE0" w:rsidRPr="00011360">
        <w:rPr>
          <w:rFonts w:ascii="Book Antiqua" w:hAnsi="Book Antiqua" w:cs="Arial"/>
          <w:sz w:val="22"/>
          <w:szCs w:val="22"/>
        </w:rPr>
        <w:t xml:space="preserve"> à interviewer à Dakar contre 1 175 dans les autres régions du Sénégal. </w:t>
      </w:r>
    </w:p>
    <w:p w:rsidR="00231AE0" w:rsidRDefault="00231AE0" w:rsidP="004539FF">
      <w:pPr>
        <w:widowControl w:val="0"/>
        <w:spacing w:before="240" w:after="240" w:line="276" w:lineRule="auto"/>
        <w:jc w:val="both"/>
        <w:rPr>
          <w:rFonts w:ascii="Book Antiqua" w:hAnsi="Book Antiqua" w:cs="Arial"/>
          <w:sz w:val="22"/>
          <w:szCs w:val="22"/>
          <w:lang w:eastAsia="en-US"/>
        </w:rPr>
      </w:pPr>
      <w:r w:rsidRPr="00231AE0">
        <w:rPr>
          <w:rFonts w:ascii="Book Antiqua" w:hAnsi="Book Antiqua" w:cs="Arial"/>
          <w:sz w:val="22"/>
          <w:szCs w:val="22"/>
        </w:rPr>
        <w:t>La méthodologie de sélection de cet échantillon sera similaire à celle utilisée pour le volet « personnes physiques »</w:t>
      </w:r>
      <w:r w:rsidR="00376C63">
        <w:rPr>
          <w:rFonts w:ascii="Book Antiqua" w:hAnsi="Book Antiqua" w:cs="Arial"/>
          <w:sz w:val="22"/>
          <w:szCs w:val="22"/>
        </w:rPr>
        <w:t xml:space="preserve"> </w:t>
      </w:r>
      <w:r w:rsidRPr="00231AE0">
        <w:rPr>
          <w:rFonts w:ascii="Book Antiqua" w:hAnsi="Book Antiqua" w:cs="Arial"/>
          <w:sz w:val="22"/>
          <w:szCs w:val="22"/>
          <w:lang w:eastAsia="en-US"/>
        </w:rPr>
        <w:t>basée sur les deux critères de stratification</w:t>
      </w:r>
      <w:r w:rsidR="008903EA">
        <w:rPr>
          <w:rFonts w:ascii="Book Antiqua" w:hAnsi="Book Antiqua" w:cs="Arial"/>
          <w:sz w:val="22"/>
          <w:szCs w:val="22"/>
          <w:lang w:eastAsia="en-US"/>
        </w:rPr>
        <w:t> (banque et région)</w:t>
      </w:r>
      <w:r w:rsidR="00011360">
        <w:rPr>
          <w:rFonts w:ascii="Book Antiqua" w:hAnsi="Book Antiqua" w:cs="Arial"/>
          <w:sz w:val="22"/>
          <w:szCs w:val="22"/>
          <w:lang w:eastAsia="en-US"/>
        </w:rPr>
        <w:t>.</w:t>
      </w:r>
      <w:r w:rsidR="008903EA">
        <w:rPr>
          <w:rFonts w:ascii="Book Antiqua" w:hAnsi="Book Antiqua" w:cs="Arial"/>
          <w:sz w:val="22"/>
          <w:szCs w:val="22"/>
          <w:lang w:eastAsia="en-US"/>
        </w:rPr>
        <w:t xml:space="preserve"> Ainsi</w:t>
      </w:r>
      <w:r w:rsidR="008903EA" w:rsidRPr="00231AE0">
        <w:rPr>
          <w:rFonts w:ascii="Book Antiqua" w:hAnsi="Book Antiqua" w:cs="Arial"/>
          <w:sz w:val="22"/>
          <w:szCs w:val="22"/>
        </w:rPr>
        <w:t xml:space="preserve">, </w:t>
      </w:r>
      <w:r w:rsidR="008903EA" w:rsidRPr="00231AE0">
        <w:rPr>
          <w:rFonts w:ascii="Book Antiqua" w:hAnsi="Book Antiqua" w:cs="Arial"/>
          <w:sz w:val="22"/>
          <w:szCs w:val="22"/>
          <w:lang w:eastAsia="en-US"/>
        </w:rPr>
        <w:t>913 entreprises seront interrogées à Dakar contre 587 dans les autres régions du Sénégal</w:t>
      </w:r>
      <w:r w:rsidR="00CF373E">
        <w:rPr>
          <w:rFonts w:ascii="Book Antiqua" w:hAnsi="Book Antiqua" w:cs="Arial"/>
          <w:sz w:val="22"/>
          <w:szCs w:val="22"/>
          <w:lang w:eastAsia="en-US"/>
        </w:rPr>
        <w:t>.</w:t>
      </w:r>
    </w:p>
    <w:p w:rsidR="00CF373E" w:rsidRPr="00231AE0" w:rsidRDefault="00CF373E" w:rsidP="00231AE0">
      <w:pPr>
        <w:widowControl w:val="0"/>
        <w:spacing w:line="312" w:lineRule="auto"/>
        <w:jc w:val="both"/>
        <w:rPr>
          <w:rFonts w:ascii="Book Antiqua" w:hAnsi="Book Antiqua" w:cs="Arial"/>
          <w:sz w:val="22"/>
          <w:szCs w:val="22"/>
          <w:lang w:eastAsia="en-US"/>
        </w:rPr>
      </w:pPr>
    </w:p>
    <w:p w:rsidR="00231AE0" w:rsidRPr="00231AE0" w:rsidRDefault="00231AE0" w:rsidP="00231AE0">
      <w:pPr>
        <w:keepNext/>
        <w:spacing w:after="200"/>
        <w:jc w:val="center"/>
        <w:rPr>
          <w:b/>
          <w:bCs/>
          <w:sz w:val="18"/>
          <w:szCs w:val="18"/>
        </w:rPr>
      </w:pPr>
      <w:bookmarkStart w:id="12" w:name="_Toc523318881"/>
      <w:r w:rsidRPr="00231AE0">
        <w:rPr>
          <w:b/>
          <w:bCs/>
          <w:sz w:val="18"/>
          <w:szCs w:val="18"/>
        </w:rPr>
        <w:t xml:space="preserve">Tableau </w:t>
      </w:r>
      <w:r w:rsidR="000D65F2" w:rsidRPr="00231AE0">
        <w:rPr>
          <w:bCs/>
          <w:sz w:val="18"/>
          <w:szCs w:val="18"/>
        </w:rPr>
        <w:fldChar w:fldCharType="begin"/>
      </w:r>
      <w:r w:rsidRPr="00231AE0">
        <w:rPr>
          <w:b/>
          <w:bCs/>
          <w:sz w:val="18"/>
          <w:szCs w:val="18"/>
        </w:rPr>
        <w:instrText xml:space="preserve"> SEQ Tableau \* ARABIC </w:instrText>
      </w:r>
      <w:r w:rsidR="000D65F2" w:rsidRPr="00231AE0">
        <w:rPr>
          <w:bCs/>
          <w:sz w:val="18"/>
          <w:szCs w:val="18"/>
        </w:rPr>
        <w:fldChar w:fldCharType="separate"/>
      </w:r>
      <w:r w:rsidR="005749DF">
        <w:rPr>
          <w:b/>
          <w:bCs/>
          <w:noProof/>
          <w:sz w:val="18"/>
          <w:szCs w:val="18"/>
        </w:rPr>
        <w:t>3</w:t>
      </w:r>
      <w:r w:rsidR="000D65F2" w:rsidRPr="00231AE0">
        <w:rPr>
          <w:bCs/>
          <w:sz w:val="18"/>
          <w:szCs w:val="18"/>
        </w:rPr>
        <w:fldChar w:fldCharType="end"/>
      </w:r>
      <w:r w:rsidRPr="00231AE0">
        <w:rPr>
          <w:b/>
          <w:bCs/>
          <w:sz w:val="18"/>
          <w:szCs w:val="18"/>
        </w:rPr>
        <w:t>: Répartition de l'échantillon "personnes morales" par banque et par zone</w:t>
      </w:r>
      <w:bookmarkEnd w:id="12"/>
    </w:p>
    <w:tbl>
      <w:tblPr>
        <w:tblW w:w="0" w:type="auto"/>
        <w:jc w:val="center"/>
        <w:tblCellMar>
          <w:left w:w="70" w:type="dxa"/>
          <w:right w:w="70" w:type="dxa"/>
        </w:tblCellMar>
        <w:tblLook w:val="04A0"/>
      </w:tblPr>
      <w:tblGrid>
        <w:gridCol w:w="1251"/>
        <w:gridCol w:w="1087"/>
        <w:gridCol w:w="881"/>
        <w:gridCol w:w="1087"/>
        <w:gridCol w:w="881"/>
        <w:gridCol w:w="1257"/>
      </w:tblGrid>
      <w:tr w:rsidR="00231AE0" w:rsidRPr="00231AE0" w:rsidTr="00562878">
        <w:trPr>
          <w:trHeight w:hRule="exact" w:val="284"/>
          <w:tblHeader/>
          <w:jc w:val="center"/>
        </w:trPr>
        <w:tc>
          <w:tcPr>
            <w:tcW w:w="0" w:type="auto"/>
            <w:vMerge w:val="restart"/>
            <w:tcBorders>
              <w:top w:val="single" w:sz="4" w:space="0" w:color="000000"/>
              <w:left w:val="single" w:sz="4" w:space="0" w:color="000000"/>
              <w:bottom w:val="single" w:sz="4" w:space="0" w:color="000000"/>
              <w:right w:val="single" w:sz="4" w:space="0" w:color="auto"/>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 </w:t>
            </w:r>
          </w:p>
        </w:tc>
        <w:tc>
          <w:tcPr>
            <w:tcW w:w="0" w:type="auto"/>
            <w:gridSpan w:val="2"/>
            <w:tcBorders>
              <w:top w:val="single" w:sz="4" w:space="0" w:color="auto"/>
              <w:left w:val="nil"/>
              <w:bottom w:val="single" w:sz="4" w:space="0" w:color="000000"/>
              <w:right w:val="nil"/>
            </w:tcBorders>
            <w:shd w:val="clear" w:color="FFFFCC"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DAKAR</w:t>
            </w:r>
          </w:p>
        </w:tc>
        <w:tc>
          <w:tcPr>
            <w:tcW w:w="0" w:type="auto"/>
            <w:gridSpan w:val="2"/>
            <w:tcBorders>
              <w:top w:val="single" w:sz="4" w:space="0" w:color="auto"/>
              <w:left w:val="single" w:sz="4" w:space="0" w:color="auto"/>
              <w:bottom w:val="single" w:sz="4" w:space="0" w:color="auto"/>
              <w:right w:val="single" w:sz="4" w:space="0" w:color="000000"/>
            </w:tcBorders>
            <w:shd w:val="clear" w:color="FFFFCC"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AUTRES REGIONS</w:t>
            </w:r>
          </w:p>
        </w:tc>
        <w:tc>
          <w:tcPr>
            <w:tcW w:w="0" w:type="auto"/>
            <w:vMerge w:val="restart"/>
            <w:tcBorders>
              <w:top w:val="single" w:sz="4" w:space="0" w:color="auto"/>
              <w:left w:val="nil"/>
              <w:bottom w:val="single" w:sz="4" w:space="0" w:color="000000"/>
              <w:right w:val="single" w:sz="4" w:space="0" w:color="auto"/>
            </w:tcBorders>
            <w:shd w:val="clear" w:color="FFFFCC"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Echantillon Total</w:t>
            </w:r>
          </w:p>
        </w:tc>
      </w:tr>
      <w:tr w:rsidR="00231AE0" w:rsidRPr="00231AE0" w:rsidTr="00562878">
        <w:trPr>
          <w:trHeight w:hRule="exact" w:val="284"/>
          <w:tblHeader/>
          <w:jc w:val="center"/>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231AE0" w:rsidRPr="00231AE0" w:rsidRDefault="00231AE0" w:rsidP="00231AE0">
            <w:pPr>
              <w:rPr>
                <w:rFonts w:ascii="Calibri" w:hAnsi="Calibri"/>
                <w:b/>
                <w:bCs/>
                <w:color w:val="000000"/>
                <w:sz w:val="16"/>
                <w:szCs w:val="16"/>
              </w:rPr>
            </w:pPr>
          </w:p>
        </w:tc>
        <w:tc>
          <w:tcPr>
            <w:tcW w:w="0" w:type="auto"/>
            <w:tcBorders>
              <w:top w:val="nil"/>
              <w:left w:val="nil"/>
              <w:bottom w:val="single" w:sz="4" w:space="0" w:color="auto"/>
              <w:right w:val="single" w:sz="4" w:space="0" w:color="000000"/>
            </w:tcBorders>
            <w:shd w:val="clear" w:color="FFFFCC"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Poids Agences</w:t>
            </w:r>
          </w:p>
        </w:tc>
        <w:tc>
          <w:tcPr>
            <w:tcW w:w="0" w:type="auto"/>
            <w:tcBorders>
              <w:top w:val="nil"/>
              <w:left w:val="nil"/>
              <w:bottom w:val="single" w:sz="4" w:space="0" w:color="auto"/>
              <w:right w:val="single" w:sz="4" w:space="0" w:color="000000"/>
            </w:tcBorders>
            <w:shd w:val="clear" w:color="FFFFCC"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Echantillon</w:t>
            </w:r>
          </w:p>
        </w:tc>
        <w:tc>
          <w:tcPr>
            <w:tcW w:w="0" w:type="auto"/>
            <w:tcBorders>
              <w:top w:val="nil"/>
              <w:left w:val="nil"/>
              <w:bottom w:val="single" w:sz="4" w:space="0" w:color="auto"/>
              <w:right w:val="single" w:sz="4" w:space="0" w:color="000000"/>
            </w:tcBorders>
            <w:shd w:val="clear" w:color="FFFFCC"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Poids Agences</w:t>
            </w:r>
          </w:p>
        </w:tc>
        <w:tc>
          <w:tcPr>
            <w:tcW w:w="0" w:type="auto"/>
            <w:tcBorders>
              <w:top w:val="nil"/>
              <w:left w:val="nil"/>
              <w:bottom w:val="single" w:sz="4" w:space="0" w:color="auto"/>
              <w:right w:val="single" w:sz="4" w:space="0" w:color="000000"/>
            </w:tcBorders>
            <w:shd w:val="clear" w:color="FFFFCC"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Echantillon</w:t>
            </w:r>
          </w:p>
        </w:tc>
        <w:tc>
          <w:tcPr>
            <w:tcW w:w="0" w:type="auto"/>
            <w:vMerge/>
            <w:tcBorders>
              <w:top w:val="single" w:sz="4" w:space="0" w:color="auto"/>
              <w:left w:val="nil"/>
              <w:bottom w:val="single" w:sz="4" w:space="0" w:color="000000"/>
              <w:right w:val="single" w:sz="4" w:space="0" w:color="auto"/>
            </w:tcBorders>
            <w:vAlign w:val="center"/>
            <w:hideMark/>
          </w:tcPr>
          <w:p w:rsidR="00231AE0" w:rsidRPr="00231AE0" w:rsidRDefault="00231AE0" w:rsidP="00231AE0">
            <w:pPr>
              <w:rPr>
                <w:rFonts w:ascii="Calibri" w:hAnsi="Calibri"/>
                <w:b/>
                <w:bCs/>
                <w:color w:val="000000"/>
                <w:sz w:val="16"/>
                <w:szCs w:val="16"/>
              </w:rPr>
            </w:pP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BAS</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94,4%</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35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5,6%</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37</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BHS</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50,0%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51</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50,0%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51</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103</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BICIS</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65,9%</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89</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34,1%</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46</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136</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BIMAO</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33,3%</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8</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66,7%</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17</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BIS</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77,8%</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13</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22,2%</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4</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17</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BNDE</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BOA</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65,4%</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72</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34,6%</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38</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110</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BRM</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BSIC</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19</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19</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CBAO</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50,5%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122</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49,5%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120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242</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CDS</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22</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22</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CI</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r>
      <w:tr w:rsidR="00231AE0" w:rsidRPr="00231AE0" w:rsidTr="00011360">
        <w:trPr>
          <w:trHeight w:hRule="exact" w:val="284"/>
          <w:jc w:val="center"/>
        </w:trPr>
        <w:tc>
          <w:tcPr>
            <w:tcW w:w="0" w:type="auto"/>
            <w:tcBorders>
              <w:top w:val="nil"/>
              <w:left w:val="single" w:sz="4" w:space="0" w:color="000000"/>
              <w:bottom w:val="single" w:sz="4" w:space="0" w:color="auto"/>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CITIBANK</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r>
      <w:tr w:rsidR="00231AE0" w:rsidRPr="00231AE0" w:rsidTr="00011360">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CNCAS</w:t>
            </w:r>
          </w:p>
        </w:tc>
        <w:tc>
          <w:tcPr>
            <w:tcW w:w="0" w:type="auto"/>
            <w:tcBorders>
              <w:top w:val="nil"/>
              <w:left w:val="single" w:sz="4" w:space="0" w:color="auto"/>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13,3%</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86,7%</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101</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116</w:t>
            </w:r>
          </w:p>
        </w:tc>
      </w:tr>
      <w:tr w:rsidR="00231AE0" w:rsidRPr="00231AE0" w:rsidTr="00011360">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FFFFCC" w:fill="D9D9D9"/>
            <w:noWrap/>
            <w:vAlign w:val="center"/>
            <w:hideMark/>
          </w:tcPr>
          <w:p w:rsidR="00231AE0" w:rsidRPr="00231AE0" w:rsidRDefault="00231AE0" w:rsidP="00231AE0">
            <w:pPr>
              <w:rPr>
                <w:rFonts w:ascii="Calibri" w:hAnsi="Calibri"/>
                <w:b/>
                <w:bCs/>
                <w:sz w:val="16"/>
                <w:szCs w:val="16"/>
              </w:rPr>
            </w:pPr>
            <w:r w:rsidRPr="00231AE0">
              <w:rPr>
                <w:rFonts w:ascii="Calibri" w:hAnsi="Calibri"/>
                <w:b/>
                <w:bCs/>
                <w:sz w:val="16"/>
                <w:szCs w:val="16"/>
              </w:rPr>
              <w:t>DIAMOND BANK</w:t>
            </w:r>
          </w:p>
        </w:tc>
        <w:tc>
          <w:tcPr>
            <w:tcW w:w="0" w:type="auto"/>
            <w:tcBorders>
              <w:top w:val="nil"/>
              <w:left w:val="single" w:sz="4" w:space="0" w:color="auto"/>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r>
      <w:tr w:rsidR="00231AE0" w:rsidRPr="00231AE0" w:rsidTr="00011360">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ECOBANK</w:t>
            </w:r>
          </w:p>
        </w:tc>
        <w:tc>
          <w:tcPr>
            <w:tcW w:w="0" w:type="auto"/>
            <w:tcBorders>
              <w:top w:val="nil"/>
              <w:left w:val="single" w:sz="4" w:space="0" w:color="auto"/>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65,8%</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175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34,2%</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91</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265</w:t>
            </w:r>
          </w:p>
        </w:tc>
      </w:tr>
      <w:tr w:rsidR="00231AE0" w:rsidRPr="00231AE0" w:rsidTr="00011360">
        <w:trPr>
          <w:trHeight w:hRule="exact" w:val="284"/>
          <w:jc w:val="center"/>
        </w:trPr>
        <w:tc>
          <w:tcPr>
            <w:tcW w:w="0" w:type="auto"/>
            <w:tcBorders>
              <w:top w:val="single" w:sz="4" w:space="0" w:color="auto"/>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ORABANK</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50,0%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12</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50,0%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12</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23</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ICB</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SGBS</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75,9%</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158</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24,1%</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50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208</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CC" w:fill="D9D9D9"/>
            <w:noWrap/>
            <w:vAlign w:val="center"/>
            <w:hideMark/>
          </w:tcPr>
          <w:p w:rsidR="00231AE0" w:rsidRPr="00231AE0" w:rsidRDefault="00231AE0" w:rsidP="00231AE0">
            <w:pPr>
              <w:rPr>
                <w:rFonts w:ascii="Calibri" w:hAnsi="Calibri"/>
                <w:b/>
                <w:bCs/>
                <w:color w:val="000000"/>
                <w:sz w:val="16"/>
                <w:szCs w:val="16"/>
              </w:rPr>
            </w:pPr>
            <w:r w:rsidRPr="00231AE0">
              <w:rPr>
                <w:rFonts w:ascii="Calibri" w:hAnsi="Calibri"/>
                <w:b/>
                <w:bCs/>
                <w:color w:val="000000"/>
                <w:sz w:val="16"/>
                <w:szCs w:val="16"/>
              </w:rPr>
              <w:t>UBA</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100,0%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Cs/>
                <w:color w:val="000000"/>
                <w:sz w:val="16"/>
                <w:szCs w:val="16"/>
              </w:rPr>
            </w:pPr>
            <w:r w:rsidRPr="00231AE0">
              <w:rPr>
                <w:rFonts w:ascii="Calibri" w:hAnsi="Calibri"/>
                <w:bCs/>
                <w:color w:val="000000"/>
                <w:sz w:val="16"/>
                <w:szCs w:val="16"/>
              </w:rPr>
              <w:t>0,0%</w:t>
            </w:r>
          </w:p>
        </w:tc>
        <w:tc>
          <w:tcPr>
            <w:tcW w:w="0" w:type="auto"/>
            <w:tcBorders>
              <w:top w:val="nil"/>
              <w:left w:val="nil"/>
              <w:bottom w:val="single" w:sz="4" w:space="0" w:color="000000"/>
              <w:right w:val="single" w:sz="4" w:space="0" w:color="000000"/>
            </w:tcBorders>
            <w:shd w:val="clear" w:color="FFFFCC" w:fill="FFFFFF"/>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25</w:t>
            </w:r>
          </w:p>
        </w:tc>
      </w:tr>
      <w:tr w:rsidR="00231AE0" w:rsidRPr="00231AE0" w:rsidTr="00562878">
        <w:trPr>
          <w:trHeight w:hRule="exact" w:val="284"/>
          <w:jc w:val="center"/>
        </w:trPr>
        <w:tc>
          <w:tcPr>
            <w:tcW w:w="0" w:type="auto"/>
            <w:tcBorders>
              <w:top w:val="nil"/>
              <w:left w:val="single" w:sz="4" w:space="0" w:color="000000"/>
              <w:bottom w:val="single" w:sz="4" w:space="0" w:color="000000"/>
              <w:right w:val="single" w:sz="4" w:space="0" w:color="000000"/>
            </w:tcBorders>
            <w:shd w:val="clear" w:color="FFFFFF" w:fill="D9D9D9"/>
            <w:noWrap/>
            <w:vAlign w:val="center"/>
            <w:hideMark/>
          </w:tcPr>
          <w:p w:rsidR="00231AE0" w:rsidRPr="00231AE0" w:rsidRDefault="00231AE0" w:rsidP="00231AE0">
            <w:pPr>
              <w:rPr>
                <w:rFonts w:ascii="Calibri" w:hAnsi="Calibri"/>
                <w:b/>
                <w:bCs/>
                <w:color w:val="333300"/>
                <w:sz w:val="16"/>
                <w:szCs w:val="16"/>
              </w:rPr>
            </w:pPr>
            <w:r w:rsidRPr="00231AE0">
              <w:rPr>
                <w:rFonts w:ascii="Calibri" w:hAnsi="Calibri"/>
                <w:b/>
                <w:bCs/>
                <w:color w:val="333300"/>
                <w:sz w:val="16"/>
                <w:szCs w:val="16"/>
              </w:rPr>
              <w:t>Total</w:t>
            </w:r>
          </w:p>
        </w:tc>
        <w:tc>
          <w:tcPr>
            <w:tcW w:w="0" w:type="auto"/>
            <w:tcBorders>
              <w:top w:val="nil"/>
              <w:left w:val="nil"/>
              <w:bottom w:val="single" w:sz="4" w:space="0" w:color="000000"/>
              <w:right w:val="single" w:sz="4" w:space="0" w:color="000000"/>
            </w:tcBorders>
            <w:shd w:val="clear" w:color="FFFFCC"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60,8%</w:t>
            </w:r>
          </w:p>
        </w:tc>
        <w:tc>
          <w:tcPr>
            <w:tcW w:w="0" w:type="auto"/>
            <w:tcBorders>
              <w:top w:val="nil"/>
              <w:left w:val="nil"/>
              <w:bottom w:val="single" w:sz="4" w:space="0" w:color="000000"/>
              <w:right w:val="single" w:sz="4" w:space="0" w:color="000000"/>
            </w:tcBorders>
            <w:shd w:val="clear" w:color="FFFFCC"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913</w:t>
            </w:r>
          </w:p>
        </w:tc>
        <w:tc>
          <w:tcPr>
            <w:tcW w:w="0" w:type="auto"/>
            <w:tcBorders>
              <w:top w:val="nil"/>
              <w:left w:val="nil"/>
              <w:bottom w:val="single" w:sz="4" w:space="0" w:color="000000"/>
              <w:right w:val="single" w:sz="4" w:space="0" w:color="000000"/>
            </w:tcBorders>
            <w:shd w:val="clear" w:color="FFFFCC"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39,2%</w:t>
            </w:r>
          </w:p>
        </w:tc>
        <w:tc>
          <w:tcPr>
            <w:tcW w:w="0" w:type="auto"/>
            <w:tcBorders>
              <w:top w:val="nil"/>
              <w:left w:val="nil"/>
              <w:bottom w:val="single" w:sz="4" w:space="0" w:color="000000"/>
              <w:right w:val="single" w:sz="4" w:space="0" w:color="000000"/>
            </w:tcBorders>
            <w:shd w:val="clear" w:color="FFFFCC" w:fill="D9D9D9"/>
            <w:noWrap/>
            <w:vAlign w:val="center"/>
            <w:hideMark/>
          </w:tcPr>
          <w:p w:rsidR="00231AE0" w:rsidRPr="00231AE0" w:rsidRDefault="00231AE0" w:rsidP="00231AE0">
            <w:pPr>
              <w:jc w:val="center"/>
              <w:rPr>
                <w:rFonts w:ascii="Calibri" w:hAnsi="Calibri"/>
                <w:b/>
                <w:bCs/>
                <w:color w:val="000000"/>
                <w:sz w:val="16"/>
                <w:szCs w:val="16"/>
              </w:rPr>
            </w:pPr>
            <w:r w:rsidRPr="00231AE0">
              <w:rPr>
                <w:rFonts w:ascii="Calibri" w:hAnsi="Calibri"/>
                <w:b/>
                <w:bCs/>
                <w:color w:val="000000"/>
                <w:sz w:val="16"/>
                <w:szCs w:val="16"/>
              </w:rPr>
              <w:t>587</w:t>
            </w:r>
          </w:p>
        </w:tc>
        <w:tc>
          <w:tcPr>
            <w:tcW w:w="0" w:type="auto"/>
            <w:tcBorders>
              <w:top w:val="nil"/>
              <w:left w:val="nil"/>
              <w:bottom w:val="single" w:sz="4" w:space="0" w:color="000000"/>
              <w:right w:val="single" w:sz="4" w:space="0" w:color="000000"/>
            </w:tcBorders>
            <w:shd w:val="clear" w:color="FFFFFF" w:fill="D9D9D9"/>
            <w:noWrap/>
            <w:vAlign w:val="center"/>
            <w:hideMark/>
          </w:tcPr>
          <w:p w:rsidR="00231AE0" w:rsidRPr="00231AE0" w:rsidRDefault="00231AE0" w:rsidP="00231AE0">
            <w:pPr>
              <w:keepNext/>
              <w:jc w:val="center"/>
              <w:rPr>
                <w:rFonts w:ascii="Calibri" w:hAnsi="Calibri"/>
                <w:b/>
                <w:bCs/>
                <w:color w:val="000000"/>
                <w:sz w:val="16"/>
                <w:szCs w:val="16"/>
              </w:rPr>
            </w:pPr>
            <w:r w:rsidRPr="00231AE0">
              <w:rPr>
                <w:rFonts w:ascii="Calibri" w:hAnsi="Calibri"/>
                <w:b/>
                <w:bCs/>
                <w:color w:val="000000"/>
                <w:sz w:val="16"/>
                <w:szCs w:val="16"/>
              </w:rPr>
              <w:t>1 500</w:t>
            </w:r>
          </w:p>
        </w:tc>
      </w:tr>
    </w:tbl>
    <w:p w:rsidR="00231AE0" w:rsidRPr="00231AE0" w:rsidRDefault="00231AE0" w:rsidP="00231AE0">
      <w:pPr>
        <w:spacing w:after="200"/>
        <w:jc w:val="center"/>
        <w:rPr>
          <w:b/>
          <w:bCs/>
          <w:sz w:val="16"/>
          <w:szCs w:val="18"/>
        </w:rPr>
      </w:pPr>
      <w:r w:rsidRPr="00231AE0">
        <w:rPr>
          <w:b/>
          <w:bCs/>
          <w:sz w:val="16"/>
          <w:szCs w:val="18"/>
        </w:rPr>
        <w:t>Source: Données BCEAO retraitées par l'OQSF</w:t>
      </w:r>
    </w:p>
    <w:p w:rsidR="003653F9" w:rsidRDefault="003653F9" w:rsidP="00A43EFD">
      <w:pPr>
        <w:tabs>
          <w:tab w:val="left" w:pos="-720"/>
        </w:tabs>
        <w:suppressAutoHyphens/>
        <w:spacing w:line="312" w:lineRule="auto"/>
        <w:jc w:val="both"/>
        <w:rPr>
          <w:rFonts w:ascii="Arial" w:hAnsi="Arial" w:cs="Arial"/>
          <w:b/>
          <w:sz w:val="22"/>
          <w:szCs w:val="22"/>
        </w:rPr>
      </w:pPr>
    </w:p>
    <w:p w:rsidR="00281F58" w:rsidRDefault="00281F58" w:rsidP="00A43EFD">
      <w:pPr>
        <w:tabs>
          <w:tab w:val="left" w:pos="-720"/>
        </w:tabs>
        <w:suppressAutoHyphens/>
        <w:spacing w:line="312" w:lineRule="auto"/>
        <w:jc w:val="both"/>
        <w:rPr>
          <w:rFonts w:ascii="Arial" w:hAnsi="Arial" w:cs="Arial"/>
          <w:b/>
          <w:sz w:val="22"/>
          <w:szCs w:val="22"/>
        </w:rPr>
      </w:pPr>
    </w:p>
    <w:p w:rsidR="00281F58" w:rsidRDefault="00281F58" w:rsidP="00A43EFD">
      <w:pPr>
        <w:tabs>
          <w:tab w:val="left" w:pos="-720"/>
        </w:tabs>
        <w:suppressAutoHyphens/>
        <w:spacing w:line="312" w:lineRule="auto"/>
        <w:jc w:val="both"/>
        <w:rPr>
          <w:rFonts w:ascii="Arial" w:hAnsi="Arial" w:cs="Arial"/>
          <w:b/>
          <w:sz w:val="22"/>
          <w:szCs w:val="22"/>
        </w:rPr>
      </w:pPr>
    </w:p>
    <w:p w:rsidR="00281F58" w:rsidRDefault="00281F58" w:rsidP="00A43EFD">
      <w:pPr>
        <w:tabs>
          <w:tab w:val="left" w:pos="-720"/>
        </w:tabs>
        <w:suppressAutoHyphens/>
        <w:spacing w:line="312" w:lineRule="auto"/>
        <w:jc w:val="both"/>
        <w:rPr>
          <w:rFonts w:ascii="Arial" w:hAnsi="Arial" w:cs="Arial"/>
          <w:b/>
          <w:sz w:val="22"/>
          <w:szCs w:val="22"/>
        </w:rPr>
      </w:pPr>
    </w:p>
    <w:p w:rsidR="00DD02A2" w:rsidRDefault="00DD02A2" w:rsidP="00A43EFD">
      <w:pPr>
        <w:tabs>
          <w:tab w:val="left" w:pos="-720"/>
        </w:tabs>
        <w:suppressAutoHyphens/>
        <w:spacing w:line="312" w:lineRule="auto"/>
        <w:jc w:val="both"/>
        <w:rPr>
          <w:rFonts w:ascii="Arial" w:hAnsi="Arial" w:cs="Arial"/>
          <w:b/>
          <w:sz w:val="22"/>
          <w:szCs w:val="22"/>
        </w:rPr>
      </w:pPr>
    </w:p>
    <w:p w:rsidR="00DD02A2" w:rsidRDefault="00DD02A2" w:rsidP="00A43EFD">
      <w:pPr>
        <w:tabs>
          <w:tab w:val="left" w:pos="-720"/>
        </w:tabs>
        <w:suppressAutoHyphens/>
        <w:spacing w:line="312" w:lineRule="auto"/>
        <w:jc w:val="both"/>
        <w:rPr>
          <w:rFonts w:ascii="Arial" w:hAnsi="Arial" w:cs="Arial"/>
          <w:b/>
          <w:sz w:val="22"/>
          <w:szCs w:val="22"/>
        </w:rPr>
      </w:pPr>
    </w:p>
    <w:p w:rsidR="00DD02A2" w:rsidRDefault="00DD02A2" w:rsidP="00A43EFD">
      <w:pPr>
        <w:tabs>
          <w:tab w:val="left" w:pos="-720"/>
        </w:tabs>
        <w:suppressAutoHyphens/>
        <w:spacing w:line="312" w:lineRule="auto"/>
        <w:jc w:val="both"/>
        <w:rPr>
          <w:rFonts w:ascii="Arial" w:hAnsi="Arial" w:cs="Arial"/>
          <w:b/>
          <w:sz w:val="22"/>
          <w:szCs w:val="22"/>
        </w:rPr>
      </w:pPr>
    </w:p>
    <w:p w:rsidR="00DD02A2" w:rsidRDefault="00DD02A2" w:rsidP="00A43EFD">
      <w:pPr>
        <w:tabs>
          <w:tab w:val="left" w:pos="-720"/>
        </w:tabs>
        <w:suppressAutoHyphens/>
        <w:spacing w:line="312" w:lineRule="auto"/>
        <w:jc w:val="both"/>
        <w:rPr>
          <w:rFonts w:ascii="Arial" w:hAnsi="Arial" w:cs="Arial"/>
          <w:b/>
          <w:sz w:val="22"/>
          <w:szCs w:val="22"/>
        </w:rPr>
      </w:pPr>
    </w:p>
    <w:p w:rsidR="00281F58" w:rsidRDefault="00281F58" w:rsidP="00A43EFD">
      <w:pPr>
        <w:tabs>
          <w:tab w:val="left" w:pos="-720"/>
        </w:tabs>
        <w:suppressAutoHyphens/>
        <w:spacing w:line="312" w:lineRule="auto"/>
        <w:jc w:val="both"/>
        <w:rPr>
          <w:rFonts w:ascii="Arial" w:hAnsi="Arial" w:cs="Arial"/>
          <w:b/>
          <w:sz w:val="22"/>
          <w:szCs w:val="22"/>
        </w:rPr>
      </w:pPr>
    </w:p>
    <w:p w:rsidR="00281F58" w:rsidRDefault="00281F58" w:rsidP="00A43EFD">
      <w:pPr>
        <w:tabs>
          <w:tab w:val="left" w:pos="-720"/>
        </w:tabs>
        <w:suppressAutoHyphens/>
        <w:spacing w:line="312" w:lineRule="auto"/>
        <w:jc w:val="both"/>
        <w:rPr>
          <w:rFonts w:ascii="Arial" w:hAnsi="Arial" w:cs="Arial"/>
          <w:b/>
          <w:sz w:val="22"/>
          <w:szCs w:val="22"/>
        </w:rPr>
      </w:pPr>
    </w:p>
    <w:p w:rsidR="00281F58" w:rsidRDefault="00281F58" w:rsidP="00A43EFD">
      <w:pPr>
        <w:tabs>
          <w:tab w:val="left" w:pos="-720"/>
        </w:tabs>
        <w:suppressAutoHyphens/>
        <w:spacing w:line="312" w:lineRule="auto"/>
        <w:jc w:val="both"/>
        <w:rPr>
          <w:rFonts w:ascii="Arial" w:hAnsi="Arial" w:cs="Arial"/>
          <w:b/>
          <w:sz w:val="22"/>
          <w:szCs w:val="22"/>
        </w:rPr>
      </w:pPr>
    </w:p>
    <w:p w:rsidR="00281F58" w:rsidRDefault="00281F58" w:rsidP="00A43EFD">
      <w:pPr>
        <w:tabs>
          <w:tab w:val="left" w:pos="-720"/>
        </w:tabs>
        <w:suppressAutoHyphens/>
        <w:spacing w:line="312" w:lineRule="auto"/>
        <w:jc w:val="both"/>
        <w:rPr>
          <w:rFonts w:ascii="Arial" w:hAnsi="Arial" w:cs="Arial"/>
          <w:b/>
          <w:sz w:val="22"/>
          <w:szCs w:val="22"/>
        </w:rPr>
      </w:pPr>
    </w:p>
    <w:p w:rsidR="00281F58" w:rsidRDefault="00281F58" w:rsidP="00A43EFD">
      <w:pPr>
        <w:tabs>
          <w:tab w:val="left" w:pos="-720"/>
        </w:tabs>
        <w:suppressAutoHyphens/>
        <w:spacing w:line="312" w:lineRule="auto"/>
        <w:jc w:val="both"/>
        <w:rPr>
          <w:rFonts w:ascii="Arial" w:hAnsi="Arial" w:cs="Arial"/>
          <w:b/>
          <w:sz w:val="22"/>
          <w:szCs w:val="22"/>
        </w:rPr>
      </w:pPr>
    </w:p>
    <w:p w:rsidR="00281F58" w:rsidRDefault="00281F58" w:rsidP="00A43EFD">
      <w:pPr>
        <w:tabs>
          <w:tab w:val="left" w:pos="-720"/>
        </w:tabs>
        <w:suppressAutoHyphens/>
        <w:spacing w:line="312" w:lineRule="auto"/>
        <w:jc w:val="both"/>
        <w:rPr>
          <w:rFonts w:ascii="Arial" w:hAnsi="Arial" w:cs="Arial"/>
          <w:b/>
          <w:sz w:val="22"/>
          <w:szCs w:val="22"/>
        </w:rPr>
      </w:pPr>
    </w:p>
    <w:p w:rsidR="00281F58" w:rsidRDefault="00281F58" w:rsidP="00A43EFD">
      <w:pPr>
        <w:tabs>
          <w:tab w:val="left" w:pos="-720"/>
        </w:tabs>
        <w:suppressAutoHyphens/>
        <w:spacing w:line="312" w:lineRule="auto"/>
        <w:jc w:val="both"/>
        <w:rPr>
          <w:rFonts w:ascii="Arial" w:hAnsi="Arial" w:cs="Arial"/>
          <w:b/>
          <w:sz w:val="22"/>
          <w:szCs w:val="22"/>
        </w:rPr>
      </w:pPr>
    </w:p>
    <w:p w:rsidR="00281F58" w:rsidRDefault="00281F58" w:rsidP="00A43EFD">
      <w:pPr>
        <w:tabs>
          <w:tab w:val="left" w:pos="-720"/>
        </w:tabs>
        <w:suppressAutoHyphens/>
        <w:spacing w:line="312" w:lineRule="auto"/>
        <w:jc w:val="both"/>
        <w:rPr>
          <w:rFonts w:ascii="Arial" w:hAnsi="Arial" w:cs="Arial"/>
          <w:b/>
          <w:sz w:val="22"/>
          <w:szCs w:val="22"/>
        </w:rPr>
      </w:pPr>
    </w:p>
    <w:p w:rsidR="00281F58" w:rsidRDefault="00281F58" w:rsidP="00A43EFD">
      <w:pPr>
        <w:tabs>
          <w:tab w:val="left" w:pos="-720"/>
        </w:tabs>
        <w:suppressAutoHyphens/>
        <w:spacing w:line="312" w:lineRule="auto"/>
        <w:jc w:val="both"/>
        <w:rPr>
          <w:rFonts w:ascii="Arial" w:hAnsi="Arial" w:cs="Arial"/>
          <w:b/>
          <w:sz w:val="22"/>
          <w:szCs w:val="22"/>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376C63" w:rsidRDefault="00376C63" w:rsidP="001F5B86">
      <w:pPr>
        <w:tabs>
          <w:tab w:val="left" w:pos="-720"/>
        </w:tabs>
        <w:suppressAutoHyphens/>
        <w:spacing w:line="312" w:lineRule="auto"/>
        <w:jc w:val="center"/>
        <w:outlineLvl w:val="0"/>
        <w:rPr>
          <w:rFonts w:ascii="Arial" w:hAnsi="Arial" w:cs="Arial"/>
          <w:b/>
          <w:szCs w:val="22"/>
          <w:u w:val="single"/>
        </w:rPr>
      </w:pPr>
    </w:p>
    <w:p w:rsidR="00281F58" w:rsidRDefault="00281F58" w:rsidP="00A43EFD">
      <w:pPr>
        <w:tabs>
          <w:tab w:val="left" w:pos="-720"/>
        </w:tabs>
        <w:suppressAutoHyphens/>
        <w:spacing w:line="312" w:lineRule="auto"/>
        <w:jc w:val="both"/>
        <w:rPr>
          <w:rFonts w:ascii="Arial" w:hAnsi="Arial" w:cs="Arial"/>
          <w:b/>
          <w:sz w:val="22"/>
          <w:szCs w:val="22"/>
        </w:rPr>
      </w:pPr>
    </w:p>
    <w:p w:rsidR="00281F58" w:rsidRDefault="001E4A60" w:rsidP="00A43EFD">
      <w:pPr>
        <w:tabs>
          <w:tab w:val="left" w:pos="-720"/>
        </w:tabs>
        <w:suppressAutoHyphens/>
        <w:spacing w:line="312" w:lineRule="auto"/>
        <w:jc w:val="both"/>
        <w:rPr>
          <w:rFonts w:ascii="Arial" w:hAnsi="Arial" w:cs="Arial"/>
          <w:b/>
          <w:sz w:val="22"/>
          <w:szCs w:val="22"/>
        </w:rPr>
      </w:pPr>
      <w:r>
        <w:rPr>
          <w:rFonts w:ascii="Arial" w:hAnsi="Arial" w:cs="Arial"/>
          <w:b/>
          <w:noProof/>
          <w:sz w:val="22"/>
          <w:szCs w:val="22"/>
        </w:rPr>
        <w:pict>
          <v:shape id="_x0000_s1030" type="#_x0000_t202" style="position:absolute;left:0;text-align:left;margin-left:.05pt;margin-top:2.05pt;width:502.75pt;height:90.2pt;z-index:251662336;mso-width-relative:margin;mso-height-relative:margin" strokeweight="3pt">
            <v:textbox style="mso-next-textbox:#_x0000_s1030">
              <w:txbxContent>
                <w:p w:rsidR="003C6676" w:rsidRPr="00113477" w:rsidRDefault="003C6676" w:rsidP="00113477">
                  <w:pPr>
                    <w:tabs>
                      <w:tab w:val="left" w:pos="-720"/>
                    </w:tabs>
                    <w:suppressAutoHyphens/>
                    <w:spacing w:line="312" w:lineRule="auto"/>
                    <w:jc w:val="center"/>
                    <w:outlineLvl w:val="0"/>
                    <w:rPr>
                      <w:rFonts w:ascii="Book Antiqua" w:hAnsi="Book Antiqua" w:cs="Arial"/>
                      <w:b/>
                      <w:sz w:val="48"/>
                      <w:szCs w:val="48"/>
                    </w:rPr>
                  </w:pPr>
                  <w:bookmarkStart w:id="13" w:name="_Toc523322019"/>
                  <w:r w:rsidRPr="00113477">
                    <w:rPr>
                      <w:rFonts w:ascii="Book Antiqua" w:hAnsi="Book Antiqua" w:cs="Arial"/>
                      <w:b/>
                      <w:sz w:val="48"/>
                      <w:szCs w:val="48"/>
                    </w:rPr>
                    <w:t>1</w:t>
                  </w:r>
                  <w:r w:rsidRPr="00113477">
                    <w:rPr>
                      <w:rFonts w:ascii="Book Antiqua" w:hAnsi="Book Antiqua" w:cs="Arial"/>
                      <w:b/>
                      <w:sz w:val="48"/>
                      <w:szCs w:val="48"/>
                      <w:vertAlign w:val="superscript"/>
                    </w:rPr>
                    <w:t>ère</w:t>
                  </w:r>
                  <w:r w:rsidRPr="00113477">
                    <w:rPr>
                      <w:rFonts w:ascii="Book Antiqua" w:hAnsi="Book Antiqua" w:cs="Arial"/>
                      <w:b/>
                      <w:sz w:val="48"/>
                      <w:szCs w:val="48"/>
                    </w:rPr>
                    <w:t>PARTIE : ANALYSE DES RESULTATS DU VOLET « PERSONNES MORALES »</w:t>
                  </w:r>
                  <w:bookmarkEnd w:id="13"/>
                </w:p>
              </w:txbxContent>
            </v:textbox>
          </v:shape>
        </w:pict>
      </w:r>
    </w:p>
    <w:p w:rsidR="00281F58" w:rsidRDefault="00281F58" w:rsidP="00A43EFD">
      <w:pPr>
        <w:tabs>
          <w:tab w:val="left" w:pos="-720"/>
        </w:tabs>
        <w:suppressAutoHyphens/>
        <w:spacing w:line="312" w:lineRule="auto"/>
        <w:jc w:val="both"/>
        <w:rPr>
          <w:rFonts w:ascii="Arial" w:hAnsi="Arial" w:cs="Arial"/>
          <w:b/>
          <w:sz w:val="22"/>
          <w:szCs w:val="22"/>
        </w:rPr>
        <w:sectPr w:rsidR="00281F58" w:rsidSect="00AE2523">
          <w:pgSz w:w="11907" w:h="16840" w:code="9"/>
          <w:pgMar w:top="680" w:right="1134" w:bottom="680" w:left="1191" w:header="454" w:footer="454" w:gutter="0"/>
          <w:cols w:space="720"/>
          <w:docGrid w:linePitch="360"/>
        </w:sectPr>
      </w:pPr>
    </w:p>
    <w:p w:rsidR="00904685" w:rsidRPr="00107468" w:rsidRDefault="00904685" w:rsidP="00A40148">
      <w:pPr>
        <w:tabs>
          <w:tab w:val="left" w:pos="-720"/>
        </w:tabs>
        <w:suppressAutoHyphens/>
        <w:spacing w:line="312" w:lineRule="auto"/>
        <w:jc w:val="center"/>
        <w:outlineLvl w:val="0"/>
        <w:rPr>
          <w:rFonts w:ascii="Arial" w:hAnsi="Arial" w:cs="Arial"/>
          <w:b/>
          <w:sz w:val="22"/>
          <w:szCs w:val="22"/>
        </w:rPr>
      </w:pPr>
      <w:bookmarkStart w:id="14" w:name="_Toc523322020"/>
      <w:r w:rsidRPr="00107468">
        <w:rPr>
          <w:rFonts w:ascii="Arial" w:hAnsi="Arial" w:cs="Arial"/>
          <w:b/>
          <w:sz w:val="22"/>
          <w:szCs w:val="22"/>
        </w:rPr>
        <w:lastRenderedPageBreak/>
        <w:t>TABLEAU SYNOPTIQUE DES PRINCIPAUX INDICATEURS DE SATISFACTION</w:t>
      </w:r>
      <w:r w:rsidR="00351A6D" w:rsidRPr="00107468">
        <w:rPr>
          <w:rStyle w:val="Appelnotedebasdep"/>
          <w:rFonts w:ascii="Arial" w:hAnsi="Arial" w:cs="Arial"/>
          <w:b/>
          <w:sz w:val="22"/>
          <w:szCs w:val="22"/>
        </w:rPr>
        <w:footnoteReference w:id="9"/>
      </w:r>
      <w:bookmarkEnd w:id="14"/>
    </w:p>
    <w:tbl>
      <w:tblPr>
        <w:tblW w:w="1065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703"/>
        <w:gridCol w:w="4961"/>
        <w:gridCol w:w="997"/>
        <w:gridCol w:w="991"/>
      </w:tblGrid>
      <w:tr w:rsidR="00151130" w:rsidRPr="00151130" w:rsidTr="00A40C78">
        <w:trPr>
          <w:trHeight w:val="391"/>
        </w:trPr>
        <w:tc>
          <w:tcPr>
            <w:tcW w:w="3703" w:type="dxa"/>
            <w:vMerge w:val="restart"/>
            <w:shd w:val="clear" w:color="auto" w:fill="auto"/>
            <w:vAlign w:val="center"/>
            <w:hideMark/>
          </w:tcPr>
          <w:p w:rsidR="00151130" w:rsidRPr="00151130" w:rsidRDefault="00151130"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Indicateurs</w:t>
            </w:r>
          </w:p>
        </w:tc>
        <w:tc>
          <w:tcPr>
            <w:tcW w:w="4961" w:type="dxa"/>
            <w:vMerge w:val="restart"/>
            <w:shd w:val="clear" w:color="auto" w:fill="auto"/>
            <w:noWrap/>
            <w:vAlign w:val="center"/>
            <w:hideMark/>
          </w:tcPr>
          <w:p w:rsidR="00151130" w:rsidRPr="00151130" w:rsidRDefault="00151130"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Formule</w:t>
            </w:r>
            <w:r w:rsidR="00107468">
              <w:rPr>
                <w:rFonts w:ascii="Arial" w:hAnsi="Arial" w:cs="Arial"/>
                <w:b/>
                <w:bCs/>
                <w:color w:val="000000"/>
                <w:sz w:val="18"/>
                <w:szCs w:val="18"/>
              </w:rPr>
              <w:t>s</w:t>
            </w:r>
          </w:p>
        </w:tc>
        <w:tc>
          <w:tcPr>
            <w:tcW w:w="1988" w:type="dxa"/>
            <w:gridSpan w:val="2"/>
            <w:vMerge w:val="restart"/>
            <w:shd w:val="clear" w:color="auto" w:fill="auto"/>
            <w:noWrap/>
            <w:vAlign w:val="center"/>
            <w:hideMark/>
          </w:tcPr>
          <w:p w:rsidR="00151130" w:rsidRPr="00151130" w:rsidRDefault="00151130"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Enquêtes</w:t>
            </w:r>
          </w:p>
        </w:tc>
      </w:tr>
      <w:tr w:rsidR="00151130" w:rsidRPr="00151130" w:rsidTr="00A40C78">
        <w:trPr>
          <w:trHeight w:val="207"/>
        </w:trPr>
        <w:tc>
          <w:tcPr>
            <w:tcW w:w="3703" w:type="dxa"/>
            <w:vMerge/>
            <w:vAlign w:val="center"/>
            <w:hideMark/>
          </w:tcPr>
          <w:p w:rsidR="00151130" w:rsidRPr="00151130" w:rsidRDefault="00151130" w:rsidP="00151130">
            <w:pPr>
              <w:contextualSpacing/>
              <w:rPr>
                <w:rFonts w:ascii="Arial" w:hAnsi="Arial" w:cs="Arial"/>
                <w:b/>
                <w:bCs/>
                <w:color w:val="000000"/>
                <w:sz w:val="18"/>
                <w:szCs w:val="18"/>
              </w:rPr>
            </w:pPr>
          </w:p>
        </w:tc>
        <w:tc>
          <w:tcPr>
            <w:tcW w:w="4961" w:type="dxa"/>
            <w:vMerge/>
            <w:vAlign w:val="center"/>
            <w:hideMark/>
          </w:tcPr>
          <w:p w:rsidR="00151130" w:rsidRPr="00151130" w:rsidRDefault="00151130" w:rsidP="00151130">
            <w:pPr>
              <w:contextualSpacing/>
              <w:rPr>
                <w:rFonts w:ascii="Arial" w:hAnsi="Arial" w:cs="Arial"/>
                <w:b/>
                <w:bCs/>
                <w:color w:val="000000"/>
                <w:sz w:val="18"/>
                <w:szCs w:val="18"/>
              </w:rPr>
            </w:pPr>
          </w:p>
        </w:tc>
        <w:tc>
          <w:tcPr>
            <w:tcW w:w="1988" w:type="dxa"/>
            <w:gridSpan w:val="2"/>
            <w:vMerge/>
            <w:vAlign w:val="center"/>
            <w:hideMark/>
          </w:tcPr>
          <w:p w:rsidR="00151130" w:rsidRPr="00151130" w:rsidRDefault="00151130" w:rsidP="00151130">
            <w:pPr>
              <w:contextualSpacing/>
              <w:rPr>
                <w:rFonts w:ascii="Arial" w:hAnsi="Arial" w:cs="Arial"/>
                <w:b/>
                <w:bCs/>
                <w:color w:val="000000"/>
                <w:sz w:val="18"/>
                <w:szCs w:val="18"/>
              </w:rPr>
            </w:pPr>
          </w:p>
        </w:tc>
      </w:tr>
      <w:tr w:rsidR="00151130" w:rsidRPr="00151130" w:rsidTr="00A40C78">
        <w:trPr>
          <w:trHeight w:val="391"/>
        </w:trPr>
        <w:tc>
          <w:tcPr>
            <w:tcW w:w="8664" w:type="dxa"/>
            <w:gridSpan w:val="2"/>
            <w:shd w:val="clear" w:color="000000" w:fill="C5D9F1"/>
            <w:vAlign w:val="center"/>
            <w:hideMark/>
          </w:tcPr>
          <w:p w:rsidR="00151130" w:rsidRPr="00151130" w:rsidRDefault="00151130"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SATISFACTION SUR L'OFFRE DE SERVICES</w:t>
            </w:r>
          </w:p>
        </w:tc>
        <w:tc>
          <w:tcPr>
            <w:tcW w:w="997" w:type="dxa"/>
            <w:shd w:val="clear" w:color="auto" w:fill="C6D9F1" w:themeFill="text2" w:themeFillTint="33"/>
            <w:noWrap/>
            <w:vAlign w:val="center"/>
            <w:hideMark/>
          </w:tcPr>
          <w:p w:rsidR="00151130" w:rsidRPr="00151130" w:rsidRDefault="00151130"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 xml:space="preserve">2010 </w:t>
            </w:r>
          </w:p>
        </w:tc>
        <w:tc>
          <w:tcPr>
            <w:tcW w:w="991" w:type="dxa"/>
            <w:shd w:val="clear" w:color="auto" w:fill="C6D9F1" w:themeFill="text2" w:themeFillTint="33"/>
            <w:noWrap/>
            <w:vAlign w:val="center"/>
            <w:hideMark/>
          </w:tcPr>
          <w:p w:rsidR="00151130" w:rsidRPr="00151130" w:rsidRDefault="00151130"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2015/2016</w:t>
            </w:r>
          </w:p>
        </w:tc>
      </w:tr>
      <w:tr w:rsidR="00151130" w:rsidRPr="00151130" w:rsidTr="00107468">
        <w:trPr>
          <w:trHeight w:val="126"/>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le nombre des agences bancaires</w:t>
            </w:r>
          </w:p>
        </w:tc>
        <w:tc>
          <w:tcPr>
            <w:tcW w:w="4961" w:type="dxa"/>
            <w:shd w:val="clear" w:color="auto" w:fill="FFFFFF" w:themeFill="background1"/>
            <w:vAlign w:val="bottom"/>
            <w:hideMark/>
          </w:tcPr>
          <w:p w:rsidR="00151130" w:rsidRPr="00151130" w:rsidRDefault="00151130" w:rsidP="00151130">
            <w:pPr>
              <w:contextualSpacing/>
              <w:jc w:val="both"/>
              <w:rPr>
                <w:rFonts w:ascii="Arial" w:hAnsi="Arial" w:cs="Arial"/>
                <w:color w:val="000000"/>
                <w:sz w:val="18"/>
                <w:szCs w:val="18"/>
              </w:rPr>
            </w:pPr>
            <w:r w:rsidRPr="00151130">
              <w:rPr>
                <w:rFonts w:ascii="Arial" w:hAnsi="Arial" w:cs="Arial"/>
                <w:color w:val="000000"/>
                <w:sz w:val="18"/>
                <w:szCs w:val="18"/>
              </w:rPr>
              <w:t>(Effectif de "Trè</w:t>
            </w:r>
            <w:r w:rsidR="00A40C78">
              <w:rPr>
                <w:rFonts w:ascii="Arial" w:hAnsi="Arial" w:cs="Arial"/>
                <w:color w:val="000000"/>
                <w:sz w:val="18"/>
                <w:szCs w:val="18"/>
              </w:rPr>
              <w:t>s suffisant" + "Suffisant") / (</w:t>
            </w:r>
            <w:r w:rsidRPr="00151130">
              <w:rPr>
                <w:rFonts w:ascii="Arial" w:hAnsi="Arial" w:cs="Arial"/>
                <w:color w:val="000000"/>
                <w:sz w:val="18"/>
                <w:szCs w:val="18"/>
              </w:rPr>
              <w:t>Effectif de "Très suffisant" +"Suffisant" + "Non Suffi</w:t>
            </w:r>
            <w:r w:rsidR="00A40C78">
              <w:rPr>
                <w:rFonts w:ascii="Arial" w:hAnsi="Arial" w:cs="Arial"/>
                <w:color w:val="000000"/>
                <w:sz w:val="18"/>
                <w:szCs w:val="18"/>
              </w:rPr>
              <w:t>sant" + "Pas du tout Suffisant"</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A40C78" w:rsidRDefault="00A40C78" w:rsidP="00151130">
            <w:pPr>
              <w:contextualSpacing/>
              <w:jc w:val="center"/>
              <w:rPr>
                <w:rFonts w:ascii="Arial" w:hAnsi="Arial" w:cs="Arial"/>
                <w:b/>
                <w:color w:val="000000"/>
                <w:sz w:val="18"/>
                <w:szCs w:val="18"/>
              </w:rPr>
            </w:pPr>
            <w:r>
              <w:rPr>
                <w:rFonts w:ascii="Arial" w:hAnsi="Arial" w:cs="Arial"/>
                <w:b/>
                <w:color w:val="000000"/>
                <w:sz w:val="18"/>
                <w:szCs w:val="18"/>
              </w:rPr>
              <w:t>71,</w:t>
            </w:r>
            <w:r w:rsidR="00151130" w:rsidRPr="00A40C78">
              <w:rPr>
                <w:rFonts w:ascii="Arial" w:hAnsi="Arial" w:cs="Arial"/>
                <w:b/>
                <w:color w:val="000000"/>
                <w:sz w:val="18"/>
                <w:szCs w:val="18"/>
              </w:rPr>
              <w:t>3%</w:t>
            </w:r>
          </w:p>
        </w:tc>
        <w:tc>
          <w:tcPr>
            <w:tcW w:w="991" w:type="dxa"/>
            <w:shd w:val="clear" w:color="auto" w:fill="FFFFFF" w:themeFill="background1"/>
            <w:noWrap/>
            <w:vAlign w:val="center"/>
          </w:tcPr>
          <w:p w:rsidR="00151130" w:rsidRPr="00A40C78"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55,</w:t>
            </w:r>
            <w:r w:rsidR="00151130" w:rsidRPr="00A40C78">
              <w:rPr>
                <w:rFonts w:ascii="Arial" w:hAnsi="Arial" w:cs="Arial"/>
                <w:b/>
                <w:bCs/>
                <w:color w:val="000000"/>
                <w:sz w:val="18"/>
                <w:szCs w:val="18"/>
              </w:rPr>
              <w:t>3%</w:t>
            </w:r>
          </w:p>
        </w:tc>
      </w:tr>
      <w:tr w:rsidR="00151130" w:rsidRPr="00151130" w:rsidTr="00107468">
        <w:trPr>
          <w:trHeight w:val="64"/>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le nombre de caisses fonctionnelles</w:t>
            </w:r>
          </w:p>
        </w:tc>
        <w:tc>
          <w:tcPr>
            <w:tcW w:w="4961" w:type="dxa"/>
            <w:shd w:val="clear" w:color="auto" w:fill="FFFFFF" w:themeFill="background1"/>
            <w:vAlign w:val="bottom"/>
            <w:hideMark/>
          </w:tcPr>
          <w:p w:rsidR="00151130" w:rsidRPr="00151130" w:rsidRDefault="00151130" w:rsidP="00151130">
            <w:pPr>
              <w:contextualSpacing/>
              <w:jc w:val="both"/>
              <w:rPr>
                <w:rFonts w:ascii="Arial" w:hAnsi="Arial" w:cs="Arial"/>
                <w:color w:val="000000"/>
                <w:sz w:val="18"/>
                <w:szCs w:val="18"/>
              </w:rPr>
            </w:pPr>
            <w:r w:rsidRPr="00151130">
              <w:rPr>
                <w:rFonts w:ascii="Arial" w:hAnsi="Arial" w:cs="Arial"/>
                <w:color w:val="000000"/>
                <w:sz w:val="18"/>
                <w:szCs w:val="18"/>
              </w:rPr>
              <w:t>(Effectif de "Très suffisant" + "Suffisant") / (Effectif de "Très suffisant" +"Suffisant" + "Non Suffi</w:t>
            </w:r>
            <w:r w:rsidR="00A40C78">
              <w:rPr>
                <w:rFonts w:ascii="Arial" w:hAnsi="Arial" w:cs="Arial"/>
                <w:color w:val="000000"/>
                <w:sz w:val="18"/>
                <w:szCs w:val="18"/>
              </w:rPr>
              <w:t>sant" + "Pas du tout Suffisant"</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57,</w:t>
            </w:r>
            <w:r w:rsidR="00151130" w:rsidRPr="00151130">
              <w:rPr>
                <w:rFonts w:ascii="Arial" w:hAnsi="Arial" w:cs="Arial"/>
                <w:b/>
                <w:bCs/>
                <w:color w:val="000000"/>
                <w:sz w:val="18"/>
                <w:szCs w:val="18"/>
              </w:rPr>
              <w:t>0%</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43,</w:t>
            </w:r>
            <w:r w:rsidR="00151130" w:rsidRPr="00151130">
              <w:rPr>
                <w:rFonts w:ascii="Arial" w:hAnsi="Arial" w:cs="Arial"/>
                <w:b/>
                <w:bCs/>
                <w:color w:val="000000"/>
                <w:sz w:val="18"/>
                <w:szCs w:val="18"/>
              </w:rPr>
              <w:t>5%</w:t>
            </w:r>
          </w:p>
        </w:tc>
      </w:tr>
      <w:tr w:rsidR="00151130" w:rsidRPr="00151130" w:rsidTr="00107468">
        <w:trPr>
          <w:trHeight w:val="131"/>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Pourcentage des clients ayant émis des virements domestiques lors des trois dernières années</w:t>
            </w:r>
          </w:p>
        </w:tc>
        <w:tc>
          <w:tcPr>
            <w:tcW w:w="4961" w:type="dxa"/>
            <w:shd w:val="clear" w:color="auto" w:fill="FFFFFF" w:themeFill="background1"/>
            <w:vAlign w:val="center"/>
            <w:hideMark/>
          </w:tcPr>
          <w:p w:rsidR="00151130" w:rsidRPr="00151130" w:rsidRDefault="00151130" w:rsidP="00151130">
            <w:pPr>
              <w:contextualSpacing/>
              <w:jc w:val="both"/>
              <w:rPr>
                <w:rFonts w:ascii="Arial" w:hAnsi="Arial" w:cs="Arial"/>
                <w:color w:val="000000"/>
                <w:sz w:val="18"/>
                <w:szCs w:val="18"/>
              </w:rPr>
            </w:pPr>
            <w:r w:rsidRPr="00151130">
              <w:rPr>
                <w:rFonts w:ascii="Arial" w:hAnsi="Arial" w:cs="Arial"/>
                <w:color w:val="000000"/>
                <w:sz w:val="18"/>
                <w:szCs w:val="18"/>
              </w:rPr>
              <w:t>(Effectif de "Oui") / (Effectif de "Oui + "Non</w:t>
            </w:r>
            <w:r>
              <w:rPr>
                <w:rFonts w:ascii="Arial" w:hAnsi="Arial" w:cs="Arial"/>
                <w:color w:val="000000"/>
                <w:sz w:val="18"/>
                <w:szCs w:val="18"/>
              </w:rPr>
              <w:t>"</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56,</w:t>
            </w:r>
            <w:r w:rsidR="00151130" w:rsidRPr="00151130">
              <w:rPr>
                <w:rFonts w:ascii="Arial" w:hAnsi="Arial" w:cs="Arial"/>
                <w:b/>
                <w:bCs/>
                <w:color w:val="000000"/>
                <w:sz w:val="18"/>
                <w:szCs w:val="18"/>
              </w:rPr>
              <w:t>7%</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35,</w:t>
            </w:r>
            <w:r w:rsidR="00151130" w:rsidRPr="00151130">
              <w:rPr>
                <w:rFonts w:ascii="Arial" w:hAnsi="Arial" w:cs="Arial"/>
                <w:b/>
                <w:bCs/>
                <w:color w:val="000000"/>
                <w:sz w:val="18"/>
                <w:szCs w:val="18"/>
              </w:rPr>
              <w:t>5%</w:t>
            </w:r>
          </w:p>
        </w:tc>
      </w:tr>
      <w:tr w:rsidR="00151130" w:rsidRPr="00151130" w:rsidTr="00107468">
        <w:trPr>
          <w:trHeight w:val="83"/>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 durée de traitement des virements domestiques</w:t>
            </w:r>
          </w:p>
        </w:tc>
        <w:tc>
          <w:tcPr>
            <w:tcW w:w="4961" w:type="dxa"/>
            <w:shd w:val="clear" w:color="auto" w:fill="FFFFFF" w:themeFill="background1"/>
            <w:vAlign w:val="bottom"/>
            <w:hideMark/>
          </w:tcPr>
          <w:p w:rsidR="00151130" w:rsidRPr="00151130" w:rsidRDefault="00151130" w:rsidP="00151130">
            <w:pPr>
              <w:contextualSpacing/>
              <w:jc w:val="both"/>
              <w:rPr>
                <w:rFonts w:ascii="Arial" w:hAnsi="Arial" w:cs="Arial"/>
                <w:color w:val="000000"/>
                <w:sz w:val="18"/>
                <w:szCs w:val="18"/>
              </w:rPr>
            </w:pPr>
            <w:r w:rsidRPr="00151130">
              <w:rPr>
                <w:rFonts w:ascii="Arial" w:hAnsi="Arial" w:cs="Arial"/>
                <w:color w:val="000000"/>
                <w:sz w:val="18"/>
                <w:szCs w:val="18"/>
              </w:rPr>
              <w:t>(Effectif de "Acceptable" + "Courte") / ( Effectif de "Très long +"Long" +  "Acceptable" + "Courte")</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69,</w:t>
            </w:r>
            <w:r w:rsidR="00151130" w:rsidRPr="00151130">
              <w:rPr>
                <w:rFonts w:ascii="Arial" w:hAnsi="Arial" w:cs="Arial"/>
                <w:b/>
                <w:bCs/>
                <w:color w:val="000000"/>
                <w:sz w:val="18"/>
                <w:szCs w:val="18"/>
              </w:rPr>
              <w:t>0%</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68,</w:t>
            </w:r>
            <w:r w:rsidR="00151130" w:rsidRPr="00151130">
              <w:rPr>
                <w:rFonts w:ascii="Arial" w:hAnsi="Arial" w:cs="Arial"/>
                <w:b/>
                <w:bCs/>
                <w:color w:val="000000"/>
                <w:sz w:val="18"/>
                <w:szCs w:val="18"/>
              </w:rPr>
              <w:t>8%</w:t>
            </w:r>
          </w:p>
        </w:tc>
      </w:tr>
      <w:tr w:rsidR="00151130" w:rsidRPr="00151130" w:rsidTr="00107468">
        <w:trPr>
          <w:trHeight w:val="358"/>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Pourcentage des clients ayant émis des transferts vers l'étranger lors des trois dernières années</w:t>
            </w:r>
          </w:p>
        </w:tc>
        <w:tc>
          <w:tcPr>
            <w:tcW w:w="4961" w:type="dxa"/>
            <w:shd w:val="clear" w:color="auto" w:fill="FFFFFF" w:themeFill="background1"/>
            <w:vAlign w:val="center"/>
            <w:hideMark/>
          </w:tcPr>
          <w:p w:rsidR="00151130" w:rsidRPr="00151130" w:rsidRDefault="00151130" w:rsidP="00151130">
            <w:pPr>
              <w:contextualSpacing/>
              <w:jc w:val="both"/>
              <w:rPr>
                <w:rFonts w:ascii="Arial" w:hAnsi="Arial" w:cs="Arial"/>
                <w:color w:val="000000"/>
                <w:sz w:val="18"/>
                <w:szCs w:val="18"/>
              </w:rPr>
            </w:pPr>
            <w:r w:rsidRPr="00151130">
              <w:rPr>
                <w:rFonts w:ascii="Arial" w:hAnsi="Arial" w:cs="Arial"/>
                <w:color w:val="000000"/>
                <w:sz w:val="18"/>
                <w:szCs w:val="18"/>
              </w:rPr>
              <w:t>(Effectif de "Oui") / (Effectif de "Oui + "Non</w:t>
            </w:r>
            <w:r>
              <w:rPr>
                <w:rFonts w:ascii="Arial" w:hAnsi="Arial" w:cs="Arial"/>
                <w:color w:val="000000"/>
                <w:sz w:val="18"/>
                <w:szCs w:val="18"/>
              </w:rPr>
              <w:t>"</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45,</w:t>
            </w:r>
            <w:r w:rsidR="00151130" w:rsidRPr="00151130">
              <w:rPr>
                <w:rFonts w:ascii="Arial" w:hAnsi="Arial" w:cs="Arial"/>
                <w:b/>
                <w:bCs/>
                <w:color w:val="000000"/>
                <w:sz w:val="18"/>
                <w:szCs w:val="18"/>
              </w:rPr>
              <w:t>5%</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20,</w:t>
            </w:r>
            <w:r w:rsidR="00151130" w:rsidRPr="00151130">
              <w:rPr>
                <w:rFonts w:ascii="Arial" w:hAnsi="Arial" w:cs="Arial"/>
                <w:b/>
                <w:bCs/>
                <w:color w:val="000000"/>
                <w:sz w:val="18"/>
                <w:szCs w:val="18"/>
              </w:rPr>
              <w:t>5%</w:t>
            </w:r>
          </w:p>
        </w:tc>
      </w:tr>
      <w:tr w:rsidR="00151130" w:rsidRPr="00151130" w:rsidTr="00107468">
        <w:trPr>
          <w:trHeight w:val="60"/>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 durée de traitement des transferts vers l'étranger</w:t>
            </w:r>
          </w:p>
        </w:tc>
        <w:tc>
          <w:tcPr>
            <w:tcW w:w="4961" w:type="dxa"/>
            <w:shd w:val="clear" w:color="auto" w:fill="FFFFFF" w:themeFill="background1"/>
            <w:vAlign w:val="bottom"/>
            <w:hideMark/>
          </w:tcPr>
          <w:p w:rsidR="00151130" w:rsidRPr="00151130" w:rsidRDefault="00151130" w:rsidP="00151130">
            <w:pPr>
              <w:contextualSpacing/>
              <w:jc w:val="both"/>
              <w:rPr>
                <w:rFonts w:ascii="Arial" w:hAnsi="Arial" w:cs="Arial"/>
                <w:color w:val="000000"/>
                <w:sz w:val="18"/>
                <w:szCs w:val="18"/>
              </w:rPr>
            </w:pPr>
            <w:r w:rsidRPr="00151130">
              <w:rPr>
                <w:rFonts w:ascii="Arial" w:hAnsi="Arial" w:cs="Arial"/>
                <w:color w:val="000000"/>
                <w:sz w:val="18"/>
                <w:szCs w:val="18"/>
              </w:rPr>
              <w:t>(Effectif de "Correcte" + "Très correcte") / ( Effectif de "Très long +"Long" +  "Correcte" + "Très correcte")</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60,</w:t>
            </w:r>
            <w:r w:rsidR="00151130" w:rsidRPr="00151130">
              <w:rPr>
                <w:rFonts w:ascii="Arial" w:hAnsi="Arial" w:cs="Arial"/>
                <w:b/>
                <w:bCs/>
                <w:color w:val="000000"/>
                <w:sz w:val="18"/>
                <w:szCs w:val="18"/>
              </w:rPr>
              <w:t>6%</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57,</w:t>
            </w:r>
            <w:r w:rsidR="00151130" w:rsidRPr="00151130">
              <w:rPr>
                <w:rFonts w:ascii="Arial" w:hAnsi="Arial" w:cs="Arial"/>
                <w:b/>
                <w:bCs/>
                <w:color w:val="000000"/>
                <w:sz w:val="18"/>
                <w:szCs w:val="18"/>
              </w:rPr>
              <w:t>5%</w:t>
            </w:r>
          </w:p>
        </w:tc>
      </w:tr>
      <w:tr w:rsidR="00151130" w:rsidRPr="00151130" w:rsidTr="00107468">
        <w:trPr>
          <w:trHeight w:val="235"/>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Pourcentage des clients ayant reçu des transferts en provenance de l'étranger lors des trois dernières années</w:t>
            </w:r>
          </w:p>
        </w:tc>
        <w:tc>
          <w:tcPr>
            <w:tcW w:w="4961" w:type="dxa"/>
            <w:shd w:val="clear" w:color="auto" w:fill="FFFFFF" w:themeFill="background1"/>
            <w:vAlign w:val="center"/>
            <w:hideMark/>
          </w:tcPr>
          <w:p w:rsidR="00151130" w:rsidRPr="00151130" w:rsidRDefault="00151130" w:rsidP="00151130">
            <w:pPr>
              <w:contextualSpacing/>
              <w:jc w:val="both"/>
              <w:rPr>
                <w:rFonts w:ascii="Arial" w:hAnsi="Arial" w:cs="Arial"/>
                <w:color w:val="000000"/>
                <w:sz w:val="18"/>
                <w:szCs w:val="18"/>
              </w:rPr>
            </w:pPr>
            <w:r w:rsidRPr="00151130">
              <w:rPr>
                <w:rFonts w:ascii="Arial" w:hAnsi="Arial" w:cs="Arial"/>
                <w:color w:val="000000"/>
                <w:sz w:val="18"/>
                <w:szCs w:val="18"/>
              </w:rPr>
              <w:t>(Effectif de "Oui") / (Effectif</w:t>
            </w:r>
            <w:r>
              <w:rPr>
                <w:rFonts w:ascii="Arial" w:hAnsi="Arial" w:cs="Arial"/>
                <w:color w:val="000000"/>
                <w:sz w:val="18"/>
                <w:szCs w:val="18"/>
              </w:rPr>
              <w:t xml:space="preserve"> de "Oui + "Non"</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47,</w:t>
            </w:r>
            <w:r w:rsidR="00151130" w:rsidRPr="00151130">
              <w:rPr>
                <w:rFonts w:ascii="Arial" w:hAnsi="Arial" w:cs="Arial"/>
                <w:b/>
                <w:bCs/>
                <w:color w:val="000000"/>
                <w:sz w:val="18"/>
                <w:szCs w:val="18"/>
              </w:rPr>
              <w:t>5%</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22,</w:t>
            </w:r>
            <w:r w:rsidR="00151130" w:rsidRPr="00151130">
              <w:rPr>
                <w:rFonts w:ascii="Arial" w:hAnsi="Arial" w:cs="Arial"/>
                <w:b/>
                <w:bCs/>
                <w:color w:val="000000"/>
                <w:sz w:val="18"/>
                <w:szCs w:val="18"/>
              </w:rPr>
              <w:t>6%</w:t>
            </w:r>
          </w:p>
        </w:tc>
      </w:tr>
      <w:tr w:rsidR="00151130" w:rsidRPr="00151130" w:rsidTr="00107468">
        <w:trPr>
          <w:trHeight w:val="510"/>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 durée de traitement des transferts en provenance de l'étranger</w:t>
            </w:r>
          </w:p>
        </w:tc>
        <w:tc>
          <w:tcPr>
            <w:tcW w:w="4961" w:type="dxa"/>
            <w:shd w:val="clear" w:color="auto" w:fill="FFFFFF" w:themeFill="background1"/>
            <w:vAlign w:val="bottom"/>
            <w:hideMark/>
          </w:tcPr>
          <w:p w:rsidR="00151130" w:rsidRPr="00151130" w:rsidRDefault="00151130" w:rsidP="00151130">
            <w:pPr>
              <w:contextualSpacing/>
              <w:jc w:val="both"/>
              <w:rPr>
                <w:rFonts w:ascii="Arial" w:hAnsi="Arial" w:cs="Arial"/>
                <w:color w:val="000000"/>
                <w:sz w:val="18"/>
                <w:szCs w:val="18"/>
              </w:rPr>
            </w:pPr>
            <w:r w:rsidRPr="00151130">
              <w:rPr>
                <w:rFonts w:ascii="Arial" w:hAnsi="Arial" w:cs="Arial"/>
                <w:color w:val="000000"/>
                <w:sz w:val="18"/>
                <w:szCs w:val="18"/>
              </w:rPr>
              <w:t>(Effectif de   "Correcte" + "Très correcte") / ( Effectif de "Très long +"Long" +  "Correcte" + "Très correcte")</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62,</w:t>
            </w:r>
            <w:r w:rsidR="00151130" w:rsidRPr="00151130">
              <w:rPr>
                <w:rFonts w:ascii="Arial" w:hAnsi="Arial" w:cs="Arial"/>
                <w:b/>
                <w:bCs/>
                <w:color w:val="000000"/>
                <w:sz w:val="18"/>
                <w:szCs w:val="18"/>
              </w:rPr>
              <w:t>1%</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62,</w:t>
            </w:r>
            <w:r w:rsidR="00151130" w:rsidRPr="00151130">
              <w:rPr>
                <w:rFonts w:ascii="Arial" w:hAnsi="Arial" w:cs="Arial"/>
                <w:b/>
                <w:bCs/>
                <w:color w:val="000000"/>
                <w:sz w:val="18"/>
                <w:szCs w:val="18"/>
              </w:rPr>
              <w:t>1%</w:t>
            </w:r>
          </w:p>
        </w:tc>
      </w:tr>
      <w:tr w:rsidR="00151130" w:rsidRPr="00151130" w:rsidTr="00107468">
        <w:trPr>
          <w:trHeight w:val="164"/>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Pourcentage des clients n'ayant jamais décelé une irrégularité dans leur relevé de compte</w:t>
            </w:r>
          </w:p>
        </w:tc>
        <w:tc>
          <w:tcPr>
            <w:tcW w:w="4961" w:type="dxa"/>
            <w:shd w:val="clear" w:color="auto" w:fill="FFFFFF" w:themeFill="background1"/>
            <w:vAlign w:val="bottom"/>
            <w:hideMark/>
          </w:tcPr>
          <w:p w:rsidR="00151130" w:rsidRPr="00151130" w:rsidRDefault="00151130" w:rsidP="00151130">
            <w:pPr>
              <w:contextualSpacing/>
              <w:jc w:val="both"/>
              <w:rPr>
                <w:rFonts w:ascii="Arial" w:hAnsi="Arial" w:cs="Arial"/>
                <w:color w:val="000000"/>
                <w:sz w:val="18"/>
                <w:szCs w:val="18"/>
              </w:rPr>
            </w:pPr>
            <w:r>
              <w:rPr>
                <w:rFonts w:ascii="Arial" w:hAnsi="Arial" w:cs="Arial"/>
                <w:color w:val="000000"/>
                <w:sz w:val="18"/>
                <w:szCs w:val="18"/>
              </w:rPr>
              <w:t>(Effectif de   "Jamais"</w:t>
            </w:r>
            <w:r w:rsidRPr="00151130">
              <w:rPr>
                <w:rFonts w:ascii="Arial" w:hAnsi="Arial" w:cs="Arial"/>
                <w:color w:val="000000"/>
                <w:sz w:val="18"/>
                <w:szCs w:val="18"/>
              </w:rPr>
              <w:t>) / ( Effectif de "Très souvent +"Souvent" +  "Rarement" + "Jamais")</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48,</w:t>
            </w:r>
            <w:r w:rsidR="00151130" w:rsidRPr="00151130">
              <w:rPr>
                <w:rFonts w:ascii="Arial" w:hAnsi="Arial" w:cs="Arial"/>
                <w:b/>
                <w:bCs/>
                <w:color w:val="000000"/>
                <w:sz w:val="18"/>
                <w:szCs w:val="18"/>
              </w:rPr>
              <w:t>3%</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59,</w:t>
            </w:r>
            <w:r w:rsidR="00151130" w:rsidRPr="00151130">
              <w:rPr>
                <w:rFonts w:ascii="Arial" w:hAnsi="Arial" w:cs="Arial"/>
                <w:b/>
                <w:bCs/>
                <w:color w:val="000000"/>
                <w:sz w:val="18"/>
                <w:szCs w:val="18"/>
              </w:rPr>
              <w:t>9%</w:t>
            </w:r>
          </w:p>
        </w:tc>
      </w:tr>
      <w:tr w:rsidR="00151130" w:rsidRPr="00151130" w:rsidTr="00107468">
        <w:trPr>
          <w:trHeight w:val="60"/>
        </w:trPr>
        <w:tc>
          <w:tcPr>
            <w:tcW w:w="3703" w:type="dxa"/>
            <w:shd w:val="clear" w:color="auto" w:fill="auto"/>
            <w:vAlign w:val="bottom"/>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les délais de renouvellement du chéquier</w:t>
            </w:r>
          </w:p>
        </w:tc>
        <w:tc>
          <w:tcPr>
            <w:tcW w:w="4961" w:type="dxa"/>
            <w:shd w:val="clear" w:color="auto" w:fill="FFFFFF" w:themeFill="background1"/>
            <w:vAlign w:val="bottom"/>
            <w:hideMark/>
          </w:tcPr>
          <w:p w:rsidR="00151130" w:rsidRPr="00151130" w:rsidRDefault="00151130" w:rsidP="00151130">
            <w:pPr>
              <w:contextualSpacing/>
              <w:jc w:val="both"/>
              <w:rPr>
                <w:rFonts w:ascii="Arial" w:hAnsi="Arial" w:cs="Arial"/>
                <w:color w:val="000000"/>
                <w:sz w:val="18"/>
                <w:szCs w:val="18"/>
              </w:rPr>
            </w:pPr>
            <w:r w:rsidRPr="00151130">
              <w:rPr>
                <w:rFonts w:ascii="Arial" w:hAnsi="Arial" w:cs="Arial"/>
                <w:color w:val="000000"/>
                <w:sz w:val="18"/>
                <w:szCs w:val="18"/>
              </w:rPr>
              <w:t>(Effectif de   "Correcte" + "Très correcte") / ( Effectif de "Très long +"Long" +  "Correcte" + "Très correcte")</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57,</w:t>
            </w:r>
            <w:r w:rsidR="00151130" w:rsidRPr="00151130">
              <w:rPr>
                <w:rFonts w:ascii="Arial" w:hAnsi="Arial" w:cs="Arial"/>
                <w:b/>
                <w:bCs/>
                <w:color w:val="000000"/>
                <w:sz w:val="18"/>
                <w:szCs w:val="18"/>
              </w:rPr>
              <w:t>7%</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79,</w:t>
            </w:r>
            <w:r w:rsidR="00151130" w:rsidRPr="00151130">
              <w:rPr>
                <w:rFonts w:ascii="Arial" w:hAnsi="Arial" w:cs="Arial"/>
                <w:b/>
                <w:bCs/>
                <w:color w:val="000000"/>
                <w:sz w:val="18"/>
                <w:szCs w:val="18"/>
              </w:rPr>
              <w:t>6%</w:t>
            </w:r>
          </w:p>
        </w:tc>
      </w:tr>
      <w:tr w:rsidR="00151130" w:rsidRPr="00151130" w:rsidTr="00107468">
        <w:trPr>
          <w:trHeight w:val="466"/>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les dates de valeur</w:t>
            </w:r>
          </w:p>
        </w:tc>
        <w:tc>
          <w:tcPr>
            <w:tcW w:w="4961" w:type="dxa"/>
            <w:shd w:val="clear" w:color="auto" w:fill="FFFFFF" w:themeFill="background1"/>
            <w:vAlign w:val="bottom"/>
            <w:hideMark/>
          </w:tcPr>
          <w:p w:rsidR="00151130" w:rsidRPr="00151130" w:rsidRDefault="00151130" w:rsidP="00151130">
            <w:pPr>
              <w:contextualSpacing/>
              <w:jc w:val="both"/>
              <w:rPr>
                <w:rFonts w:ascii="Arial" w:hAnsi="Arial" w:cs="Arial"/>
                <w:color w:val="000000"/>
                <w:sz w:val="18"/>
                <w:szCs w:val="18"/>
              </w:rPr>
            </w:pPr>
            <w:r w:rsidRPr="00151130">
              <w:rPr>
                <w:rFonts w:ascii="Arial" w:hAnsi="Arial" w:cs="Arial"/>
                <w:color w:val="000000"/>
                <w:sz w:val="18"/>
                <w:szCs w:val="18"/>
              </w:rPr>
              <w:t xml:space="preserve">(Effectif de "Très satisfaisante" + "Satisfaisante") / </w:t>
            </w:r>
            <w:r w:rsidR="00EF1203" w:rsidRPr="00151130">
              <w:rPr>
                <w:rFonts w:ascii="Arial" w:hAnsi="Arial" w:cs="Arial"/>
                <w:color w:val="000000"/>
                <w:sz w:val="18"/>
                <w:szCs w:val="18"/>
              </w:rPr>
              <w:t>(Effectif</w:t>
            </w:r>
            <w:r w:rsidRPr="00151130">
              <w:rPr>
                <w:rFonts w:ascii="Arial" w:hAnsi="Arial" w:cs="Arial"/>
                <w:color w:val="000000"/>
                <w:sz w:val="18"/>
                <w:szCs w:val="18"/>
              </w:rPr>
              <w:t xml:space="preserve"> de "Très satisfaisante" +"Satisfaisante" + "Non satisfaisante</w:t>
            </w:r>
            <w:r w:rsidR="00A40C78">
              <w:rPr>
                <w:rFonts w:ascii="Arial" w:hAnsi="Arial" w:cs="Arial"/>
                <w:color w:val="000000"/>
                <w:sz w:val="18"/>
                <w:szCs w:val="18"/>
              </w:rPr>
              <w:t>" + "Pas du tout satisfaisante"</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65,</w:t>
            </w:r>
            <w:r w:rsidR="00151130" w:rsidRPr="00151130">
              <w:rPr>
                <w:rFonts w:ascii="Arial" w:hAnsi="Arial" w:cs="Arial"/>
                <w:b/>
                <w:bCs/>
                <w:color w:val="000000"/>
                <w:sz w:val="18"/>
                <w:szCs w:val="18"/>
              </w:rPr>
              <w:t>4%</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59,</w:t>
            </w:r>
            <w:r w:rsidR="00151130" w:rsidRPr="00151130">
              <w:rPr>
                <w:rFonts w:ascii="Arial" w:hAnsi="Arial" w:cs="Arial"/>
                <w:b/>
                <w:bCs/>
                <w:color w:val="000000"/>
                <w:sz w:val="18"/>
                <w:szCs w:val="18"/>
              </w:rPr>
              <w:t>9%</w:t>
            </w:r>
          </w:p>
        </w:tc>
      </w:tr>
      <w:tr w:rsidR="00151130" w:rsidRPr="00151130" w:rsidTr="00107468">
        <w:trPr>
          <w:trHeight w:val="263"/>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l'adéquation entre les produits bancaires et leurs besoins en fond de roulement</w:t>
            </w:r>
          </w:p>
        </w:tc>
        <w:tc>
          <w:tcPr>
            <w:tcW w:w="4961" w:type="dxa"/>
            <w:shd w:val="clear" w:color="auto" w:fill="FFFFFF" w:themeFill="background1"/>
            <w:vAlign w:val="bottom"/>
            <w:hideMark/>
          </w:tcPr>
          <w:p w:rsidR="00151130" w:rsidRPr="00151130" w:rsidRDefault="00151130" w:rsidP="00151130">
            <w:pPr>
              <w:contextualSpacing/>
              <w:jc w:val="both"/>
              <w:rPr>
                <w:rFonts w:ascii="Arial" w:hAnsi="Arial" w:cs="Arial"/>
                <w:color w:val="000000"/>
                <w:sz w:val="18"/>
                <w:szCs w:val="18"/>
              </w:rPr>
            </w:pPr>
            <w:r w:rsidRPr="00151130">
              <w:rPr>
                <w:rFonts w:ascii="Arial" w:hAnsi="Arial" w:cs="Arial"/>
                <w:color w:val="000000"/>
                <w:sz w:val="18"/>
                <w:szCs w:val="18"/>
              </w:rPr>
              <w:t xml:space="preserve">(Effectif de "Très adaptés" + "Adaptés") / </w:t>
            </w:r>
            <w:r w:rsidR="00EF1203" w:rsidRPr="00151130">
              <w:rPr>
                <w:rFonts w:ascii="Arial" w:hAnsi="Arial" w:cs="Arial"/>
                <w:color w:val="000000"/>
                <w:sz w:val="18"/>
                <w:szCs w:val="18"/>
              </w:rPr>
              <w:t>(Effectif</w:t>
            </w:r>
            <w:r w:rsidRPr="00151130">
              <w:rPr>
                <w:rFonts w:ascii="Arial" w:hAnsi="Arial" w:cs="Arial"/>
                <w:color w:val="000000"/>
                <w:sz w:val="18"/>
                <w:szCs w:val="18"/>
              </w:rPr>
              <w:t xml:space="preserve"> de "Très adaptés" + "Adaptés + "Non a</w:t>
            </w:r>
            <w:r w:rsidR="00EF1203">
              <w:rPr>
                <w:rFonts w:ascii="Arial" w:hAnsi="Arial" w:cs="Arial"/>
                <w:color w:val="000000"/>
                <w:sz w:val="18"/>
                <w:szCs w:val="18"/>
              </w:rPr>
              <w:t>daptés" + "Pas du tout adaptés"</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53,</w:t>
            </w:r>
            <w:r w:rsidR="00151130" w:rsidRPr="00151130">
              <w:rPr>
                <w:rFonts w:ascii="Arial" w:hAnsi="Arial" w:cs="Arial"/>
                <w:b/>
                <w:bCs/>
                <w:color w:val="000000"/>
                <w:sz w:val="18"/>
                <w:szCs w:val="18"/>
              </w:rPr>
              <w:t>6%</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55,</w:t>
            </w:r>
            <w:r w:rsidR="00151130" w:rsidRPr="00151130">
              <w:rPr>
                <w:rFonts w:ascii="Arial" w:hAnsi="Arial" w:cs="Arial"/>
                <w:b/>
                <w:bCs/>
                <w:color w:val="000000"/>
                <w:sz w:val="18"/>
                <w:szCs w:val="18"/>
              </w:rPr>
              <w:t>8%</w:t>
            </w:r>
          </w:p>
        </w:tc>
      </w:tr>
      <w:tr w:rsidR="00151130" w:rsidRPr="00151130" w:rsidTr="00107468">
        <w:trPr>
          <w:trHeight w:val="269"/>
        </w:trPr>
        <w:tc>
          <w:tcPr>
            <w:tcW w:w="3703" w:type="dxa"/>
            <w:shd w:val="clear" w:color="auto" w:fill="auto"/>
            <w:vAlign w:val="bottom"/>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l'adéquation entre les produits bancaires et leurs projets d’investissement</w:t>
            </w:r>
          </w:p>
        </w:tc>
        <w:tc>
          <w:tcPr>
            <w:tcW w:w="4961" w:type="dxa"/>
            <w:shd w:val="clear" w:color="auto" w:fill="FFFFFF" w:themeFill="background1"/>
            <w:vAlign w:val="bottom"/>
            <w:hideMark/>
          </w:tcPr>
          <w:p w:rsidR="00151130" w:rsidRPr="00151130" w:rsidRDefault="00151130" w:rsidP="00A40C78">
            <w:pPr>
              <w:contextualSpacing/>
              <w:jc w:val="both"/>
              <w:rPr>
                <w:rFonts w:ascii="Arial" w:hAnsi="Arial" w:cs="Arial"/>
                <w:color w:val="000000"/>
                <w:sz w:val="18"/>
                <w:szCs w:val="18"/>
              </w:rPr>
            </w:pPr>
            <w:r w:rsidRPr="00151130">
              <w:rPr>
                <w:rFonts w:ascii="Arial" w:hAnsi="Arial" w:cs="Arial"/>
                <w:color w:val="000000"/>
                <w:sz w:val="18"/>
                <w:szCs w:val="18"/>
              </w:rPr>
              <w:t xml:space="preserve">(Effectif de "Très adaptés" + "Adaptés") / </w:t>
            </w:r>
            <w:r w:rsidR="00EF1203" w:rsidRPr="00151130">
              <w:rPr>
                <w:rFonts w:ascii="Arial" w:hAnsi="Arial" w:cs="Arial"/>
                <w:color w:val="000000"/>
                <w:sz w:val="18"/>
                <w:szCs w:val="18"/>
              </w:rPr>
              <w:t>(Effectif</w:t>
            </w:r>
            <w:r w:rsidRPr="00151130">
              <w:rPr>
                <w:rFonts w:ascii="Arial" w:hAnsi="Arial" w:cs="Arial"/>
                <w:color w:val="000000"/>
                <w:sz w:val="18"/>
                <w:szCs w:val="18"/>
              </w:rPr>
              <w:t xml:space="preserve"> de "Très adaptés" + "Adaptés" + "Non a</w:t>
            </w:r>
            <w:r w:rsidR="00EF1203">
              <w:rPr>
                <w:rFonts w:ascii="Arial" w:hAnsi="Arial" w:cs="Arial"/>
                <w:color w:val="000000"/>
                <w:sz w:val="18"/>
                <w:szCs w:val="18"/>
              </w:rPr>
              <w:t>daptés" + "Pas du tout adaptés"</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52,</w:t>
            </w:r>
            <w:r w:rsidR="00151130" w:rsidRPr="00151130">
              <w:rPr>
                <w:rFonts w:ascii="Arial" w:hAnsi="Arial" w:cs="Arial"/>
                <w:b/>
                <w:bCs/>
                <w:color w:val="000000"/>
                <w:sz w:val="18"/>
                <w:szCs w:val="18"/>
              </w:rPr>
              <w:t>5%</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56,</w:t>
            </w:r>
            <w:r w:rsidR="00151130" w:rsidRPr="00151130">
              <w:rPr>
                <w:rFonts w:ascii="Arial" w:hAnsi="Arial" w:cs="Arial"/>
                <w:b/>
                <w:bCs/>
                <w:color w:val="000000"/>
                <w:sz w:val="18"/>
                <w:szCs w:val="18"/>
              </w:rPr>
              <w:t>0%</w:t>
            </w:r>
          </w:p>
        </w:tc>
      </w:tr>
      <w:tr w:rsidR="00151130" w:rsidRPr="00151130" w:rsidTr="00107468">
        <w:trPr>
          <w:trHeight w:val="490"/>
        </w:trPr>
        <w:tc>
          <w:tcPr>
            <w:tcW w:w="10652" w:type="dxa"/>
            <w:gridSpan w:val="4"/>
            <w:shd w:val="clear" w:color="auto" w:fill="C6D9F1" w:themeFill="text2" w:themeFillTint="33"/>
            <w:vAlign w:val="center"/>
            <w:hideMark/>
          </w:tcPr>
          <w:p w:rsidR="00151130" w:rsidRPr="00A40C78" w:rsidRDefault="00151130" w:rsidP="00107468">
            <w:pPr>
              <w:contextualSpacing/>
              <w:jc w:val="center"/>
              <w:rPr>
                <w:rFonts w:ascii="Arial" w:hAnsi="Arial" w:cs="Arial"/>
                <w:b/>
                <w:bCs/>
                <w:color w:val="000000"/>
                <w:sz w:val="18"/>
                <w:szCs w:val="18"/>
              </w:rPr>
            </w:pPr>
            <w:r w:rsidRPr="00A40C78">
              <w:rPr>
                <w:rFonts w:ascii="Arial" w:hAnsi="Arial" w:cs="Arial"/>
                <w:b/>
                <w:bCs/>
                <w:color w:val="000000"/>
                <w:sz w:val="18"/>
                <w:szCs w:val="18"/>
              </w:rPr>
              <w:t>SATISFACTION SUR LES COÛTS</w:t>
            </w:r>
          </w:p>
        </w:tc>
      </w:tr>
      <w:tr w:rsidR="00151130" w:rsidRPr="00151130" w:rsidTr="00107468">
        <w:trPr>
          <w:trHeight w:val="268"/>
        </w:trPr>
        <w:tc>
          <w:tcPr>
            <w:tcW w:w="3703" w:type="dxa"/>
            <w:shd w:val="clear" w:color="auto" w:fill="auto"/>
            <w:vAlign w:val="bottom"/>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Pourcentage de clients ayant bénéficié d'un prêt parmi les demandeurs lors des trois dernières années</w:t>
            </w:r>
          </w:p>
        </w:tc>
        <w:tc>
          <w:tcPr>
            <w:tcW w:w="4961" w:type="dxa"/>
            <w:shd w:val="clear" w:color="auto" w:fill="FFFFFF" w:themeFill="background1"/>
            <w:vAlign w:val="center"/>
            <w:hideMark/>
          </w:tcPr>
          <w:p w:rsidR="00151130" w:rsidRPr="00151130" w:rsidRDefault="00EF1203" w:rsidP="00EF1203">
            <w:pPr>
              <w:contextualSpacing/>
              <w:jc w:val="both"/>
              <w:rPr>
                <w:rFonts w:ascii="Arial" w:hAnsi="Arial" w:cs="Arial"/>
                <w:color w:val="000000"/>
                <w:sz w:val="18"/>
                <w:szCs w:val="18"/>
              </w:rPr>
            </w:pPr>
            <w:r>
              <w:rPr>
                <w:rFonts w:ascii="Arial" w:hAnsi="Arial" w:cs="Arial"/>
                <w:color w:val="000000"/>
                <w:sz w:val="18"/>
                <w:szCs w:val="18"/>
              </w:rPr>
              <w:t>(Effectif de   "Oui"</w:t>
            </w:r>
            <w:r w:rsidR="00151130" w:rsidRPr="00151130">
              <w:rPr>
                <w:rFonts w:ascii="Arial" w:hAnsi="Arial" w:cs="Arial"/>
                <w:color w:val="000000"/>
                <w:sz w:val="18"/>
                <w:szCs w:val="18"/>
              </w:rPr>
              <w:t>) / ( Effectif de "Oui +"Non")</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47,</w:t>
            </w:r>
            <w:r w:rsidR="00151130" w:rsidRPr="00151130">
              <w:rPr>
                <w:rFonts w:ascii="Arial" w:hAnsi="Arial" w:cs="Arial"/>
                <w:b/>
                <w:bCs/>
                <w:color w:val="000000"/>
                <w:sz w:val="18"/>
                <w:szCs w:val="18"/>
              </w:rPr>
              <w:t>5%</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65,</w:t>
            </w:r>
            <w:r w:rsidR="00151130" w:rsidRPr="00151130">
              <w:rPr>
                <w:rFonts w:ascii="Arial" w:hAnsi="Arial" w:cs="Arial"/>
                <w:b/>
                <w:bCs/>
                <w:color w:val="000000"/>
                <w:sz w:val="18"/>
                <w:szCs w:val="18"/>
              </w:rPr>
              <w:t>9%</w:t>
            </w:r>
          </w:p>
        </w:tc>
      </w:tr>
      <w:tr w:rsidR="00151130" w:rsidRPr="00151130" w:rsidTr="00107468">
        <w:trPr>
          <w:trHeight w:val="631"/>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les différentes garanties assorties à l'octroi du prêt</w:t>
            </w:r>
          </w:p>
        </w:tc>
        <w:tc>
          <w:tcPr>
            <w:tcW w:w="4961" w:type="dxa"/>
            <w:shd w:val="clear" w:color="auto" w:fill="FFFFFF" w:themeFill="background1"/>
            <w:vAlign w:val="bottom"/>
            <w:hideMark/>
          </w:tcPr>
          <w:p w:rsidR="00151130" w:rsidRPr="00151130" w:rsidRDefault="00151130" w:rsidP="00EF1203">
            <w:pPr>
              <w:contextualSpacing/>
              <w:jc w:val="both"/>
              <w:rPr>
                <w:rFonts w:ascii="Arial" w:hAnsi="Arial" w:cs="Arial"/>
                <w:color w:val="000000"/>
                <w:sz w:val="18"/>
                <w:szCs w:val="18"/>
              </w:rPr>
            </w:pPr>
            <w:r w:rsidRPr="00151130">
              <w:rPr>
                <w:rFonts w:ascii="Arial" w:hAnsi="Arial" w:cs="Arial"/>
                <w:color w:val="000000"/>
                <w:sz w:val="18"/>
                <w:szCs w:val="18"/>
              </w:rPr>
              <w:t xml:space="preserve">(Effectif de "Pas contraignantes" + "Pas du tout contraignantes") / </w:t>
            </w:r>
            <w:r w:rsidR="00EF1203" w:rsidRPr="00151130">
              <w:rPr>
                <w:rFonts w:ascii="Arial" w:hAnsi="Arial" w:cs="Arial"/>
                <w:color w:val="000000"/>
                <w:sz w:val="18"/>
                <w:szCs w:val="18"/>
              </w:rPr>
              <w:t>(Effectif</w:t>
            </w:r>
            <w:r w:rsidRPr="00151130">
              <w:rPr>
                <w:rFonts w:ascii="Arial" w:hAnsi="Arial" w:cs="Arial"/>
                <w:color w:val="000000"/>
                <w:sz w:val="18"/>
                <w:szCs w:val="18"/>
              </w:rPr>
              <w:t xml:space="preserve"> de "Très </w:t>
            </w:r>
            <w:r w:rsidR="00EF1203" w:rsidRPr="00151130">
              <w:rPr>
                <w:rFonts w:ascii="Arial" w:hAnsi="Arial" w:cs="Arial"/>
                <w:color w:val="000000"/>
                <w:sz w:val="18"/>
                <w:szCs w:val="18"/>
              </w:rPr>
              <w:t>contraignantes</w:t>
            </w:r>
            <w:r w:rsidRPr="00151130">
              <w:rPr>
                <w:rFonts w:ascii="Arial" w:hAnsi="Arial" w:cs="Arial"/>
                <w:color w:val="000000"/>
                <w:sz w:val="18"/>
                <w:szCs w:val="18"/>
              </w:rPr>
              <w:t>" + "Contraignantes" + "Pas contraignantes"</w:t>
            </w:r>
            <w:r w:rsidR="00A40C78">
              <w:rPr>
                <w:rFonts w:ascii="Arial" w:hAnsi="Arial" w:cs="Arial"/>
                <w:color w:val="000000"/>
                <w:sz w:val="18"/>
                <w:szCs w:val="18"/>
              </w:rPr>
              <w:t xml:space="preserve"> + "Pas du tout contraignantes"</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52,</w:t>
            </w:r>
            <w:r w:rsidR="00151130" w:rsidRPr="00151130">
              <w:rPr>
                <w:rFonts w:ascii="Arial" w:hAnsi="Arial" w:cs="Arial"/>
                <w:b/>
                <w:bCs/>
                <w:color w:val="000000"/>
                <w:sz w:val="18"/>
                <w:szCs w:val="18"/>
              </w:rPr>
              <w:t>2%</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32,</w:t>
            </w:r>
            <w:r w:rsidR="00151130" w:rsidRPr="00151130">
              <w:rPr>
                <w:rFonts w:ascii="Arial" w:hAnsi="Arial" w:cs="Arial"/>
                <w:b/>
                <w:bCs/>
                <w:color w:val="000000"/>
                <w:sz w:val="18"/>
                <w:szCs w:val="18"/>
              </w:rPr>
              <w:t>0%</w:t>
            </w:r>
          </w:p>
        </w:tc>
      </w:tr>
      <w:tr w:rsidR="00151130" w:rsidRPr="00151130" w:rsidTr="00107468">
        <w:trPr>
          <w:trHeight w:val="360"/>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le coût du prêt</w:t>
            </w:r>
          </w:p>
        </w:tc>
        <w:tc>
          <w:tcPr>
            <w:tcW w:w="4961" w:type="dxa"/>
            <w:shd w:val="clear" w:color="auto" w:fill="FFFFFF" w:themeFill="background1"/>
            <w:vAlign w:val="bottom"/>
            <w:hideMark/>
          </w:tcPr>
          <w:p w:rsidR="00151130" w:rsidRPr="00151130" w:rsidRDefault="00151130" w:rsidP="00EF1203">
            <w:pPr>
              <w:contextualSpacing/>
              <w:jc w:val="both"/>
              <w:rPr>
                <w:rFonts w:ascii="Arial" w:hAnsi="Arial" w:cs="Arial"/>
                <w:color w:val="000000"/>
                <w:sz w:val="18"/>
                <w:szCs w:val="18"/>
              </w:rPr>
            </w:pPr>
            <w:r w:rsidRPr="00151130">
              <w:rPr>
                <w:rFonts w:ascii="Arial" w:hAnsi="Arial" w:cs="Arial"/>
                <w:color w:val="000000"/>
                <w:sz w:val="18"/>
                <w:szCs w:val="18"/>
              </w:rPr>
              <w:t>(Effectif de "Très Ra</w:t>
            </w:r>
            <w:r w:rsidR="00EF1203">
              <w:rPr>
                <w:rFonts w:ascii="Arial" w:hAnsi="Arial" w:cs="Arial"/>
                <w:color w:val="000000"/>
                <w:sz w:val="18"/>
                <w:szCs w:val="18"/>
              </w:rPr>
              <w:t>isonnable" + "Raisonnable") / (</w:t>
            </w:r>
            <w:r w:rsidRPr="00151130">
              <w:rPr>
                <w:rFonts w:ascii="Arial" w:hAnsi="Arial" w:cs="Arial"/>
                <w:color w:val="000000"/>
                <w:sz w:val="18"/>
                <w:szCs w:val="18"/>
              </w:rPr>
              <w:t xml:space="preserve">Effectif de "Très Raisonnable" + "Raisonnable" + "Elevé" + "Très </w:t>
            </w:r>
            <w:r w:rsidR="00EF1203" w:rsidRPr="00151130">
              <w:rPr>
                <w:rFonts w:ascii="Arial" w:hAnsi="Arial" w:cs="Arial"/>
                <w:color w:val="000000"/>
                <w:sz w:val="18"/>
                <w:szCs w:val="18"/>
              </w:rPr>
              <w:t>élevé</w:t>
            </w:r>
            <w:r w:rsidR="00A40C78">
              <w:rPr>
                <w:rFonts w:ascii="Arial" w:hAnsi="Arial" w:cs="Arial"/>
                <w:color w:val="000000"/>
                <w:sz w:val="18"/>
                <w:szCs w:val="18"/>
              </w:rPr>
              <w:t>"</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16,</w:t>
            </w:r>
            <w:r w:rsidR="00151130" w:rsidRPr="00151130">
              <w:rPr>
                <w:rFonts w:ascii="Arial" w:hAnsi="Arial" w:cs="Arial"/>
                <w:b/>
                <w:bCs/>
                <w:color w:val="000000"/>
                <w:sz w:val="18"/>
                <w:szCs w:val="18"/>
              </w:rPr>
              <w:t>5%</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14,</w:t>
            </w:r>
            <w:r w:rsidR="00151130" w:rsidRPr="00151130">
              <w:rPr>
                <w:rFonts w:ascii="Arial" w:hAnsi="Arial" w:cs="Arial"/>
                <w:b/>
                <w:bCs/>
                <w:color w:val="000000"/>
                <w:sz w:val="18"/>
                <w:szCs w:val="18"/>
              </w:rPr>
              <w:t>6%</w:t>
            </w:r>
          </w:p>
        </w:tc>
      </w:tr>
      <w:tr w:rsidR="00151130" w:rsidRPr="00151130" w:rsidTr="00107468">
        <w:trPr>
          <w:trHeight w:val="284"/>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les frais de tenue de compte</w:t>
            </w:r>
          </w:p>
        </w:tc>
        <w:tc>
          <w:tcPr>
            <w:tcW w:w="4961" w:type="dxa"/>
            <w:shd w:val="clear" w:color="auto" w:fill="FFFFFF" w:themeFill="background1"/>
            <w:vAlign w:val="bottom"/>
            <w:hideMark/>
          </w:tcPr>
          <w:p w:rsidR="00151130" w:rsidRPr="00151130" w:rsidRDefault="00151130" w:rsidP="00EF1203">
            <w:pPr>
              <w:contextualSpacing/>
              <w:jc w:val="both"/>
              <w:rPr>
                <w:rFonts w:ascii="Arial" w:hAnsi="Arial" w:cs="Arial"/>
                <w:color w:val="000000"/>
                <w:sz w:val="18"/>
                <w:szCs w:val="18"/>
              </w:rPr>
            </w:pPr>
            <w:r w:rsidRPr="00151130">
              <w:rPr>
                <w:rFonts w:ascii="Arial" w:hAnsi="Arial" w:cs="Arial"/>
                <w:color w:val="000000"/>
                <w:sz w:val="18"/>
                <w:szCs w:val="18"/>
              </w:rPr>
              <w:t>(Effectif de "Très Ra</w:t>
            </w:r>
            <w:r w:rsidR="00EF1203">
              <w:rPr>
                <w:rFonts w:ascii="Arial" w:hAnsi="Arial" w:cs="Arial"/>
                <w:color w:val="000000"/>
                <w:sz w:val="18"/>
                <w:szCs w:val="18"/>
              </w:rPr>
              <w:t>isonnable" + "Raisonnable") / (</w:t>
            </w:r>
            <w:r w:rsidRPr="00151130">
              <w:rPr>
                <w:rFonts w:ascii="Arial" w:hAnsi="Arial" w:cs="Arial"/>
                <w:color w:val="000000"/>
                <w:sz w:val="18"/>
                <w:szCs w:val="18"/>
              </w:rPr>
              <w:t xml:space="preserve">Effectif de "Très Raisonnable" + "Raisonnable" + "Elevé" + "Très </w:t>
            </w:r>
            <w:r w:rsidR="00EF1203" w:rsidRPr="00151130">
              <w:rPr>
                <w:rFonts w:ascii="Arial" w:hAnsi="Arial" w:cs="Arial"/>
                <w:color w:val="000000"/>
                <w:sz w:val="18"/>
                <w:szCs w:val="18"/>
              </w:rPr>
              <w:t>élevé</w:t>
            </w:r>
            <w:r w:rsidR="00EF1203">
              <w:rPr>
                <w:rFonts w:ascii="Arial" w:hAnsi="Arial" w:cs="Arial"/>
                <w:color w:val="000000"/>
                <w:sz w:val="18"/>
                <w:szCs w:val="18"/>
              </w:rPr>
              <w:t>"</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33,</w:t>
            </w:r>
            <w:r w:rsidR="00151130" w:rsidRPr="00151130">
              <w:rPr>
                <w:rFonts w:ascii="Arial" w:hAnsi="Arial" w:cs="Arial"/>
                <w:b/>
                <w:bCs/>
                <w:color w:val="000000"/>
                <w:sz w:val="18"/>
                <w:szCs w:val="18"/>
              </w:rPr>
              <w:t>9%</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40,</w:t>
            </w:r>
            <w:r w:rsidR="00151130" w:rsidRPr="00151130">
              <w:rPr>
                <w:rFonts w:ascii="Arial" w:hAnsi="Arial" w:cs="Arial"/>
                <w:b/>
                <w:bCs/>
                <w:color w:val="000000"/>
                <w:sz w:val="18"/>
                <w:szCs w:val="18"/>
              </w:rPr>
              <w:t>2%</w:t>
            </w:r>
          </w:p>
        </w:tc>
      </w:tr>
      <w:tr w:rsidR="00151130" w:rsidRPr="00151130" w:rsidTr="00107468">
        <w:trPr>
          <w:trHeight w:val="81"/>
        </w:trPr>
        <w:tc>
          <w:tcPr>
            <w:tcW w:w="3703" w:type="dxa"/>
            <w:shd w:val="clear" w:color="auto" w:fill="auto"/>
            <w:vAlign w:val="bottom"/>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Pourcentage de clients utilisateurs des services de consultation à distance</w:t>
            </w:r>
          </w:p>
        </w:tc>
        <w:tc>
          <w:tcPr>
            <w:tcW w:w="4961" w:type="dxa"/>
            <w:shd w:val="clear" w:color="auto" w:fill="FFFFFF" w:themeFill="background1"/>
            <w:vAlign w:val="center"/>
            <w:hideMark/>
          </w:tcPr>
          <w:p w:rsidR="00151130" w:rsidRPr="00151130" w:rsidRDefault="00EF1203" w:rsidP="00EF1203">
            <w:pPr>
              <w:contextualSpacing/>
              <w:jc w:val="both"/>
              <w:rPr>
                <w:rFonts w:ascii="Arial" w:hAnsi="Arial" w:cs="Arial"/>
                <w:color w:val="000000"/>
                <w:sz w:val="18"/>
                <w:szCs w:val="18"/>
              </w:rPr>
            </w:pPr>
            <w:r>
              <w:rPr>
                <w:rFonts w:ascii="Arial" w:hAnsi="Arial" w:cs="Arial"/>
                <w:color w:val="000000"/>
                <w:sz w:val="18"/>
                <w:szCs w:val="18"/>
              </w:rPr>
              <w:t>(Effectif de   "Oui"</w:t>
            </w:r>
            <w:r w:rsidR="00151130" w:rsidRPr="00151130">
              <w:rPr>
                <w:rFonts w:ascii="Arial" w:hAnsi="Arial" w:cs="Arial"/>
                <w:color w:val="000000"/>
                <w:sz w:val="18"/>
                <w:szCs w:val="18"/>
              </w:rPr>
              <w:t>) / ( Effectif de "Oui +"Non")</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54,</w:t>
            </w:r>
            <w:r w:rsidR="00151130" w:rsidRPr="00151130">
              <w:rPr>
                <w:rFonts w:ascii="Arial" w:hAnsi="Arial" w:cs="Arial"/>
                <w:b/>
                <w:bCs/>
                <w:color w:val="000000"/>
                <w:sz w:val="18"/>
                <w:szCs w:val="18"/>
              </w:rPr>
              <w:t>9%</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38,</w:t>
            </w:r>
            <w:r w:rsidR="00151130" w:rsidRPr="00151130">
              <w:rPr>
                <w:rFonts w:ascii="Arial" w:hAnsi="Arial" w:cs="Arial"/>
                <w:b/>
                <w:bCs/>
                <w:color w:val="000000"/>
                <w:sz w:val="18"/>
                <w:szCs w:val="18"/>
              </w:rPr>
              <w:t>0%</w:t>
            </w:r>
          </w:p>
        </w:tc>
      </w:tr>
      <w:tr w:rsidR="00151130" w:rsidRPr="00151130" w:rsidTr="00107468">
        <w:trPr>
          <w:trHeight w:val="79"/>
        </w:trPr>
        <w:tc>
          <w:tcPr>
            <w:tcW w:w="3703" w:type="dxa"/>
            <w:shd w:val="clear" w:color="auto" w:fill="auto"/>
            <w:vAlign w:val="center"/>
            <w:hideMark/>
          </w:tcPr>
          <w:p w:rsidR="00151130" w:rsidRPr="00A40C78" w:rsidRDefault="00151130" w:rsidP="00A40C78">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 qualité des services de consultation à distance</w:t>
            </w:r>
          </w:p>
        </w:tc>
        <w:tc>
          <w:tcPr>
            <w:tcW w:w="4961" w:type="dxa"/>
            <w:shd w:val="clear" w:color="auto" w:fill="FFFFFF" w:themeFill="background1"/>
            <w:vAlign w:val="bottom"/>
            <w:hideMark/>
          </w:tcPr>
          <w:p w:rsidR="00151130" w:rsidRPr="00151130" w:rsidRDefault="00151130" w:rsidP="00EF1203">
            <w:pPr>
              <w:contextualSpacing/>
              <w:jc w:val="both"/>
              <w:rPr>
                <w:rFonts w:ascii="Arial" w:hAnsi="Arial" w:cs="Arial"/>
                <w:color w:val="000000"/>
                <w:sz w:val="18"/>
                <w:szCs w:val="18"/>
              </w:rPr>
            </w:pPr>
            <w:r w:rsidRPr="00151130">
              <w:rPr>
                <w:rFonts w:ascii="Arial" w:hAnsi="Arial" w:cs="Arial"/>
                <w:color w:val="000000"/>
                <w:sz w:val="18"/>
                <w:szCs w:val="18"/>
              </w:rPr>
              <w:t>(Effectif de "Très satisf</w:t>
            </w:r>
            <w:r w:rsidR="00EF1203">
              <w:rPr>
                <w:rFonts w:ascii="Arial" w:hAnsi="Arial" w:cs="Arial"/>
                <w:color w:val="000000"/>
                <w:sz w:val="18"/>
                <w:szCs w:val="18"/>
              </w:rPr>
              <w:t>aisante" + "Satisfaisante") / (</w:t>
            </w:r>
            <w:r w:rsidRPr="00151130">
              <w:rPr>
                <w:rFonts w:ascii="Arial" w:hAnsi="Arial" w:cs="Arial"/>
                <w:color w:val="000000"/>
                <w:sz w:val="18"/>
                <w:szCs w:val="18"/>
              </w:rPr>
              <w:t>Effectif de "Très satisfaisante" +"Satisfaisante" + "Non satisfaisante</w:t>
            </w:r>
            <w:r w:rsidR="00EF1203">
              <w:rPr>
                <w:rFonts w:ascii="Arial" w:hAnsi="Arial" w:cs="Arial"/>
                <w:color w:val="000000"/>
                <w:sz w:val="18"/>
                <w:szCs w:val="18"/>
              </w:rPr>
              <w:t>" + "Pas du tout satisfaisante"</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75,</w:t>
            </w:r>
            <w:r w:rsidR="00151130" w:rsidRPr="00151130">
              <w:rPr>
                <w:rFonts w:ascii="Arial" w:hAnsi="Arial" w:cs="Arial"/>
                <w:b/>
                <w:bCs/>
                <w:color w:val="000000"/>
                <w:sz w:val="18"/>
                <w:szCs w:val="18"/>
              </w:rPr>
              <w:t>8%</w:t>
            </w:r>
          </w:p>
        </w:tc>
        <w:tc>
          <w:tcPr>
            <w:tcW w:w="991" w:type="dxa"/>
            <w:shd w:val="clear" w:color="auto" w:fill="FFFFFF" w:themeFill="background1"/>
            <w:noWrap/>
            <w:vAlign w:val="center"/>
          </w:tcPr>
          <w:p w:rsidR="00151130" w:rsidRPr="00151130" w:rsidRDefault="00A40C78" w:rsidP="00151130">
            <w:pPr>
              <w:contextualSpacing/>
              <w:jc w:val="center"/>
              <w:rPr>
                <w:rFonts w:ascii="Arial" w:hAnsi="Arial" w:cs="Arial"/>
                <w:b/>
                <w:bCs/>
                <w:color w:val="000000"/>
                <w:sz w:val="18"/>
                <w:szCs w:val="18"/>
              </w:rPr>
            </w:pPr>
            <w:r>
              <w:rPr>
                <w:rFonts w:ascii="Arial" w:hAnsi="Arial" w:cs="Arial"/>
                <w:b/>
                <w:bCs/>
                <w:color w:val="000000"/>
                <w:sz w:val="18"/>
                <w:szCs w:val="18"/>
              </w:rPr>
              <w:t>86,</w:t>
            </w:r>
            <w:r w:rsidR="00151130" w:rsidRPr="00151130">
              <w:rPr>
                <w:rFonts w:ascii="Arial" w:hAnsi="Arial" w:cs="Arial"/>
                <w:b/>
                <w:bCs/>
                <w:color w:val="000000"/>
                <w:sz w:val="18"/>
                <w:szCs w:val="18"/>
              </w:rPr>
              <w:t>4%</w:t>
            </w:r>
          </w:p>
        </w:tc>
      </w:tr>
      <w:tr w:rsidR="00931ED1" w:rsidRPr="00151130" w:rsidTr="00107468">
        <w:trPr>
          <w:trHeight w:val="566"/>
        </w:trPr>
        <w:tc>
          <w:tcPr>
            <w:tcW w:w="10652" w:type="dxa"/>
            <w:gridSpan w:val="4"/>
            <w:shd w:val="clear" w:color="auto" w:fill="C6D9F1" w:themeFill="text2" w:themeFillTint="33"/>
            <w:vAlign w:val="center"/>
            <w:hideMark/>
          </w:tcPr>
          <w:p w:rsidR="00931ED1" w:rsidRPr="00151130" w:rsidRDefault="00931ED1"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lastRenderedPageBreak/>
              <w:t>SATISFACTION SUR L'ACCESSIBILITE</w:t>
            </w:r>
          </w:p>
        </w:tc>
      </w:tr>
      <w:tr w:rsidR="00151130" w:rsidRPr="00151130" w:rsidTr="00107468">
        <w:trPr>
          <w:trHeight w:val="484"/>
        </w:trPr>
        <w:tc>
          <w:tcPr>
            <w:tcW w:w="3703" w:type="dxa"/>
            <w:shd w:val="clear" w:color="auto" w:fill="auto"/>
            <w:vAlign w:val="center"/>
            <w:hideMark/>
          </w:tcPr>
          <w:p w:rsidR="00151130" w:rsidRPr="00A40C78" w:rsidRDefault="00151130" w:rsidP="00EF1203">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 qualité de l'accessibilité physique des agences bancaires</w:t>
            </w:r>
          </w:p>
        </w:tc>
        <w:tc>
          <w:tcPr>
            <w:tcW w:w="4961" w:type="dxa"/>
            <w:shd w:val="clear" w:color="auto" w:fill="FFFFFF" w:themeFill="background1"/>
            <w:vAlign w:val="bottom"/>
            <w:hideMark/>
          </w:tcPr>
          <w:p w:rsidR="00151130" w:rsidRPr="00151130" w:rsidRDefault="00151130" w:rsidP="00EF1203">
            <w:pPr>
              <w:contextualSpacing/>
              <w:jc w:val="both"/>
              <w:rPr>
                <w:rFonts w:ascii="Arial" w:hAnsi="Arial" w:cs="Arial"/>
                <w:color w:val="000000"/>
                <w:sz w:val="18"/>
                <w:szCs w:val="18"/>
              </w:rPr>
            </w:pPr>
            <w:r w:rsidRPr="00151130">
              <w:rPr>
                <w:rFonts w:ascii="Arial" w:hAnsi="Arial" w:cs="Arial"/>
                <w:color w:val="000000"/>
                <w:sz w:val="18"/>
                <w:szCs w:val="18"/>
              </w:rPr>
              <w:t xml:space="preserve">(Effectif de "Très facile" + "Facile") / </w:t>
            </w:r>
            <w:r w:rsidR="00EF1203" w:rsidRPr="00151130">
              <w:rPr>
                <w:rFonts w:ascii="Arial" w:hAnsi="Arial" w:cs="Arial"/>
                <w:color w:val="000000"/>
                <w:sz w:val="18"/>
                <w:szCs w:val="18"/>
              </w:rPr>
              <w:t>(Effectif</w:t>
            </w:r>
            <w:r w:rsidRPr="00151130">
              <w:rPr>
                <w:rFonts w:ascii="Arial" w:hAnsi="Arial" w:cs="Arial"/>
                <w:color w:val="000000"/>
                <w:sz w:val="18"/>
                <w:szCs w:val="18"/>
              </w:rPr>
              <w:t xml:space="preserve"> de "Très facile" + "Facile" +</w:t>
            </w:r>
            <w:r w:rsidR="00EF1203">
              <w:rPr>
                <w:rFonts w:ascii="Arial" w:hAnsi="Arial" w:cs="Arial"/>
                <w:color w:val="000000"/>
                <w:sz w:val="18"/>
                <w:szCs w:val="18"/>
              </w:rPr>
              <w:t xml:space="preserve"> "Difficile" + "Très difficile"</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77,</w:t>
            </w:r>
            <w:r w:rsidR="00151130" w:rsidRPr="00151130">
              <w:rPr>
                <w:rFonts w:ascii="Arial" w:hAnsi="Arial" w:cs="Arial"/>
                <w:b/>
                <w:bCs/>
                <w:color w:val="000000"/>
                <w:sz w:val="18"/>
                <w:szCs w:val="18"/>
              </w:rPr>
              <w:t>3%</w:t>
            </w:r>
          </w:p>
        </w:tc>
        <w:tc>
          <w:tcPr>
            <w:tcW w:w="991"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80,</w:t>
            </w:r>
            <w:r w:rsidR="00151130" w:rsidRPr="00151130">
              <w:rPr>
                <w:rFonts w:ascii="Arial" w:hAnsi="Arial" w:cs="Arial"/>
                <w:b/>
                <w:bCs/>
                <w:color w:val="000000"/>
                <w:sz w:val="18"/>
                <w:szCs w:val="18"/>
              </w:rPr>
              <w:t>4%</w:t>
            </w:r>
          </w:p>
        </w:tc>
      </w:tr>
      <w:tr w:rsidR="00151130" w:rsidRPr="00151130" w:rsidTr="00107468">
        <w:trPr>
          <w:trHeight w:val="578"/>
        </w:trPr>
        <w:tc>
          <w:tcPr>
            <w:tcW w:w="3703" w:type="dxa"/>
            <w:shd w:val="clear" w:color="auto" w:fill="auto"/>
            <w:vAlign w:val="center"/>
            <w:hideMark/>
          </w:tcPr>
          <w:p w:rsidR="00151130" w:rsidRPr="00A40C78" w:rsidRDefault="00151130" w:rsidP="00EF1203">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les horaires de service des agences bancaires</w:t>
            </w:r>
          </w:p>
        </w:tc>
        <w:tc>
          <w:tcPr>
            <w:tcW w:w="4961" w:type="dxa"/>
            <w:shd w:val="clear" w:color="auto" w:fill="FFFFFF" w:themeFill="background1"/>
            <w:vAlign w:val="bottom"/>
            <w:hideMark/>
          </w:tcPr>
          <w:p w:rsidR="00151130" w:rsidRPr="00151130" w:rsidRDefault="00151130" w:rsidP="00EF1203">
            <w:pPr>
              <w:contextualSpacing/>
              <w:jc w:val="both"/>
              <w:rPr>
                <w:rFonts w:ascii="Arial" w:hAnsi="Arial" w:cs="Arial"/>
                <w:color w:val="000000"/>
                <w:sz w:val="18"/>
                <w:szCs w:val="18"/>
              </w:rPr>
            </w:pPr>
            <w:r w:rsidRPr="00151130">
              <w:rPr>
                <w:rFonts w:ascii="Arial" w:hAnsi="Arial" w:cs="Arial"/>
                <w:color w:val="000000"/>
                <w:sz w:val="18"/>
                <w:szCs w:val="18"/>
              </w:rPr>
              <w:t xml:space="preserve">(Effectif de "Très adaptés" + "Adaptés") / </w:t>
            </w:r>
            <w:r w:rsidR="00EF1203" w:rsidRPr="00151130">
              <w:rPr>
                <w:rFonts w:ascii="Arial" w:hAnsi="Arial" w:cs="Arial"/>
                <w:color w:val="000000"/>
                <w:sz w:val="18"/>
                <w:szCs w:val="18"/>
              </w:rPr>
              <w:t>(Effectif</w:t>
            </w:r>
            <w:r w:rsidRPr="00151130">
              <w:rPr>
                <w:rFonts w:ascii="Arial" w:hAnsi="Arial" w:cs="Arial"/>
                <w:color w:val="000000"/>
                <w:sz w:val="18"/>
                <w:szCs w:val="18"/>
              </w:rPr>
              <w:t xml:space="preserve"> de  "Très adaptés" + "Adaptés" +</w:t>
            </w:r>
            <w:r w:rsidR="00931ED1">
              <w:rPr>
                <w:rFonts w:ascii="Arial" w:hAnsi="Arial" w:cs="Arial"/>
                <w:color w:val="000000"/>
                <w:sz w:val="18"/>
                <w:szCs w:val="18"/>
              </w:rPr>
              <w:t xml:space="preserve"> "Inadaptés" + "Très inadaptés"</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79,</w:t>
            </w:r>
            <w:r w:rsidR="00151130" w:rsidRPr="00151130">
              <w:rPr>
                <w:rFonts w:ascii="Arial" w:hAnsi="Arial" w:cs="Arial"/>
                <w:b/>
                <w:bCs/>
                <w:color w:val="000000"/>
                <w:sz w:val="18"/>
                <w:szCs w:val="18"/>
              </w:rPr>
              <w:t>2%</w:t>
            </w:r>
          </w:p>
        </w:tc>
        <w:tc>
          <w:tcPr>
            <w:tcW w:w="991"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82,</w:t>
            </w:r>
            <w:r w:rsidR="00151130" w:rsidRPr="00151130">
              <w:rPr>
                <w:rFonts w:ascii="Arial" w:hAnsi="Arial" w:cs="Arial"/>
                <w:b/>
                <w:bCs/>
                <w:color w:val="000000"/>
                <w:sz w:val="18"/>
                <w:szCs w:val="18"/>
              </w:rPr>
              <w:t>4%</w:t>
            </w:r>
          </w:p>
        </w:tc>
      </w:tr>
      <w:tr w:rsidR="00151130" w:rsidRPr="00151130" w:rsidTr="00107468">
        <w:trPr>
          <w:trHeight w:val="570"/>
        </w:trPr>
        <w:tc>
          <w:tcPr>
            <w:tcW w:w="3703" w:type="dxa"/>
            <w:shd w:val="clear" w:color="auto" w:fill="auto"/>
            <w:vAlign w:val="center"/>
            <w:hideMark/>
          </w:tcPr>
          <w:p w:rsidR="00151130" w:rsidRPr="00A40C78" w:rsidRDefault="00151130" w:rsidP="00EF1203">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 qualité de l'accès par téléphone aux agences bancaires</w:t>
            </w:r>
          </w:p>
        </w:tc>
        <w:tc>
          <w:tcPr>
            <w:tcW w:w="4961" w:type="dxa"/>
            <w:shd w:val="clear" w:color="auto" w:fill="FFFFFF" w:themeFill="background1"/>
            <w:vAlign w:val="bottom"/>
            <w:hideMark/>
          </w:tcPr>
          <w:p w:rsidR="00151130" w:rsidRPr="00151130" w:rsidRDefault="00151130" w:rsidP="00EF1203">
            <w:pPr>
              <w:contextualSpacing/>
              <w:jc w:val="both"/>
              <w:rPr>
                <w:rFonts w:ascii="Arial" w:hAnsi="Arial" w:cs="Arial"/>
                <w:color w:val="000000"/>
                <w:sz w:val="18"/>
                <w:szCs w:val="18"/>
              </w:rPr>
            </w:pPr>
            <w:r w:rsidRPr="00151130">
              <w:rPr>
                <w:rFonts w:ascii="Arial" w:hAnsi="Arial" w:cs="Arial"/>
                <w:color w:val="000000"/>
                <w:sz w:val="18"/>
                <w:szCs w:val="18"/>
              </w:rPr>
              <w:t xml:space="preserve">(Effectif de "Très facile" + "Facile") / </w:t>
            </w:r>
            <w:r w:rsidR="00EF1203" w:rsidRPr="00151130">
              <w:rPr>
                <w:rFonts w:ascii="Arial" w:hAnsi="Arial" w:cs="Arial"/>
                <w:color w:val="000000"/>
                <w:sz w:val="18"/>
                <w:szCs w:val="18"/>
              </w:rPr>
              <w:t>(Effectif</w:t>
            </w:r>
            <w:r w:rsidRPr="00151130">
              <w:rPr>
                <w:rFonts w:ascii="Arial" w:hAnsi="Arial" w:cs="Arial"/>
                <w:color w:val="000000"/>
                <w:sz w:val="18"/>
                <w:szCs w:val="18"/>
              </w:rPr>
              <w:t xml:space="preserve"> de "Très facile" + "Facile" +</w:t>
            </w:r>
            <w:r w:rsidR="00EF1203">
              <w:rPr>
                <w:rFonts w:ascii="Arial" w:hAnsi="Arial" w:cs="Arial"/>
                <w:color w:val="000000"/>
                <w:sz w:val="18"/>
                <w:szCs w:val="18"/>
              </w:rPr>
              <w:t xml:space="preserve"> "Difficile" + "Très difficile"</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55,</w:t>
            </w:r>
            <w:r w:rsidR="00151130" w:rsidRPr="00151130">
              <w:rPr>
                <w:rFonts w:ascii="Arial" w:hAnsi="Arial" w:cs="Arial"/>
                <w:b/>
                <w:bCs/>
                <w:color w:val="000000"/>
                <w:sz w:val="18"/>
                <w:szCs w:val="18"/>
              </w:rPr>
              <w:t>4%</w:t>
            </w:r>
          </w:p>
        </w:tc>
        <w:tc>
          <w:tcPr>
            <w:tcW w:w="991"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69,</w:t>
            </w:r>
            <w:r w:rsidR="00151130" w:rsidRPr="00151130">
              <w:rPr>
                <w:rFonts w:ascii="Arial" w:hAnsi="Arial" w:cs="Arial"/>
                <w:b/>
                <w:bCs/>
                <w:color w:val="000000"/>
                <w:sz w:val="18"/>
                <w:szCs w:val="18"/>
              </w:rPr>
              <w:t>7%</w:t>
            </w:r>
          </w:p>
        </w:tc>
      </w:tr>
      <w:tr w:rsidR="00151130" w:rsidRPr="00151130" w:rsidTr="00107468">
        <w:trPr>
          <w:trHeight w:val="562"/>
        </w:trPr>
        <w:tc>
          <w:tcPr>
            <w:tcW w:w="3703" w:type="dxa"/>
            <w:shd w:val="clear" w:color="auto" w:fill="auto"/>
            <w:vAlign w:val="center"/>
            <w:hideMark/>
          </w:tcPr>
          <w:p w:rsidR="00151130" w:rsidRPr="00A40C78" w:rsidRDefault="00151130" w:rsidP="00EF1203">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 qualité de l'accès par internet à la banque principale</w:t>
            </w:r>
          </w:p>
        </w:tc>
        <w:tc>
          <w:tcPr>
            <w:tcW w:w="4961" w:type="dxa"/>
            <w:shd w:val="clear" w:color="auto" w:fill="FFFFFF" w:themeFill="background1"/>
            <w:vAlign w:val="bottom"/>
            <w:hideMark/>
          </w:tcPr>
          <w:p w:rsidR="00151130" w:rsidRPr="00151130" w:rsidRDefault="00151130" w:rsidP="00EF1203">
            <w:pPr>
              <w:contextualSpacing/>
              <w:jc w:val="both"/>
              <w:rPr>
                <w:rFonts w:ascii="Arial" w:hAnsi="Arial" w:cs="Arial"/>
                <w:color w:val="000000"/>
                <w:sz w:val="18"/>
                <w:szCs w:val="18"/>
              </w:rPr>
            </w:pPr>
            <w:r w:rsidRPr="00151130">
              <w:rPr>
                <w:rFonts w:ascii="Arial" w:hAnsi="Arial" w:cs="Arial"/>
                <w:color w:val="000000"/>
                <w:sz w:val="18"/>
                <w:szCs w:val="18"/>
              </w:rPr>
              <w:t xml:space="preserve">(Effectif de "Très facile" + "Facile") / </w:t>
            </w:r>
            <w:r w:rsidR="00EF1203" w:rsidRPr="00151130">
              <w:rPr>
                <w:rFonts w:ascii="Arial" w:hAnsi="Arial" w:cs="Arial"/>
                <w:color w:val="000000"/>
                <w:sz w:val="18"/>
                <w:szCs w:val="18"/>
              </w:rPr>
              <w:t>(Effectif</w:t>
            </w:r>
            <w:r w:rsidRPr="00151130">
              <w:rPr>
                <w:rFonts w:ascii="Arial" w:hAnsi="Arial" w:cs="Arial"/>
                <w:color w:val="000000"/>
                <w:sz w:val="18"/>
                <w:szCs w:val="18"/>
              </w:rPr>
              <w:t xml:space="preserve"> de "Très facile" + "Facile" +</w:t>
            </w:r>
            <w:r w:rsidR="00EF1203">
              <w:rPr>
                <w:rFonts w:ascii="Arial" w:hAnsi="Arial" w:cs="Arial"/>
                <w:color w:val="000000"/>
                <w:sz w:val="18"/>
                <w:szCs w:val="18"/>
              </w:rPr>
              <w:t xml:space="preserve"> "Difficile" + "Très difficile"</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40,</w:t>
            </w:r>
            <w:r w:rsidR="00151130" w:rsidRPr="00151130">
              <w:rPr>
                <w:rFonts w:ascii="Arial" w:hAnsi="Arial" w:cs="Arial"/>
                <w:b/>
                <w:bCs/>
                <w:color w:val="000000"/>
                <w:sz w:val="18"/>
                <w:szCs w:val="18"/>
              </w:rPr>
              <w:t>0%</w:t>
            </w:r>
          </w:p>
        </w:tc>
        <w:tc>
          <w:tcPr>
            <w:tcW w:w="991"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85,</w:t>
            </w:r>
            <w:r w:rsidR="00151130" w:rsidRPr="00151130">
              <w:rPr>
                <w:rFonts w:ascii="Arial" w:hAnsi="Arial" w:cs="Arial"/>
                <w:b/>
                <w:bCs/>
                <w:color w:val="000000"/>
                <w:sz w:val="18"/>
                <w:szCs w:val="18"/>
              </w:rPr>
              <w:t>8%</w:t>
            </w:r>
          </w:p>
        </w:tc>
      </w:tr>
      <w:tr w:rsidR="00931ED1" w:rsidRPr="00151130" w:rsidTr="00931ED1">
        <w:trPr>
          <w:trHeight w:val="532"/>
        </w:trPr>
        <w:tc>
          <w:tcPr>
            <w:tcW w:w="10652" w:type="dxa"/>
            <w:gridSpan w:val="4"/>
            <w:shd w:val="clear" w:color="000000" w:fill="C5D9F1"/>
            <w:vAlign w:val="center"/>
            <w:hideMark/>
          </w:tcPr>
          <w:p w:rsidR="00931ED1" w:rsidRPr="00A40C78" w:rsidRDefault="00931ED1" w:rsidP="00151130">
            <w:pPr>
              <w:contextualSpacing/>
              <w:jc w:val="center"/>
              <w:rPr>
                <w:rFonts w:ascii="Arial" w:hAnsi="Arial" w:cs="Arial"/>
                <w:b/>
                <w:bCs/>
                <w:color w:val="000000"/>
                <w:sz w:val="18"/>
                <w:szCs w:val="18"/>
              </w:rPr>
            </w:pPr>
            <w:r w:rsidRPr="00A40C78">
              <w:rPr>
                <w:rFonts w:ascii="Arial" w:hAnsi="Arial" w:cs="Arial"/>
                <w:b/>
                <w:bCs/>
                <w:color w:val="000000"/>
                <w:sz w:val="18"/>
                <w:szCs w:val="18"/>
              </w:rPr>
              <w:t>SATISFACTION SUR LE PERSONNEL</w:t>
            </w:r>
          </w:p>
        </w:tc>
      </w:tr>
      <w:tr w:rsidR="00151130" w:rsidRPr="00151130" w:rsidTr="00107468">
        <w:trPr>
          <w:trHeight w:val="696"/>
        </w:trPr>
        <w:tc>
          <w:tcPr>
            <w:tcW w:w="3703" w:type="dxa"/>
            <w:shd w:val="clear" w:color="auto" w:fill="auto"/>
            <w:vAlign w:val="center"/>
            <w:hideMark/>
          </w:tcPr>
          <w:p w:rsidR="00151130" w:rsidRPr="00A40C78" w:rsidRDefault="00151130" w:rsidP="00151130">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 qualité de la relation avec le conseiller en clientèle</w:t>
            </w:r>
          </w:p>
        </w:tc>
        <w:tc>
          <w:tcPr>
            <w:tcW w:w="4961" w:type="dxa"/>
            <w:shd w:val="clear" w:color="auto" w:fill="auto"/>
            <w:vAlign w:val="bottom"/>
            <w:hideMark/>
          </w:tcPr>
          <w:p w:rsidR="00151130" w:rsidRPr="00151130" w:rsidRDefault="00151130" w:rsidP="00151130">
            <w:pPr>
              <w:contextualSpacing/>
              <w:rPr>
                <w:rFonts w:ascii="Arial" w:hAnsi="Arial" w:cs="Arial"/>
                <w:color w:val="000000"/>
                <w:sz w:val="18"/>
                <w:szCs w:val="18"/>
              </w:rPr>
            </w:pPr>
            <w:r w:rsidRPr="00151130">
              <w:rPr>
                <w:rFonts w:ascii="Arial" w:hAnsi="Arial" w:cs="Arial"/>
                <w:color w:val="000000"/>
                <w:sz w:val="18"/>
                <w:szCs w:val="18"/>
              </w:rPr>
              <w:t>(Effectif de "Très satisfaisante" + "Satisfaisante") / ( Effectif de "Très satisfaisante" +"Satisfaisante" + "Non satisfaisante" + "Pas du tout satisfaisante"+</w:t>
            </w:r>
            <w:r w:rsidRPr="00151130">
              <w:rPr>
                <w:rFonts w:ascii="Arial" w:hAnsi="Arial" w:cs="Arial"/>
                <w:b/>
                <w:bCs/>
                <w:color w:val="000000"/>
                <w:sz w:val="18"/>
                <w:szCs w:val="18"/>
              </w:rPr>
              <w:t>"</w:t>
            </w:r>
            <w:r w:rsidR="00107468">
              <w:rPr>
                <w:rFonts w:ascii="Arial" w:hAnsi="Arial" w:cs="Arial"/>
                <w:bCs/>
                <w:color w:val="000000"/>
                <w:sz w:val="18"/>
                <w:szCs w:val="18"/>
              </w:rPr>
              <w:t>Jamais rencontré"</w:t>
            </w:r>
            <w:r w:rsidRPr="00107468">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69,</w:t>
            </w:r>
            <w:r w:rsidR="00151130" w:rsidRPr="00151130">
              <w:rPr>
                <w:rFonts w:ascii="Arial" w:hAnsi="Arial" w:cs="Arial"/>
                <w:b/>
                <w:bCs/>
                <w:color w:val="000000"/>
                <w:sz w:val="18"/>
                <w:szCs w:val="18"/>
              </w:rPr>
              <w:t>8%</w:t>
            </w:r>
          </w:p>
        </w:tc>
        <w:tc>
          <w:tcPr>
            <w:tcW w:w="991"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59,</w:t>
            </w:r>
            <w:r w:rsidR="00151130" w:rsidRPr="00151130">
              <w:rPr>
                <w:rFonts w:ascii="Arial" w:hAnsi="Arial" w:cs="Arial"/>
                <w:b/>
                <w:bCs/>
                <w:color w:val="000000"/>
                <w:sz w:val="18"/>
                <w:szCs w:val="18"/>
              </w:rPr>
              <w:t>4%</w:t>
            </w:r>
          </w:p>
        </w:tc>
      </w:tr>
      <w:tr w:rsidR="00151130" w:rsidRPr="00151130" w:rsidTr="00107468">
        <w:trPr>
          <w:trHeight w:val="550"/>
        </w:trPr>
        <w:tc>
          <w:tcPr>
            <w:tcW w:w="3703" w:type="dxa"/>
            <w:shd w:val="clear" w:color="auto" w:fill="auto"/>
            <w:vAlign w:val="center"/>
            <w:hideMark/>
          </w:tcPr>
          <w:p w:rsidR="00151130" w:rsidRPr="00A40C78" w:rsidRDefault="00151130" w:rsidP="00151130">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 qualité de l'accueil du personnel des agences bancaires</w:t>
            </w:r>
          </w:p>
        </w:tc>
        <w:tc>
          <w:tcPr>
            <w:tcW w:w="4961" w:type="dxa"/>
            <w:shd w:val="clear" w:color="auto" w:fill="auto"/>
            <w:vAlign w:val="bottom"/>
            <w:hideMark/>
          </w:tcPr>
          <w:p w:rsidR="00151130" w:rsidRPr="00151130" w:rsidRDefault="00151130" w:rsidP="00151130">
            <w:pPr>
              <w:contextualSpacing/>
              <w:rPr>
                <w:rFonts w:ascii="Arial" w:hAnsi="Arial" w:cs="Arial"/>
                <w:color w:val="000000"/>
                <w:sz w:val="18"/>
                <w:szCs w:val="18"/>
              </w:rPr>
            </w:pPr>
            <w:r w:rsidRPr="00151130">
              <w:rPr>
                <w:rFonts w:ascii="Arial" w:hAnsi="Arial" w:cs="Arial"/>
                <w:color w:val="000000"/>
                <w:sz w:val="18"/>
                <w:szCs w:val="18"/>
              </w:rPr>
              <w:t xml:space="preserve">(Effectif de "Très courtois" + "Courtois") / </w:t>
            </w:r>
            <w:r w:rsidR="00931ED1" w:rsidRPr="00151130">
              <w:rPr>
                <w:rFonts w:ascii="Arial" w:hAnsi="Arial" w:cs="Arial"/>
                <w:color w:val="000000"/>
                <w:sz w:val="18"/>
                <w:szCs w:val="18"/>
              </w:rPr>
              <w:t>(Effectif</w:t>
            </w:r>
            <w:r w:rsidRPr="00151130">
              <w:rPr>
                <w:rFonts w:ascii="Arial" w:hAnsi="Arial" w:cs="Arial"/>
                <w:color w:val="000000"/>
                <w:sz w:val="18"/>
                <w:szCs w:val="18"/>
              </w:rPr>
              <w:t xml:space="preserve"> de "Très courtois" + "Courtois" + "Discourtois" + "Très discourtois</w:t>
            </w:r>
            <w:r w:rsidRPr="00107468">
              <w:rPr>
                <w:rFonts w:ascii="Arial" w:hAnsi="Arial" w:cs="Arial"/>
                <w:bCs/>
                <w:color w:val="000000"/>
                <w:sz w:val="18"/>
                <w:szCs w:val="18"/>
              </w:rPr>
              <w:t>"</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79,</w:t>
            </w:r>
            <w:r w:rsidR="00151130" w:rsidRPr="00151130">
              <w:rPr>
                <w:rFonts w:ascii="Arial" w:hAnsi="Arial" w:cs="Arial"/>
                <w:b/>
                <w:bCs/>
                <w:color w:val="000000"/>
                <w:sz w:val="18"/>
                <w:szCs w:val="18"/>
              </w:rPr>
              <w:t>4%</w:t>
            </w:r>
          </w:p>
        </w:tc>
        <w:tc>
          <w:tcPr>
            <w:tcW w:w="991"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92,</w:t>
            </w:r>
            <w:r w:rsidR="00151130" w:rsidRPr="00151130">
              <w:rPr>
                <w:rFonts w:ascii="Arial" w:hAnsi="Arial" w:cs="Arial"/>
                <w:b/>
                <w:bCs/>
                <w:color w:val="000000"/>
                <w:sz w:val="18"/>
                <w:szCs w:val="18"/>
              </w:rPr>
              <w:t>3%</w:t>
            </w:r>
          </w:p>
        </w:tc>
      </w:tr>
      <w:tr w:rsidR="00151130" w:rsidRPr="00151130" w:rsidTr="00107468">
        <w:trPr>
          <w:trHeight w:val="557"/>
        </w:trPr>
        <w:tc>
          <w:tcPr>
            <w:tcW w:w="3703" w:type="dxa"/>
            <w:shd w:val="clear" w:color="auto" w:fill="auto"/>
            <w:vAlign w:val="center"/>
            <w:hideMark/>
          </w:tcPr>
          <w:p w:rsidR="00151130" w:rsidRPr="00A40C78" w:rsidRDefault="00151130" w:rsidP="00151130">
            <w:pPr>
              <w:contextualSpacing/>
              <w:jc w:val="both"/>
              <w:rPr>
                <w:rFonts w:ascii="Arial" w:hAnsi="Arial" w:cs="Arial"/>
                <w:b/>
                <w:color w:val="000000"/>
                <w:sz w:val="18"/>
                <w:szCs w:val="18"/>
              </w:rPr>
            </w:pPr>
            <w:r w:rsidRPr="00A40C78">
              <w:rPr>
                <w:rFonts w:ascii="Arial" w:hAnsi="Arial" w:cs="Arial"/>
                <w:b/>
                <w:color w:val="000000"/>
                <w:sz w:val="18"/>
                <w:szCs w:val="18"/>
              </w:rPr>
              <w:t>Pourcentage des clients ayant reçu des informations sur leurs obligations au moment de l'ouverture de leur compte</w:t>
            </w:r>
          </w:p>
        </w:tc>
        <w:tc>
          <w:tcPr>
            <w:tcW w:w="4961" w:type="dxa"/>
            <w:shd w:val="clear" w:color="auto" w:fill="auto"/>
            <w:vAlign w:val="center"/>
            <w:hideMark/>
          </w:tcPr>
          <w:p w:rsidR="00151130" w:rsidRPr="00151130" w:rsidRDefault="00151130" w:rsidP="00151130">
            <w:pPr>
              <w:contextualSpacing/>
              <w:rPr>
                <w:rFonts w:ascii="Arial" w:hAnsi="Arial" w:cs="Arial"/>
                <w:color w:val="000000"/>
                <w:sz w:val="18"/>
                <w:szCs w:val="18"/>
              </w:rPr>
            </w:pPr>
            <w:r w:rsidRPr="00151130">
              <w:rPr>
                <w:rFonts w:ascii="Arial" w:hAnsi="Arial" w:cs="Arial"/>
                <w:color w:val="000000"/>
                <w:sz w:val="18"/>
                <w:szCs w:val="18"/>
              </w:rPr>
              <w:t>(Effectif de   "Oui</w:t>
            </w:r>
            <w:r w:rsidR="00107468">
              <w:rPr>
                <w:rFonts w:ascii="Arial" w:hAnsi="Arial" w:cs="Arial"/>
                <w:color w:val="000000"/>
                <w:sz w:val="18"/>
                <w:szCs w:val="18"/>
              </w:rPr>
              <w:t>"</w:t>
            </w:r>
            <w:r w:rsidRPr="00151130">
              <w:rPr>
                <w:rFonts w:ascii="Arial" w:hAnsi="Arial" w:cs="Arial"/>
                <w:color w:val="000000"/>
                <w:sz w:val="18"/>
                <w:szCs w:val="18"/>
              </w:rPr>
              <w:t>) / ( Effectif de "Oui +"Non")</w:t>
            </w:r>
          </w:p>
        </w:tc>
        <w:tc>
          <w:tcPr>
            <w:tcW w:w="997"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70,</w:t>
            </w:r>
            <w:r w:rsidR="00151130" w:rsidRPr="00151130">
              <w:rPr>
                <w:rFonts w:ascii="Arial" w:hAnsi="Arial" w:cs="Arial"/>
                <w:b/>
                <w:bCs/>
                <w:color w:val="000000"/>
                <w:sz w:val="18"/>
                <w:szCs w:val="18"/>
              </w:rPr>
              <w:t>1%</w:t>
            </w:r>
          </w:p>
        </w:tc>
        <w:tc>
          <w:tcPr>
            <w:tcW w:w="991" w:type="dxa"/>
            <w:shd w:val="clear" w:color="auto" w:fill="FFFFFF" w:themeFill="background1"/>
            <w:noWrap/>
            <w:vAlign w:val="center"/>
          </w:tcPr>
          <w:p w:rsidR="00151130" w:rsidRPr="00151130"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81,</w:t>
            </w:r>
            <w:r w:rsidR="00151130" w:rsidRPr="00151130">
              <w:rPr>
                <w:rFonts w:ascii="Arial" w:hAnsi="Arial" w:cs="Arial"/>
                <w:b/>
                <w:bCs/>
                <w:color w:val="000000"/>
                <w:sz w:val="18"/>
                <w:szCs w:val="18"/>
              </w:rPr>
              <w:t>0%</w:t>
            </w:r>
          </w:p>
        </w:tc>
      </w:tr>
      <w:tr w:rsidR="00151130" w:rsidRPr="00151130" w:rsidTr="00107468">
        <w:trPr>
          <w:trHeight w:val="637"/>
        </w:trPr>
        <w:tc>
          <w:tcPr>
            <w:tcW w:w="3703" w:type="dxa"/>
            <w:shd w:val="clear" w:color="auto" w:fill="auto"/>
            <w:vAlign w:val="center"/>
            <w:hideMark/>
          </w:tcPr>
          <w:p w:rsidR="00151130" w:rsidRPr="00A40C78" w:rsidRDefault="00151130" w:rsidP="00151130">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 qualité de l'information fournie sur leurs obligations</w:t>
            </w:r>
          </w:p>
        </w:tc>
        <w:tc>
          <w:tcPr>
            <w:tcW w:w="4961" w:type="dxa"/>
            <w:shd w:val="clear" w:color="auto" w:fill="auto"/>
            <w:vAlign w:val="bottom"/>
            <w:hideMark/>
          </w:tcPr>
          <w:p w:rsidR="00151130" w:rsidRPr="00151130" w:rsidRDefault="00151130" w:rsidP="00107468">
            <w:pPr>
              <w:contextualSpacing/>
              <w:jc w:val="both"/>
              <w:rPr>
                <w:rFonts w:ascii="Arial" w:hAnsi="Arial" w:cs="Arial"/>
                <w:color w:val="000000"/>
                <w:sz w:val="18"/>
                <w:szCs w:val="18"/>
              </w:rPr>
            </w:pPr>
            <w:r w:rsidRPr="00151130">
              <w:rPr>
                <w:rFonts w:ascii="Arial" w:hAnsi="Arial" w:cs="Arial"/>
                <w:color w:val="000000"/>
                <w:sz w:val="18"/>
                <w:szCs w:val="18"/>
              </w:rPr>
              <w:t xml:space="preserve">(Effectif de "Très complètes" + "Complètes") / </w:t>
            </w:r>
            <w:r w:rsidR="00931ED1" w:rsidRPr="00151130">
              <w:rPr>
                <w:rFonts w:ascii="Arial" w:hAnsi="Arial" w:cs="Arial"/>
                <w:color w:val="000000"/>
                <w:sz w:val="18"/>
                <w:szCs w:val="18"/>
              </w:rPr>
              <w:t>(Effectif</w:t>
            </w:r>
            <w:r w:rsidRPr="00151130">
              <w:rPr>
                <w:rFonts w:ascii="Arial" w:hAnsi="Arial" w:cs="Arial"/>
                <w:color w:val="000000"/>
                <w:sz w:val="18"/>
                <w:szCs w:val="18"/>
              </w:rPr>
              <w:t xml:space="preserve"> de "Très complètes" + "Complètes" + "Incomplètes" + "Très incomplètes</w:t>
            </w:r>
            <w:r w:rsidRPr="00931ED1">
              <w:rPr>
                <w:rFonts w:ascii="Arial" w:hAnsi="Arial" w:cs="Arial"/>
                <w:bCs/>
                <w:color w:val="000000"/>
                <w:sz w:val="18"/>
                <w:szCs w:val="18"/>
              </w:rPr>
              <w:t>"</w:t>
            </w:r>
            <w:r w:rsidRPr="00151130">
              <w:rPr>
                <w:rFonts w:ascii="Arial" w:hAnsi="Arial" w:cs="Arial"/>
                <w:color w:val="000000"/>
                <w:sz w:val="18"/>
                <w:szCs w:val="18"/>
              </w:rPr>
              <w:t>)</w:t>
            </w:r>
          </w:p>
        </w:tc>
        <w:tc>
          <w:tcPr>
            <w:tcW w:w="997" w:type="dxa"/>
            <w:shd w:val="clear" w:color="auto" w:fill="FFFFFF" w:themeFill="background1"/>
            <w:noWrap/>
            <w:vAlign w:val="center"/>
          </w:tcPr>
          <w:p w:rsidR="00151130" w:rsidRPr="00151130" w:rsidRDefault="00151130"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60.4%</w:t>
            </w:r>
          </w:p>
        </w:tc>
        <w:tc>
          <w:tcPr>
            <w:tcW w:w="991" w:type="dxa"/>
            <w:shd w:val="clear" w:color="auto" w:fill="FFFFFF" w:themeFill="background1"/>
            <w:noWrap/>
            <w:vAlign w:val="center"/>
          </w:tcPr>
          <w:p w:rsidR="00151130" w:rsidRPr="00151130" w:rsidRDefault="00151130"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40.4%</w:t>
            </w:r>
          </w:p>
        </w:tc>
      </w:tr>
      <w:tr w:rsidR="00151130" w:rsidRPr="00151130" w:rsidTr="00107468">
        <w:trPr>
          <w:trHeight w:val="421"/>
        </w:trPr>
        <w:tc>
          <w:tcPr>
            <w:tcW w:w="3703" w:type="dxa"/>
            <w:shd w:val="clear" w:color="auto" w:fill="auto"/>
            <w:vAlign w:val="center"/>
            <w:hideMark/>
          </w:tcPr>
          <w:p w:rsidR="00151130" w:rsidRPr="00A40C78" w:rsidRDefault="00151130" w:rsidP="00107468">
            <w:pPr>
              <w:contextualSpacing/>
              <w:jc w:val="both"/>
              <w:rPr>
                <w:rFonts w:ascii="Arial" w:hAnsi="Arial" w:cs="Arial"/>
                <w:b/>
                <w:color w:val="000000"/>
                <w:sz w:val="18"/>
                <w:szCs w:val="18"/>
              </w:rPr>
            </w:pPr>
            <w:r w:rsidRPr="00A40C78">
              <w:rPr>
                <w:rFonts w:ascii="Arial" w:hAnsi="Arial" w:cs="Arial"/>
                <w:b/>
                <w:color w:val="000000"/>
                <w:sz w:val="18"/>
                <w:szCs w:val="18"/>
              </w:rPr>
              <w:t>Proportion de clients ayant formulé une réclamation</w:t>
            </w:r>
            <w:r w:rsidR="00107468">
              <w:rPr>
                <w:rFonts w:ascii="Arial" w:hAnsi="Arial" w:cs="Arial"/>
                <w:b/>
                <w:color w:val="000000"/>
                <w:sz w:val="18"/>
                <w:szCs w:val="18"/>
              </w:rPr>
              <w:t xml:space="preserve"> </w:t>
            </w:r>
          </w:p>
        </w:tc>
        <w:tc>
          <w:tcPr>
            <w:tcW w:w="4961" w:type="dxa"/>
            <w:shd w:val="clear" w:color="auto" w:fill="auto"/>
            <w:vAlign w:val="center"/>
            <w:hideMark/>
          </w:tcPr>
          <w:p w:rsidR="00151130" w:rsidRPr="00151130" w:rsidRDefault="00107468" w:rsidP="00107468">
            <w:pPr>
              <w:contextualSpacing/>
              <w:jc w:val="both"/>
              <w:rPr>
                <w:rFonts w:ascii="Arial" w:hAnsi="Arial" w:cs="Arial"/>
                <w:color w:val="000000"/>
                <w:sz w:val="18"/>
                <w:szCs w:val="18"/>
              </w:rPr>
            </w:pPr>
            <w:r>
              <w:rPr>
                <w:rFonts w:ascii="Arial" w:hAnsi="Arial" w:cs="Arial"/>
                <w:color w:val="000000"/>
                <w:sz w:val="18"/>
                <w:szCs w:val="18"/>
              </w:rPr>
              <w:t>(Effectif de   "Oui"</w:t>
            </w:r>
            <w:r w:rsidR="00151130" w:rsidRPr="00151130">
              <w:rPr>
                <w:rFonts w:ascii="Arial" w:hAnsi="Arial" w:cs="Arial"/>
                <w:color w:val="000000"/>
                <w:sz w:val="18"/>
                <w:szCs w:val="18"/>
              </w:rPr>
              <w:t>) / ( Effectif de "Oui +"Non")</w:t>
            </w:r>
          </w:p>
        </w:tc>
        <w:tc>
          <w:tcPr>
            <w:tcW w:w="997" w:type="dxa"/>
            <w:shd w:val="clear" w:color="auto" w:fill="FFFFFF" w:themeFill="background1"/>
            <w:noWrap/>
            <w:vAlign w:val="center"/>
          </w:tcPr>
          <w:p w:rsidR="00151130" w:rsidRPr="00151130" w:rsidRDefault="00151130"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46.2%</w:t>
            </w:r>
          </w:p>
        </w:tc>
        <w:tc>
          <w:tcPr>
            <w:tcW w:w="991" w:type="dxa"/>
            <w:shd w:val="clear" w:color="auto" w:fill="FFFFFF" w:themeFill="background1"/>
            <w:noWrap/>
            <w:vAlign w:val="center"/>
          </w:tcPr>
          <w:p w:rsidR="00151130" w:rsidRPr="00151130" w:rsidRDefault="00151130"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29.6%</w:t>
            </w:r>
          </w:p>
        </w:tc>
      </w:tr>
      <w:tr w:rsidR="00151130" w:rsidRPr="00151130" w:rsidTr="00107468">
        <w:trPr>
          <w:trHeight w:val="412"/>
        </w:trPr>
        <w:tc>
          <w:tcPr>
            <w:tcW w:w="3703" w:type="dxa"/>
            <w:shd w:val="clear" w:color="auto" w:fill="auto"/>
            <w:vAlign w:val="center"/>
            <w:hideMark/>
          </w:tcPr>
          <w:p w:rsidR="00151130" w:rsidRPr="00A40C78" w:rsidRDefault="00151130" w:rsidP="00151130">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 qualité du suivi des réclamations</w:t>
            </w:r>
          </w:p>
        </w:tc>
        <w:tc>
          <w:tcPr>
            <w:tcW w:w="4961" w:type="dxa"/>
            <w:shd w:val="clear" w:color="auto" w:fill="auto"/>
            <w:vAlign w:val="bottom"/>
            <w:hideMark/>
          </w:tcPr>
          <w:p w:rsidR="00151130" w:rsidRPr="00151130" w:rsidRDefault="00151130" w:rsidP="00107468">
            <w:pPr>
              <w:contextualSpacing/>
              <w:jc w:val="both"/>
              <w:rPr>
                <w:rFonts w:ascii="Arial" w:hAnsi="Arial" w:cs="Arial"/>
                <w:color w:val="000000"/>
                <w:sz w:val="18"/>
                <w:szCs w:val="18"/>
              </w:rPr>
            </w:pPr>
            <w:r w:rsidRPr="00151130">
              <w:rPr>
                <w:rFonts w:ascii="Arial" w:hAnsi="Arial" w:cs="Arial"/>
                <w:color w:val="000000"/>
                <w:sz w:val="18"/>
                <w:szCs w:val="18"/>
              </w:rPr>
              <w:t>(Effectif</w:t>
            </w:r>
            <w:r w:rsidR="00107468">
              <w:rPr>
                <w:rFonts w:ascii="Arial" w:hAnsi="Arial" w:cs="Arial"/>
                <w:color w:val="000000"/>
                <w:sz w:val="18"/>
                <w:szCs w:val="18"/>
              </w:rPr>
              <w:t xml:space="preserve"> de "Très bonne" + "Bonne") / (</w:t>
            </w:r>
            <w:r w:rsidRPr="00151130">
              <w:rPr>
                <w:rFonts w:ascii="Arial" w:hAnsi="Arial" w:cs="Arial"/>
                <w:color w:val="000000"/>
                <w:sz w:val="18"/>
                <w:szCs w:val="18"/>
              </w:rPr>
              <w:t>Effectif de "Très bonne" + "Bonne" + "Mauvaise" + "Très mauvaise)</w:t>
            </w:r>
          </w:p>
        </w:tc>
        <w:tc>
          <w:tcPr>
            <w:tcW w:w="997" w:type="dxa"/>
            <w:shd w:val="clear" w:color="auto" w:fill="FFFFFF" w:themeFill="background1"/>
            <w:noWrap/>
            <w:vAlign w:val="center"/>
          </w:tcPr>
          <w:p w:rsidR="00151130" w:rsidRPr="00151130" w:rsidRDefault="00151130"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46.3%</w:t>
            </w:r>
          </w:p>
        </w:tc>
        <w:tc>
          <w:tcPr>
            <w:tcW w:w="991" w:type="dxa"/>
            <w:shd w:val="clear" w:color="auto" w:fill="FFFFFF" w:themeFill="background1"/>
            <w:noWrap/>
            <w:vAlign w:val="center"/>
          </w:tcPr>
          <w:p w:rsidR="00151130" w:rsidRPr="00151130" w:rsidRDefault="00151130"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51.2%</w:t>
            </w:r>
          </w:p>
        </w:tc>
      </w:tr>
      <w:tr w:rsidR="00107468" w:rsidRPr="00151130" w:rsidTr="00107468">
        <w:trPr>
          <w:trHeight w:val="276"/>
        </w:trPr>
        <w:tc>
          <w:tcPr>
            <w:tcW w:w="3703" w:type="dxa"/>
            <w:shd w:val="clear" w:color="auto" w:fill="auto"/>
            <w:vAlign w:val="center"/>
            <w:hideMark/>
          </w:tcPr>
          <w:p w:rsidR="00107468" w:rsidRPr="00A40C78" w:rsidRDefault="00107468" w:rsidP="00151130">
            <w:pPr>
              <w:contextualSpacing/>
              <w:jc w:val="both"/>
              <w:rPr>
                <w:rFonts w:ascii="Arial" w:hAnsi="Arial" w:cs="Arial"/>
                <w:b/>
                <w:color w:val="000000"/>
                <w:sz w:val="18"/>
                <w:szCs w:val="18"/>
              </w:rPr>
            </w:pPr>
            <w:r w:rsidRPr="00A40C78">
              <w:rPr>
                <w:rFonts w:ascii="Arial" w:hAnsi="Arial" w:cs="Arial"/>
                <w:b/>
                <w:color w:val="000000"/>
                <w:sz w:val="18"/>
                <w:szCs w:val="18"/>
              </w:rPr>
              <w:t>Taux de satisfaction sur la qualité de la gestion de leurs comptes</w:t>
            </w:r>
          </w:p>
        </w:tc>
        <w:tc>
          <w:tcPr>
            <w:tcW w:w="4961" w:type="dxa"/>
            <w:shd w:val="clear" w:color="auto" w:fill="auto"/>
            <w:vAlign w:val="center"/>
            <w:hideMark/>
          </w:tcPr>
          <w:p w:rsidR="00107468" w:rsidRPr="00151130" w:rsidRDefault="00107468" w:rsidP="00107468">
            <w:pPr>
              <w:contextualSpacing/>
              <w:jc w:val="both"/>
              <w:rPr>
                <w:rFonts w:ascii="Arial" w:hAnsi="Arial" w:cs="Arial"/>
                <w:color w:val="000000"/>
                <w:sz w:val="18"/>
                <w:szCs w:val="18"/>
              </w:rPr>
            </w:pPr>
            <w:r>
              <w:rPr>
                <w:rFonts w:ascii="Arial" w:hAnsi="Arial" w:cs="Arial"/>
                <w:color w:val="000000"/>
                <w:sz w:val="18"/>
                <w:szCs w:val="18"/>
              </w:rPr>
              <w:t>(Effectif de   "Oui"</w:t>
            </w:r>
            <w:r w:rsidRPr="00151130">
              <w:rPr>
                <w:rFonts w:ascii="Arial" w:hAnsi="Arial" w:cs="Arial"/>
                <w:color w:val="000000"/>
                <w:sz w:val="18"/>
                <w:szCs w:val="18"/>
              </w:rPr>
              <w:t>) / ( Effectif de "Oui +"Non")</w:t>
            </w:r>
          </w:p>
        </w:tc>
        <w:tc>
          <w:tcPr>
            <w:tcW w:w="997" w:type="dxa"/>
            <w:vMerge w:val="restart"/>
            <w:shd w:val="clear" w:color="auto" w:fill="FFFFFF" w:themeFill="background1"/>
            <w:noWrap/>
            <w:vAlign w:val="center"/>
          </w:tcPr>
          <w:p w:rsidR="00107468" w:rsidRPr="00151130" w:rsidRDefault="00107468" w:rsidP="00151130">
            <w:pPr>
              <w:contextualSpacing/>
              <w:jc w:val="center"/>
              <w:rPr>
                <w:rFonts w:ascii="Arial" w:hAnsi="Arial" w:cs="Arial"/>
                <w:b/>
                <w:bCs/>
                <w:color w:val="000000"/>
                <w:sz w:val="18"/>
                <w:szCs w:val="18"/>
              </w:rPr>
            </w:pPr>
          </w:p>
        </w:tc>
        <w:tc>
          <w:tcPr>
            <w:tcW w:w="991" w:type="dxa"/>
            <w:shd w:val="clear" w:color="auto" w:fill="FFFFFF" w:themeFill="background1"/>
            <w:noWrap/>
            <w:vAlign w:val="center"/>
          </w:tcPr>
          <w:p w:rsidR="00107468" w:rsidRPr="00151130" w:rsidRDefault="00107468"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63.4%</w:t>
            </w:r>
          </w:p>
        </w:tc>
      </w:tr>
      <w:tr w:rsidR="00107468" w:rsidRPr="00151130" w:rsidTr="00107468">
        <w:trPr>
          <w:trHeight w:val="269"/>
        </w:trPr>
        <w:tc>
          <w:tcPr>
            <w:tcW w:w="3703" w:type="dxa"/>
            <w:shd w:val="clear" w:color="auto" w:fill="auto"/>
            <w:vAlign w:val="center"/>
            <w:hideMark/>
          </w:tcPr>
          <w:p w:rsidR="00107468" w:rsidRPr="00A40C78" w:rsidRDefault="00107468" w:rsidP="00151130">
            <w:pPr>
              <w:contextualSpacing/>
              <w:jc w:val="both"/>
              <w:rPr>
                <w:rFonts w:ascii="Arial" w:hAnsi="Arial" w:cs="Arial"/>
                <w:b/>
                <w:color w:val="000000"/>
                <w:sz w:val="18"/>
                <w:szCs w:val="18"/>
              </w:rPr>
            </w:pPr>
            <w:r w:rsidRPr="00A40C78">
              <w:rPr>
                <w:rFonts w:ascii="Arial" w:hAnsi="Arial" w:cs="Arial"/>
                <w:b/>
                <w:color w:val="000000"/>
                <w:sz w:val="18"/>
                <w:szCs w:val="18"/>
              </w:rPr>
              <w:t>Proportion de clients ayant reçu des informations sur les tarifs</w:t>
            </w:r>
          </w:p>
        </w:tc>
        <w:tc>
          <w:tcPr>
            <w:tcW w:w="4961" w:type="dxa"/>
            <w:shd w:val="clear" w:color="auto" w:fill="auto"/>
            <w:vAlign w:val="center"/>
            <w:hideMark/>
          </w:tcPr>
          <w:p w:rsidR="00107468" w:rsidRPr="00151130" w:rsidRDefault="00107468" w:rsidP="00151130">
            <w:pPr>
              <w:contextualSpacing/>
              <w:rPr>
                <w:rFonts w:ascii="Arial" w:hAnsi="Arial" w:cs="Arial"/>
                <w:color w:val="000000"/>
                <w:sz w:val="18"/>
                <w:szCs w:val="18"/>
              </w:rPr>
            </w:pPr>
            <w:r w:rsidRPr="00151130">
              <w:rPr>
                <w:rFonts w:ascii="Arial" w:hAnsi="Arial" w:cs="Arial"/>
                <w:color w:val="000000"/>
                <w:sz w:val="18"/>
                <w:szCs w:val="18"/>
              </w:rPr>
              <w:t>(Effectif de   "Oui</w:t>
            </w:r>
            <w:r>
              <w:rPr>
                <w:rFonts w:ascii="Arial" w:hAnsi="Arial" w:cs="Arial"/>
                <w:color w:val="000000"/>
                <w:sz w:val="18"/>
                <w:szCs w:val="18"/>
              </w:rPr>
              <w:t>"</w:t>
            </w:r>
            <w:r w:rsidRPr="00151130">
              <w:rPr>
                <w:rFonts w:ascii="Arial" w:hAnsi="Arial" w:cs="Arial"/>
                <w:color w:val="000000"/>
                <w:sz w:val="18"/>
                <w:szCs w:val="18"/>
              </w:rPr>
              <w:t>) / ( Effectif de "Oui +"Non")</w:t>
            </w:r>
          </w:p>
        </w:tc>
        <w:tc>
          <w:tcPr>
            <w:tcW w:w="997" w:type="dxa"/>
            <w:vMerge/>
            <w:shd w:val="clear" w:color="auto" w:fill="FFFFFF" w:themeFill="background1"/>
            <w:noWrap/>
            <w:vAlign w:val="center"/>
          </w:tcPr>
          <w:p w:rsidR="00107468" w:rsidRPr="00151130" w:rsidRDefault="00107468" w:rsidP="00151130">
            <w:pPr>
              <w:contextualSpacing/>
              <w:jc w:val="center"/>
              <w:rPr>
                <w:rFonts w:ascii="Arial" w:hAnsi="Arial" w:cs="Arial"/>
                <w:b/>
                <w:bCs/>
                <w:color w:val="000000"/>
                <w:sz w:val="18"/>
                <w:szCs w:val="18"/>
              </w:rPr>
            </w:pPr>
          </w:p>
        </w:tc>
        <w:tc>
          <w:tcPr>
            <w:tcW w:w="991" w:type="dxa"/>
            <w:shd w:val="clear" w:color="auto" w:fill="FFFFFF" w:themeFill="background1"/>
            <w:noWrap/>
            <w:vAlign w:val="center"/>
          </w:tcPr>
          <w:p w:rsidR="00107468" w:rsidRPr="00151130" w:rsidRDefault="00107468" w:rsidP="00151130">
            <w:pPr>
              <w:contextualSpacing/>
              <w:jc w:val="center"/>
              <w:rPr>
                <w:rFonts w:ascii="Arial" w:hAnsi="Arial" w:cs="Arial"/>
                <w:b/>
                <w:bCs/>
                <w:color w:val="000000"/>
                <w:sz w:val="18"/>
                <w:szCs w:val="18"/>
              </w:rPr>
            </w:pPr>
            <w:r w:rsidRPr="00151130">
              <w:rPr>
                <w:rFonts w:ascii="Arial" w:hAnsi="Arial" w:cs="Arial"/>
                <w:b/>
                <w:bCs/>
                <w:color w:val="000000"/>
                <w:sz w:val="18"/>
                <w:szCs w:val="18"/>
              </w:rPr>
              <w:t>68.0%</w:t>
            </w:r>
          </w:p>
        </w:tc>
      </w:tr>
      <w:tr w:rsidR="00107468" w:rsidRPr="00575B92" w:rsidTr="00107468">
        <w:trPr>
          <w:trHeight w:val="518"/>
        </w:trPr>
        <w:tc>
          <w:tcPr>
            <w:tcW w:w="10652" w:type="dxa"/>
            <w:gridSpan w:val="4"/>
            <w:shd w:val="clear" w:color="000000" w:fill="C5D9F1"/>
            <w:vAlign w:val="center"/>
            <w:hideMark/>
          </w:tcPr>
          <w:p w:rsidR="00107468" w:rsidRPr="0002267A" w:rsidRDefault="00107468" w:rsidP="002708B0">
            <w:pPr>
              <w:contextualSpacing/>
              <w:jc w:val="center"/>
              <w:rPr>
                <w:rFonts w:ascii="Arial" w:hAnsi="Arial" w:cs="Arial"/>
                <w:b/>
                <w:bCs/>
                <w:color w:val="000000"/>
                <w:sz w:val="18"/>
                <w:szCs w:val="18"/>
                <w:lang w:val="en-US"/>
              </w:rPr>
            </w:pPr>
            <w:r w:rsidRPr="0002267A">
              <w:rPr>
                <w:rFonts w:ascii="Arial" w:hAnsi="Arial" w:cs="Arial"/>
                <w:b/>
                <w:bCs/>
                <w:color w:val="000000"/>
                <w:sz w:val="18"/>
                <w:szCs w:val="18"/>
                <w:lang w:val="en-US"/>
              </w:rPr>
              <w:t xml:space="preserve">              TURN OVER</w:t>
            </w:r>
            <w:r w:rsidR="002708B0" w:rsidRPr="0002267A">
              <w:rPr>
                <w:rFonts w:ascii="Arial" w:hAnsi="Arial" w:cs="Arial"/>
                <w:b/>
                <w:bCs/>
                <w:color w:val="000000"/>
                <w:sz w:val="18"/>
                <w:szCs w:val="18"/>
                <w:lang w:val="en-US"/>
              </w:rPr>
              <w:t xml:space="preserve"> DES UNITES ENQUETEES</w:t>
            </w:r>
          </w:p>
        </w:tc>
      </w:tr>
      <w:tr w:rsidR="00151130" w:rsidRPr="00151130" w:rsidTr="00107468">
        <w:trPr>
          <w:trHeight w:val="600"/>
        </w:trPr>
        <w:tc>
          <w:tcPr>
            <w:tcW w:w="3703" w:type="dxa"/>
            <w:shd w:val="clear" w:color="auto" w:fill="auto"/>
            <w:vAlign w:val="center"/>
            <w:hideMark/>
          </w:tcPr>
          <w:p w:rsidR="00151130" w:rsidRPr="00A40C78" w:rsidRDefault="00151130" w:rsidP="00151130">
            <w:pPr>
              <w:contextualSpacing/>
              <w:jc w:val="both"/>
              <w:rPr>
                <w:rFonts w:ascii="Arial" w:hAnsi="Arial" w:cs="Arial"/>
                <w:b/>
                <w:color w:val="000000"/>
                <w:sz w:val="18"/>
                <w:szCs w:val="18"/>
              </w:rPr>
            </w:pPr>
            <w:r w:rsidRPr="00A40C78">
              <w:rPr>
                <w:rFonts w:ascii="Arial" w:hAnsi="Arial" w:cs="Arial"/>
                <w:b/>
                <w:color w:val="000000"/>
                <w:sz w:val="18"/>
                <w:szCs w:val="18"/>
              </w:rPr>
              <w:t>Pourcentage de clients ayant déjà eu à changer de banque</w:t>
            </w:r>
          </w:p>
        </w:tc>
        <w:tc>
          <w:tcPr>
            <w:tcW w:w="4961" w:type="dxa"/>
            <w:shd w:val="clear" w:color="auto" w:fill="auto"/>
            <w:vAlign w:val="center"/>
            <w:hideMark/>
          </w:tcPr>
          <w:p w:rsidR="00151130" w:rsidRPr="00151130" w:rsidRDefault="00A40C78" w:rsidP="00A40C78">
            <w:pPr>
              <w:contextualSpacing/>
              <w:jc w:val="both"/>
              <w:rPr>
                <w:rFonts w:ascii="Arial" w:hAnsi="Arial" w:cs="Arial"/>
                <w:color w:val="000000"/>
                <w:sz w:val="18"/>
                <w:szCs w:val="18"/>
              </w:rPr>
            </w:pPr>
            <w:r>
              <w:rPr>
                <w:rFonts w:ascii="Arial" w:hAnsi="Arial" w:cs="Arial"/>
                <w:color w:val="000000"/>
                <w:sz w:val="18"/>
                <w:szCs w:val="18"/>
              </w:rPr>
              <w:t>(Effectif de   "Oui"</w:t>
            </w:r>
            <w:r w:rsidR="00151130" w:rsidRPr="00151130">
              <w:rPr>
                <w:rFonts w:ascii="Arial" w:hAnsi="Arial" w:cs="Arial"/>
                <w:color w:val="000000"/>
                <w:sz w:val="18"/>
                <w:szCs w:val="18"/>
              </w:rPr>
              <w:t>) / ( Effectif de "Oui +"Non")</w:t>
            </w:r>
          </w:p>
        </w:tc>
        <w:tc>
          <w:tcPr>
            <w:tcW w:w="997" w:type="dxa"/>
            <w:shd w:val="clear" w:color="auto" w:fill="FFFFFF" w:themeFill="background1"/>
            <w:noWrap/>
            <w:vAlign w:val="center"/>
          </w:tcPr>
          <w:p w:rsidR="00151130" w:rsidRPr="00A40C78" w:rsidRDefault="00107468" w:rsidP="00151130">
            <w:pPr>
              <w:contextualSpacing/>
              <w:jc w:val="center"/>
              <w:rPr>
                <w:rFonts w:ascii="Arial" w:hAnsi="Arial" w:cs="Arial"/>
                <w:b/>
                <w:bCs/>
                <w:iCs/>
                <w:color w:val="000000"/>
                <w:sz w:val="18"/>
                <w:szCs w:val="18"/>
              </w:rPr>
            </w:pPr>
            <w:r>
              <w:rPr>
                <w:rFonts w:ascii="Arial" w:hAnsi="Arial" w:cs="Arial"/>
                <w:b/>
                <w:bCs/>
                <w:iCs/>
                <w:color w:val="000000"/>
                <w:sz w:val="18"/>
                <w:szCs w:val="18"/>
              </w:rPr>
              <w:t>31,</w:t>
            </w:r>
            <w:r w:rsidR="00151130" w:rsidRPr="00A40C78">
              <w:rPr>
                <w:rFonts w:ascii="Arial" w:hAnsi="Arial" w:cs="Arial"/>
                <w:b/>
                <w:bCs/>
                <w:iCs/>
                <w:color w:val="000000"/>
                <w:sz w:val="18"/>
                <w:szCs w:val="18"/>
              </w:rPr>
              <w:t>8%</w:t>
            </w:r>
          </w:p>
        </w:tc>
        <w:tc>
          <w:tcPr>
            <w:tcW w:w="991" w:type="dxa"/>
            <w:shd w:val="clear" w:color="auto" w:fill="FFFFFF" w:themeFill="background1"/>
            <w:noWrap/>
            <w:vAlign w:val="center"/>
          </w:tcPr>
          <w:p w:rsidR="00151130" w:rsidRPr="00A40C78"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17,</w:t>
            </w:r>
            <w:r w:rsidR="00151130" w:rsidRPr="00A40C78">
              <w:rPr>
                <w:rFonts w:ascii="Arial" w:hAnsi="Arial" w:cs="Arial"/>
                <w:b/>
                <w:bCs/>
                <w:color w:val="000000"/>
                <w:sz w:val="18"/>
                <w:szCs w:val="18"/>
              </w:rPr>
              <w:t>7%</w:t>
            </w:r>
          </w:p>
        </w:tc>
      </w:tr>
      <w:tr w:rsidR="00151130" w:rsidRPr="00151130" w:rsidTr="00107468">
        <w:trPr>
          <w:trHeight w:val="607"/>
        </w:trPr>
        <w:tc>
          <w:tcPr>
            <w:tcW w:w="3703" w:type="dxa"/>
            <w:shd w:val="clear" w:color="auto" w:fill="auto"/>
            <w:vAlign w:val="center"/>
            <w:hideMark/>
          </w:tcPr>
          <w:p w:rsidR="00151130" w:rsidRPr="00A40C78" w:rsidRDefault="00151130" w:rsidP="00151130">
            <w:pPr>
              <w:contextualSpacing/>
              <w:jc w:val="both"/>
              <w:rPr>
                <w:rFonts w:ascii="Arial" w:hAnsi="Arial" w:cs="Arial"/>
                <w:b/>
                <w:color w:val="000000"/>
                <w:sz w:val="18"/>
                <w:szCs w:val="18"/>
              </w:rPr>
            </w:pPr>
            <w:r w:rsidRPr="00A40C78">
              <w:rPr>
                <w:rFonts w:ascii="Arial" w:hAnsi="Arial" w:cs="Arial"/>
                <w:b/>
                <w:color w:val="000000"/>
                <w:sz w:val="18"/>
                <w:szCs w:val="18"/>
              </w:rPr>
              <w:t>Nombre moyen de changement de banque</w:t>
            </w:r>
          </w:p>
        </w:tc>
        <w:tc>
          <w:tcPr>
            <w:tcW w:w="4961" w:type="dxa"/>
            <w:shd w:val="clear" w:color="auto" w:fill="auto"/>
            <w:vAlign w:val="center"/>
            <w:hideMark/>
          </w:tcPr>
          <w:p w:rsidR="00151130" w:rsidRPr="00151130" w:rsidRDefault="00151130" w:rsidP="00A40C78">
            <w:pPr>
              <w:contextualSpacing/>
              <w:jc w:val="both"/>
              <w:rPr>
                <w:rFonts w:ascii="Arial" w:hAnsi="Arial" w:cs="Arial"/>
                <w:color w:val="000000"/>
                <w:sz w:val="18"/>
                <w:szCs w:val="18"/>
              </w:rPr>
            </w:pPr>
            <w:r w:rsidRPr="00151130">
              <w:rPr>
                <w:rFonts w:ascii="Arial" w:hAnsi="Arial" w:cs="Arial"/>
                <w:color w:val="000000"/>
                <w:sz w:val="18"/>
                <w:szCs w:val="18"/>
              </w:rPr>
              <w:t>(Effectif ayant changé UNE fois * 1 + Effectif ayant changé DEUX fois * 2 + Effectif ayant changé PLUS DE DEUX FOIS * 3) / Effectif ayant eu à changer au moins une fois</w:t>
            </w:r>
          </w:p>
        </w:tc>
        <w:tc>
          <w:tcPr>
            <w:tcW w:w="997" w:type="dxa"/>
            <w:shd w:val="clear" w:color="auto" w:fill="FFFFFF" w:themeFill="background1"/>
            <w:noWrap/>
            <w:vAlign w:val="bottom"/>
          </w:tcPr>
          <w:p w:rsidR="00151130" w:rsidRPr="00A40C78"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1,</w:t>
            </w:r>
            <w:r w:rsidR="00151130" w:rsidRPr="00A40C78">
              <w:rPr>
                <w:rFonts w:ascii="Arial" w:hAnsi="Arial" w:cs="Arial"/>
                <w:b/>
                <w:bCs/>
                <w:color w:val="000000"/>
                <w:sz w:val="18"/>
                <w:szCs w:val="18"/>
              </w:rPr>
              <w:t>40</w:t>
            </w:r>
          </w:p>
        </w:tc>
        <w:tc>
          <w:tcPr>
            <w:tcW w:w="991" w:type="dxa"/>
            <w:shd w:val="clear" w:color="auto" w:fill="FFFFFF" w:themeFill="background1"/>
            <w:noWrap/>
            <w:vAlign w:val="bottom"/>
          </w:tcPr>
          <w:p w:rsidR="00151130" w:rsidRPr="00A40C78"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1,</w:t>
            </w:r>
            <w:r w:rsidR="00151130" w:rsidRPr="00A40C78">
              <w:rPr>
                <w:rFonts w:ascii="Arial" w:hAnsi="Arial" w:cs="Arial"/>
                <w:b/>
                <w:bCs/>
                <w:color w:val="000000"/>
                <w:sz w:val="18"/>
                <w:szCs w:val="18"/>
              </w:rPr>
              <w:t>23</w:t>
            </w:r>
          </w:p>
        </w:tc>
      </w:tr>
      <w:tr w:rsidR="00151130" w:rsidRPr="00151130" w:rsidTr="00107468">
        <w:trPr>
          <w:trHeight w:val="847"/>
        </w:trPr>
        <w:tc>
          <w:tcPr>
            <w:tcW w:w="3703" w:type="dxa"/>
            <w:shd w:val="clear" w:color="auto" w:fill="auto"/>
            <w:vAlign w:val="center"/>
            <w:hideMark/>
          </w:tcPr>
          <w:p w:rsidR="00151130" w:rsidRPr="00A40C78" w:rsidRDefault="00151130" w:rsidP="00151130">
            <w:pPr>
              <w:contextualSpacing/>
              <w:jc w:val="both"/>
              <w:rPr>
                <w:rFonts w:ascii="Arial" w:hAnsi="Arial" w:cs="Arial"/>
                <w:b/>
                <w:color w:val="000000"/>
                <w:sz w:val="18"/>
                <w:szCs w:val="18"/>
              </w:rPr>
            </w:pPr>
            <w:r w:rsidRPr="00A40C78">
              <w:rPr>
                <w:rFonts w:ascii="Arial" w:hAnsi="Arial" w:cs="Arial"/>
                <w:b/>
                <w:color w:val="000000"/>
                <w:sz w:val="18"/>
                <w:szCs w:val="18"/>
              </w:rPr>
              <w:t>Proportion de clients ayant jugé positive l'attitude de leur banque au moment du changement de domiciliation</w:t>
            </w:r>
          </w:p>
        </w:tc>
        <w:tc>
          <w:tcPr>
            <w:tcW w:w="4961" w:type="dxa"/>
            <w:shd w:val="clear" w:color="auto" w:fill="auto"/>
            <w:vAlign w:val="bottom"/>
            <w:hideMark/>
          </w:tcPr>
          <w:p w:rsidR="00151130" w:rsidRPr="00151130" w:rsidRDefault="00151130" w:rsidP="00A40C78">
            <w:pPr>
              <w:contextualSpacing/>
              <w:jc w:val="both"/>
              <w:rPr>
                <w:rFonts w:ascii="Arial" w:hAnsi="Arial" w:cs="Arial"/>
                <w:color w:val="000000"/>
                <w:sz w:val="18"/>
                <w:szCs w:val="18"/>
              </w:rPr>
            </w:pPr>
            <w:r w:rsidRPr="00151130">
              <w:rPr>
                <w:rFonts w:ascii="Arial" w:hAnsi="Arial" w:cs="Arial"/>
                <w:color w:val="000000"/>
                <w:sz w:val="18"/>
                <w:szCs w:val="18"/>
              </w:rPr>
              <w:t xml:space="preserve">(Effectif de "Très coopérative" + "Coopérative") / </w:t>
            </w:r>
            <w:r w:rsidR="00A40C78" w:rsidRPr="00151130">
              <w:rPr>
                <w:rFonts w:ascii="Arial" w:hAnsi="Arial" w:cs="Arial"/>
                <w:color w:val="000000"/>
                <w:sz w:val="18"/>
                <w:szCs w:val="18"/>
              </w:rPr>
              <w:t>(Effectif</w:t>
            </w:r>
            <w:r w:rsidRPr="00151130">
              <w:rPr>
                <w:rFonts w:ascii="Arial" w:hAnsi="Arial" w:cs="Arial"/>
                <w:color w:val="000000"/>
                <w:sz w:val="18"/>
                <w:szCs w:val="18"/>
              </w:rPr>
              <w:t xml:space="preserve"> de "Très coopérative" + "Coopérative" + "Neutre" + "Pas coopérative</w:t>
            </w:r>
            <w:proofErr w:type="gramStart"/>
            <w:r w:rsidRPr="00151130">
              <w:rPr>
                <w:rFonts w:ascii="Arial" w:hAnsi="Arial" w:cs="Arial"/>
                <w:b/>
                <w:bCs/>
                <w:color w:val="000000"/>
                <w:sz w:val="18"/>
                <w:szCs w:val="18"/>
              </w:rPr>
              <w:t xml:space="preserve">" </w:t>
            </w:r>
            <w:r w:rsidRPr="00151130">
              <w:rPr>
                <w:rFonts w:ascii="Arial" w:hAnsi="Arial" w:cs="Arial"/>
                <w:color w:val="000000"/>
                <w:sz w:val="18"/>
                <w:szCs w:val="18"/>
              </w:rPr>
              <w:t>)</w:t>
            </w:r>
            <w:proofErr w:type="gramEnd"/>
          </w:p>
        </w:tc>
        <w:tc>
          <w:tcPr>
            <w:tcW w:w="997" w:type="dxa"/>
            <w:shd w:val="clear" w:color="auto" w:fill="FFFFFF" w:themeFill="background1"/>
            <w:noWrap/>
            <w:vAlign w:val="center"/>
          </w:tcPr>
          <w:p w:rsidR="00151130" w:rsidRPr="00A40C78"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46,</w:t>
            </w:r>
            <w:r w:rsidR="00151130" w:rsidRPr="00A40C78">
              <w:rPr>
                <w:rFonts w:ascii="Arial" w:hAnsi="Arial" w:cs="Arial"/>
                <w:b/>
                <w:bCs/>
                <w:color w:val="000000"/>
                <w:sz w:val="18"/>
                <w:szCs w:val="18"/>
              </w:rPr>
              <w:t>8%</w:t>
            </w:r>
          </w:p>
        </w:tc>
        <w:tc>
          <w:tcPr>
            <w:tcW w:w="991" w:type="dxa"/>
            <w:shd w:val="clear" w:color="auto" w:fill="FFFFFF" w:themeFill="background1"/>
            <w:noWrap/>
            <w:vAlign w:val="center"/>
          </w:tcPr>
          <w:p w:rsidR="00151130" w:rsidRPr="00A40C78" w:rsidRDefault="00107468" w:rsidP="00151130">
            <w:pPr>
              <w:contextualSpacing/>
              <w:jc w:val="center"/>
              <w:rPr>
                <w:rFonts w:ascii="Arial" w:hAnsi="Arial" w:cs="Arial"/>
                <w:b/>
                <w:bCs/>
                <w:color w:val="000000"/>
                <w:sz w:val="18"/>
                <w:szCs w:val="18"/>
              </w:rPr>
            </w:pPr>
            <w:r>
              <w:rPr>
                <w:rFonts w:ascii="Arial" w:hAnsi="Arial" w:cs="Arial"/>
                <w:b/>
                <w:bCs/>
                <w:color w:val="000000"/>
                <w:sz w:val="18"/>
                <w:szCs w:val="18"/>
              </w:rPr>
              <w:t>50,</w:t>
            </w:r>
            <w:r w:rsidR="00151130" w:rsidRPr="00A40C78">
              <w:rPr>
                <w:rFonts w:ascii="Arial" w:hAnsi="Arial" w:cs="Arial"/>
                <w:b/>
                <w:bCs/>
                <w:color w:val="000000"/>
                <w:sz w:val="18"/>
                <w:szCs w:val="18"/>
              </w:rPr>
              <w:t>0%</w:t>
            </w:r>
          </w:p>
        </w:tc>
      </w:tr>
    </w:tbl>
    <w:p w:rsidR="00151130" w:rsidRDefault="00151130" w:rsidP="00151130"/>
    <w:p w:rsidR="002B392B" w:rsidRPr="009E322B" w:rsidRDefault="002B392B" w:rsidP="00A40148">
      <w:pPr>
        <w:tabs>
          <w:tab w:val="left" w:pos="-720"/>
        </w:tabs>
        <w:suppressAutoHyphens/>
        <w:spacing w:line="312" w:lineRule="auto"/>
        <w:jc w:val="center"/>
        <w:outlineLvl w:val="0"/>
        <w:rPr>
          <w:rFonts w:ascii="Book Antiqua" w:hAnsi="Book Antiqua" w:cs="Arial"/>
          <w:b/>
          <w:sz w:val="22"/>
          <w:szCs w:val="22"/>
        </w:rPr>
      </w:pPr>
    </w:p>
    <w:p w:rsidR="00F4002C" w:rsidRPr="009E322B" w:rsidRDefault="00F4002C" w:rsidP="00A40148">
      <w:pPr>
        <w:tabs>
          <w:tab w:val="left" w:pos="-720"/>
        </w:tabs>
        <w:suppressAutoHyphens/>
        <w:spacing w:line="312" w:lineRule="auto"/>
        <w:jc w:val="center"/>
        <w:outlineLvl w:val="0"/>
        <w:rPr>
          <w:rFonts w:ascii="Book Antiqua" w:hAnsi="Book Antiqua" w:cs="Arial"/>
          <w:b/>
          <w:sz w:val="22"/>
          <w:szCs w:val="22"/>
        </w:rPr>
      </w:pPr>
    </w:p>
    <w:p w:rsidR="0065105C" w:rsidRDefault="0065105C">
      <w:r>
        <w:br w:type="page"/>
      </w:r>
    </w:p>
    <w:p w:rsidR="000C4657" w:rsidRDefault="005A2AC4" w:rsidP="007A5AC0">
      <w:pPr>
        <w:tabs>
          <w:tab w:val="left" w:pos="-720"/>
        </w:tabs>
        <w:suppressAutoHyphens/>
        <w:spacing w:line="312" w:lineRule="auto"/>
        <w:jc w:val="center"/>
        <w:outlineLvl w:val="0"/>
        <w:rPr>
          <w:rFonts w:ascii="Book Antiqua" w:hAnsi="Book Antiqua" w:cs="Arial"/>
          <w:b/>
          <w:sz w:val="22"/>
          <w:szCs w:val="22"/>
        </w:rPr>
      </w:pPr>
      <w:bookmarkStart w:id="15" w:name="_Toc523322021"/>
      <w:r w:rsidRPr="00D17028">
        <w:rPr>
          <w:rFonts w:ascii="Book Antiqua" w:hAnsi="Book Antiqua" w:cs="Arial"/>
          <w:b/>
          <w:sz w:val="22"/>
          <w:szCs w:val="22"/>
        </w:rPr>
        <w:lastRenderedPageBreak/>
        <w:t>RESUME DES RESULTATS</w:t>
      </w:r>
      <w:bookmarkEnd w:id="15"/>
    </w:p>
    <w:p w:rsidR="00197DC5" w:rsidRPr="007A5AC0" w:rsidRDefault="00197DC5" w:rsidP="007A5AC0">
      <w:pPr>
        <w:tabs>
          <w:tab w:val="left" w:pos="-720"/>
        </w:tabs>
        <w:suppressAutoHyphens/>
        <w:spacing w:line="312" w:lineRule="auto"/>
        <w:jc w:val="center"/>
        <w:outlineLvl w:val="0"/>
        <w:rPr>
          <w:rFonts w:ascii="Book Antiqua" w:hAnsi="Book Antiqua" w:cs="Arial"/>
          <w:b/>
          <w:sz w:val="22"/>
          <w:szCs w:val="22"/>
        </w:rPr>
      </w:pPr>
    </w:p>
    <w:p w:rsidR="002670C9" w:rsidRDefault="007A5AC0" w:rsidP="00840635">
      <w:pPr>
        <w:autoSpaceDE w:val="0"/>
        <w:autoSpaceDN w:val="0"/>
        <w:adjustRightInd w:val="0"/>
        <w:spacing w:line="276" w:lineRule="auto"/>
        <w:contextualSpacing/>
        <w:jc w:val="both"/>
        <w:rPr>
          <w:rFonts w:ascii="Book Antiqua" w:hAnsi="Book Antiqua" w:cs="BookAntiqua"/>
          <w:sz w:val="22"/>
          <w:szCs w:val="22"/>
        </w:rPr>
      </w:pPr>
      <w:r w:rsidRPr="007A5AC0">
        <w:rPr>
          <w:rFonts w:ascii="Book Antiqua" w:hAnsi="Book Antiqua" w:cs="BookAntiqua"/>
          <w:sz w:val="22"/>
          <w:szCs w:val="22"/>
        </w:rPr>
        <w:t xml:space="preserve">Le volet </w:t>
      </w:r>
      <w:r w:rsidRPr="007A5AC0">
        <w:rPr>
          <w:rFonts w:ascii="Book Antiqua" w:hAnsi="Book Antiqua" w:cs="BookAntiqua"/>
          <w:i/>
          <w:sz w:val="22"/>
          <w:szCs w:val="22"/>
        </w:rPr>
        <w:t>« personnes morales »</w:t>
      </w:r>
      <w:r w:rsidRPr="007A5AC0">
        <w:rPr>
          <w:rFonts w:ascii="Book Antiqua" w:hAnsi="Book Antiqua" w:cs="BookAntiqua"/>
          <w:sz w:val="22"/>
          <w:szCs w:val="22"/>
        </w:rPr>
        <w:t xml:space="preserve"> de l’Enquête nationale </w:t>
      </w:r>
      <w:r w:rsidR="00B81B5E">
        <w:rPr>
          <w:rFonts w:ascii="Book Antiqua" w:hAnsi="Book Antiqua" w:cs="BookAntiqua"/>
          <w:sz w:val="22"/>
          <w:szCs w:val="22"/>
        </w:rPr>
        <w:t xml:space="preserve">de satisfaction </w:t>
      </w:r>
      <w:r w:rsidRPr="007A5AC0">
        <w:rPr>
          <w:rFonts w:ascii="Book Antiqua" w:hAnsi="Book Antiqua" w:cs="BookAntiqua"/>
          <w:sz w:val="22"/>
          <w:szCs w:val="22"/>
        </w:rPr>
        <w:t>auprès des usagers de</w:t>
      </w:r>
      <w:r w:rsidR="00E57240">
        <w:rPr>
          <w:rFonts w:ascii="Book Antiqua" w:hAnsi="Book Antiqua" w:cs="BookAntiqua"/>
          <w:sz w:val="22"/>
          <w:szCs w:val="22"/>
        </w:rPr>
        <w:t>s services bancaires (ESUB)</w:t>
      </w:r>
      <w:r w:rsidR="004823E1">
        <w:rPr>
          <w:rFonts w:ascii="Book Antiqua" w:hAnsi="Book Antiqua" w:cs="BookAntiqua"/>
          <w:sz w:val="22"/>
          <w:szCs w:val="22"/>
        </w:rPr>
        <w:t xml:space="preserve"> </w:t>
      </w:r>
      <w:r w:rsidRPr="007A5AC0">
        <w:rPr>
          <w:rFonts w:ascii="Book Antiqua" w:hAnsi="Book Antiqua" w:cs="BookAntiqua"/>
          <w:sz w:val="22"/>
          <w:szCs w:val="22"/>
        </w:rPr>
        <w:t xml:space="preserve"> a porté sur une populatio</w:t>
      </w:r>
      <w:r w:rsidR="002670C9">
        <w:rPr>
          <w:rFonts w:ascii="Book Antiqua" w:hAnsi="Book Antiqua" w:cs="BookAntiqua"/>
          <w:sz w:val="22"/>
          <w:szCs w:val="22"/>
        </w:rPr>
        <w:t xml:space="preserve">n de 1874 unités. </w:t>
      </w:r>
    </w:p>
    <w:p w:rsidR="007A5AC0" w:rsidRPr="007A5AC0" w:rsidRDefault="002670C9" w:rsidP="00840635">
      <w:pPr>
        <w:autoSpaceDE w:val="0"/>
        <w:autoSpaceDN w:val="0"/>
        <w:adjustRightInd w:val="0"/>
        <w:spacing w:line="276" w:lineRule="auto"/>
        <w:contextualSpacing/>
        <w:jc w:val="both"/>
        <w:rPr>
          <w:rFonts w:ascii="Book Antiqua" w:hAnsi="Book Antiqua" w:cs="BookAntiqua"/>
          <w:sz w:val="22"/>
          <w:szCs w:val="22"/>
        </w:rPr>
      </w:pPr>
      <w:r>
        <w:rPr>
          <w:rFonts w:ascii="Book Antiqua" w:hAnsi="Book Antiqua" w:cs="BookAntiqua"/>
          <w:sz w:val="22"/>
          <w:szCs w:val="22"/>
        </w:rPr>
        <w:t>L’opinion</w:t>
      </w:r>
      <w:r w:rsidR="007A5AC0" w:rsidRPr="007A5AC0">
        <w:rPr>
          <w:rFonts w:ascii="Book Antiqua" w:hAnsi="Book Antiqua" w:cs="BookAntiqua"/>
          <w:sz w:val="22"/>
          <w:szCs w:val="22"/>
        </w:rPr>
        <w:t xml:space="preserve"> de ces unités sur la qualité des services offerts par leurs banques fait ressortir les points de satisfaction et d’insatisfaction ci-après :</w:t>
      </w:r>
    </w:p>
    <w:p w:rsidR="007A5AC0" w:rsidRPr="007A5AC0" w:rsidRDefault="007A5AC0" w:rsidP="00840635">
      <w:pPr>
        <w:pStyle w:val="Paragraphedeliste"/>
        <w:numPr>
          <w:ilvl w:val="0"/>
          <w:numId w:val="34"/>
        </w:numPr>
        <w:autoSpaceDE w:val="0"/>
        <w:autoSpaceDN w:val="0"/>
        <w:adjustRightInd w:val="0"/>
        <w:spacing w:before="240" w:after="240" w:line="276" w:lineRule="auto"/>
        <w:ind w:left="284" w:hanging="284"/>
        <w:contextualSpacing w:val="0"/>
        <w:jc w:val="both"/>
        <w:rPr>
          <w:rFonts w:ascii="Book Antiqua" w:hAnsi="Book Antiqua" w:cs="BookAntiqua,BoldItalic"/>
          <w:b/>
          <w:bCs/>
          <w:i/>
          <w:iCs/>
          <w:sz w:val="22"/>
          <w:szCs w:val="22"/>
        </w:rPr>
      </w:pPr>
      <w:r w:rsidRPr="007A5AC0">
        <w:rPr>
          <w:rFonts w:ascii="Book Antiqua" w:hAnsi="Book Antiqua" w:cs="BookAntiqua,BoldItalic"/>
          <w:b/>
          <w:bCs/>
          <w:i/>
          <w:iCs/>
          <w:sz w:val="22"/>
          <w:szCs w:val="22"/>
        </w:rPr>
        <w:t>Points positifs :</w:t>
      </w:r>
    </w:p>
    <w:p w:rsidR="007A5AC0" w:rsidRPr="007A5AC0" w:rsidRDefault="007A5AC0" w:rsidP="00840635">
      <w:pPr>
        <w:pStyle w:val="Paragraphedeliste"/>
        <w:numPr>
          <w:ilvl w:val="0"/>
          <w:numId w:val="32"/>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une satisfaction sur le nombre des agences bancaires relevée par 55,3% des unités interrogées ;</w:t>
      </w:r>
    </w:p>
    <w:p w:rsidR="007A5AC0" w:rsidRPr="007A5AC0" w:rsidRDefault="007A5AC0" w:rsidP="00840635">
      <w:pPr>
        <w:pStyle w:val="Paragraphedeliste"/>
        <w:numPr>
          <w:ilvl w:val="0"/>
          <w:numId w:val="32"/>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une proportion élevée d’unités (66,1%) n’ayant jamais décelé des irrégularités dans leurs relevés de compte au cours des trois dernières années ;</w:t>
      </w:r>
    </w:p>
    <w:p w:rsidR="007A5AC0" w:rsidRPr="007A5AC0" w:rsidRDefault="007A5AC0" w:rsidP="00840635">
      <w:pPr>
        <w:pStyle w:val="Paragraphedeliste"/>
        <w:numPr>
          <w:ilvl w:val="0"/>
          <w:numId w:val="32"/>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 xml:space="preserve">une </w:t>
      </w:r>
      <w:r w:rsidR="00F60586">
        <w:rPr>
          <w:rFonts w:ascii="Book Antiqua" w:hAnsi="Book Antiqua" w:cs="BookAntiqua"/>
          <w:sz w:val="22"/>
          <w:szCs w:val="22"/>
        </w:rPr>
        <w:t>opinion favorable</w:t>
      </w:r>
      <w:r w:rsidRPr="007A5AC0">
        <w:rPr>
          <w:rFonts w:ascii="Book Antiqua" w:hAnsi="Book Antiqua" w:cs="BookAntiqua"/>
          <w:sz w:val="22"/>
          <w:szCs w:val="22"/>
        </w:rPr>
        <w:t xml:space="preserve"> sur la durée de traitement des opérations de caisse (51,7%) ;</w:t>
      </w:r>
    </w:p>
    <w:p w:rsidR="007A5AC0" w:rsidRPr="007A5AC0" w:rsidRDefault="007A5AC0" w:rsidP="00840635">
      <w:pPr>
        <w:pStyle w:val="Paragraphedeliste"/>
        <w:numPr>
          <w:ilvl w:val="0"/>
          <w:numId w:val="32"/>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 xml:space="preserve">une rapidité dans l’exécution </w:t>
      </w:r>
      <w:r w:rsidRPr="007A5AC0">
        <w:rPr>
          <w:rFonts w:ascii="Book Antiqua" w:hAnsi="Book Antiqua" w:cs="Arial"/>
          <w:sz w:val="22"/>
          <w:szCs w:val="22"/>
        </w:rPr>
        <w:t>des virements domestiques avec une proportion de 68,8% d’avis favorables ;</w:t>
      </w:r>
    </w:p>
    <w:p w:rsidR="007A5AC0" w:rsidRPr="007A5AC0" w:rsidRDefault="007A5AC0" w:rsidP="00840635">
      <w:pPr>
        <w:pStyle w:val="Paragraphedeliste"/>
        <w:numPr>
          <w:ilvl w:val="0"/>
          <w:numId w:val="32"/>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 xml:space="preserve">une </w:t>
      </w:r>
      <w:r w:rsidR="00F60586">
        <w:rPr>
          <w:rFonts w:ascii="Book Antiqua" w:hAnsi="Book Antiqua" w:cs="BookAntiqua"/>
          <w:sz w:val="22"/>
          <w:szCs w:val="22"/>
        </w:rPr>
        <w:t>appréciation positive</w:t>
      </w:r>
      <w:r w:rsidRPr="007A5AC0">
        <w:rPr>
          <w:rFonts w:ascii="Book Antiqua" w:hAnsi="Book Antiqua" w:cs="BookAntiqua"/>
          <w:sz w:val="22"/>
          <w:szCs w:val="22"/>
        </w:rPr>
        <w:t xml:space="preserve"> sur l’accessibilité physique des points de service (80,3%) et par téléphone (54,6%) ;</w:t>
      </w:r>
    </w:p>
    <w:p w:rsidR="007A5AC0" w:rsidRPr="007A5AC0" w:rsidRDefault="007A5AC0" w:rsidP="00840635">
      <w:pPr>
        <w:pStyle w:val="Paragraphedeliste"/>
        <w:numPr>
          <w:ilvl w:val="0"/>
          <w:numId w:val="32"/>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une satisfaction sur la qualité des services de consultation à distance (86,4%) et de l’accès par internet à leurs banques (72,8%)</w:t>
      </w:r>
      <w:r w:rsidR="00E076E8">
        <w:rPr>
          <w:rFonts w:ascii="Book Antiqua" w:hAnsi="Book Antiqua" w:cs="BookAntiqua"/>
          <w:sz w:val="22"/>
          <w:szCs w:val="22"/>
        </w:rPr>
        <w:t xml:space="preserve"> </w:t>
      </w:r>
      <w:r w:rsidRPr="007A5AC0">
        <w:rPr>
          <w:rFonts w:ascii="Book Antiqua" w:hAnsi="Book Antiqua" w:cs="BookAntiqua"/>
          <w:sz w:val="22"/>
          <w:szCs w:val="22"/>
        </w:rPr>
        <w:t>;</w:t>
      </w:r>
    </w:p>
    <w:p w:rsidR="007A5AC0" w:rsidRPr="007A5AC0" w:rsidRDefault="007A5AC0" w:rsidP="00840635">
      <w:pPr>
        <w:pStyle w:val="Paragraphedeliste"/>
        <w:numPr>
          <w:ilvl w:val="0"/>
          <w:numId w:val="32"/>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 xml:space="preserve">une opinion favorable </w:t>
      </w:r>
      <w:r w:rsidR="001C0358" w:rsidRPr="007A5AC0">
        <w:rPr>
          <w:rFonts w:ascii="Book Antiqua" w:hAnsi="Book Antiqua" w:cs="BookAntiqua"/>
          <w:sz w:val="22"/>
          <w:szCs w:val="22"/>
        </w:rPr>
        <w:t>des unités enquêtées</w:t>
      </w:r>
      <w:r w:rsidR="001C0358">
        <w:rPr>
          <w:rFonts w:ascii="Book Antiqua" w:hAnsi="Book Antiqua" w:cs="BookAntiqua"/>
          <w:sz w:val="22"/>
          <w:szCs w:val="22"/>
        </w:rPr>
        <w:t xml:space="preserve"> (</w:t>
      </w:r>
      <w:r w:rsidR="001C0358" w:rsidRPr="007A5AC0">
        <w:rPr>
          <w:rFonts w:ascii="Book Antiqua" w:hAnsi="Book Antiqua" w:cs="BookAntiqua"/>
          <w:sz w:val="22"/>
          <w:szCs w:val="22"/>
        </w:rPr>
        <w:t>92,4%</w:t>
      </w:r>
      <w:r w:rsidR="001C0358">
        <w:rPr>
          <w:rFonts w:ascii="Book Antiqua" w:hAnsi="Book Antiqua" w:cs="BookAntiqua"/>
          <w:sz w:val="22"/>
          <w:szCs w:val="22"/>
        </w:rPr>
        <w:t>)</w:t>
      </w:r>
      <w:r w:rsidR="001C0358" w:rsidRPr="007A5AC0">
        <w:rPr>
          <w:rFonts w:ascii="Book Antiqua" w:hAnsi="Book Antiqua" w:cs="BookAntiqua"/>
          <w:sz w:val="22"/>
          <w:szCs w:val="22"/>
        </w:rPr>
        <w:t xml:space="preserve">  </w:t>
      </w:r>
      <w:r w:rsidRPr="007A5AC0">
        <w:rPr>
          <w:rFonts w:ascii="Book Antiqua" w:hAnsi="Book Antiqua" w:cs="BookAntiqua"/>
          <w:sz w:val="22"/>
          <w:szCs w:val="22"/>
        </w:rPr>
        <w:t>sur la qualité de l’accueil du personnel de</w:t>
      </w:r>
      <w:r w:rsidR="001C0358">
        <w:rPr>
          <w:rFonts w:ascii="Book Antiqua" w:hAnsi="Book Antiqua" w:cs="BookAntiqua"/>
          <w:sz w:val="22"/>
          <w:szCs w:val="22"/>
        </w:rPr>
        <w:t xml:space="preserve"> leurs</w:t>
      </w:r>
      <w:r w:rsidRPr="007A5AC0">
        <w:rPr>
          <w:rFonts w:ascii="Book Antiqua" w:hAnsi="Book Antiqua" w:cs="BookAntiqua"/>
          <w:sz w:val="22"/>
          <w:szCs w:val="22"/>
        </w:rPr>
        <w:t xml:space="preserve"> agence</w:t>
      </w:r>
      <w:r w:rsidR="001C0358">
        <w:rPr>
          <w:rFonts w:ascii="Book Antiqua" w:hAnsi="Book Antiqua" w:cs="BookAntiqua"/>
          <w:sz w:val="22"/>
          <w:szCs w:val="22"/>
        </w:rPr>
        <w:t>s</w:t>
      </w:r>
      <w:r w:rsidRPr="007A5AC0">
        <w:rPr>
          <w:rFonts w:ascii="Book Antiqua" w:hAnsi="Book Antiqua" w:cs="BookAntiqua"/>
          <w:sz w:val="22"/>
          <w:szCs w:val="22"/>
        </w:rPr>
        <w:t xml:space="preserve"> bancaire</w:t>
      </w:r>
      <w:r w:rsidR="001C0358">
        <w:rPr>
          <w:rFonts w:ascii="Book Antiqua" w:hAnsi="Book Antiqua" w:cs="BookAntiqua"/>
          <w:sz w:val="22"/>
          <w:szCs w:val="22"/>
        </w:rPr>
        <w:t>s</w:t>
      </w:r>
      <w:r w:rsidR="00E076E8">
        <w:rPr>
          <w:rFonts w:ascii="Book Antiqua" w:hAnsi="Book Antiqua" w:cs="BookAntiqua"/>
          <w:sz w:val="22"/>
          <w:szCs w:val="22"/>
        </w:rPr>
        <w:t xml:space="preserve"> </w:t>
      </w:r>
      <w:r w:rsidRPr="007A5AC0">
        <w:rPr>
          <w:rFonts w:ascii="Book Antiqua" w:hAnsi="Book Antiqua" w:cs="BookAntiqua"/>
          <w:sz w:val="22"/>
          <w:szCs w:val="22"/>
        </w:rPr>
        <w:t>;</w:t>
      </w:r>
    </w:p>
    <w:p w:rsidR="007A5AC0" w:rsidRDefault="007A5AC0" w:rsidP="00840635">
      <w:pPr>
        <w:pStyle w:val="Paragraphedeliste"/>
        <w:numPr>
          <w:ilvl w:val="0"/>
          <w:numId w:val="32"/>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des horaires de service globalement adaptés aux attentes selon 82,4% des unités.</w:t>
      </w:r>
    </w:p>
    <w:p w:rsidR="007A5AC0" w:rsidRPr="007A5AC0" w:rsidRDefault="007A5AC0" w:rsidP="00840635">
      <w:pPr>
        <w:pStyle w:val="Paragraphedeliste"/>
        <w:numPr>
          <w:ilvl w:val="0"/>
          <w:numId w:val="34"/>
        </w:numPr>
        <w:autoSpaceDE w:val="0"/>
        <w:autoSpaceDN w:val="0"/>
        <w:adjustRightInd w:val="0"/>
        <w:spacing w:before="240" w:after="240" w:line="276" w:lineRule="auto"/>
        <w:ind w:left="284" w:hanging="284"/>
        <w:contextualSpacing w:val="0"/>
        <w:jc w:val="both"/>
        <w:rPr>
          <w:rFonts w:ascii="Book Antiqua" w:hAnsi="Book Antiqua" w:cs="BookAntiqua,BoldItalic"/>
          <w:b/>
          <w:bCs/>
          <w:i/>
          <w:iCs/>
          <w:sz w:val="22"/>
          <w:szCs w:val="22"/>
        </w:rPr>
      </w:pPr>
      <w:r w:rsidRPr="007A5AC0">
        <w:rPr>
          <w:rFonts w:ascii="Book Antiqua" w:hAnsi="Book Antiqua" w:cs="BookAntiqua,BoldItalic"/>
          <w:b/>
          <w:bCs/>
          <w:i/>
          <w:iCs/>
          <w:sz w:val="22"/>
          <w:szCs w:val="22"/>
        </w:rPr>
        <w:t>Points négatifs :</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une attitude timide des banques face au changement de domiciliation de compte déplorée par 50</w:t>
      </w:r>
      <w:r w:rsidR="00B61FE8">
        <w:rPr>
          <w:rFonts w:ascii="Book Antiqua" w:hAnsi="Book Antiqua" w:cs="BookAntiqua"/>
          <w:sz w:val="22"/>
          <w:szCs w:val="22"/>
        </w:rPr>
        <w:t>,0</w:t>
      </w:r>
      <w:r w:rsidRPr="007A5AC0">
        <w:rPr>
          <w:rFonts w:ascii="Book Antiqua" w:hAnsi="Book Antiqua" w:cs="BookAntiqua"/>
          <w:sz w:val="22"/>
          <w:szCs w:val="22"/>
        </w:rPr>
        <w:t>% des unités ;</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une faible utilisation des opérations de virements domestiques au cours des trois dernières années (35,3%) ;</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Arial"/>
          <w:sz w:val="22"/>
          <w:szCs w:val="22"/>
        </w:rPr>
      </w:pPr>
      <w:r w:rsidRPr="007A5AC0">
        <w:rPr>
          <w:rFonts w:ascii="Book Antiqua" w:hAnsi="Book Antiqua" w:cs="Arial"/>
          <w:sz w:val="22"/>
          <w:szCs w:val="22"/>
        </w:rPr>
        <w:t xml:space="preserve">une lenteur observée sur la durée de traitement des transferts </w:t>
      </w:r>
      <w:r w:rsidR="00B61FE8">
        <w:rPr>
          <w:rFonts w:ascii="Book Antiqua" w:hAnsi="Book Antiqua" w:cs="Arial"/>
          <w:sz w:val="22"/>
          <w:szCs w:val="22"/>
        </w:rPr>
        <w:t xml:space="preserve">reçus </w:t>
      </w:r>
      <w:r w:rsidRPr="007A5AC0">
        <w:rPr>
          <w:rFonts w:ascii="Book Antiqua" w:hAnsi="Book Antiqua" w:cs="Arial"/>
          <w:sz w:val="22"/>
          <w:szCs w:val="22"/>
        </w:rPr>
        <w:t>de l’étranger avec un taux d’insatisfaction de 62,1% ;</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 xml:space="preserve">un taux d’insatisfaction élevé sur </w:t>
      </w:r>
      <w:r w:rsidR="003A5B97">
        <w:rPr>
          <w:rFonts w:ascii="Book Antiqua" w:hAnsi="Book Antiqua" w:cs="Arial"/>
          <w:sz w:val="22"/>
          <w:szCs w:val="22"/>
        </w:rPr>
        <w:t>les délais</w:t>
      </w:r>
      <w:r w:rsidRPr="007A5AC0">
        <w:rPr>
          <w:rFonts w:ascii="Book Antiqua" w:hAnsi="Book Antiqua" w:cs="Arial"/>
          <w:sz w:val="22"/>
          <w:szCs w:val="22"/>
        </w:rPr>
        <w:t xml:space="preserve"> de renouvellement des chéquiers pour 79,6% des unités interrogées ;</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 xml:space="preserve">une inadéquation entre les produits bancaires et les projets d’investissements relevée  par </w:t>
      </w:r>
      <w:r w:rsidR="00F82DD8">
        <w:rPr>
          <w:rFonts w:ascii="Book Antiqua" w:hAnsi="Book Antiqua" w:cs="BookAntiqua"/>
          <w:sz w:val="22"/>
          <w:szCs w:val="22"/>
        </w:rPr>
        <w:t>44</w:t>
      </w:r>
      <w:r w:rsidRPr="007A5AC0">
        <w:rPr>
          <w:rFonts w:ascii="Book Antiqua" w:hAnsi="Book Antiqua" w:cs="BookAntiqua"/>
          <w:sz w:val="22"/>
          <w:szCs w:val="22"/>
        </w:rPr>
        <w:t>,0% des unités</w:t>
      </w:r>
      <w:r w:rsidR="003A5B97">
        <w:rPr>
          <w:rFonts w:ascii="Book Antiqua" w:hAnsi="Book Antiqua" w:cs="BookAntiqua"/>
          <w:sz w:val="22"/>
          <w:szCs w:val="22"/>
        </w:rPr>
        <w:t xml:space="preserve"> enquêtés</w:t>
      </w:r>
      <w:r w:rsidR="00E076E8">
        <w:rPr>
          <w:rFonts w:ascii="Book Antiqua" w:hAnsi="Book Antiqua" w:cs="BookAntiqua"/>
          <w:sz w:val="22"/>
          <w:szCs w:val="22"/>
        </w:rPr>
        <w:t xml:space="preserve"> </w:t>
      </w:r>
      <w:r w:rsidRPr="007A5AC0">
        <w:rPr>
          <w:rFonts w:ascii="Book Antiqua" w:hAnsi="Book Antiqua" w:cs="BookAntiqua"/>
          <w:sz w:val="22"/>
          <w:szCs w:val="22"/>
        </w:rPr>
        <w:t>;</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3A5B97">
        <w:rPr>
          <w:rFonts w:ascii="Book Antiqua" w:hAnsi="Book Antiqua" w:cs="BookAntiqua"/>
          <w:sz w:val="22"/>
          <w:szCs w:val="22"/>
        </w:rPr>
        <w:t xml:space="preserve">un taux  élevé d’insatisfaction des unités </w:t>
      </w:r>
      <w:r w:rsidR="003A5B97">
        <w:rPr>
          <w:rFonts w:ascii="Book Antiqua" w:hAnsi="Book Antiqua" w:cs="BookAntiqua"/>
          <w:sz w:val="22"/>
          <w:szCs w:val="22"/>
        </w:rPr>
        <w:t>(</w:t>
      </w:r>
      <w:r w:rsidR="00F82DD8">
        <w:rPr>
          <w:rFonts w:ascii="Book Antiqua" w:hAnsi="Book Antiqua" w:cs="BookAntiqua"/>
          <w:sz w:val="22"/>
          <w:szCs w:val="22"/>
        </w:rPr>
        <w:t>44</w:t>
      </w:r>
      <w:r w:rsidR="003A5B97" w:rsidRPr="003A5B97">
        <w:rPr>
          <w:rFonts w:ascii="Book Antiqua" w:hAnsi="Book Antiqua" w:cs="BookAntiqua"/>
          <w:sz w:val="22"/>
          <w:szCs w:val="22"/>
        </w:rPr>
        <w:t>,</w:t>
      </w:r>
      <w:r w:rsidR="00F82DD8">
        <w:rPr>
          <w:rFonts w:ascii="Book Antiqua" w:hAnsi="Book Antiqua" w:cs="BookAntiqua"/>
          <w:sz w:val="22"/>
          <w:szCs w:val="22"/>
        </w:rPr>
        <w:t>2</w:t>
      </w:r>
      <w:r w:rsidR="003A5B97" w:rsidRPr="003A5B97">
        <w:rPr>
          <w:rFonts w:ascii="Book Antiqua" w:hAnsi="Book Antiqua" w:cs="BookAntiqua"/>
          <w:sz w:val="22"/>
          <w:szCs w:val="22"/>
        </w:rPr>
        <w:t>%</w:t>
      </w:r>
      <w:r w:rsidR="003A5B97">
        <w:rPr>
          <w:rFonts w:ascii="Book Antiqua" w:hAnsi="Book Antiqua" w:cs="BookAntiqua"/>
          <w:sz w:val="22"/>
          <w:szCs w:val="22"/>
        </w:rPr>
        <w:t xml:space="preserve">) </w:t>
      </w:r>
      <w:r w:rsidRPr="003A5B97">
        <w:rPr>
          <w:rFonts w:ascii="Book Antiqua" w:hAnsi="Book Antiqua" w:cs="BookAntiqua"/>
          <w:sz w:val="22"/>
          <w:szCs w:val="22"/>
        </w:rPr>
        <w:t>sur  l’adéquation entre leurs besoins en fonds de roulement et les produits bancaires ;</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un</w:t>
      </w:r>
      <w:r w:rsidR="00F82DD8">
        <w:rPr>
          <w:rFonts w:ascii="Book Antiqua" w:hAnsi="Book Antiqua" w:cs="BookAntiqua"/>
          <w:sz w:val="22"/>
          <w:szCs w:val="22"/>
        </w:rPr>
        <w:t xml:space="preserve">e </w:t>
      </w:r>
      <w:r w:rsidRPr="007A5AC0">
        <w:rPr>
          <w:rFonts w:ascii="Book Antiqua" w:hAnsi="Book Antiqua" w:cs="BookAntiqua"/>
          <w:sz w:val="22"/>
          <w:szCs w:val="22"/>
        </w:rPr>
        <w:t>faible</w:t>
      </w:r>
      <w:r w:rsidR="00F82DD8">
        <w:rPr>
          <w:rFonts w:ascii="Book Antiqua" w:hAnsi="Book Antiqua" w:cs="BookAntiqua"/>
          <w:sz w:val="22"/>
          <w:szCs w:val="22"/>
        </w:rPr>
        <w:t xml:space="preserve">sse du </w:t>
      </w:r>
      <w:r w:rsidRPr="007A5AC0">
        <w:rPr>
          <w:rFonts w:ascii="Book Antiqua" w:hAnsi="Book Antiqua" w:cs="BookAntiqua"/>
          <w:sz w:val="22"/>
          <w:szCs w:val="22"/>
        </w:rPr>
        <w:t>taux d’accès au crédit (47,5%) durant les trois dernières années ;</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des garanties assorties à l’octroi du crédit jugées contraignantes par 68</w:t>
      </w:r>
      <w:r w:rsidR="00F82DD8">
        <w:rPr>
          <w:rFonts w:ascii="Book Antiqua" w:hAnsi="Book Antiqua" w:cs="BookAntiqua"/>
          <w:sz w:val="22"/>
          <w:szCs w:val="22"/>
        </w:rPr>
        <w:t>,0</w:t>
      </w:r>
      <w:r w:rsidRPr="007A5AC0">
        <w:rPr>
          <w:rFonts w:ascii="Book Antiqua" w:hAnsi="Book Antiqua" w:cs="BookAntiqua"/>
          <w:sz w:val="22"/>
          <w:szCs w:val="22"/>
        </w:rPr>
        <w:t>% des unités;</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des taux d’intérêt appliqués sur les crédits de fonctionnement jugés trop élevés par 85,4%;</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des taux d’intérêt appliqués sur les crédits d’investissement trop élevés (85</w:t>
      </w:r>
      <w:r w:rsidR="00F82DD8">
        <w:rPr>
          <w:rFonts w:ascii="Book Antiqua" w:hAnsi="Book Antiqua" w:cs="BookAntiqua"/>
          <w:sz w:val="22"/>
          <w:szCs w:val="22"/>
        </w:rPr>
        <w:t>,0</w:t>
      </w:r>
      <w:r w:rsidRPr="007A5AC0">
        <w:rPr>
          <w:rFonts w:ascii="Book Antiqua" w:hAnsi="Book Antiqua" w:cs="BookAntiqua"/>
          <w:sz w:val="22"/>
          <w:szCs w:val="22"/>
        </w:rPr>
        <w:t>%);</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lastRenderedPageBreak/>
        <w:t>des taux de rémunération sur l’épargne jugés relativement faibles (</w:t>
      </w:r>
      <w:r w:rsidR="00F82DD8">
        <w:rPr>
          <w:rFonts w:ascii="Book Antiqua" w:hAnsi="Book Antiqua" w:cs="BookAntiqua"/>
          <w:sz w:val="22"/>
          <w:szCs w:val="22"/>
        </w:rPr>
        <w:t>78</w:t>
      </w:r>
      <w:r w:rsidRPr="007A5AC0">
        <w:rPr>
          <w:rFonts w:ascii="Book Antiqua" w:hAnsi="Book Antiqua" w:cs="BookAntiqua"/>
          <w:sz w:val="22"/>
          <w:szCs w:val="22"/>
        </w:rPr>
        <w:t>,</w:t>
      </w:r>
      <w:r w:rsidR="00F82DD8">
        <w:rPr>
          <w:rFonts w:ascii="Book Antiqua" w:hAnsi="Book Antiqua" w:cs="BookAntiqua"/>
          <w:sz w:val="22"/>
          <w:szCs w:val="22"/>
        </w:rPr>
        <w:t>8</w:t>
      </w:r>
      <w:r w:rsidRPr="007A5AC0">
        <w:rPr>
          <w:rFonts w:ascii="Book Antiqua" w:hAnsi="Book Antiqua" w:cs="BookAntiqua"/>
          <w:sz w:val="22"/>
          <w:szCs w:val="22"/>
        </w:rPr>
        <w:t>%) ;</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un niveau élevé des frais de tenue de compte selon 59,8% des unités interrogées ;</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 xml:space="preserve">une insuffisance de la qualité de l’information fournie sur les obligations au moment de l’ouverture du compte, </w:t>
      </w:r>
      <w:r w:rsidR="00A44758">
        <w:rPr>
          <w:rFonts w:ascii="Book Antiqua" w:hAnsi="Book Antiqua" w:cs="BookAntiqua"/>
          <w:sz w:val="22"/>
          <w:szCs w:val="22"/>
        </w:rPr>
        <w:t xml:space="preserve">avec une proportion de 59,6% d’unités </w:t>
      </w:r>
      <w:r w:rsidRPr="007A5AC0">
        <w:rPr>
          <w:rFonts w:ascii="Book Antiqua" w:hAnsi="Book Antiqua" w:cs="BookAntiqua"/>
          <w:sz w:val="22"/>
          <w:szCs w:val="22"/>
        </w:rPr>
        <w:t>insatisfait</w:t>
      </w:r>
      <w:r w:rsidR="00A44758">
        <w:rPr>
          <w:rFonts w:ascii="Book Antiqua" w:hAnsi="Book Antiqua" w:cs="BookAntiqua"/>
          <w:sz w:val="22"/>
          <w:szCs w:val="22"/>
        </w:rPr>
        <w:t>e</w:t>
      </w:r>
      <w:r w:rsidRPr="007A5AC0">
        <w:rPr>
          <w:rFonts w:ascii="Book Antiqua" w:hAnsi="Book Antiqua" w:cs="BookAntiqua"/>
          <w:sz w:val="22"/>
          <w:szCs w:val="22"/>
        </w:rPr>
        <w:t>s ;</w:t>
      </w:r>
    </w:p>
    <w:p w:rsid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un déficit d’information sur les conditions tarifaires au moment de l’</w:t>
      </w:r>
      <w:r w:rsidR="00A44758">
        <w:rPr>
          <w:rFonts w:ascii="Book Antiqua" w:hAnsi="Book Antiqua" w:cs="BookAntiqua"/>
          <w:sz w:val="22"/>
          <w:szCs w:val="22"/>
        </w:rPr>
        <w:t>entrée en relation</w:t>
      </w:r>
      <w:r w:rsidR="00F04D52">
        <w:rPr>
          <w:rFonts w:ascii="Book Antiqua" w:hAnsi="Book Antiqua" w:cs="BookAntiqua"/>
          <w:sz w:val="22"/>
          <w:szCs w:val="22"/>
        </w:rPr>
        <w:t xml:space="preserve"> </w:t>
      </w:r>
      <w:r w:rsidR="00A44758">
        <w:rPr>
          <w:rFonts w:ascii="Book Antiqua" w:hAnsi="Book Antiqua" w:cs="BookAntiqua"/>
          <w:sz w:val="22"/>
          <w:szCs w:val="22"/>
        </w:rPr>
        <w:t xml:space="preserve">déploré par une proportion de </w:t>
      </w:r>
      <w:r w:rsidRPr="007A5AC0">
        <w:rPr>
          <w:rFonts w:ascii="Book Antiqua" w:hAnsi="Book Antiqua" w:cs="BookAntiqua"/>
          <w:sz w:val="22"/>
          <w:szCs w:val="22"/>
        </w:rPr>
        <w:t>32</w:t>
      </w:r>
      <w:r w:rsidR="00A44758">
        <w:rPr>
          <w:rFonts w:ascii="Book Antiqua" w:hAnsi="Book Antiqua" w:cs="BookAntiqua"/>
          <w:sz w:val="22"/>
          <w:szCs w:val="22"/>
        </w:rPr>
        <w:t>,0</w:t>
      </w:r>
      <w:r w:rsidRPr="007A5AC0">
        <w:rPr>
          <w:rFonts w:ascii="Book Antiqua" w:hAnsi="Book Antiqua" w:cs="BookAntiqua"/>
          <w:sz w:val="22"/>
          <w:szCs w:val="22"/>
        </w:rPr>
        <w:t>%</w:t>
      </w:r>
      <w:r w:rsidR="00A44758">
        <w:rPr>
          <w:rFonts w:ascii="Book Antiqua" w:hAnsi="Book Antiqua" w:cs="BookAntiqua"/>
          <w:sz w:val="22"/>
          <w:szCs w:val="22"/>
        </w:rPr>
        <w:t xml:space="preserve"> des unités interrogées </w:t>
      </w:r>
      <w:r w:rsidRPr="007A5AC0">
        <w:rPr>
          <w:rFonts w:ascii="Book Antiqua" w:hAnsi="Book Antiqua" w:cs="BookAntiqua"/>
          <w:sz w:val="22"/>
          <w:szCs w:val="22"/>
        </w:rPr>
        <w:t>;</w:t>
      </w:r>
    </w:p>
    <w:p w:rsidR="00A44758" w:rsidRPr="007A5AC0" w:rsidRDefault="00A44758"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Pr>
          <w:rFonts w:ascii="Book Antiqua" w:hAnsi="Book Antiqua" w:cs="BookAntiqua"/>
          <w:sz w:val="22"/>
          <w:szCs w:val="22"/>
        </w:rPr>
        <w:t>une insuffisance de la qualité de l’information tarifaire soulevée par une proportion de 61,6% des unités enquêtées ;</w:t>
      </w:r>
    </w:p>
    <w:p w:rsidR="007A5AC0" w:rsidRPr="007A5AC0" w:rsidRDefault="007A5AC0"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sidRPr="007A5AC0">
        <w:rPr>
          <w:rFonts w:ascii="Book Antiqua" w:hAnsi="Book Antiqua" w:cs="BookAntiqua"/>
          <w:sz w:val="22"/>
          <w:szCs w:val="22"/>
        </w:rPr>
        <w:t>une proportion non négligeable d’unités (29,6%) ayant formulé des réclamations lors des cinq dernières années ;</w:t>
      </w:r>
    </w:p>
    <w:p w:rsidR="007A5AC0" w:rsidRPr="007A5AC0" w:rsidRDefault="00D44FE6" w:rsidP="00840635">
      <w:pPr>
        <w:pStyle w:val="Paragraphedeliste"/>
        <w:numPr>
          <w:ilvl w:val="0"/>
          <w:numId w:val="33"/>
        </w:numPr>
        <w:autoSpaceDE w:val="0"/>
        <w:autoSpaceDN w:val="0"/>
        <w:adjustRightInd w:val="0"/>
        <w:spacing w:before="80" w:after="80" w:line="276" w:lineRule="auto"/>
        <w:ind w:left="568" w:hanging="284"/>
        <w:contextualSpacing w:val="0"/>
        <w:jc w:val="both"/>
        <w:rPr>
          <w:rFonts w:ascii="Book Antiqua" w:hAnsi="Book Antiqua" w:cs="BookAntiqua"/>
          <w:sz w:val="22"/>
          <w:szCs w:val="22"/>
        </w:rPr>
      </w:pPr>
      <w:r>
        <w:rPr>
          <w:rFonts w:ascii="Book Antiqua" w:hAnsi="Book Antiqua" w:cs="BookAntiqua"/>
          <w:sz w:val="22"/>
          <w:szCs w:val="22"/>
        </w:rPr>
        <w:t>un</w:t>
      </w:r>
      <w:r w:rsidR="00376C63">
        <w:rPr>
          <w:rFonts w:ascii="Book Antiqua" w:hAnsi="Book Antiqua" w:cs="BookAntiqua"/>
          <w:sz w:val="22"/>
          <w:szCs w:val="22"/>
        </w:rPr>
        <w:t xml:space="preserve"> </w:t>
      </w:r>
      <w:r>
        <w:rPr>
          <w:rFonts w:ascii="Book Antiqua" w:hAnsi="Book Antiqua" w:cs="BookAntiqua"/>
          <w:sz w:val="22"/>
          <w:szCs w:val="22"/>
        </w:rPr>
        <w:t xml:space="preserve">défaut dans le traitement et le </w:t>
      </w:r>
      <w:r w:rsidRPr="007A5AC0">
        <w:rPr>
          <w:rFonts w:ascii="Book Antiqua" w:hAnsi="Book Antiqua" w:cs="BookAntiqua"/>
          <w:sz w:val="22"/>
          <w:szCs w:val="22"/>
        </w:rPr>
        <w:t xml:space="preserve">suivi </w:t>
      </w:r>
      <w:r>
        <w:rPr>
          <w:rFonts w:ascii="Book Antiqua" w:hAnsi="Book Antiqua" w:cs="BookAntiqua"/>
          <w:sz w:val="22"/>
          <w:szCs w:val="22"/>
        </w:rPr>
        <w:t xml:space="preserve">des </w:t>
      </w:r>
      <w:r w:rsidRPr="007A5AC0">
        <w:rPr>
          <w:rFonts w:ascii="Book Antiqua" w:hAnsi="Book Antiqua" w:cs="BookAntiqua"/>
          <w:sz w:val="22"/>
          <w:szCs w:val="22"/>
        </w:rPr>
        <w:t xml:space="preserve">réclamations </w:t>
      </w:r>
      <w:r>
        <w:rPr>
          <w:rFonts w:ascii="Book Antiqua" w:hAnsi="Book Antiqua" w:cs="BookAntiqua"/>
          <w:sz w:val="22"/>
          <w:szCs w:val="22"/>
        </w:rPr>
        <w:t>relevé</w:t>
      </w:r>
      <w:r w:rsidR="007A5AC0" w:rsidRPr="007A5AC0">
        <w:rPr>
          <w:rFonts w:ascii="Book Antiqua" w:hAnsi="Book Antiqua" w:cs="BookAntiqua"/>
          <w:sz w:val="22"/>
          <w:szCs w:val="22"/>
        </w:rPr>
        <w:t xml:space="preserve"> par 48,8% des unités.</w:t>
      </w:r>
    </w:p>
    <w:p w:rsidR="001B5368" w:rsidRPr="00D17028" w:rsidRDefault="001B5368" w:rsidP="00840635">
      <w:pPr>
        <w:widowControl w:val="0"/>
        <w:spacing w:before="120" w:line="276" w:lineRule="auto"/>
        <w:rPr>
          <w:rFonts w:ascii="Book Antiqua" w:hAnsi="Book Antiqua" w:cs="Arial"/>
          <w:color w:val="FF0000"/>
          <w:sz w:val="22"/>
          <w:szCs w:val="22"/>
        </w:rPr>
        <w:sectPr w:rsidR="001B5368" w:rsidRPr="00D17028" w:rsidSect="00AE2523">
          <w:pgSz w:w="11907" w:h="16840" w:code="9"/>
          <w:pgMar w:top="680" w:right="1134" w:bottom="680" w:left="1191" w:header="454" w:footer="454" w:gutter="0"/>
          <w:cols w:space="720"/>
          <w:docGrid w:linePitch="360"/>
        </w:sectPr>
      </w:pPr>
    </w:p>
    <w:p w:rsidR="00633632" w:rsidRPr="008B7F0C" w:rsidRDefault="00633632" w:rsidP="00BA203C">
      <w:pPr>
        <w:numPr>
          <w:ilvl w:val="0"/>
          <w:numId w:val="4"/>
        </w:numPr>
        <w:tabs>
          <w:tab w:val="clear" w:pos="587"/>
          <w:tab w:val="left" w:pos="-720"/>
        </w:tabs>
        <w:suppressAutoHyphens/>
        <w:spacing w:after="240" w:line="276" w:lineRule="auto"/>
        <w:ind w:left="284" w:hanging="142"/>
        <w:jc w:val="both"/>
        <w:outlineLvl w:val="0"/>
        <w:rPr>
          <w:rFonts w:ascii="Book Antiqua" w:hAnsi="Book Antiqua" w:cs="Tahoma"/>
          <w:b/>
          <w:sz w:val="22"/>
          <w:szCs w:val="22"/>
        </w:rPr>
      </w:pPr>
      <w:bookmarkStart w:id="16" w:name="_Toc523322022"/>
      <w:r w:rsidRPr="008B7F0C">
        <w:rPr>
          <w:rFonts w:ascii="Book Antiqua" w:hAnsi="Book Antiqua" w:cs="Tahoma"/>
          <w:b/>
          <w:sz w:val="22"/>
          <w:szCs w:val="22"/>
        </w:rPr>
        <w:lastRenderedPageBreak/>
        <w:t>Présentation des unités enquêtées</w:t>
      </w:r>
      <w:bookmarkEnd w:id="16"/>
    </w:p>
    <w:p w:rsidR="007C6568" w:rsidRPr="007C6568" w:rsidRDefault="00633632" w:rsidP="00840635">
      <w:pPr>
        <w:widowControl w:val="0"/>
        <w:spacing w:before="120" w:line="276" w:lineRule="auto"/>
        <w:jc w:val="both"/>
        <w:rPr>
          <w:rFonts w:ascii="Book Antiqua" w:hAnsi="Book Antiqua" w:cs="Tahoma"/>
          <w:sz w:val="22"/>
          <w:szCs w:val="22"/>
        </w:rPr>
      </w:pPr>
      <w:r w:rsidRPr="00633632">
        <w:rPr>
          <w:rFonts w:ascii="Book Antiqua" w:hAnsi="Book Antiqua" w:cs="Tahoma"/>
          <w:sz w:val="22"/>
          <w:szCs w:val="22"/>
        </w:rPr>
        <w:t xml:space="preserve">Cette partie présente les entreprises enquêtées suivant </w:t>
      </w:r>
      <w:r w:rsidR="00C23047">
        <w:rPr>
          <w:rFonts w:ascii="Book Antiqua" w:hAnsi="Book Antiqua" w:cs="Tahoma"/>
          <w:sz w:val="22"/>
          <w:szCs w:val="22"/>
        </w:rPr>
        <w:t xml:space="preserve">la </w:t>
      </w:r>
      <w:r w:rsidRPr="00633632">
        <w:rPr>
          <w:rFonts w:ascii="Book Antiqua" w:hAnsi="Book Antiqua" w:cs="Tahoma"/>
          <w:sz w:val="22"/>
          <w:szCs w:val="22"/>
        </w:rPr>
        <w:t xml:space="preserve">répartition géographique, </w:t>
      </w:r>
      <w:r w:rsidR="00C23047">
        <w:rPr>
          <w:rFonts w:ascii="Book Antiqua" w:hAnsi="Book Antiqua" w:cs="Tahoma"/>
          <w:sz w:val="22"/>
          <w:szCs w:val="22"/>
        </w:rPr>
        <w:t xml:space="preserve">le </w:t>
      </w:r>
      <w:r w:rsidRPr="00633632">
        <w:rPr>
          <w:rFonts w:ascii="Book Antiqua" w:hAnsi="Book Antiqua" w:cs="Tahoma"/>
          <w:sz w:val="22"/>
          <w:szCs w:val="22"/>
        </w:rPr>
        <w:t xml:space="preserve">statut juridique, </w:t>
      </w:r>
      <w:r w:rsidR="00C23047">
        <w:rPr>
          <w:rFonts w:ascii="Book Antiqua" w:hAnsi="Book Antiqua" w:cs="Tahoma"/>
          <w:sz w:val="22"/>
          <w:szCs w:val="22"/>
        </w:rPr>
        <w:t xml:space="preserve">le </w:t>
      </w:r>
      <w:r w:rsidRPr="00633632">
        <w:rPr>
          <w:rFonts w:ascii="Book Antiqua" w:hAnsi="Book Antiqua" w:cs="Tahoma"/>
          <w:sz w:val="22"/>
          <w:szCs w:val="22"/>
        </w:rPr>
        <w:t xml:space="preserve">secteur d’activités, </w:t>
      </w:r>
      <w:r w:rsidR="00C23047">
        <w:rPr>
          <w:rFonts w:ascii="Book Antiqua" w:hAnsi="Book Antiqua" w:cs="Tahoma"/>
          <w:sz w:val="22"/>
          <w:szCs w:val="22"/>
        </w:rPr>
        <w:t xml:space="preserve">le </w:t>
      </w:r>
      <w:r w:rsidRPr="00633632">
        <w:rPr>
          <w:rFonts w:ascii="Book Antiqua" w:hAnsi="Book Antiqua" w:cs="Tahoma"/>
          <w:sz w:val="22"/>
          <w:szCs w:val="22"/>
        </w:rPr>
        <w:t xml:space="preserve">type (moderne ou informel), </w:t>
      </w:r>
      <w:r w:rsidR="00C23047">
        <w:rPr>
          <w:rFonts w:ascii="Book Antiqua" w:hAnsi="Book Antiqua" w:cs="Tahoma"/>
          <w:sz w:val="22"/>
          <w:szCs w:val="22"/>
        </w:rPr>
        <w:t xml:space="preserve">la </w:t>
      </w:r>
      <w:r w:rsidRPr="00633632">
        <w:rPr>
          <w:rFonts w:ascii="Book Antiqua" w:hAnsi="Book Antiqua" w:cs="Tahoma"/>
          <w:sz w:val="22"/>
          <w:szCs w:val="22"/>
        </w:rPr>
        <w:t xml:space="preserve">domiciliation bancaire </w:t>
      </w:r>
      <w:r w:rsidR="00C23047">
        <w:rPr>
          <w:rFonts w:ascii="Book Antiqua" w:hAnsi="Book Antiqua" w:cs="Tahoma"/>
          <w:sz w:val="22"/>
          <w:szCs w:val="22"/>
        </w:rPr>
        <w:t xml:space="preserve">ainsi que </w:t>
      </w:r>
      <w:r w:rsidRPr="00633632">
        <w:rPr>
          <w:rFonts w:ascii="Book Antiqua" w:hAnsi="Book Antiqua" w:cs="Tahoma"/>
          <w:sz w:val="22"/>
          <w:szCs w:val="22"/>
        </w:rPr>
        <w:t xml:space="preserve">l’ancienneté </w:t>
      </w:r>
      <w:r w:rsidR="00C23047">
        <w:rPr>
          <w:rFonts w:ascii="Book Antiqua" w:hAnsi="Book Antiqua" w:cs="Tahoma"/>
          <w:sz w:val="22"/>
          <w:szCs w:val="22"/>
        </w:rPr>
        <w:t xml:space="preserve">de  la relation commerciale avec leurs banques. </w:t>
      </w:r>
    </w:p>
    <w:p w:rsidR="00633632" w:rsidRPr="00633632" w:rsidRDefault="00633632" w:rsidP="00BA203C">
      <w:pPr>
        <w:numPr>
          <w:ilvl w:val="1"/>
          <w:numId w:val="5"/>
        </w:numPr>
        <w:tabs>
          <w:tab w:val="left" w:pos="-720"/>
        </w:tabs>
        <w:suppressAutoHyphens/>
        <w:spacing w:before="240" w:after="240" w:line="276" w:lineRule="auto"/>
        <w:ind w:left="567" w:hanging="283"/>
        <w:jc w:val="both"/>
        <w:outlineLvl w:val="1"/>
        <w:rPr>
          <w:rFonts w:ascii="Book Antiqua" w:hAnsi="Book Antiqua" w:cs="Tahoma"/>
          <w:b/>
          <w:sz w:val="22"/>
          <w:szCs w:val="22"/>
        </w:rPr>
      </w:pPr>
      <w:bookmarkStart w:id="17" w:name="_Toc523322023"/>
      <w:r w:rsidRPr="00633632">
        <w:rPr>
          <w:rFonts w:ascii="Book Antiqua" w:hAnsi="Book Antiqua" w:cs="Tahoma"/>
          <w:b/>
          <w:sz w:val="22"/>
          <w:szCs w:val="22"/>
        </w:rPr>
        <w:t>Présentation socio-économique</w:t>
      </w:r>
      <w:bookmarkEnd w:id="17"/>
    </w:p>
    <w:p w:rsidR="00633632" w:rsidRPr="00633632" w:rsidRDefault="003E5480" w:rsidP="00840635">
      <w:pPr>
        <w:widowControl w:val="0"/>
        <w:spacing w:before="120" w:line="276" w:lineRule="auto"/>
        <w:jc w:val="both"/>
        <w:rPr>
          <w:rFonts w:ascii="Book Antiqua" w:hAnsi="Book Antiqua" w:cs="Tahoma"/>
          <w:sz w:val="22"/>
          <w:szCs w:val="22"/>
        </w:rPr>
      </w:pPr>
      <w:r>
        <w:rPr>
          <w:rFonts w:ascii="Book Antiqua" w:hAnsi="Book Antiqua" w:cs="Tahoma"/>
          <w:sz w:val="22"/>
          <w:szCs w:val="22"/>
        </w:rPr>
        <w:t xml:space="preserve">La population enquêtée </w:t>
      </w:r>
      <w:r w:rsidR="00633632" w:rsidRPr="00633632">
        <w:rPr>
          <w:rFonts w:ascii="Book Antiqua" w:hAnsi="Book Antiqua" w:cs="Tahoma"/>
          <w:sz w:val="22"/>
          <w:szCs w:val="22"/>
        </w:rPr>
        <w:t>du volet « personnes morales » de l’ESUB</w:t>
      </w:r>
      <w:r w:rsidR="00376C63">
        <w:rPr>
          <w:rFonts w:ascii="Book Antiqua" w:hAnsi="Book Antiqua" w:cs="Tahoma"/>
          <w:sz w:val="22"/>
          <w:szCs w:val="22"/>
        </w:rPr>
        <w:t xml:space="preserve"> </w:t>
      </w:r>
      <w:r>
        <w:rPr>
          <w:rFonts w:ascii="Book Antiqua" w:hAnsi="Book Antiqua" w:cs="Tahoma"/>
          <w:sz w:val="22"/>
          <w:szCs w:val="22"/>
        </w:rPr>
        <w:t xml:space="preserve">au nombre de </w:t>
      </w:r>
      <w:r w:rsidR="00633632" w:rsidRPr="00633632">
        <w:rPr>
          <w:rFonts w:ascii="Book Antiqua" w:hAnsi="Book Antiqua" w:cs="Tahoma"/>
          <w:sz w:val="22"/>
          <w:szCs w:val="22"/>
        </w:rPr>
        <w:t xml:space="preserve">1 874 </w:t>
      </w:r>
      <w:r>
        <w:rPr>
          <w:rFonts w:ascii="Book Antiqua" w:hAnsi="Book Antiqua" w:cs="Tahoma"/>
          <w:sz w:val="22"/>
          <w:szCs w:val="22"/>
        </w:rPr>
        <w:t xml:space="preserve">est répartie </w:t>
      </w:r>
      <w:r w:rsidR="00633632" w:rsidRPr="00633632">
        <w:rPr>
          <w:rFonts w:ascii="Book Antiqua" w:hAnsi="Book Antiqua" w:cs="Tahoma"/>
          <w:sz w:val="22"/>
          <w:szCs w:val="22"/>
        </w:rPr>
        <w:t xml:space="preserve">suivant les différentes caractéristiques socio-économiques </w:t>
      </w:r>
      <w:r>
        <w:rPr>
          <w:rFonts w:ascii="Book Antiqua" w:hAnsi="Book Antiqua" w:cs="Tahoma"/>
          <w:sz w:val="22"/>
          <w:szCs w:val="22"/>
        </w:rPr>
        <w:t xml:space="preserve">susvisées. </w:t>
      </w:r>
    </w:p>
    <w:p w:rsidR="00633632" w:rsidRPr="00633632" w:rsidRDefault="00633632" w:rsidP="00840635">
      <w:pPr>
        <w:tabs>
          <w:tab w:val="left" w:pos="-720"/>
        </w:tabs>
        <w:suppressAutoHyphens/>
        <w:spacing w:line="276" w:lineRule="auto"/>
        <w:ind w:left="360"/>
        <w:jc w:val="both"/>
        <w:rPr>
          <w:rFonts w:ascii="Book Antiqua" w:hAnsi="Book Antiqua" w:cs="Tahoma"/>
          <w:b/>
          <w:sz w:val="14"/>
          <w:szCs w:val="22"/>
        </w:rPr>
      </w:pPr>
    </w:p>
    <w:p w:rsidR="00633632" w:rsidRPr="00CF3056" w:rsidRDefault="00DF7395" w:rsidP="00BA203C">
      <w:pPr>
        <w:pStyle w:val="Titre1"/>
        <w:numPr>
          <w:ilvl w:val="0"/>
          <w:numId w:val="0"/>
        </w:numPr>
        <w:spacing w:before="240" w:after="240" w:line="276" w:lineRule="auto"/>
        <w:ind w:firstLine="567"/>
        <w:rPr>
          <w:b w:val="0"/>
        </w:rPr>
      </w:pPr>
      <w:bookmarkStart w:id="18" w:name="_Toc523322024"/>
      <w:r w:rsidRPr="00CF3056">
        <w:t xml:space="preserve">I.1.1. </w:t>
      </w:r>
      <w:r w:rsidR="00633632" w:rsidRPr="00CF3056">
        <w:t>Répartition selon la zone d’implantation</w:t>
      </w:r>
      <w:bookmarkEnd w:id="18"/>
    </w:p>
    <w:p w:rsidR="007C6568" w:rsidRDefault="005549BF" w:rsidP="00840635">
      <w:pPr>
        <w:widowControl w:val="0"/>
        <w:spacing w:before="120" w:line="276" w:lineRule="auto"/>
        <w:jc w:val="both"/>
        <w:rPr>
          <w:rFonts w:ascii="Book Antiqua" w:hAnsi="Book Antiqua" w:cs="Tahoma"/>
          <w:sz w:val="22"/>
          <w:szCs w:val="22"/>
        </w:rPr>
      </w:pPr>
      <w:r>
        <w:rPr>
          <w:rFonts w:ascii="Book Antiqua" w:hAnsi="Book Antiqua" w:cs="Tahoma"/>
          <w:sz w:val="22"/>
          <w:szCs w:val="22"/>
        </w:rPr>
        <w:t xml:space="preserve">La population enquêtée </w:t>
      </w:r>
      <w:r w:rsidR="00633632" w:rsidRPr="00633632">
        <w:rPr>
          <w:rFonts w:ascii="Book Antiqua" w:hAnsi="Book Antiqua" w:cs="Tahoma"/>
          <w:sz w:val="22"/>
          <w:szCs w:val="22"/>
        </w:rPr>
        <w:t>est constitué</w:t>
      </w:r>
      <w:r>
        <w:rPr>
          <w:rFonts w:ascii="Book Antiqua" w:hAnsi="Book Antiqua" w:cs="Tahoma"/>
          <w:sz w:val="22"/>
          <w:szCs w:val="22"/>
        </w:rPr>
        <w:t>e</w:t>
      </w:r>
      <w:r w:rsidR="00376C63">
        <w:rPr>
          <w:rFonts w:ascii="Book Antiqua" w:hAnsi="Book Antiqua" w:cs="Tahoma"/>
          <w:sz w:val="22"/>
          <w:szCs w:val="22"/>
        </w:rPr>
        <w:t xml:space="preserve"> </w:t>
      </w:r>
      <w:r>
        <w:rPr>
          <w:rFonts w:ascii="Book Antiqua" w:hAnsi="Book Antiqua" w:cs="Tahoma"/>
          <w:sz w:val="22"/>
          <w:szCs w:val="22"/>
        </w:rPr>
        <w:t xml:space="preserve">d’unités économiques </w:t>
      </w:r>
      <w:r w:rsidR="00E2442D">
        <w:rPr>
          <w:rFonts w:ascii="Book Antiqua" w:hAnsi="Book Antiqua" w:cs="Tahoma"/>
          <w:sz w:val="22"/>
          <w:szCs w:val="22"/>
        </w:rPr>
        <w:t>dont plus de moitié est implantée</w:t>
      </w:r>
      <w:r w:rsidR="00376C63">
        <w:rPr>
          <w:rFonts w:ascii="Book Antiqua" w:hAnsi="Book Antiqua" w:cs="Tahoma"/>
          <w:sz w:val="22"/>
          <w:szCs w:val="22"/>
        </w:rPr>
        <w:t xml:space="preserve"> </w:t>
      </w:r>
      <w:r w:rsidR="00633632" w:rsidRPr="00633632">
        <w:rPr>
          <w:rFonts w:ascii="Book Antiqua" w:hAnsi="Book Antiqua" w:cs="Tahoma"/>
          <w:sz w:val="22"/>
          <w:szCs w:val="22"/>
        </w:rPr>
        <w:t>à Dakar (56%). Le poids des autres régions</w:t>
      </w:r>
      <w:r w:rsidR="00376C63">
        <w:rPr>
          <w:rFonts w:ascii="Book Antiqua" w:hAnsi="Book Antiqua" w:cs="Tahoma"/>
          <w:sz w:val="22"/>
          <w:szCs w:val="22"/>
        </w:rPr>
        <w:t xml:space="preserve"> </w:t>
      </w:r>
      <w:r w:rsidR="00633632" w:rsidRPr="00633632">
        <w:rPr>
          <w:rFonts w:ascii="Book Antiqua" w:hAnsi="Book Antiqua" w:cs="Tahoma"/>
          <w:sz w:val="22"/>
          <w:szCs w:val="22"/>
        </w:rPr>
        <w:t>ne dépasse pas 5%, avec un minimum de 2% pour le</w:t>
      </w:r>
      <w:r w:rsidR="005715F2">
        <w:rPr>
          <w:rFonts w:ascii="Book Antiqua" w:hAnsi="Book Antiqua" w:cs="Tahoma"/>
          <w:sz w:val="22"/>
          <w:szCs w:val="22"/>
        </w:rPr>
        <w:t>s régions</w:t>
      </w:r>
      <w:r w:rsidR="00633632" w:rsidRPr="00633632">
        <w:rPr>
          <w:rFonts w:ascii="Book Antiqua" w:hAnsi="Book Antiqua" w:cs="Tahoma"/>
          <w:sz w:val="22"/>
          <w:szCs w:val="22"/>
        </w:rPr>
        <w:t xml:space="preserve"> de </w:t>
      </w:r>
      <w:proofErr w:type="spellStart"/>
      <w:r w:rsidR="00633632" w:rsidRPr="00633632">
        <w:rPr>
          <w:rFonts w:ascii="Book Antiqua" w:hAnsi="Book Antiqua" w:cs="Tahoma"/>
          <w:sz w:val="22"/>
          <w:szCs w:val="22"/>
        </w:rPr>
        <w:t>Fatick</w:t>
      </w:r>
      <w:proofErr w:type="spellEnd"/>
      <w:r w:rsidR="00633632" w:rsidRPr="00633632">
        <w:rPr>
          <w:rFonts w:ascii="Book Antiqua" w:hAnsi="Book Antiqua" w:cs="Tahoma"/>
          <w:sz w:val="22"/>
          <w:szCs w:val="22"/>
        </w:rPr>
        <w:t>, Matam</w:t>
      </w:r>
      <w:r w:rsidR="00E2442D">
        <w:rPr>
          <w:rFonts w:ascii="Book Antiqua" w:hAnsi="Book Antiqua" w:cs="Tahoma"/>
          <w:sz w:val="22"/>
          <w:szCs w:val="22"/>
        </w:rPr>
        <w:t>,</w:t>
      </w:r>
      <w:r w:rsidR="00376C63">
        <w:rPr>
          <w:rFonts w:ascii="Book Antiqua" w:hAnsi="Book Antiqua" w:cs="Tahoma"/>
          <w:sz w:val="22"/>
          <w:szCs w:val="22"/>
        </w:rPr>
        <w:t xml:space="preserve"> </w:t>
      </w:r>
      <w:r w:rsidR="00633632" w:rsidRPr="00633632">
        <w:rPr>
          <w:rFonts w:ascii="Book Antiqua" w:hAnsi="Book Antiqua" w:cs="Tahoma"/>
          <w:sz w:val="22"/>
          <w:szCs w:val="22"/>
        </w:rPr>
        <w:t xml:space="preserve">Louga et </w:t>
      </w:r>
      <w:proofErr w:type="spellStart"/>
      <w:r w:rsidR="00633632" w:rsidRPr="00633632">
        <w:rPr>
          <w:rFonts w:ascii="Book Antiqua" w:hAnsi="Book Antiqua" w:cs="Tahoma"/>
          <w:sz w:val="22"/>
          <w:szCs w:val="22"/>
        </w:rPr>
        <w:t>Kaffrine</w:t>
      </w:r>
      <w:proofErr w:type="spellEnd"/>
      <w:r w:rsidR="00633632" w:rsidRPr="00633632">
        <w:rPr>
          <w:rFonts w:ascii="Book Antiqua" w:hAnsi="Book Antiqua" w:cs="Tahoma"/>
          <w:sz w:val="22"/>
          <w:szCs w:val="22"/>
        </w:rPr>
        <w:t>.</w:t>
      </w:r>
    </w:p>
    <w:p w:rsidR="00886ADE" w:rsidRPr="007A5AC0" w:rsidRDefault="00886ADE" w:rsidP="00633632">
      <w:pPr>
        <w:widowControl w:val="0"/>
        <w:spacing w:before="120" w:line="360" w:lineRule="auto"/>
        <w:jc w:val="both"/>
        <w:rPr>
          <w:rFonts w:ascii="Book Antiqua" w:hAnsi="Book Antiqua" w:cs="Tahoma"/>
          <w:sz w:val="22"/>
          <w:szCs w:val="22"/>
        </w:rPr>
      </w:pPr>
    </w:p>
    <w:p w:rsidR="00633632" w:rsidRDefault="004204AC" w:rsidP="00633632">
      <w:pPr>
        <w:keepNext/>
        <w:spacing w:after="200"/>
        <w:jc w:val="center"/>
        <w:rPr>
          <w:rFonts w:ascii="Book Antiqua" w:hAnsi="Book Antiqua" w:cs="Tahoma"/>
          <w:b/>
          <w:bCs/>
          <w:sz w:val="16"/>
          <w:szCs w:val="18"/>
        </w:rPr>
      </w:pPr>
      <w:bookmarkStart w:id="19" w:name="_Toc523313684"/>
      <w:r w:rsidRPr="007035EC">
        <w:rPr>
          <w:rFonts w:ascii="Book Antiqua" w:hAnsi="Book Antiqua" w:cs="Tahoma"/>
          <w:b/>
          <w:bCs/>
          <w:sz w:val="16"/>
          <w:szCs w:val="18"/>
        </w:rPr>
        <w:t xml:space="preserve">Figure </w:t>
      </w:r>
      <w:r w:rsidR="000D65F2">
        <w:rPr>
          <w:rFonts w:ascii="Book Antiqua" w:hAnsi="Book Antiqua" w:cs="Tahoma"/>
          <w:b/>
          <w:bCs/>
          <w:sz w:val="16"/>
          <w:szCs w:val="18"/>
        </w:rPr>
        <w:fldChar w:fldCharType="begin"/>
      </w:r>
      <w:r w:rsidR="002708B0">
        <w:rPr>
          <w:rFonts w:ascii="Book Antiqua" w:hAnsi="Book Antiqua" w:cs="Tahoma"/>
          <w:b/>
          <w:bCs/>
          <w:sz w:val="16"/>
          <w:szCs w:val="18"/>
        </w:rPr>
        <w:instrText xml:space="preserve"> SEQ Figure \* ARABIC </w:instrText>
      </w:r>
      <w:r w:rsidR="000D65F2">
        <w:rPr>
          <w:rFonts w:ascii="Book Antiqua" w:hAnsi="Book Antiqua" w:cs="Tahoma"/>
          <w:b/>
          <w:bCs/>
          <w:sz w:val="16"/>
          <w:szCs w:val="18"/>
        </w:rPr>
        <w:fldChar w:fldCharType="separate"/>
      </w:r>
      <w:r w:rsidR="000F780F">
        <w:rPr>
          <w:rFonts w:ascii="Book Antiqua" w:hAnsi="Book Antiqua" w:cs="Tahoma"/>
          <w:b/>
          <w:bCs/>
          <w:noProof/>
          <w:sz w:val="16"/>
          <w:szCs w:val="18"/>
        </w:rPr>
        <w:t>1</w:t>
      </w:r>
      <w:r w:rsidR="000D65F2">
        <w:rPr>
          <w:rFonts w:ascii="Book Antiqua" w:hAnsi="Book Antiqua" w:cs="Tahoma"/>
          <w:b/>
          <w:bCs/>
          <w:sz w:val="16"/>
          <w:szCs w:val="18"/>
        </w:rPr>
        <w:fldChar w:fldCharType="end"/>
      </w:r>
      <w:r w:rsidRPr="007035EC">
        <w:rPr>
          <w:rFonts w:ascii="Book Antiqua" w:hAnsi="Book Antiqua" w:cs="Tahoma"/>
          <w:b/>
          <w:bCs/>
          <w:sz w:val="16"/>
          <w:szCs w:val="18"/>
        </w:rPr>
        <w:t>: Répartition des unités économiques enquêtées suivant leur région d’implantation</w:t>
      </w:r>
      <w:bookmarkEnd w:id="19"/>
    </w:p>
    <w:p w:rsidR="00633632" w:rsidRPr="007A5AC0" w:rsidRDefault="00F44BC9" w:rsidP="007A5AC0">
      <w:pPr>
        <w:keepNext/>
        <w:spacing w:after="200"/>
        <w:jc w:val="center"/>
        <w:rPr>
          <w:rFonts w:ascii="Book Antiqua" w:hAnsi="Book Antiqua" w:cs="Tahoma"/>
          <w:b/>
          <w:bCs/>
          <w:sz w:val="16"/>
          <w:szCs w:val="18"/>
        </w:rPr>
      </w:pPr>
      <w:r w:rsidRPr="007035EC">
        <w:rPr>
          <w:rFonts w:ascii="Book Antiqua" w:hAnsi="Book Antiqua" w:cs="Tahoma"/>
          <w:b/>
          <w:bCs/>
          <w:noProof/>
          <w:sz w:val="16"/>
          <w:szCs w:val="18"/>
        </w:rPr>
        <w:drawing>
          <wp:inline distT="0" distB="0" distL="0" distR="0">
            <wp:extent cx="5124201" cy="2687541"/>
            <wp:effectExtent l="19050" t="0" r="19299" b="0"/>
            <wp:docPr id="18"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C6568" w:rsidRDefault="007C6568" w:rsidP="007C6568">
      <w:pPr>
        <w:autoSpaceDE w:val="0"/>
        <w:autoSpaceDN w:val="0"/>
        <w:adjustRightInd w:val="0"/>
        <w:spacing w:before="120" w:line="312" w:lineRule="auto"/>
        <w:ind w:left="1134"/>
        <w:outlineLvl w:val="2"/>
        <w:rPr>
          <w:rFonts w:ascii="Book Antiqua" w:hAnsi="Book Antiqua" w:cs="Tahoma"/>
          <w:b/>
          <w:sz w:val="20"/>
          <w:szCs w:val="22"/>
        </w:rPr>
      </w:pPr>
    </w:p>
    <w:p w:rsidR="00633632" w:rsidRPr="00CF3056" w:rsidRDefault="00633632" w:rsidP="00BA203C">
      <w:pPr>
        <w:numPr>
          <w:ilvl w:val="0"/>
          <w:numId w:val="6"/>
        </w:numPr>
        <w:autoSpaceDE w:val="0"/>
        <w:autoSpaceDN w:val="0"/>
        <w:adjustRightInd w:val="0"/>
        <w:spacing w:before="240" w:after="240" w:line="312" w:lineRule="auto"/>
        <w:ind w:left="851" w:hanging="284"/>
        <w:outlineLvl w:val="2"/>
        <w:rPr>
          <w:rFonts w:ascii="Book Antiqua" w:hAnsi="Book Antiqua" w:cs="Tahoma"/>
          <w:b/>
          <w:sz w:val="22"/>
          <w:szCs w:val="22"/>
        </w:rPr>
      </w:pPr>
      <w:bookmarkStart w:id="20" w:name="_Toc523322025"/>
      <w:r w:rsidRPr="00CF3056">
        <w:rPr>
          <w:rFonts w:ascii="Book Antiqua" w:hAnsi="Book Antiqua" w:cs="Tahoma"/>
          <w:b/>
          <w:sz w:val="22"/>
          <w:szCs w:val="22"/>
        </w:rPr>
        <w:t>Répartition selon le statut juridique</w:t>
      </w:r>
      <w:bookmarkEnd w:id="20"/>
    </w:p>
    <w:p w:rsidR="00633632" w:rsidRPr="00633632" w:rsidRDefault="00633632" w:rsidP="00840635">
      <w:pPr>
        <w:widowControl w:val="0"/>
        <w:spacing w:before="120" w:line="276" w:lineRule="auto"/>
        <w:jc w:val="both"/>
        <w:rPr>
          <w:rFonts w:ascii="Book Antiqua" w:hAnsi="Book Antiqua" w:cs="Tahoma"/>
          <w:sz w:val="22"/>
          <w:szCs w:val="22"/>
        </w:rPr>
      </w:pPr>
      <w:r w:rsidRPr="00633632">
        <w:rPr>
          <w:rFonts w:ascii="Book Antiqua" w:hAnsi="Book Antiqua" w:cs="Tahoma"/>
          <w:sz w:val="22"/>
          <w:szCs w:val="22"/>
        </w:rPr>
        <w:t xml:space="preserve">La répartition de </w:t>
      </w:r>
      <w:r w:rsidR="00E2442D">
        <w:rPr>
          <w:rFonts w:ascii="Book Antiqua" w:hAnsi="Book Antiqua" w:cs="Tahoma"/>
          <w:sz w:val="22"/>
          <w:szCs w:val="22"/>
        </w:rPr>
        <w:t xml:space="preserve">la population des unités enquêtées </w:t>
      </w:r>
      <w:r w:rsidRPr="00633632">
        <w:rPr>
          <w:rFonts w:ascii="Book Antiqua" w:hAnsi="Book Antiqua" w:cs="Tahoma"/>
          <w:sz w:val="22"/>
          <w:szCs w:val="22"/>
        </w:rPr>
        <w:t xml:space="preserve"> selon le statut juridique fait ressortir une prédominance des sociétés unipersonnelle</w:t>
      </w:r>
      <w:r w:rsidR="00E2442D">
        <w:rPr>
          <w:rFonts w:ascii="Book Antiqua" w:hAnsi="Book Antiqua" w:cs="Tahoma"/>
          <w:sz w:val="22"/>
          <w:szCs w:val="22"/>
        </w:rPr>
        <w:t>s</w:t>
      </w:r>
      <w:r w:rsidRPr="00633632">
        <w:rPr>
          <w:rFonts w:ascii="Book Antiqua" w:hAnsi="Book Antiqua" w:cs="Tahoma"/>
          <w:sz w:val="22"/>
          <w:szCs w:val="22"/>
        </w:rPr>
        <w:t xml:space="preserve"> (SU) qui représentent 36%, suivies des SARL (24%)</w:t>
      </w:r>
      <w:r w:rsidR="00A92583">
        <w:rPr>
          <w:rFonts w:ascii="Book Antiqua" w:hAnsi="Book Antiqua" w:cs="Tahoma"/>
          <w:sz w:val="22"/>
          <w:szCs w:val="22"/>
        </w:rPr>
        <w:t>,</w:t>
      </w:r>
      <w:r w:rsidR="00376C63">
        <w:rPr>
          <w:rFonts w:ascii="Book Antiqua" w:hAnsi="Book Antiqua" w:cs="Tahoma"/>
          <w:sz w:val="22"/>
          <w:szCs w:val="22"/>
        </w:rPr>
        <w:t xml:space="preserve"> </w:t>
      </w:r>
      <w:r w:rsidRPr="00633632">
        <w:rPr>
          <w:rFonts w:ascii="Book Antiqua" w:hAnsi="Book Antiqua" w:cs="Tahoma"/>
          <w:sz w:val="22"/>
          <w:szCs w:val="22"/>
        </w:rPr>
        <w:t>des GIE (13%)</w:t>
      </w:r>
      <w:r w:rsidR="00A92583">
        <w:rPr>
          <w:rFonts w:ascii="Book Antiqua" w:hAnsi="Book Antiqua" w:cs="Tahoma"/>
          <w:sz w:val="22"/>
          <w:szCs w:val="22"/>
        </w:rPr>
        <w:t xml:space="preserve"> et des SA (11%)</w:t>
      </w:r>
      <w:r w:rsidRPr="00633632">
        <w:rPr>
          <w:rFonts w:ascii="Book Antiqua" w:hAnsi="Book Antiqua" w:cs="Tahoma"/>
          <w:sz w:val="22"/>
          <w:szCs w:val="22"/>
        </w:rPr>
        <w:t>.</w:t>
      </w:r>
    </w:p>
    <w:p w:rsidR="00633632" w:rsidRPr="00633632" w:rsidRDefault="00633632" w:rsidP="00633632">
      <w:pPr>
        <w:widowControl w:val="0"/>
        <w:spacing w:before="120" w:line="312" w:lineRule="auto"/>
        <w:jc w:val="both"/>
        <w:rPr>
          <w:rFonts w:ascii="Book Antiqua" w:hAnsi="Book Antiqua" w:cs="Tahoma"/>
          <w:sz w:val="22"/>
          <w:szCs w:val="22"/>
        </w:rPr>
      </w:pPr>
    </w:p>
    <w:p w:rsidR="00633632" w:rsidRPr="00633632" w:rsidRDefault="00633632" w:rsidP="00633632">
      <w:pPr>
        <w:keepNext/>
        <w:spacing w:after="200"/>
        <w:jc w:val="center"/>
        <w:rPr>
          <w:rFonts w:ascii="Book Antiqua" w:hAnsi="Book Antiqua"/>
          <w:b/>
          <w:bCs/>
          <w:sz w:val="16"/>
          <w:szCs w:val="18"/>
        </w:rPr>
      </w:pPr>
      <w:bookmarkStart w:id="21" w:name="_Toc523313685"/>
      <w:r w:rsidRPr="00633632">
        <w:rPr>
          <w:rFonts w:ascii="Book Antiqua" w:hAnsi="Book Antiqua"/>
          <w:b/>
          <w:bCs/>
          <w:sz w:val="16"/>
          <w:szCs w:val="18"/>
        </w:rPr>
        <w:lastRenderedPageBreak/>
        <w:t xml:space="preserve">Figure </w:t>
      </w:r>
      <w:r w:rsidR="000D65F2">
        <w:rPr>
          <w:rFonts w:ascii="Book Antiqua" w:hAnsi="Book Antiqua"/>
          <w:b/>
          <w:bCs/>
          <w:sz w:val="16"/>
          <w:szCs w:val="18"/>
        </w:rPr>
        <w:fldChar w:fldCharType="begin"/>
      </w:r>
      <w:r w:rsidR="002708B0">
        <w:rPr>
          <w:rFonts w:ascii="Book Antiqua" w:hAnsi="Book Antiqua"/>
          <w:b/>
          <w:bCs/>
          <w:sz w:val="16"/>
          <w:szCs w:val="18"/>
        </w:rPr>
        <w:instrText xml:space="preserve"> SEQ Figure \* ARABIC </w:instrText>
      </w:r>
      <w:r w:rsidR="000D65F2">
        <w:rPr>
          <w:rFonts w:ascii="Book Antiqua" w:hAnsi="Book Antiqua"/>
          <w:b/>
          <w:bCs/>
          <w:sz w:val="16"/>
          <w:szCs w:val="18"/>
        </w:rPr>
        <w:fldChar w:fldCharType="separate"/>
      </w:r>
      <w:r w:rsidR="000F780F">
        <w:rPr>
          <w:rFonts w:ascii="Book Antiqua" w:hAnsi="Book Antiqua"/>
          <w:b/>
          <w:bCs/>
          <w:noProof/>
          <w:sz w:val="16"/>
          <w:szCs w:val="18"/>
        </w:rPr>
        <w:t>2</w:t>
      </w:r>
      <w:r w:rsidR="000D65F2">
        <w:rPr>
          <w:rFonts w:ascii="Book Antiqua" w:hAnsi="Book Antiqua"/>
          <w:b/>
          <w:bCs/>
          <w:sz w:val="16"/>
          <w:szCs w:val="18"/>
        </w:rPr>
        <w:fldChar w:fldCharType="end"/>
      </w:r>
      <w:r w:rsidRPr="00633632">
        <w:rPr>
          <w:rFonts w:ascii="Book Antiqua" w:hAnsi="Book Antiqua"/>
          <w:b/>
          <w:bCs/>
          <w:sz w:val="16"/>
          <w:szCs w:val="18"/>
        </w:rPr>
        <w:t xml:space="preserve"> : Répartition des </w:t>
      </w:r>
      <w:r w:rsidR="00A92583">
        <w:rPr>
          <w:rFonts w:ascii="Book Antiqua" w:hAnsi="Book Antiqua"/>
          <w:b/>
          <w:bCs/>
          <w:sz w:val="16"/>
          <w:szCs w:val="18"/>
        </w:rPr>
        <w:t xml:space="preserve">unités </w:t>
      </w:r>
      <w:r w:rsidRPr="00633632">
        <w:rPr>
          <w:rFonts w:ascii="Book Antiqua" w:hAnsi="Book Antiqua"/>
          <w:b/>
          <w:bCs/>
          <w:sz w:val="16"/>
          <w:szCs w:val="18"/>
        </w:rPr>
        <w:t>enquêtées suivant leur statut juridique</w:t>
      </w:r>
      <w:bookmarkEnd w:id="21"/>
    </w:p>
    <w:p w:rsidR="00633632" w:rsidRPr="00633632" w:rsidRDefault="005D7606" w:rsidP="00633632">
      <w:pPr>
        <w:autoSpaceDE w:val="0"/>
        <w:autoSpaceDN w:val="0"/>
        <w:adjustRightInd w:val="0"/>
        <w:spacing w:line="312" w:lineRule="auto"/>
        <w:jc w:val="center"/>
        <w:rPr>
          <w:rFonts w:ascii="Book Antiqua" w:hAnsi="Book Antiqua" w:cs="Tahoma"/>
          <w:sz w:val="16"/>
          <w:szCs w:val="22"/>
        </w:rPr>
      </w:pPr>
      <w:r>
        <w:rPr>
          <w:noProof/>
        </w:rPr>
        <w:drawing>
          <wp:inline distT="0" distB="0" distL="0" distR="0">
            <wp:extent cx="4437490" cy="2655736"/>
            <wp:effectExtent l="19050" t="0" r="20210" b="0"/>
            <wp:docPr id="87" name="Graphique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33632" w:rsidRDefault="00633632" w:rsidP="00633632">
      <w:pPr>
        <w:autoSpaceDE w:val="0"/>
        <w:autoSpaceDN w:val="0"/>
        <w:adjustRightInd w:val="0"/>
        <w:spacing w:line="312" w:lineRule="auto"/>
        <w:rPr>
          <w:rFonts w:ascii="Book Antiqua" w:hAnsi="Book Antiqua" w:cs="Tahoma"/>
          <w:sz w:val="16"/>
          <w:szCs w:val="22"/>
        </w:rPr>
      </w:pPr>
    </w:p>
    <w:p w:rsidR="007C6568" w:rsidRPr="00633632" w:rsidRDefault="007C6568" w:rsidP="00633632">
      <w:pPr>
        <w:autoSpaceDE w:val="0"/>
        <w:autoSpaceDN w:val="0"/>
        <w:adjustRightInd w:val="0"/>
        <w:spacing w:line="312" w:lineRule="auto"/>
        <w:rPr>
          <w:rFonts w:ascii="Book Antiqua" w:hAnsi="Book Antiqua" w:cs="Tahoma"/>
          <w:sz w:val="16"/>
          <w:szCs w:val="22"/>
        </w:rPr>
      </w:pPr>
    </w:p>
    <w:p w:rsidR="00633632" w:rsidRPr="00633632" w:rsidRDefault="00633632" w:rsidP="00BA203C">
      <w:pPr>
        <w:numPr>
          <w:ilvl w:val="0"/>
          <w:numId w:val="7"/>
        </w:numPr>
        <w:autoSpaceDE w:val="0"/>
        <w:autoSpaceDN w:val="0"/>
        <w:adjustRightInd w:val="0"/>
        <w:spacing w:before="240" w:after="240" w:line="312" w:lineRule="auto"/>
        <w:ind w:left="851" w:hanging="284"/>
        <w:outlineLvl w:val="2"/>
        <w:rPr>
          <w:rFonts w:ascii="Book Antiqua" w:hAnsi="Book Antiqua" w:cs="Tahoma"/>
          <w:b/>
          <w:sz w:val="20"/>
          <w:szCs w:val="22"/>
        </w:rPr>
      </w:pPr>
      <w:bookmarkStart w:id="22" w:name="_Toc523322026"/>
      <w:r w:rsidRPr="00633632">
        <w:rPr>
          <w:rFonts w:ascii="Book Antiqua" w:hAnsi="Book Antiqua" w:cs="Tahoma"/>
          <w:b/>
          <w:sz w:val="20"/>
          <w:szCs w:val="22"/>
        </w:rPr>
        <w:t xml:space="preserve">Répartition selon le secteur d’activités et </w:t>
      </w:r>
      <w:r w:rsidR="00E264C7">
        <w:rPr>
          <w:rFonts w:ascii="Book Antiqua" w:hAnsi="Book Antiqua" w:cs="Tahoma"/>
          <w:b/>
          <w:sz w:val="20"/>
          <w:szCs w:val="22"/>
        </w:rPr>
        <w:t xml:space="preserve">selon </w:t>
      </w:r>
      <w:r w:rsidRPr="00633632">
        <w:rPr>
          <w:rFonts w:ascii="Book Antiqua" w:hAnsi="Book Antiqua" w:cs="Tahoma"/>
          <w:b/>
          <w:sz w:val="20"/>
          <w:szCs w:val="22"/>
        </w:rPr>
        <w:t>la nature de l’activité</w:t>
      </w:r>
      <w:bookmarkEnd w:id="22"/>
    </w:p>
    <w:p w:rsidR="00633632" w:rsidRPr="00633632" w:rsidRDefault="00633632" w:rsidP="00840635">
      <w:pPr>
        <w:widowControl w:val="0"/>
        <w:spacing w:before="120" w:line="276" w:lineRule="auto"/>
        <w:jc w:val="both"/>
        <w:rPr>
          <w:rFonts w:ascii="Book Antiqua" w:hAnsi="Book Antiqua" w:cs="Tahoma"/>
          <w:sz w:val="22"/>
          <w:szCs w:val="22"/>
        </w:rPr>
      </w:pPr>
      <w:r w:rsidRPr="00633632">
        <w:rPr>
          <w:rFonts w:ascii="Book Antiqua" w:hAnsi="Book Antiqua" w:cs="Tahoma"/>
          <w:sz w:val="22"/>
          <w:szCs w:val="22"/>
        </w:rPr>
        <w:t xml:space="preserve">La répartition des </w:t>
      </w:r>
      <w:r w:rsidR="00E823F6">
        <w:rPr>
          <w:rFonts w:ascii="Book Antiqua" w:hAnsi="Book Antiqua" w:cs="Tahoma"/>
          <w:sz w:val="22"/>
          <w:szCs w:val="22"/>
        </w:rPr>
        <w:t xml:space="preserve">unités </w:t>
      </w:r>
      <w:r w:rsidR="00E264C7">
        <w:rPr>
          <w:rFonts w:ascii="Book Antiqua" w:hAnsi="Book Antiqua" w:cs="Tahoma"/>
          <w:sz w:val="22"/>
          <w:szCs w:val="22"/>
        </w:rPr>
        <w:t xml:space="preserve">enquêtées </w:t>
      </w:r>
      <w:r w:rsidRPr="00633632">
        <w:rPr>
          <w:rFonts w:ascii="Book Antiqua" w:hAnsi="Book Antiqua" w:cs="Tahoma"/>
          <w:sz w:val="22"/>
          <w:szCs w:val="22"/>
        </w:rPr>
        <w:t>selon le secteur d’activités fait ressortir une nette prédominance du secteur du « Commerce » (42</w:t>
      </w:r>
      <w:r w:rsidR="00E264C7">
        <w:rPr>
          <w:rFonts w:ascii="Book Antiqua" w:hAnsi="Book Antiqua" w:cs="Tahoma"/>
          <w:sz w:val="22"/>
          <w:szCs w:val="22"/>
        </w:rPr>
        <w:t>,</w:t>
      </w:r>
      <w:r w:rsidRPr="00633632">
        <w:rPr>
          <w:rFonts w:ascii="Book Antiqua" w:hAnsi="Book Antiqua" w:cs="Tahoma"/>
          <w:sz w:val="22"/>
          <w:szCs w:val="22"/>
        </w:rPr>
        <w:t>8%), suivi des « Services » (30</w:t>
      </w:r>
      <w:r w:rsidR="00E264C7">
        <w:rPr>
          <w:rFonts w:ascii="Book Antiqua" w:hAnsi="Book Antiqua" w:cs="Tahoma"/>
          <w:sz w:val="22"/>
          <w:szCs w:val="22"/>
        </w:rPr>
        <w:t>,</w:t>
      </w:r>
      <w:r w:rsidRPr="00633632">
        <w:rPr>
          <w:rFonts w:ascii="Book Antiqua" w:hAnsi="Book Antiqua" w:cs="Tahoma"/>
          <w:sz w:val="22"/>
          <w:szCs w:val="22"/>
        </w:rPr>
        <w:t xml:space="preserve">8%). </w:t>
      </w:r>
      <w:r w:rsidR="00E264C7">
        <w:rPr>
          <w:rFonts w:ascii="Book Antiqua" w:hAnsi="Book Antiqua" w:cs="Tahoma"/>
          <w:sz w:val="22"/>
          <w:szCs w:val="22"/>
        </w:rPr>
        <w:t>L</w:t>
      </w:r>
      <w:r w:rsidRPr="00633632">
        <w:rPr>
          <w:rFonts w:ascii="Book Antiqua" w:hAnsi="Book Antiqua" w:cs="Tahoma"/>
          <w:sz w:val="22"/>
          <w:szCs w:val="22"/>
        </w:rPr>
        <w:t>’Administration</w:t>
      </w:r>
      <w:r w:rsidR="00E264C7">
        <w:rPr>
          <w:rFonts w:ascii="Book Antiqua" w:hAnsi="Book Antiqua" w:cs="Tahoma"/>
          <w:sz w:val="22"/>
          <w:szCs w:val="22"/>
        </w:rPr>
        <w:t xml:space="preserve"> est le secteur le moins </w:t>
      </w:r>
      <w:r w:rsidR="00032D25">
        <w:rPr>
          <w:rFonts w:ascii="Book Antiqua" w:hAnsi="Book Antiqua" w:cs="Tahoma"/>
          <w:sz w:val="22"/>
          <w:szCs w:val="22"/>
        </w:rPr>
        <w:t>représenté</w:t>
      </w:r>
      <w:r w:rsidRPr="00633632">
        <w:rPr>
          <w:rFonts w:ascii="Book Antiqua" w:hAnsi="Book Antiqua" w:cs="Tahoma"/>
          <w:sz w:val="22"/>
          <w:szCs w:val="22"/>
        </w:rPr>
        <w:t>, avec un poids de 0</w:t>
      </w:r>
      <w:r w:rsidR="00E264C7">
        <w:rPr>
          <w:rFonts w:ascii="Book Antiqua" w:hAnsi="Book Antiqua" w:cs="Tahoma"/>
          <w:sz w:val="22"/>
          <w:szCs w:val="22"/>
        </w:rPr>
        <w:t>,</w:t>
      </w:r>
      <w:r w:rsidRPr="00633632">
        <w:rPr>
          <w:rFonts w:ascii="Book Antiqua" w:hAnsi="Book Antiqua" w:cs="Tahoma"/>
          <w:sz w:val="22"/>
          <w:szCs w:val="22"/>
        </w:rPr>
        <w:t>6%.</w:t>
      </w:r>
    </w:p>
    <w:p w:rsidR="00633632" w:rsidRPr="00633632" w:rsidRDefault="00633632" w:rsidP="00633632">
      <w:pPr>
        <w:spacing w:after="200" w:line="276" w:lineRule="auto"/>
        <w:rPr>
          <w:rFonts w:ascii="Book Antiqua" w:hAnsi="Book Antiqua" w:cs="Tahoma"/>
          <w:sz w:val="22"/>
          <w:szCs w:val="22"/>
        </w:rPr>
      </w:pPr>
    </w:p>
    <w:p w:rsidR="00633632" w:rsidRPr="00E823F6" w:rsidRDefault="004204AC" w:rsidP="00633632">
      <w:pPr>
        <w:keepNext/>
        <w:spacing w:after="200"/>
        <w:jc w:val="center"/>
        <w:rPr>
          <w:rFonts w:ascii="Book Antiqua" w:hAnsi="Book Antiqua"/>
          <w:b/>
          <w:bCs/>
          <w:sz w:val="16"/>
          <w:szCs w:val="18"/>
        </w:rPr>
      </w:pPr>
      <w:bookmarkStart w:id="23" w:name="_Toc523313686"/>
      <w:r w:rsidRPr="007035EC">
        <w:rPr>
          <w:rFonts w:ascii="Book Antiqua" w:hAnsi="Book Antiqua"/>
          <w:b/>
          <w:bCs/>
          <w:sz w:val="16"/>
          <w:szCs w:val="18"/>
        </w:rPr>
        <w:t xml:space="preserve">Figure </w:t>
      </w:r>
      <w:r w:rsidR="000D65F2">
        <w:rPr>
          <w:rFonts w:ascii="Book Antiqua" w:hAnsi="Book Antiqua"/>
          <w:b/>
          <w:bCs/>
          <w:sz w:val="16"/>
          <w:szCs w:val="18"/>
        </w:rPr>
        <w:fldChar w:fldCharType="begin"/>
      </w:r>
      <w:r w:rsidR="002708B0">
        <w:rPr>
          <w:rFonts w:ascii="Book Antiqua" w:hAnsi="Book Antiqua"/>
          <w:b/>
          <w:bCs/>
          <w:sz w:val="16"/>
          <w:szCs w:val="18"/>
        </w:rPr>
        <w:instrText xml:space="preserve"> SEQ Figure \* ARABIC </w:instrText>
      </w:r>
      <w:r w:rsidR="000D65F2">
        <w:rPr>
          <w:rFonts w:ascii="Book Antiqua" w:hAnsi="Book Antiqua"/>
          <w:b/>
          <w:bCs/>
          <w:sz w:val="16"/>
          <w:szCs w:val="18"/>
        </w:rPr>
        <w:fldChar w:fldCharType="separate"/>
      </w:r>
      <w:r w:rsidR="000F780F">
        <w:rPr>
          <w:rFonts w:ascii="Book Antiqua" w:hAnsi="Book Antiqua"/>
          <w:b/>
          <w:bCs/>
          <w:noProof/>
          <w:sz w:val="16"/>
          <w:szCs w:val="18"/>
        </w:rPr>
        <w:t>3</w:t>
      </w:r>
      <w:r w:rsidR="000D65F2">
        <w:rPr>
          <w:rFonts w:ascii="Book Antiqua" w:hAnsi="Book Antiqua"/>
          <w:b/>
          <w:bCs/>
          <w:sz w:val="16"/>
          <w:szCs w:val="18"/>
        </w:rPr>
        <w:fldChar w:fldCharType="end"/>
      </w:r>
      <w:r w:rsidR="007C6568">
        <w:rPr>
          <w:rFonts w:ascii="Book Antiqua" w:hAnsi="Book Antiqua"/>
          <w:b/>
          <w:bCs/>
          <w:sz w:val="16"/>
          <w:szCs w:val="18"/>
        </w:rPr>
        <w:t xml:space="preserve"> </w:t>
      </w:r>
      <w:r w:rsidRPr="007035EC">
        <w:rPr>
          <w:rFonts w:ascii="Book Antiqua" w:hAnsi="Book Antiqua"/>
          <w:b/>
          <w:bCs/>
          <w:sz w:val="16"/>
          <w:szCs w:val="18"/>
        </w:rPr>
        <w:t>: Répartition des unités enquêtées suivant leur secteur d'activités</w:t>
      </w:r>
      <w:bookmarkEnd w:id="23"/>
    </w:p>
    <w:p w:rsidR="007C6568" w:rsidRDefault="00F44BC9" w:rsidP="007C6568">
      <w:pPr>
        <w:spacing w:after="200" w:line="276" w:lineRule="auto"/>
        <w:jc w:val="center"/>
        <w:rPr>
          <w:rFonts w:ascii="Book Antiqua" w:hAnsi="Book Antiqua" w:cs="Tahoma"/>
          <w:sz w:val="22"/>
          <w:szCs w:val="22"/>
        </w:rPr>
      </w:pPr>
      <w:r w:rsidRPr="007035EC">
        <w:rPr>
          <w:rFonts w:ascii="Book Antiqua" w:hAnsi="Book Antiqua" w:cs="Tahoma"/>
          <w:noProof/>
          <w:sz w:val="22"/>
          <w:szCs w:val="22"/>
        </w:rPr>
        <w:drawing>
          <wp:inline distT="0" distB="0" distL="0" distR="0">
            <wp:extent cx="4633126" cy="2854518"/>
            <wp:effectExtent l="19050" t="0" r="15074" b="2982"/>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33632" w:rsidRPr="00376C63" w:rsidRDefault="00E264C7" w:rsidP="00840635">
      <w:pPr>
        <w:widowControl w:val="0"/>
        <w:spacing w:before="120" w:line="276" w:lineRule="auto"/>
        <w:jc w:val="both"/>
        <w:rPr>
          <w:rFonts w:ascii="Book Antiqua" w:hAnsi="Book Antiqua" w:cs="Tahoma"/>
          <w:sz w:val="22"/>
          <w:szCs w:val="22"/>
        </w:rPr>
      </w:pPr>
      <w:r w:rsidRPr="00376C63">
        <w:rPr>
          <w:rFonts w:ascii="Book Antiqua" w:hAnsi="Book Antiqua" w:cs="Tahoma"/>
          <w:sz w:val="22"/>
          <w:szCs w:val="22"/>
        </w:rPr>
        <w:t>L</w:t>
      </w:r>
      <w:r w:rsidR="00633632" w:rsidRPr="00376C63">
        <w:rPr>
          <w:rFonts w:ascii="Book Antiqua" w:hAnsi="Book Antiqua" w:cs="Tahoma"/>
          <w:sz w:val="22"/>
          <w:szCs w:val="22"/>
        </w:rPr>
        <w:t xml:space="preserve">es entreprises du secteur formel occupent une place prépondérante </w:t>
      </w:r>
      <w:r w:rsidRPr="00376C63">
        <w:rPr>
          <w:rFonts w:ascii="Book Antiqua" w:hAnsi="Book Antiqua" w:cs="Tahoma"/>
          <w:sz w:val="22"/>
          <w:szCs w:val="22"/>
        </w:rPr>
        <w:t xml:space="preserve">des </w:t>
      </w:r>
      <w:r w:rsidR="004204AC" w:rsidRPr="00376C63">
        <w:rPr>
          <w:rFonts w:ascii="Book Antiqua" w:hAnsi="Book Antiqua"/>
        </w:rPr>
        <w:t>un</w:t>
      </w:r>
      <w:r w:rsidR="000E4E45" w:rsidRPr="00376C63">
        <w:rPr>
          <w:rFonts w:ascii="Book Antiqua" w:hAnsi="Book Antiqua"/>
        </w:rPr>
        <w:t xml:space="preserve">ités enquêtées </w:t>
      </w:r>
      <w:r w:rsidR="00633632" w:rsidRPr="00376C63">
        <w:rPr>
          <w:rFonts w:ascii="Book Antiqua" w:hAnsi="Book Antiqua" w:cs="Tahoma"/>
          <w:sz w:val="22"/>
          <w:szCs w:val="22"/>
        </w:rPr>
        <w:t xml:space="preserve">(71,1%) </w:t>
      </w:r>
      <w:r w:rsidR="000E4E45" w:rsidRPr="00376C63">
        <w:rPr>
          <w:rFonts w:ascii="Book Antiqua" w:hAnsi="Book Antiqua" w:cs="Tahoma"/>
          <w:sz w:val="22"/>
          <w:szCs w:val="22"/>
        </w:rPr>
        <w:t xml:space="preserve">contre 28,9% pour le secteur informel. </w:t>
      </w:r>
    </w:p>
    <w:p w:rsidR="00633632" w:rsidRPr="00633632" w:rsidRDefault="00633632" w:rsidP="00633632">
      <w:pPr>
        <w:widowControl w:val="0"/>
        <w:spacing w:before="120" w:line="312" w:lineRule="auto"/>
        <w:jc w:val="both"/>
        <w:rPr>
          <w:rFonts w:ascii="Book Antiqua" w:hAnsi="Book Antiqua" w:cs="Tahoma"/>
          <w:sz w:val="22"/>
          <w:szCs w:val="22"/>
        </w:rPr>
      </w:pPr>
    </w:p>
    <w:p w:rsidR="00633632" w:rsidRDefault="004204AC" w:rsidP="00633632">
      <w:pPr>
        <w:keepNext/>
        <w:spacing w:after="200"/>
        <w:jc w:val="center"/>
        <w:rPr>
          <w:rFonts w:ascii="Book Antiqua" w:hAnsi="Book Antiqua"/>
          <w:b/>
          <w:bCs/>
          <w:sz w:val="16"/>
          <w:szCs w:val="18"/>
        </w:rPr>
      </w:pPr>
      <w:bookmarkStart w:id="24" w:name="_Toc523313687"/>
      <w:r w:rsidRPr="007035EC">
        <w:rPr>
          <w:rFonts w:ascii="Book Antiqua" w:hAnsi="Book Antiqua"/>
          <w:b/>
          <w:bCs/>
          <w:sz w:val="16"/>
          <w:szCs w:val="18"/>
        </w:rPr>
        <w:lastRenderedPageBreak/>
        <w:t xml:space="preserve">Figure </w:t>
      </w:r>
      <w:r w:rsidR="000D65F2">
        <w:rPr>
          <w:rFonts w:ascii="Book Antiqua" w:hAnsi="Book Antiqua"/>
          <w:b/>
          <w:bCs/>
          <w:sz w:val="16"/>
          <w:szCs w:val="18"/>
        </w:rPr>
        <w:fldChar w:fldCharType="begin"/>
      </w:r>
      <w:r w:rsidR="002708B0">
        <w:rPr>
          <w:rFonts w:ascii="Book Antiqua" w:hAnsi="Book Antiqua"/>
          <w:b/>
          <w:bCs/>
          <w:sz w:val="16"/>
          <w:szCs w:val="18"/>
        </w:rPr>
        <w:instrText xml:space="preserve"> SEQ Figure \* ARABIC </w:instrText>
      </w:r>
      <w:r w:rsidR="000D65F2">
        <w:rPr>
          <w:rFonts w:ascii="Book Antiqua" w:hAnsi="Book Antiqua"/>
          <w:b/>
          <w:bCs/>
          <w:sz w:val="16"/>
          <w:szCs w:val="18"/>
        </w:rPr>
        <w:fldChar w:fldCharType="separate"/>
      </w:r>
      <w:r w:rsidR="000F780F">
        <w:rPr>
          <w:rFonts w:ascii="Book Antiqua" w:hAnsi="Book Antiqua"/>
          <w:b/>
          <w:bCs/>
          <w:noProof/>
          <w:sz w:val="16"/>
          <w:szCs w:val="18"/>
        </w:rPr>
        <w:t>4</w:t>
      </w:r>
      <w:r w:rsidR="000D65F2">
        <w:rPr>
          <w:rFonts w:ascii="Book Antiqua" w:hAnsi="Book Antiqua"/>
          <w:b/>
          <w:bCs/>
          <w:sz w:val="16"/>
          <w:szCs w:val="18"/>
        </w:rPr>
        <w:fldChar w:fldCharType="end"/>
      </w:r>
      <w:r w:rsidRPr="007035EC">
        <w:rPr>
          <w:rFonts w:ascii="Book Antiqua" w:hAnsi="Book Antiqua"/>
          <w:b/>
          <w:bCs/>
          <w:sz w:val="16"/>
          <w:szCs w:val="18"/>
        </w:rPr>
        <w:t xml:space="preserve">: </w:t>
      </w:r>
      <w:r w:rsidR="00032D25" w:rsidRPr="007035EC">
        <w:rPr>
          <w:rFonts w:ascii="Book Antiqua" w:hAnsi="Book Antiqua"/>
          <w:b/>
          <w:bCs/>
          <w:sz w:val="16"/>
          <w:szCs w:val="18"/>
        </w:rPr>
        <w:t xml:space="preserve">Répartition </w:t>
      </w:r>
      <w:r w:rsidR="000E4E45" w:rsidRPr="007035EC">
        <w:rPr>
          <w:rFonts w:ascii="Book Antiqua" w:hAnsi="Book Antiqua"/>
          <w:b/>
          <w:bCs/>
          <w:sz w:val="16"/>
          <w:szCs w:val="18"/>
        </w:rPr>
        <w:t xml:space="preserve">des unités selon </w:t>
      </w:r>
      <w:r w:rsidRPr="007035EC">
        <w:rPr>
          <w:rFonts w:ascii="Book Antiqua" w:hAnsi="Book Antiqua"/>
          <w:b/>
          <w:bCs/>
          <w:sz w:val="16"/>
          <w:szCs w:val="18"/>
        </w:rPr>
        <w:t>la nature de l'activité des entreprises</w:t>
      </w:r>
      <w:bookmarkEnd w:id="24"/>
    </w:p>
    <w:p w:rsidR="007C6568" w:rsidRPr="000F1798" w:rsidRDefault="00F44BC9" w:rsidP="000F1798">
      <w:pPr>
        <w:keepNext/>
        <w:spacing w:after="200"/>
        <w:jc w:val="center"/>
        <w:rPr>
          <w:rFonts w:ascii="Book Antiqua" w:hAnsi="Book Antiqua"/>
          <w:b/>
          <w:bCs/>
          <w:sz w:val="16"/>
          <w:szCs w:val="18"/>
        </w:rPr>
      </w:pPr>
      <w:r w:rsidRPr="007035EC">
        <w:rPr>
          <w:rFonts w:ascii="Book Antiqua" w:hAnsi="Book Antiqua"/>
          <w:b/>
          <w:bCs/>
          <w:noProof/>
          <w:sz w:val="16"/>
          <w:szCs w:val="18"/>
        </w:rPr>
        <w:drawing>
          <wp:inline distT="0" distB="0" distL="0" distR="0">
            <wp:extent cx="4583182" cy="2297927"/>
            <wp:effectExtent l="19050" t="0" r="26918" b="7123"/>
            <wp:docPr id="7"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3632" w:rsidRPr="00633632" w:rsidRDefault="00633632" w:rsidP="00BA203C">
      <w:pPr>
        <w:numPr>
          <w:ilvl w:val="1"/>
          <w:numId w:val="8"/>
        </w:numPr>
        <w:tabs>
          <w:tab w:val="left" w:pos="-720"/>
        </w:tabs>
        <w:suppressAutoHyphens/>
        <w:spacing w:before="240" w:after="240" w:line="312" w:lineRule="auto"/>
        <w:ind w:left="567" w:hanging="283"/>
        <w:jc w:val="both"/>
        <w:outlineLvl w:val="1"/>
        <w:rPr>
          <w:rFonts w:ascii="Book Antiqua" w:hAnsi="Book Antiqua" w:cs="Tahoma"/>
          <w:b/>
          <w:sz w:val="22"/>
          <w:szCs w:val="22"/>
        </w:rPr>
      </w:pPr>
      <w:bookmarkStart w:id="25" w:name="_Toc523322027"/>
      <w:r w:rsidRPr="00633632">
        <w:rPr>
          <w:rFonts w:ascii="Book Antiqua" w:hAnsi="Book Antiqua" w:cs="Tahoma"/>
          <w:b/>
          <w:sz w:val="22"/>
          <w:szCs w:val="22"/>
        </w:rPr>
        <w:t xml:space="preserve">Domiciliation bancaire des </w:t>
      </w:r>
      <w:r w:rsidR="000E4E45">
        <w:rPr>
          <w:rFonts w:ascii="Book Antiqua" w:hAnsi="Book Antiqua" w:cs="Tahoma"/>
          <w:b/>
          <w:sz w:val="22"/>
          <w:szCs w:val="22"/>
        </w:rPr>
        <w:t>unités enquêtées</w:t>
      </w:r>
      <w:bookmarkEnd w:id="25"/>
      <w:r w:rsidR="000E4E45">
        <w:rPr>
          <w:rFonts w:ascii="Book Antiqua" w:hAnsi="Book Antiqua" w:cs="Tahoma"/>
          <w:b/>
          <w:sz w:val="22"/>
          <w:szCs w:val="22"/>
        </w:rPr>
        <w:t xml:space="preserve"> </w:t>
      </w:r>
    </w:p>
    <w:p w:rsidR="007C6568" w:rsidRPr="006E4A1A" w:rsidRDefault="00633632" w:rsidP="00840635">
      <w:pPr>
        <w:widowControl w:val="0"/>
        <w:spacing w:before="120" w:line="276" w:lineRule="auto"/>
        <w:jc w:val="both"/>
        <w:rPr>
          <w:rFonts w:ascii="Book Antiqua" w:hAnsi="Book Antiqua" w:cs="Tahoma"/>
          <w:sz w:val="22"/>
          <w:szCs w:val="22"/>
        </w:rPr>
      </w:pPr>
      <w:r w:rsidRPr="00633632">
        <w:rPr>
          <w:rFonts w:ascii="Book Antiqua" w:hAnsi="Book Antiqua" w:cs="Tahoma"/>
          <w:sz w:val="22"/>
          <w:szCs w:val="22"/>
        </w:rPr>
        <w:t xml:space="preserve">L’analyse </w:t>
      </w:r>
      <w:r w:rsidR="00951C10">
        <w:rPr>
          <w:rFonts w:ascii="Book Antiqua" w:hAnsi="Book Antiqua" w:cs="Tahoma"/>
          <w:sz w:val="22"/>
          <w:szCs w:val="22"/>
        </w:rPr>
        <w:t>suivant la domiciliation bancaire porte sur</w:t>
      </w:r>
      <w:r w:rsidR="00376C63">
        <w:rPr>
          <w:rFonts w:ascii="Book Antiqua" w:hAnsi="Book Antiqua" w:cs="Tahoma"/>
          <w:sz w:val="22"/>
          <w:szCs w:val="22"/>
        </w:rPr>
        <w:t xml:space="preserve"> </w:t>
      </w:r>
      <w:r w:rsidR="001C1773">
        <w:rPr>
          <w:rFonts w:ascii="Book Antiqua" w:hAnsi="Book Antiqua" w:cs="Tahoma"/>
          <w:sz w:val="22"/>
          <w:szCs w:val="22"/>
        </w:rPr>
        <w:t xml:space="preserve">la </w:t>
      </w:r>
      <w:r w:rsidR="00E810F1">
        <w:rPr>
          <w:rFonts w:ascii="Book Antiqua" w:hAnsi="Book Antiqua" w:cs="Tahoma"/>
          <w:sz w:val="22"/>
          <w:szCs w:val="22"/>
        </w:rPr>
        <w:t>répartition</w:t>
      </w:r>
      <w:r w:rsidR="001C1773">
        <w:rPr>
          <w:rFonts w:ascii="Book Antiqua" w:hAnsi="Book Antiqua" w:cs="Tahoma"/>
          <w:sz w:val="22"/>
          <w:szCs w:val="22"/>
        </w:rPr>
        <w:t xml:space="preserve"> des banques au sein de la population </w:t>
      </w:r>
      <w:r w:rsidR="00E810F1">
        <w:rPr>
          <w:rFonts w:ascii="Book Antiqua" w:hAnsi="Book Antiqua" w:cs="Tahoma"/>
          <w:sz w:val="22"/>
          <w:szCs w:val="22"/>
        </w:rPr>
        <w:t>enquêtée</w:t>
      </w:r>
      <w:r w:rsidR="00376C63">
        <w:rPr>
          <w:rFonts w:ascii="Book Antiqua" w:hAnsi="Book Antiqua" w:cs="Tahoma"/>
          <w:sz w:val="22"/>
          <w:szCs w:val="22"/>
        </w:rPr>
        <w:t xml:space="preserve"> </w:t>
      </w:r>
      <w:r w:rsidR="002E1D96">
        <w:rPr>
          <w:rFonts w:ascii="Book Antiqua" w:hAnsi="Book Antiqua" w:cs="Tahoma"/>
          <w:sz w:val="22"/>
          <w:szCs w:val="22"/>
        </w:rPr>
        <w:t xml:space="preserve">et le nombre moyen de comptes ouverts </w:t>
      </w:r>
      <w:r w:rsidR="001C1773">
        <w:rPr>
          <w:rFonts w:ascii="Book Antiqua" w:hAnsi="Book Antiqua" w:cs="Tahoma"/>
          <w:sz w:val="22"/>
          <w:szCs w:val="22"/>
        </w:rPr>
        <w:t xml:space="preserve">ainsi que </w:t>
      </w:r>
      <w:r w:rsidR="002E1D96">
        <w:rPr>
          <w:rFonts w:ascii="Book Antiqua" w:hAnsi="Book Antiqua" w:cs="Tahoma"/>
          <w:sz w:val="22"/>
          <w:szCs w:val="22"/>
        </w:rPr>
        <w:t xml:space="preserve">l’ancienneté de la relation commerciale. </w:t>
      </w:r>
    </w:p>
    <w:p w:rsidR="007035EC" w:rsidRPr="00E076E8" w:rsidRDefault="00404ACF" w:rsidP="00BA203C">
      <w:pPr>
        <w:pStyle w:val="Titre1"/>
        <w:numPr>
          <w:ilvl w:val="0"/>
          <w:numId w:val="0"/>
        </w:numPr>
        <w:spacing w:before="240" w:after="240" w:line="276" w:lineRule="auto"/>
        <w:ind w:firstLine="567"/>
      </w:pPr>
      <w:bookmarkStart w:id="26" w:name="_Toc523322028"/>
      <w:bookmarkStart w:id="27" w:name="_Toc493010932"/>
      <w:r w:rsidRPr="00E076E8">
        <w:t xml:space="preserve">I.2.1. </w:t>
      </w:r>
      <w:r w:rsidR="00A26560" w:rsidRPr="00E076E8">
        <w:t>Représentativité</w:t>
      </w:r>
      <w:r w:rsidR="00633632" w:rsidRPr="00E076E8">
        <w:t xml:space="preserve"> des banques et nombre moyen de compte</w:t>
      </w:r>
      <w:bookmarkEnd w:id="26"/>
    </w:p>
    <w:bookmarkEnd w:id="27"/>
    <w:p w:rsidR="009260C9" w:rsidRPr="007035EC" w:rsidRDefault="004204AC" w:rsidP="00840635">
      <w:pPr>
        <w:autoSpaceDE w:val="0"/>
        <w:autoSpaceDN w:val="0"/>
        <w:adjustRightInd w:val="0"/>
        <w:spacing w:before="120" w:line="276" w:lineRule="auto"/>
        <w:jc w:val="both"/>
        <w:rPr>
          <w:rFonts w:ascii="Book Antiqua" w:hAnsi="Book Antiqua" w:cs="Tahoma"/>
          <w:sz w:val="22"/>
          <w:szCs w:val="22"/>
        </w:rPr>
      </w:pPr>
      <w:r w:rsidRPr="007035EC">
        <w:rPr>
          <w:rFonts w:ascii="Book Antiqua" w:hAnsi="Book Antiqua" w:cs="Tahoma"/>
          <w:sz w:val="22"/>
          <w:szCs w:val="22"/>
        </w:rPr>
        <w:t>L’analyse de la répartition</w:t>
      </w:r>
      <w:r w:rsidR="00376C63">
        <w:rPr>
          <w:rFonts w:ascii="Book Antiqua" w:hAnsi="Book Antiqua" w:cs="Tahoma"/>
          <w:sz w:val="22"/>
          <w:szCs w:val="22"/>
        </w:rPr>
        <w:t xml:space="preserve"> </w:t>
      </w:r>
      <w:r w:rsidRPr="007035EC">
        <w:rPr>
          <w:rFonts w:ascii="Book Antiqua" w:hAnsi="Book Antiqua" w:cs="Tahoma"/>
          <w:sz w:val="22"/>
          <w:szCs w:val="22"/>
        </w:rPr>
        <w:t>des unités enquêtées selon la banque domiciliaire de leur compte principal</w:t>
      </w:r>
      <w:r w:rsidR="003A60C7">
        <w:rPr>
          <w:rStyle w:val="Appelnotedebasdep"/>
          <w:rFonts w:ascii="Book Antiqua" w:hAnsi="Book Antiqua" w:cs="Tahoma"/>
          <w:sz w:val="22"/>
          <w:szCs w:val="22"/>
        </w:rPr>
        <w:footnoteReference w:id="10"/>
      </w:r>
      <w:r w:rsidRPr="007035EC">
        <w:rPr>
          <w:rFonts w:ascii="Book Antiqua" w:hAnsi="Book Antiqua" w:cs="Tahoma"/>
          <w:sz w:val="22"/>
          <w:szCs w:val="22"/>
        </w:rPr>
        <w:t xml:space="preserve"> fait apparaitre une forte concentration</w:t>
      </w:r>
      <w:r w:rsidR="00376C63">
        <w:rPr>
          <w:rFonts w:ascii="Book Antiqua" w:hAnsi="Book Antiqua" w:cs="Tahoma"/>
          <w:sz w:val="22"/>
          <w:szCs w:val="22"/>
        </w:rPr>
        <w:t xml:space="preserve"> </w:t>
      </w:r>
      <w:r w:rsidRPr="007035EC">
        <w:rPr>
          <w:rFonts w:ascii="Book Antiqua" w:hAnsi="Book Antiqua" w:cs="Tahoma"/>
          <w:sz w:val="22"/>
          <w:szCs w:val="22"/>
        </w:rPr>
        <w:t>autour de la CBAO (20,7%), la CNCAS (18,5%), ECOBANK ( 14,1%),</w:t>
      </w:r>
      <w:r w:rsidR="00376C63">
        <w:rPr>
          <w:rFonts w:ascii="Book Antiqua" w:hAnsi="Book Antiqua" w:cs="Tahoma"/>
          <w:sz w:val="22"/>
          <w:szCs w:val="22"/>
        </w:rPr>
        <w:t xml:space="preserve"> </w:t>
      </w:r>
      <w:r w:rsidRPr="007035EC">
        <w:rPr>
          <w:rFonts w:ascii="Book Antiqua" w:hAnsi="Book Antiqua" w:cs="Tahoma"/>
          <w:sz w:val="22"/>
          <w:szCs w:val="22"/>
        </w:rPr>
        <w:t>la SGBS (14,0%)</w:t>
      </w:r>
      <w:r w:rsidR="00376C63">
        <w:rPr>
          <w:rFonts w:ascii="Book Antiqua" w:hAnsi="Book Antiqua" w:cs="Tahoma"/>
          <w:sz w:val="22"/>
          <w:szCs w:val="22"/>
        </w:rPr>
        <w:t xml:space="preserve"> </w:t>
      </w:r>
      <w:r w:rsidRPr="007035EC">
        <w:rPr>
          <w:rFonts w:ascii="Book Antiqua" w:hAnsi="Book Antiqua" w:cs="Tahoma"/>
          <w:sz w:val="22"/>
          <w:szCs w:val="22"/>
        </w:rPr>
        <w:t xml:space="preserve">et la BICIS (10,7%). </w:t>
      </w:r>
    </w:p>
    <w:p w:rsidR="001C1773" w:rsidRPr="007035EC" w:rsidRDefault="001C1773" w:rsidP="007035EC">
      <w:pPr>
        <w:autoSpaceDE w:val="0"/>
        <w:autoSpaceDN w:val="0"/>
        <w:adjustRightInd w:val="0"/>
        <w:jc w:val="both"/>
        <w:rPr>
          <w:rFonts w:ascii="Book Antiqua" w:hAnsi="Book Antiqua" w:cs="Tahoma"/>
          <w:sz w:val="22"/>
          <w:szCs w:val="22"/>
        </w:rPr>
      </w:pPr>
    </w:p>
    <w:p w:rsidR="001C1773" w:rsidRPr="004F2284" w:rsidRDefault="001C1773" w:rsidP="004F2284">
      <w:pPr>
        <w:keepNext/>
        <w:spacing w:after="200"/>
        <w:jc w:val="center"/>
        <w:rPr>
          <w:rFonts w:ascii="Book Antiqua" w:hAnsi="Book Antiqua"/>
          <w:b/>
          <w:bCs/>
          <w:sz w:val="16"/>
          <w:szCs w:val="18"/>
        </w:rPr>
      </w:pPr>
      <w:bookmarkStart w:id="28" w:name="_Toc523313688"/>
      <w:r w:rsidRPr="004F2284">
        <w:rPr>
          <w:rFonts w:ascii="Book Antiqua" w:hAnsi="Book Antiqua"/>
          <w:b/>
          <w:bCs/>
          <w:sz w:val="16"/>
          <w:szCs w:val="18"/>
        </w:rPr>
        <w:t xml:space="preserve">Figure </w:t>
      </w:r>
      <w:r w:rsidR="000D65F2">
        <w:rPr>
          <w:rFonts w:ascii="Book Antiqua" w:hAnsi="Book Antiqua"/>
          <w:b/>
          <w:bCs/>
          <w:sz w:val="16"/>
          <w:szCs w:val="18"/>
        </w:rPr>
        <w:fldChar w:fldCharType="begin"/>
      </w:r>
      <w:r w:rsidR="002708B0">
        <w:rPr>
          <w:rFonts w:ascii="Book Antiqua" w:hAnsi="Book Antiqua"/>
          <w:b/>
          <w:bCs/>
          <w:sz w:val="16"/>
          <w:szCs w:val="18"/>
        </w:rPr>
        <w:instrText xml:space="preserve"> SEQ Figure \* ARABIC </w:instrText>
      </w:r>
      <w:r w:rsidR="000D65F2">
        <w:rPr>
          <w:rFonts w:ascii="Book Antiqua" w:hAnsi="Book Antiqua"/>
          <w:b/>
          <w:bCs/>
          <w:sz w:val="16"/>
          <w:szCs w:val="18"/>
        </w:rPr>
        <w:fldChar w:fldCharType="separate"/>
      </w:r>
      <w:r w:rsidR="000F780F">
        <w:rPr>
          <w:rFonts w:ascii="Book Antiqua" w:hAnsi="Book Antiqua"/>
          <w:b/>
          <w:bCs/>
          <w:noProof/>
          <w:sz w:val="16"/>
          <w:szCs w:val="18"/>
        </w:rPr>
        <w:t>5</w:t>
      </w:r>
      <w:r w:rsidR="000D65F2">
        <w:rPr>
          <w:rFonts w:ascii="Book Antiqua" w:hAnsi="Book Antiqua"/>
          <w:b/>
          <w:bCs/>
          <w:sz w:val="16"/>
          <w:szCs w:val="18"/>
        </w:rPr>
        <w:fldChar w:fldCharType="end"/>
      </w:r>
      <w:r w:rsidRPr="004F2284">
        <w:rPr>
          <w:rFonts w:ascii="Book Antiqua" w:hAnsi="Book Antiqua"/>
          <w:b/>
          <w:bCs/>
          <w:sz w:val="16"/>
          <w:szCs w:val="18"/>
        </w:rPr>
        <w:t xml:space="preserve">: Répartition des domiciliations bancaires des </w:t>
      </w:r>
      <w:r w:rsidR="00A26560" w:rsidRPr="004F2284">
        <w:rPr>
          <w:rFonts w:ascii="Book Antiqua" w:hAnsi="Book Antiqua"/>
          <w:b/>
          <w:bCs/>
          <w:sz w:val="16"/>
          <w:szCs w:val="18"/>
        </w:rPr>
        <w:t>unités</w:t>
      </w:r>
      <w:r w:rsidR="00376C63">
        <w:rPr>
          <w:rFonts w:ascii="Book Antiqua" w:hAnsi="Book Antiqua"/>
          <w:b/>
          <w:bCs/>
          <w:sz w:val="16"/>
          <w:szCs w:val="18"/>
        </w:rPr>
        <w:t xml:space="preserve"> </w:t>
      </w:r>
      <w:r w:rsidR="003A60C7" w:rsidRPr="004F2284">
        <w:rPr>
          <w:rFonts w:ascii="Book Antiqua" w:hAnsi="Book Antiqua"/>
          <w:b/>
          <w:bCs/>
          <w:sz w:val="16"/>
          <w:szCs w:val="18"/>
        </w:rPr>
        <w:t>enquêtées</w:t>
      </w:r>
      <w:bookmarkEnd w:id="28"/>
    </w:p>
    <w:p w:rsidR="009260C9" w:rsidRDefault="007C6568" w:rsidP="007035EC">
      <w:pPr>
        <w:keepNext/>
        <w:spacing w:after="200"/>
        <w:ind w:left="720"/>
        <w:jc w:val="center"/>
        <w:rPr>
          <w:rFonts w:ascii="Book Antiqua" w:hAnsi="Book Antiqua" w:cs="Tahoma"/>
          <w:b/>
          <w:bCs/>
          <w:sz w:val="16"/>
          <w:szCs w:val="18"/>
        </w:rPr>
      </w:pPr>
      <w:r w:rsidRPr="007C6568">
        <w:rPr>
          <w:rFonts w:ascii="Book Antiqua" w:hAnsi="Book Antiqua" w:cs="Tahoma"/>
          <w:b/>
          <w:bCs/>
          <w:noProof/>
          <w:sz w:val="16"/>
          <w:szCs w:val="18"/>
        </w:rPr>
        <w:drawing>
          <wp:inline distT="0" distB="0" distL="0" distR="0">
            <wp:extent cx="5467350" cy="3077155"/>
            <wp:effectExtent l="19050" t="0" r="19050" b="8945"/>
            <wp:docPr id="1"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C1773" w:rsidRDefault="001C1773" w:rsidP="00633632">
      <w:pPr>
        <w:autoSpaceDE w:val="0"/>
        <w:autoSpaceDN w:val="0"/>
        <w:adjustRightInd w:val="0"/>
        <w:spacing w:before="120" w:line="312" w:lineRule="auto"/>
        <w:jc w:val="both"/>
        <w:rPr>
          <w:rFonts w:ascii="Book Antiqua" w:hAnsi="Book Antiqua" w:cs="Tahoma"/>
          <w:sz w:val="22"/>
          <w:szCs w:val="22"/>
        </w:rPr>
      </w:pPr>
    </w:p>
    <w:p w:rsidR="00633632" w:rsidRPr="00633632" w:rsidRDefault="003A60C7" w:rsidP="00840635">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lastRenderedPageBreak/>
        <w:t xml:space="preserve">L’examen des </w:t>
      </w:r>
      <w:r w:rsidR="00376C63">
        <w:rPr>
          <w:rFonts w:ascii="Book Antiqua" w:hAnsi="Book Antiqua" w:cs="Tahoma"/>
          <w:sz w:val="22"/>
          <w:szCs w:val="22"/>
        </w:rPr>
        <w:t>résultats de l’ESUB</w:t>
      </w:r>
      <w:r>
        <w:rPr>
          <w:rFonts w:ascii="Book Antiqua" w:hAnsi="Book Antiqua" w:cs="Tahoma"/>
          <w:sz w:val="22"/>
          <w:szCs w:val="22"/>
        </w:rPr>
        <w:t xml:space="preserve"> selon le nombre moyen de comptes</w:t>
      </w:r>
      <w:r w:rsidR="005F3E50">
        <w:rPr>
          <w:rFonts w:ascii="Book Antiqua" w:hAnsi="Book Antiqua" w:cs="Tahoma"/>
          <w:sz w:val="22"/>
          <w:szCs w:val="22"/>
        </w:rPr>
        <w:t xml:space="preserve"> courants</w:t>
      </w:r>
      <w:r>
        <w:rPr>
          <w:rFonts w:ascii="Book Antiqua" w:hAnsi="Book Antiqua" w:cs="Tahoma"/>
          <w:sz w:val="22"/>
          <w:szCs w:val="22"/>
        </w:rPr>
        <w:t xml:space="preserve"> ouverts</w:t>
      </w:r>
      <w:r w:rsidR="00376C63">
        <w:rPr>
          <w:rFonts w:ascii="Book Antiqua" w:hAnsi="Book Antiqua" w:cs="Tahoma"/>
          <w:sz w:val="22"/>
          <w:szCs w:val="22"/>
        </w:rPr>
        <w:t xml:space="preserve"> </w:t>
      </w:r>
      <w:r>
        <w:rPr>
          <w:rFonts w:ascii="Book Antiqua" w:hAnsi="Book Antiqua" w:cs="Tahoma"/>
          <w:sz w:val="22"/>
          <w:szCs w:val="22"/>
        </w:rPr>
        <w:t xml:space="preserve">fait </w:t>
      </w:r>
      <w:r w:rsidR="00633632" w:rsidRPr="00633632">
        <w:rPr>
          <w:rFonts w:ascii="Book Antiqua" w:hAnsi="Book Antiqua" w:cs="Tahoma"/>
          <w:sz w:val="22"/>
          <w:szCs w:val="22"/>
        </w:rPr>
        <w:t xml:space="preserve">ressortir </w:t>
      </w:r>
      <w:r w:rsidR="005F3E50">
        <w:rPr>
          <w:rFonts w:ascii="Book Antiqua" w:hAnsi="Book Antiqua" w:cs="Tahoma"/>
          <w:sz w:val="22"/>
          <w:szCs w:val="22"/>
        </w:rPr>
        <w:t>une prédominance des unités disposant d’un seul compte (67,5%)</w:t>
      </w:r>
      <w:r w:rsidR="00376C63">
        <w:rPr>
          <w:rFonts w:ascii="Book Antiqua" w:hAnsi="Book Antiqua" w:cs="Tahoma"/>
          <w:sz w:val="22"/>
          <w:szCs w:val="22"/>
        </w:rPr>
        <w:t xml:space="preserve"> </w:t>
      </w:r>
      <w:r w:rsidR="00633632" w:rsidRPr="00633632">
        <w:rPr>
          <w:rFonts w:ascii="Book Antiqua" w:hAnsi="Book Antiqua" w:cs="Tahoma"/>
          <w:sz w:val="22"/>
          <w:szCs w:val="22"/>
        </w:rPr>
        <w:t>contre 21,3% et 5,8% qui en ont respectivement deux et trois. Les</w:t>
      </w:r>
      <w:r w:rsidR="005F3E50">
        <w:rPr>
          <w:rFonts w:ascii="Book Antiqua" w:hAnsi="Book Antiqua" w:cs="Tahoma"/>
          <w:sz w:val="22"/>
          <w:szCs w:val="22"/>
        </w:rPr>
        <w:t xml:space="preserve"> unités </w:t>
      </w:r>
      <w:r w:rsidR="00633632" w:rsidRPr="00633632">
        <w:rPr>
          <w:rFonts w:ascii="Book Antiqua" w:hAnsi="Book Antiqua" w:cs="Tahoma"/>
          <w:sz w:val="22"/>
          <w:szCs w:val="22"/>
        </w:rPr>
        <w:t xml:space="preserve">qui ont déclaré ne </w:t>
      </w:r>
      <w:r w:rsidR="005F3E50">
        <w:rPr>
          <w:rFonts w:ascii="Book Antiqua" w:hAnsi="Book Antiqua" w:cs="Tahoma"/>
          <w:sz w:val="22"/>
          <w:szCs w:val="22"/>
        </w:rPr>
        <w:t xml:space="preserve">pas </w:t>
      </w:r>
      <w:r w:rsidR="00633632" w:rsidRPr="00633632">
        <w:rPr>
          <w:rFonts w:ascii="Book Antiqua" w:hAnsi="Book Antiqua" w:cs="Tahoma"/>
          <w:sz w:val="22"/>
          <w:szCs w:val="22"/>
        </w:rPr>
        <w:t>disposer</w:t>
      </w:r>
      <w:r w:rsidR="005F3E50">
        <w:rPr>
          <w:rFonts w:ascii="Book Antiqua" w:hAnsi="Book Antiqua" w:cs="Tahoma"/>
          <w:sz w:val="22"/>
          <w:szCs w:val="22"/>
        </w:rPr>
        <w:t xml:space="preserve"> de </w:t>
      </w:r>
      <w:r w:rsidR="00633632" w:rsidRPr="00633632">
        <w:rPr>
          <w:rFonts w:ascii="Book Antiqua" w:hAnsi="Book Antiqua" w:cs="Tahoma"/>
          <w:sz w:val="22"/>
          <w:szCs w:val="22"/>
        </w:rPr>
        <w:t xml:space="preserve"> com</w:t>
      </w:r>
      <w:r w:rsidR="00A95412">
        <w:rPr>
          <w:rFonts w:ascii="Book Antiqua" w:hAnsi="Book Antiqua" w:cs="Tahoma"/>
          <w:sz w:val="22"/>
          <w:szCs w:val="22"/>
        </w:rPr>
        <w:t>p</w:t>
      </w:r>
      <w:r w:rsidR="00633632" w:rsidRPr="00633632">
        <w:rPr>
          <w:rFonts w:ascii="Book Antiqua" w:hAnsi="Book Antiqua" w:cs="Tahoma"/>
          <w:sz w:val="22"/>
          <w:szCs w:val="22"/>
        </w:rPr>
        <w:t>te</w:t>
      </w:r>
      <w:r w:rsidR="005F3E50">
        <w:rPr>
          <w:rFonts w:ascii="Book Antiqua" w:hAnsi="Book Antiqua" w:cs="Tahoma"/>
          <w:sz w:val="22"/>
          <w:szCs w:val="22"/>
        </w:rPr>
        <w:t xml:space="preserve"> courant</w:t>
      </w:r>
      <w:r w:rsidR="00633632" w:rsidRPr="00633632">
        <w:rPr>
          <w:rFonts w:ascii="Book Antiqua" w:hAnsi="Book Antiqua" w:cs="Tahoma"/>
          <w:sz w:val="22"/>
          <w:szCs w:val="22"/>
        </w:rPr>
        <w:t xml:space="preserve"> (1,4%) sont le plus souvent</w:t>
      </w:r>
      <w:r w:rsidR="005F3E50">
        <w:rPr>
          <w:rFonts w:ascii="Book Antiqua" w:hAnsi="Book Antiqua" w:cs="Tahoma"/>
          <w:sz w:val="22"/>
          <w:szCs w:val="22"/>
        </w:rPr>
        <w:t xml:space="preserve"> issues</w:t>
      </w:r>
      <w:r w:rsidR="00633632" w:rsidRPr="00633632">
        <w:rPr>
          <w:rFonts w:ascii="Book Antiqua" w:hAnsi="Book Antiqua" w:cs="Tahoma"/>
          <w:sz w:val="22"/>
          <w:szCs w:val="22"/>
        </w:rPr>
        <w:t xml:space="preserve"> du secteur informel</w:t>
      </w:r>
      <w:r w:rsidR="00E546BE">
        <w:rPr>
          <w:rFonts w:ascii="Book Antiqua" w:hAnsi="Book Antiqua" w:cs="Tahoma"/>
          <w:sz w:val="22"/>
          <w:szCs w:val="22"/>
        </w:rPr>
        <w:t xml:space="preserve">. </w:t>
      </w:r>
    </w:p>
    <w:p w:rsidR="00633632" w:rsidRDefault="00E546BE" w:rsidP="00840635">
      <w:pPr>
        <w:autoSpaceDE w:val="0"/>
        <w:autoSpaceDN w:val="0"/>
        <w:adjustRightInd w:val="0"/>
        <w:spacing w:before="240" w:after="240" w:line="276" w:lineRule="auto"/>
        <w:jc w:val="both"/>
        <w:rPr>
          <w:rFonts w:ascii="Book Antiqua" w:hAnsi="Book Antiqua" w:cs="Tahoma"/>
          <w:sz w:val="22"/>
          <w:szCs w:val="22"/>
        </w:rPr>
      </w:pPr>
      <w:r w:rsidRPr="00633632">
        <w:rPr>
          <w:rFonts w:ascii="Book Antiqua" w:hAnsi="Book Antiqua" w:cs="Tahoma"/>
          <w:sz w:val="22"/>
          <w:szCs w:val="22"/>
        </w:rPr>
        <w:t>L’analyse</w:t>
      </w:r>
      <w:r w:rsidR="00633632" w:rsidRPr="00633632">
        <w:rPr>
          <w:rFonts w:ascii="Book Antiqua" w:hAnsi="Book Antiqua" w:cs="Tahoma"/>
          <w:sz w:val="22"/>
          <w:szCs w:val="22"/>
        </w:rPr>
        <w:t xml:space="preserve"> de la typologie des autres comptes ouverts révèle que</w:t>
      </w:r>
      <w:r w:rsidR="00C90DE1">
        <w:rPr>
          <w:rFonts w:ascii="Book Antiqua" w:hAnsi="Book Antiqua" w:cs="Tahoma"/>
          <w:sz w:val="22"/>
          <w:szCs w:val="22"/>
        </w:rPr>
        <w:t xml:space="preserve"> seules 3,1% des </w:t>
      </w:r>
      <w:r>
        <w:rPr>
          <w:rFonts w:ascii="Book Antiqua" w:hAnsi="Book Antiqua" w:cs="Tahoma"/>
          <w:sz w:val="22"/>
          <w:szCs w:val="22"/>
        </w:rPr>
        <w:t xml:space="preserve">unités enquêtées </w:t>
      </w:r>
      <w:r w:rsidR="00633632" w:rsidRPr="00633632">
        <w:rPr>
          <w:rFonts w:ascii="Book Antiqua" w:hAnsi="Book Antiqua" w:cs="Tahoma"/>
          <w:sz w:val="22"/>
          <w:szCs w:val="22"/>
        </w:rPr>
        <w:t>3,4%</w:t>
      </w:r>
      <w:r w:rsidR="00376C63">
        <w:rPr>
          <w:rFonts w:ascii="Book Antiqua" w:hAnsi="Book Antiqua" w:cs="Tahoma"/>
          <w:sz w:val="22"/>
          <w:szCs w:val="22"/>
        </w:rPr>
        <w:t xml:space="preserve"> </w:t>
      </w:r>
      <w:r w:rsidR="00C90DE1">
        <w:rPr>
          <w:rFonts w:ascii="Book Antiqua" w:hAnsi="Book Antiqua" w:cs="Tahoma"/>
          <w:sz w:val="22"/>
          <w:szCs w:val="22"/>
        </w:rPr>
        <w:t xml:space="preserve">déclarent </w:t>
      </w:r>
      <w:r w:rsidR="00633632" w:rsidRPr="00633632">
        <w:rPr>
          <w:rFonts w:ascii="Book Antiqua" w:hAnsi="Book Antiqua" w:cs="Tahoma"/>
          <w:sz w:val="22"/>
          <w:szCs w:val="22"/>
        </w:rPr>
        <w:t>disposer d’</w:t>
      </w:r>
      <w:r w:rsidR="00C90DE1">
        <w:rPr>
          <w:rFonts w:ascii="Book Antiqua" w:hAnsi="Book Antiqua" w:cs="Tahoma"/>
          <w:sz w:val="22"/>
          <w:szCs w:val="22"/>
        </w:rPr>
        <w:t xml:space="preserve">au moins </w:t>
      </w:r>
      <w:r w:rsidR="00633632" w:rsidRPr="00633632">
        <w:rPr>
          <w:rFonts w:ascii="Book Antiqua" w:hAnsi="Book Antiqua" w:cs="Tahoma"/>
          <w:sz w:val="22"/>
          <w:szCs w:val="22"/>
        </w:rPr>
        <w:t>un D</w:t>
      </w:r>
      <w:r w:rsidR="008B7F0C">
        <w:rPr>
          <w:rFonts w:ascii="Book Antiqua" w:hAnsi="Book Antiqua" w:cs="Tahoma"/>
          <w:sz w:val="22"/>
          <w:szCs w:val="22"/>
        </w:rPr>
        <w:t xml:space="preserve">épôt à </w:t>
      </w:r>
      <w:r w:rsidR="00633632" w:rsidRPr="00633632">
        <w:rPr>
          <w:rFonts w:ascii="Book Antiqua" w:hAnsi="Book Antiqua" w:cs="Tahoma"/>
          <w:sz w:val="22"/>
          <w:szCs w:val="22"/>
        </w:rPr>
        <w:t>T</w:t>
      </w:r>
      <w:r w:rsidR="008B7F0C">
        <w:rPr>
          <w:rFonts w:ascii="Book Antiqua" w:hAnsi="Book Antiqua" w:cs="Tahoma"/>
          <w:sz w:val="22"/>
          <w:szCs w:val="22"/>
        </w:rPr>
        <w:t>erme (DAT)</w:t>
      </w:r>
      <w:r w:rsidR="00C90DE1">
        <w:rPr>
          <w:rFonts w:ascii="Book Antiqua" w:hAnsi="Book Antiqua" w:cs="Tahoma"/>
          <w:sz w:val="22"/>
          <w:szCs w:val="22"/>
        </w:rPr>
        <w:t xml:space="preserve"> et une proportion </w:t>
      </w:r>
      <w:r w:rsidR="00376C63">
        <w:rPr>
          <w:rFonts w:ascii="Book Antiqua" w:hAnsi="Book Antiqua" w:cs="Tahoma"/>
          <w:sz w:val="22"/>
          <w:szCs w:val="22"/>
        </w:rPr>
        <w:t>d</w:t>
      </w:r>
      <w:r w:rsidR="00C90DE1">
        <w:rPr>
          <w:rFonts w:ascii="Book Antiqua" w:hAnsi="Book Antiqua" w:cs="Tahoma"/>
          <w:sz w:val="22"/>
          <w:szCs w:val="22"/>
        </w:rPr>
        <w:t xml:space="preserve">e </w:t>
      </w:r>
      <w:r w:rsidR="00633632" w:rsidRPr="00633632">
        <w:rPr>
          <w:rFonts w:ascii="Book Antiqua" w:hAnsi="Book Antiqua" w:cs="Tahoma"/>
          <w:sz w:val="22"/>
          <w:szCs w:val="22"/>
        </w:rPr>
        <w:t>5,</w:t>
      </w:r>
      <w:r w:rsidR="00C90DE1">
        <w:rPr>
          <w:rFonts w:ascii="Book Antiqua" w:hAnsi="Book Antiqua" w:cs="Tahoma"/>
          <w:sz w:val="22"/>
          <w:szCs w:val="22"/>
        </w:rPr>
        <w:t>1</w:t>
      </w:r>
      <w:r w:rsidR="00633632" w:rsidRPr="00633632">
        <w:rPr>
          <w:rFonts w:ascii="Book Antiqua" w:hAnsi="Book Antiqua" w:cs="Tahoma"/>
          <w:sz w:val="22"/>
          <w:szCs w:val="22"/>
        </w:rPr>
        <w:t>% d’</w:t>
      </w:r>
      <w:r w:rsidR="00C90DE1">
        <w:rPr>
          <w:rFonts w:ascii="Book Antiqua" w:hAnsi="Book Antiqua" w:cs="Tahoma"/>
          <w:sz w:val="22"/>
          <w:szCs w:val="22"/>
        </w:rPr>
        <w:t xml:space="preserve">au moins </w:t>
      </w:r>
      <w:r w:rsidR="00633632" w:rsidRPr="00633632">
        <w:rPr>
          <w:rFonts w:ascii="Book Antiqua" w:hAnsi="Book Antiqua" w:cs="Tahoma"/>
          <w:sz w:val="22"/>
          <w:szCs w:val="22"/>
        </w:rPr>
        <w:t>un compte épargne projet.</w:t>
      </w:r>
    </w:p>
    <w:p w:rsidR="00633632" w:rsidRDefault="00633632" w:rsidP="00633632">
      <w:pPr>
        <w:keepNext/>
        <w:spacing w:after="200"/>
        <w:jc w:val="center"/>
        <w:rPr>
          <w:b/>
          <w:bCs/>
          <w:sz w:val="14"/>
          <w:szCs w:val="18"/>
        </w:rPr>
      </w:pPr>
      <w:bookmarkStart w:id="29" w:name="_Toc523313689"/>
      <w:r w:rsidRPr="00633632">
        <w:rPr>
          <w:b/>
          <w:bCs/>
          <w:sz w:val="14"/>
          <w:szCs w:val="18"/>
        </w:rPr>
        <w:t xml:space="preserve">Figure </w:t>
      </w:r>
      <w:r w:rsidR="000D65F2">
        <w:rPr>
          <w:b/>
          <w:bCs/>
          <w:sz w:val="14"/>
          <w:szCs w:val="18"/>
        </w:rPr>
        <w:fldChar w:fldCharType="begin"/>
      </w:r>
      <w:r w:rsidR="002708B0">
        <w:rPr>
          <w:b/>
          <w:bCs/>
          <w:sz w:val="14"/>
          <w:szCs w:val="18"/>
        </w:rPr>
        <w:instrText xml:space="preserve"> SEQ Figure \* ARABIC </w:instrText>
      </w:r>
      <w:r w:rsidR="000D65F2">
        <w:rPr>
          <w:b/>
          <w:bCs/>
          <w:sz w:val="14"/>
          <w:szCs w:val="18"/>
        </w:rPr>
        <w:fldChar w:fldCharType="separate"/>
      </w:r>
      <w:r w:rsidR="000F780F">
        <w:rPr>
          <w:b/>
          <w:bCs/>
          <w:noProof/>
          <w:sz w:val="14"/>
          <w:szCs w:val="18"/>
        </w:rPr>
        <w:t>6</w:t>
      </w:r>
      <w:r w:rsidR="000D65F2">
        <w:rPr>
          <w:b/>
          <w:bCs/>
          <w:sz w:val="14"/>
          <w:szCs w:val="18"/>
        </w:rPr>
        <w:fldChar w:fldCharType="end"/>
      </w:r>
      <w:r w:rsidRPr="00633632">
        <w:rPr>
          <w:b/>
          <w:bCs/>
          <w:sz w:val="14"/>
          <w:szCs w:val="18"/>
        </w:rPr>
        <w:t xml:space="preserve">: Nombre de comptes courants ouverts par les </w:t>
      </w:r>
      <w:r w:rsidR="0082692C">
        <w:rPr>
          <w:b/>
          <w:bCs/>
          <w:sz w:val="14"/>
          <w:szCs w:val="18"/>
        </w:rPr>
        <w:t>unités e</w:t>
      </w:r>
      <w:r w:rsidR="00F3775F">
        <w:rPr>
          <w:b/>
          <w:bCs/>
          <w:sz w:val="14"/>
          <w:szCs w:val="18"/>
        </w:rPr>
        <w:t>n</w:t>
      </w:r>
      <w:r w:rsidR="0082692C">
        <w:rPr>
          <w:b/>
          <w:bCs/>
          <w:sz w:val="14"/>
          <w:szCs w:val="18"/>
        </w:rPr>
        <w:t>quêtées</w:t>
      </w:r>
      <w:bookmarkEnd w:id="29"/>
    </w:p>
    <w:p w:rsidR="0082692C" w:rsidRPr="00633632" w:rsidRDefault="00F44BC9" w:rsidP="00633632">
      <w:pPr>
        <w:keepNext/>
        <w:spacing w:after="200"/>
        <w:jc w:val="center"/>
        <w:rPr>
          <w:b/>
          <w:bCs/>
          <w:sz w:val="14"/>
          <w:szCs w:val="18"/>
        </w:rPr>
      </w:pPr>
      <w:r w:rsidRPr="004F2284">
        <w:rPr>
          <w:b/>
          <w:bCs/>
          <w:noProof/>
          <w:sz w:val="14"/>
          <w:szCs w:val="18"/>
        </w:rPr>
        <w:drawing>
          <wp:inline distT="0" distB="0" distL="0" distR="0">
            <wp:extent cx="4580007" cy="2480807"/>
            <wp:effectExtent l="19050" t="0" r="11043" b="0"/>
            <wp:docPr id="14"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A5AC0" w:rsidRPr="00AA59E0" w:rsidRDefault="00145DBC" w:rsidP="00BA203C">
      <w:pPr>
        <w:spacing w:before="240" w:after="240" w:line="276" w:lineRule="auto"/>
        <w:ind w:firstLine="567"/>
        <w:rPr>
          <w:rFonts w:ascii="Book Antiqua" w:hAnsi="Book Antiqua"/>
          <w:b/>
          <w:sz w:val="22"/>
          <w:szCs w:val="22"/>
        </w:rPr>
      </w:pPr>
      <w:bookmarkStart w:id="30" w:name="_Toc523322029"/>
      <w:r w:rsidRPr="00AA59E0">
        <w:rPr>
          <w:rFonts w:ascii="Book Antiqua" w:hAnsi="Book Antiqua"/>
          <w:b/>
          <w:sz w:val="22"/>
          <w:szCs w:val="22"/>
        </w:rPr>
        <w:t xml:space="preserve">I.2.2. </w:t>
      </w:r>
      <w:r w:rsidR="00633632" w:rsidRPr="00AA59E0">
        <w:rPr>
          <w:rFonts w:ascii="Book Antiqua" w:hAnsi="Book Antiqua"/>
          <w:b/>
          <w:sz w:val="22"/>
          <w:szCs w:val="22"/>
        </w:rPr>
        <w:t>Ancienneté dans la banque principale</w:t>
      </w:r>
      <w:bookmarkEnd w:id="30"/>
    </w:p>
    <w:p w:rsidR="00376C63" w:rsidRDefault="00291BEF" w:rsidP="00840635">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t xml:space="preserve">Les personnes morales interrogées sont </w:t>
      </w:r>
      <w:r w:rsidR="00190ED1">
        <w:rPr>
          <w:rFonts w:ascii="Book Antiqua" w:hAnsi="Book Antiqua" w:cs="Tahoma"/>
          <w:sz w:val="22"/>
          <w:szCs w:val="22"/>
        </w:rPr>
        <w:t xml:space="preserve">principalement </w:t>
      </w:r>
      <w:r w:rsidR="00633632" w:rsidRPr="00633632">
        <w:rPr>
          <w:rFonts w:ascii="Book Antiqua" w:hAnsi="Book Antiqua" w:cs="Tahoma"/>
          <w:sz w:val="22"/>
          <w:szCs w:val="22"/>
        </w:rPr>
        <w:t>composé</w:t>
      </w:r>
      <w:r>
        <w:rPr>
          <w:rFonts w:ascii="Book Antiqua" w:hAnsi="Book Antiqua" w:cs="Tahoma"/>
          <w:sz w:val="22"/>
          <w:szCs w:val="22"/>
        </w:rPr>
        <w:t>es</w:t>
      </w:r>
      <w:r w:rsidR="00633632" w:rsidRPr="00633632">
        <w:rPr>
          <w:rFonts w:ascii="Book Antiqua" w:hAnsi="Book Antiqua" w:cs="Tahoma"/>
          <w:sz w:val="22"/>
          <w:szCs w:val="22"/>
        </w:rPr>
        <w:t xml:space="preserve"> d’</w:t>
      </w:r>
      <w:r>
        <w:rPr>
          <w:rFonts w:ascii="Book Antiqua" w:hAnsi="Book Antiqua" w:cs="Tahoma"/>
          <w:sz w:val="22"/>
          <w:szCs w:val="22"/>
        </w:rPr>
        <w:t>unités</w:t>
      </w:r>
      <w:r w:rsidR="00633632" w:rsidRPr="00633632">
        <w:rPr>
          <w:rFonts w:ascii="Book Antiqua" w:hAnsi="Book Antiqua" w:cs="Tahoma"/>
          <w:sz w:val="22"/>
          <w:szCs w:val="22"/>
        </w:rPr>
        <w:t xml:space="preserve"> dont le compte principal est ouvert depuis </w:t>
      </w:r>
      <w:r w:rsidR="00190ED1">
        <w:rPr>
          <w:rFonts w:ascii="Book Antiqua" w:hAnsi="Book Antiqua" w:cs="Tahoma"/>
          <w:sz w:val="22"/>
          <w:szCs w:val="22"/>
        </w:rPr>
        <w:t xml:space="preserve">au moins </w:t>
      </w:r>
      <w:r w:rsidR="00633632" w:rsidRPr="00633632">
        <w:rPr>
          <w:rFonts w:ascii="Book Antiqua" w:hAnsi="Book Antiqua" w:cs="Tahoma"/>
          <w:sz w:val="22"/>
          <w:szCs w:val="22"/>
        </w:rPr>
        <w:t>6 ans</w:t>
      </w:r>
      <w:r w:rsidR="00190ED1">
        <w:rPr>
          <w:rFonts w:ascii="Book Antiqua" w:hAnsi="Book Antiqua" w:cs="Tahoma"/>
          <w:sz w:val="22"/>
          <w:szCs w:val="22"/>
        </w:rPr>
        <w:t xml:space="preserve"> (48,6%)</w:t>
      </w:r>
      <w:r w:rsidR="00633632" w:rsidRPr="00633632">
        <w:rPr>
          <w:rFonts w:ascii="Book Antiqua" w:hAnsi="Book Antiqua" w:cs="Tahoma"/>
          <w:sz w:val="22"/>
          <w:szCs w:val="22"/>
        </w:rPr>
        <w:t>.</w:t>
      </w:r>
      <w:r w:rsidR="00376C63">
        <w:rPr>
          <w:rFonts w:ascii="Book Antiqua" w:hAnsi="Book Antiqua" w:cs="Tahoma"/>
          <w:sz w:val="22"/>
          <w:szCs w:val="22"/>
        </w:rPr>
        <w:t xml:space="preserve"> </w:t>
      </w:r>
      <w:r w:rsidR="00190ED1">
        <w:rPr>
          <w:rFonts w:ascii="Book Antiqua" w:hAnsi="Book Antiqua" w:cs="Tahoma"/>
          <w:sz w:val="22"/>
          <w:szCs w:val="22"/>
        </w:rPr>
        <w:t xml:space="preserve">Seule </w:t>
      </w:r>
      <w:r>
        <w:rPr>
          <w:rFonts w:ascii="Book Antiqua" w:hAnsi="Book Antiqua" w:cs="Tahoma"/>
          <w:sz w:val="22"/>
          <w:szCs w:val="22"/>
        </w:rPr>
        <w:t xml:space="preserve">une proportion de </w:t>
      </w:r>
      <w:r w:rsidR="00633632" w:rsidRPr="00633632">
        <w:rPr>
          <w:rFonts w:ascii="Book Antiqua" w:hAnsi="Book Antiqua" w:cs="Tahoma"/>
          <w:sz w:val="22"/>
          <w:szCs w:val="22"/>
        </w:rPr>
        <w:t>10</w:t>
      </w:r>
      <w:r>
        <w:rPr>
          <w:rFonts w:ascii="Book Antiqua" w:hAnsi="Book Antiqua" w:cs="Tahoma"/>
          <w:sz w:val="22"/>
          <w:szCs w:val="22"/>
        </w:rPr>
        <w:t>,3</w:t>
      </w:r>
      <w:r w:rsidR="00376C63">
        <w:rPr>
          <w:rFonts w:ascii="Book Antiqua" w:hAnsi="Book Antiqua" w:cs="Tahoma"/>
          <w:sz w:val="22"/>
          <w:szCs w:val="22"/>
        </w:rPr>
        <w:t>%</w:t>
      </w:r>
      <w:r>
        <w:rPr>
          <w:rFonts w:ascii="Book Antiqua" w:hAnsi="Book Antiqua" w:cs="Tahoma"/>
          <w:sz w:val="22"/>
          <w:szCs w:val="22"/>
        </w:rPr>
        <w:t xml:space="preserve"> déclare avoir</w:t>
      </w:r>
      <w:r w:rsidR="00376C63">
        <w:rPr>
          <w:rFonts w:ascii="Book Antiqua" w:hAnsi="Book Antiqua" w:cs="Tahoma"/>
          <w:sz w:val="22"/>
          <w:szCs w:val="22"/>
        </w:rPr>
        <w:t xml:space="preserve"> </w:t>
      </w:r>
      <w:r w:rsidR="00633632" w:rsidRPr="00633632">
        <w:rPr>
          <w:rFonts w:ascii="Book Antiqua" w:hAnsi="Book Antiqua" w:cs="Tahoma"/>
          <w:sz w:val="22"/>
          <w:szCs w:val="22"/>
        </w:rPr>
        <w:t>une ancienneté de moins d’un</w:t>
      </w:r>
      <w:r w:rsidR="00376C63">
        <w:rPr>
          <w:rFonts w:ascii="Book Antiqua" w:hAnsi="Book Antiqua" w:cs="Tahoma"/>
          <w:sz w:val="22"/>
          <w:szCs w:val="22"/>
        </w:rPr>
        <w:t xml:space="preserve"> (01)</w:t>
      </w:r>
      <w:r w:rsidR="00633632" w:rsidRPr="00633632">
        <w:rPr>
          <w:rFonts w:ascii="Book Antiqua" w:hAnsi="Book Antiqua" w:cs="Tahoma"/>
          <w:sz w:val="22"/>
          <w:szCs w:val="22"/>
        </w:rPr>
        <w:t xml:space="preserve"> an dans leur banque, contre 41</w:t>
      </w:r>
      <w:r w:rsidR="00190ED1">
        <w:rPr>
          <w:rFonts w:ascii="Book Antiqua" w:hAnsi="Book Antiqua" w:cs="Tahoma"/>
          <w:sz w:val="22"/>
          <w:szCs w:val="22"/>
        </w:rPr>
        <w:t>,1</w:t>
      </w:r>
      <w:r w:rsidR="00633632" w:rsidRPr="00633632">
        <w:rPr>
          <w:rFonts w:ascii="Book Antiqua" w:hAnsi="Book Antiqua" w:cs="Tahoma"/>
          <w:sz w:val="22"/>
          <w:szCs w:val="22"/>
        </w:rPr>
        <w:t>% qui sont clientes de leur banque principale depuis une durée comprise entre 1 et 5 ans.</w:t>
      </w:r>
    </w:p>
    <w:p w:rsidR="00944135" w:rsidRPr="00633632" w:rsidRDefault="00944135" w:rsidP="00633632">
      <w:pPr>
        <w:autoSpaceDE w:val="0"/>
        <w:autoSpaceDN w:val="0"/>
        <w:adjustRightInd w:val="0"/>
        <w:spacing w:before="120" w:line="312" w:lineRule="auto"/>
        <w:jc w:val="both"/>
        <w:rPr>
          <w:rFonts w:ascii="Book Antiqua" w:hAnsi="Book Antiqua" w:cs="Tahoma"/>
          <w:sz w:val="22"/>
          <w:szCs w:val="22"/>
        </w:rPr>
      </w:pPr>
    </w:p>
    <w:p w:rsidR="00633632" w:rsidRPr="00633632" w:rsidRDefault="00633632" w:rsidP="00633632">
      <w:pPr>
        <w:keepNext/>
        <w:spacing w:after="200"/>
        <w:jc w:val="center"/>
        <w:rPr>
          <w:rFonts w:ascii="Book Antiqua" w:hAnsi="Book Antiqua" w:cs="Tahoma"/>
          <w:b/>
          <w:bCs/>
          <w:sz w:val="16"/>
          <w:szCs w:val="18"/>
        </w:rPr>
      </w:pPr>
      <w:bookmarkStart w:id="31" w:name="_Toc523313690"/>
      <w:r w:rsidRPr="00633632">
        <w:rPr>
          <w:rFonts w:ascii="Book Antiqua" w:hAnsi="Book Antiqua" w:cs="Tahoma"/>
          <w:b/>
          <w:bCs/>
          <w:sz w:val="16"/>
          <w:szCs w:val="18"/>
        </w:rPr>
        <w:t xml:space="preserve">Figure </w:t>
      </w:r>
      <w:r w:rsidR="000D65F2">
        <w:rPr>
          <w:rFonts w:ascii="Book Antiqua" w:hAnsi="Book Antiqua" w:cs="Tahoma"/>
          <w:b/>
          <w:bCs/>
          <w:sz w:val="16"/>
          <w:szCs w:val="18"/>
        </w:rPr>
        <w:fldChar w:fldCharType="begin"/>
      </w:r>
      <w:r w:rsidR="002708B0">
        <w:rPr>
          <w:rFonts w:ascii="Book Antiqua" w:hAnsi="Book Antiqua" w:cs="Tahoma"/>
          <w:b/>
          <w:bCs/>
          <w:sz w:val="16"/>
          <w:szCs w:val="18"/>
        </w:rPr>
        <w:instrText xml:space="preserve"> SEQ Figure \* ARABIC </w:instrText>
      </w:r>
      <w:r w:rsidR="000D65F2">
        <w:rPr>
          <w:rFonts w:ascii="Book Antiqua" w:hAnsi="Book Antiqua" w:cs="Tahoma"/>
          <w:b/>
          <w:bCs/>
          <w:sz w:val="16"/>
          <w:szCs w:val="18"/>
        </w:rPr>
        <w:fldChar w:fldCharType="separate"/>
      </w:r>
      <w:r w:rsidR="000F780F">
        <w:rPr>
          <w:rFonts w:ascii="Book Antiqua" w:hAnsi="Book Antiqua" w:cs="Tahoma"/>
          <w:b/>
          <w:bCs/>
          <w:noProof/>
          <w:sz w:val="16"/>
          <w:szCs w:val="18"/>
        </w:rPr>
        <w:t>7</w:t>
      </w:r>
      <w:r w:rsidR="000D65F2">
        <w:rPr>
          <w:rFonts w:ascii="Book Antiqua" w:hAnsi="Book Antiqua" w:cs="Tahoma"/>
          <w:b/>
          <w:bCs/>
          <w:sz w:val="16"/>
          <w:szCs w:val="18"/>
        </w:rPr>
        <w:fldChar w:fldCharType="end"/>
      </w:r>
      <w:r w:rsidRPr="00633632">
        <w:rPr>
          <w:rFonts w:ascii="Book Antiqua" w:hAnsi="Book Antiqua" w:cs="Tahoma"/>
          <w:b/>
          <w:bCs/>
          <w:sz w:val="16"/>
          <w:szCs w:val="18"/>
        </w:rPr>
        <w:t>: Ancienneté dans la banque principale</w:t>
      </w:r>
      <w:bookmarkEnd w:id="31"/>
    </w:p>
    <w:p w:rsidR="00633632" w:rsidRPr="00633632" w:rsidRDefault="00633632" w:rsidP="00633632">
      <w:pPr>
        <w:keepNext/>
        <w:widowControl w:val="0"/>
        <w:spacing w:before="120" w:line="312" w:lineRule="auto"/>
        <w:jc w:val="center"/>
        <w:rPr>
          <w:rFonts w:ascii="Book Antiqua" w:hAnsi="Book Antiqua" w:cs="Tahoma"/>
        </w:rPr>
      </w:pPr>
      <w:r w:rsidRPr="00633632">
        <w:rPr>
          <w:noProof/>
        </w:rPr>
        <w:drawing>
          <wp:inline distT="0" distB="0" distL="0" distR="0">
            <wp:extent cx="4391395" cy="2599898"/>
            <wp:effectExtent l="19050" t="0" r="28205" b="0"/>
            <wp:docPr id="80" name="Graphique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260C9" w:rsidRDefault="009260C9" w:rsidP="005715F2">
      <w:pPr>
        <w:spacing w:after="200" w:line="276" w:lineRule="auto"/>
        <w:rPr>
          <w:rFonts w:ascii="Arial" w:hAnsi="Arial" w:cs="Arial"/>
          <w:b/>
          <w:sz w:val="22"/>
          <w:szCs w:val="22"/>
        </w:rPr>
      </w:pPr>
    </w:p>
    <w:p w:rsidR="00ED1F4F" w:rsidRPr="00944135" w:rsidRDefault="00804917" w:rsidP="00BA203C">
      <w:pPr>
        <w:pStyle w:val="Paragraphedeliste"/>
        <w:numPr>
          <w:ilvl w:val="0"/>
          <w:numId w:val="4"/>
        </w:numPr>
        <w:tabs>
          <w:tab w:val="clear" w:pos="587"/>
        </w:tabs>
        <w:spacing w:before="240" w:after="240"/>
        <w:ind w:left="357" w:hanging="215"/>
        <w:contextualSpacing w:val="0"/>
        <w:outlineLvl w:val="0"/>
        <w:rPr>
          <w:rFonts w:ascii="Book Antiqua" w:hAnsi="Book Antiqua" w:cs="Arial"/>
          <w:b/>
          <w:sz w:val="22"/>
          <w:szCs w:val="22"/>
        </w:rPr>
      </w:pPr>
      <w:bookmarkStart w:id="32" w:name="_Toc523322030"/>
      <w:r w:rsidRPr="00ED1F4F">
        <w:rPr>
          <w:rFonts w:ascii="Book Antiqua" w:hAnsi="Book Antiqua" w:cs="Arial"/>
          <w:b/>
          <w:sz w:val="22"/>
          <w:szCs w:val="22"/>
        </w:rPr>
        <w:lastRenderedPageBreak/>
        <w:t>Satisfaction sur l’offre de services</w:t>
      </w:r>
      <w:bookmarkEnd w:id="32"/>
    </w:p>
    <w:p w:rsidR="0005747C" w:rsidRDefault="004204AC" w:rsidP="00840635">
      <w:pPr>
        <w:spacing w:line="276" w:lineRule="auto"/>
        <w:jc w:val="both"/>
        <w:rPr>
          <w:rFonts w:ascii="Book Antiqua" w:hAnsi="Book Antiqua" w:cs="Arial"/>
          <w:sz w:val="22"/>
          <w:szCs w:val="22"/>
        </w:rPr>
      </w:pPr>
      <w:bookmarkStart w:id="33" w:name="_Toc493010934"/>
      <w:r w:rsidRPr="004F2284">
        <w:rPr>
          <w:rFonts w:ascii="Book Antiqua" w:hAnsi="Book Antiqua" w:cs="Arial"/>
          <w:sz w:val="22"/>
          <w:szCs w:val="22"/>
        </w:rPr>
        <w:t>L’analyse de  la satisfaction sur l’offre de services est notamment appréciée sur la base de</w:t>
      </w:r>
      <w:r w:rsidR="00376C63">
        <w:rPr>
          <w:rFonts w:ascii="Book Antiqua" w:hAnsi="Book Antiqua" w:cs="Arial"/>
          <w:sz w:val="22"/>
          <w:szCs w:val="22"/>
        </w:rPr>
        <w:t xml:space="preserve"> </w:t>
      </w:r>
      <w:r w:rsidRPr="004F2284">
        <w:rPr>
          <w:rFonts w:ascii="Book Antiqua" w:hAnsi="Book Antiqua" w:cs="Arial"/>
          <w:sz w:val="22"/>
          <w:szCs w:val="22"/>
        </w:rPr>
        <w:t>la mobilité des unités enquêtées et de leurs avis sur la couverture géographique des points de services ainsi que la qualité des opérations de virements.</w:t>
      </w:r>
      <w:bookmarkEnd w:id="33"/>
    </w:p>
    <w:p w:rsidR="009839AF" w:rsidRDefault="008D2F6E" w:rsidP="00BA203C">
      <w:pPr>
        <w:pStyle w:val="Paragraphedeliste"/>
        <w:numPr>
          <w:ilvl w:val="1"/>
          <w:numId w:val="17"/>
        </w:numPr>
        <w:tabs>
          <w:tab w:val="left" w:pos="-720"/>
        </w:tabs>
        <w:suppressAutoHyphens/>
        <w:spacing w:before="240" w:after="240" w:line="276" w:lineRule="auto"/>
        <w:ind w:left="567" w:hanging="283"/>
        <w:contextualSpacing w:val="0"/>
        <w:jc w:val="both"/>
        <w:outlineLvl w:val="1"/>
        <w:rPr>
          <w:rFonts w:ascii="Book Antiqua" w:hAnsi="Book Antiqua" w:cs="Tahoma"/>
          <w:b/>
          <w:sz w:val="22"/>
          <w:szCs w:val="22"/>
        </w:rPr>
      </w:pPr>
      <w:bookmarkStart w:id="34" w:name="_Toc523322031"/>
      <w:r w:rsidRPr="00C73F35">
        <w:rPr>
          <w:rFonts w:ascii="Book Antiqua" w:hAnsi="Book Antiqua" w:cs="Tahoma"/>
          <w:b/>
          <w:sz w:val="22"/>
          <w:szCs w:val="22"/>
        </w:rPr>
        <w:t>Turn</w:t>
      </w:r>
      <w:r w:rsidR="009839AF" w:rsidRPr="00C73F35">
        <w:rPr>
          <w:rFonts w:ascii="Book Antiqua" w:hAnsi="Book Antiqua" w:cs="Tahoma"/>
          <w:b/>
          <w:sz w:val="22"/>
          <w:szCs w:val="22"/>
        </w:rPr>
        <w:t xml:space="preserve">over </w:t>
      </w:r>
      <w:r w:rsidR="00A92383">
        <w:rPr>
          <w:rFonts w:ascii="Book Antiqua" w:hAnsi="Book Antiqua" w:cs="Tahoma"/>
          <w:b/>
          <w:sz w:val="22"/>
          <w:szCs w:val="22"/>
        </w:rPr>
        <w:t>des unités enquêtées</w:t>
      </w:r>
      <w:bookmarkEnd w:id="34"/>
      <w:r w:rsidR="00A92383">
        <w:rPr>
          <w:rFonts w:ascii="Book Antiqua" w:hAnsi="Book Antiqua" w:cs="Tahoma"/>
          <w:b/>
          <w:sz w:val="22"/>
          <w:szCs w:val="22"/>
        </w:rPr>
        <w:t xml:space="preserve"> </w:t>
      </w:r>
    </w:p>
    <w:p w:rsidR="009839AF" w:rsidRPr="003D4CC0" w:rsidRDefault="009839AF" w:rsidP="00BA203C">
      <w:pPr>
        <w:pStyle w:val="Paragraphedeliste"/>
        <w:numPr>
          <w:ilvl w:val="0"/>
          <w:numId w:val="18"/>
        </w:numPr>
        <w:tabs>
          <w:tab w:val="left" w:pos="1320"/>
          <w:tab w:val="right" w:leader="dot" w:pos="9572"/>
        </w:tabs>
        <w:spacing w:before="240" w:after="240" w:line="276" w:lineRule="auto"/>
        <w:ind w:left="851" w:hanging="284"/>
        <w:contextualSpacing w:val="0"/>
        <w:jc w:val="both"/>
        <w:outlineLvl w:val="0"/>
        <w:rPr>
          <w:rFonts w:ascii="Book Antiqua" w:hAnsi="Book Antiqua" w:cs="Arial"/>
          <w:b/>
          <w:noProof/>
          <w:sz w:val="22"/>
          <w:szCs w:val="22"/>
        </w:rPr>
      </w:pPr>
      <w:bookmarkStart w:id="35" w:name="_Toc523322032"/>
      <w:r w:rsidRPr="003D4CC0">
        <w:rPr>
          <w:rFonts w:ascii="Book Antiqua" w:hAnsi="Book Antiqua" w:cs="Arial"/>
          <w:b/>
          <w:noProof/>
          <w:sz w:val="22"/>
          <w:szCs w:val="22"/>
        </w:rPr>
        <w:t>Unités ayant déjà changé de banque et nombre moyen de changements</w:t>
      </w:r>
      <w:bookmarkEnd w:id="35"/>
    </w:p>
    <w:p w:rsidR="009839AF"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Une proportion de 17,7% des unités interrogées déclare avoir effectué un changement de banque dont 14,4% une seule fois, 2,5% deux fois et 0,8% plus de</w:t>
      </w:r>
      <w:r w:rsidR="00EB4D52">
        <w:rPr>
          <w:rFonts w:ascii="Book Antiqua" w:eastAsiaTheme="minorHAnsi" w:hAnsi="Book Antiqua" w:cstheme="minorBidi"/>
          <w:sz w:val="22"/>
          <w:szCs w:val="22"/>
        </w:rPr>
        <w:t xml:space="preserve"> deu</w:t>
      </w:r>
      <w:r w:rsidR="006F1519">
        <w:rPr>
          <w:rFonts w:ascii="Book Antiqua" w:eastAsiaTheme="minorHAnsi" w:hAnsi="Book Antiqua" w:cstheme="minorBidi"/>
          <w:sz w:val="22"/>
          <w:szCs w:val="22"/>
        </w:rPr>
        <w:t>x</w:t>
      </w:r>
      <w:r w:rsidRPr="009839AF">
        <w:rPr>
          <w:rFonts w:ascii="Book Antiqua" w:eastAsiaTheme="minorHAnsi" w:hAnsi="Book Antiqua" w:cstheme="minorBidi"/>
          <w:sz w:val="22"/>
          <w:szCs w:val="22"/>
        </w:rPr>
        <w:t xml:space="preserve"> fois. </w:t>
      </w:r>
      <w:r w:rsidR="00AB2FA2">
        <w:rPr>
          <w:rFonts w:ascii="Book Antiqua" w:eastAsiaTheme="minorHAnsi" w:hAnsi="Book Antiqua" w:cstheme="minorBidi"/>
          <w:sz w:val="22"/>
          <w:szCs w:val="22"/>
        </w:rPr>
        <w:t>Le nombre mo</w:t>
      </w:r>
      <w:r w:rsidR="00EA6C5F">
        <w:rPr>
          <w:rFonts w:ascii="Book Antiqua" w:eastAsiaTheme="minorHAnsi" w:hAnsi="Book Antiqua" w:cstheme="minorBidi"/>
          <w:sz w:val="22"/>
          <w:szCs w:val="22"/>
        </w:rPr>
        <w:t>yen de changement</w:t>
      </w:r>
      <w:r w:rsidR="00AB2FA2">
        <w:rPr>
          <w:rFonts w:ascii="Book Antiqua" w:eastAsiaTheme="minorHAnsi" w:hAnsi="Book Antiqua" w:cstheme="minorBidi"/>
          <w:sz w:val="22"/>
          <w:szCs w:val="22"/>
        </w:rPr>
        <w:t xml:space="preserve"> de banque est de 1,23.</w:t>
      </w:r>
    </w:p>
    <w:p w:rsidR="008C021E" w:rsidRPr="009839AF" w:rsidRDefault="008C021E" w:rsidP="00840635">
      <w:pPr>
        <w:spacing w:before="120" w:line="276" w:lineRule="auto"/>
        <w:jc w:val="both"/>
        <w:rPr>
          <w:rFonts w:ascii="Book Antiqua" w:eastAsiaTheme="minorHAnsi" w:hAnsi="Book Antiqua" w:cstheme="minorBidi"/>
          <w:sz w:val="22"/>
          <w:szCs w:val="22"/>
        </w:rPr>
      </w:pPr>
    </w:p>
    <w:p w:rsidR="00DB3DAE" w:rsidRPr="00DB3DAE" w:rsidRDefault="00DB3DAE" w:rsidP="00DB3DAE">
      <w:pPr>
        <w:pStyle w:val="Lgende"/>
        <w:keepNext/>
        <w:jc w:val="center"/>
        <w:rPr>
          <w:color w:val="auto"/>
          <w:sz w:val="16"/>
        </w:rPr>
      </w:pPr>
      <w:bookmarkStart w:id="36" w:name="_Toc523313691"/>
      <w:r w:rsidRPr="00DB3DAE">
        <w:rPr>
          <w:color w:val="auto"/>
          <w:sz w:val="16"/>
        </w:rPr>
        <w:t xml:space="preserve">Figure </w:t>
      </w:r>
      <w:r w:rsidR="000D65F2">
        <w:rPr>
          <w:color w:val="auto"/>
          <w:sz w:val="16"/>
        </w:rPr>
        <w:fldChar w:fldCharType="begin"/>
      </w:r>
      <w:r w:rsidR="002708B0">
        <w:rPr>
          <w:color w:val="auto"/>
          <w:sz w:val="16"/>
        </w:rPr>
        <w:instrText xml:space="preserve"> SEQ Figure \* ARABIC </w:instrText>
      </w:r>
      <w:r w:rsidR="000D65F2">
        <w:rPr>
          <w:color w:val="auto"/>
          <w:sz w:val="16"/>
        </w:rPr>
        <w:fldChar w:fldCharType="separate"/>
      </w:r>
      <w:r w:rsidR="000F780F">
        <w:rPr>
          <w:noProof/>
          <w:color w:val="auto"/>
          <w:sz w:val="16"/>
        </w:rPr>
        <w:t>8</w:t>
      </w:r>
      <w:r w:rsidR="000D65F2">
        <w:rPr>
          <w:color w:val="auto"/>
          <w:sz w:val="16"/>
        </w:rPr>
        <w:fldChar w:fldCharType="end"/>
      </w:r>
      <w:r w:rsidRPr="00DB3DAE">
        <w:rPr>
          <w:color w:val="auto"/>
          <w:sz w:val="16"/>
        </w:rPr>
        <w:t>: Nombre moyen de changement de banque des unités</w:t>
      </w:r>
      <w:bookmarkEnd w:id="36"/>
    </w:p>
    <w:p w:rsidR="009839AF" w:rsidRDefault="009839AF" w:rsidP="009839AF">
      <w:pPr>
        <w:spacing w:before="120" w:line="312" w:lineRule="auto"/>
        <w:jc w:val="center"/>
        <w:rPr>
          <w:rFonts w:asciiTheme="minorHAnsi" w:eastAsiaTheme="minorHAnsi" w:hAnsiTheme="minorHAnsi" w:cstheme="minorBidi"/>
          <w:sz w:val="22"/>
          <w:szCs w:val="22"/>
        </w:rPr>
      </w:pPr>
      <w:r w:rsidRPr="009839AF">
        <w:rPr>
          <w:rFonts w:asciiTheme="minorHAnsi" w:eastAsiaTheme="minorHAnsi" w:hAnsiTheme="minorHAnsi" w:cstheme="minorBidi"/>
          <w:noProof/>
          <w:sz w:val="22"/>
          <w:szCs w:val="22"/>
        </w:rPr>
        <w:drawing>
          <wp:inline distT="0" distB="0" distL="0" distR="0">
            <wp:extent cx="4548692" cy="2198789"/>
            <wp:effectExtent l="19050" t="0" r="23308" b="0"/>
            <wp:docPr id="284" name="Graphique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2284" w:rsidRPr="004F2284" w:rsidRDefault="004204AC" w:rsidP="00840635">
      <w:pPr>
        <w:spacing w:before="120" w:line="276" w:lineRule="auto"/>
        <w:jc w:val="both"/>
        <w:rPr>
          <w:rFonts w:ascii="Book Antiqua" w:eastAsiaTheme="minorHAnsi" w:hAnsi="Book Antiqua" w:cstheme="minorBidi"/>
          <w:sz w:val="22"/>
          <w:szCs w:val="22"/>
        </w:rPr>
      </w:pPr>
      <w:r w:rsidRPr="004F2284">
        <w:rPr>
          <w:rFonts w:ascii="Book Antiqua" w:eastAsiaTheme="minorHAnsi" w:hAnsi="Book Antiqua" w:cstheme="minorBidi"/>
          <w:sz w:val="22"/>
          <w:szCs w:val="22"/>
        </w:rPr>
        <w:t>Les motifs à l’origine des changements de banque chez les unités enquêtées placent au premier</w:t>
      </w:r>
      <w:r w:rsidR="007C6568">
        <w:rPr>
          <w:rFonts w:ascii="Book Antiqua" w:eastAsiaTheme="minorHAnsi" w:hAnsi="Book Antiqua" w:cstheme="minorBidi"/>
          <w:sz w:val="22"/>
          <w:szCs w:val="22"/>
        </w:rPr>
        <w:t xml:space="preserve"> </w:t>
      </w:r>
      <w:r w:rsidRPr="004F2284">
        <w:rPr>
          <w:rFonts w:ascii="Book Antiqua" w:eastAsiaTheme="minorHAnsi" w:hAnsi="Book Antiqua" w:cstheme="minorBidi"/>
          <w:sz w:val="22"/>
          <w:szCs w:val="22"/>
        </w:rPr>
        <w:t xml:space="preserve">plan les difficultés liées à l’obtention et au rachat de crédit (26,02%) suivies du </w:t>
      </w:r>
      <w:r w:rsidR="00F2711E" w:rsidRPr="0027044F">
        <w:rPr>
          <w:rFonts w:ascii="Book Antiqua" w:eastAsiaTheme="minorHAnsi" w:hAnsi="Book Antiqua" w:cstheme="minorBidi"/>
          <w:sz w:val="22"/>
          <w:szCs w:val="22"/>
        </w:rPr>
        <w:t>coû</w:t>
      </w:r>
      <w:r w:rsidR="00F2711E">
        <w:rPr>
          <w:rFonts w:ascii="Book Antiqua" w:eastAsiaTheme="minorHAnsi" w:hAnsi="Book Antiqua" w:cstheme="minorBidi"/>
          <w:sz w:val="22"/>
          <w:szCs w:val="22"/>
        </w:rPr>
        <w:t>t</w:t>
      </w:r>
      <w:r w:rsidR="007C6568">
        <w:rPr>
          <w:rFonts w:ascii="Book Antiqua" w:eastAsiaTheme="minorHAnsi" w:hAnsi="Book Antiqua" w:cstheme="minorBidi"/>
          <w:sz w:val="22"/>
          <w:szCs w:val="22"/>
        </w:rPr>
        <w:t xml:space="preserve"> </w:t>
      </w:r>
      <w:r w:rsidR="00F2711E" w:rsidRPr="0027044F">
        <w:rPr>
          <w:rFonts w:ascii="Book Antiqua" w:eastAsiaTheme="minorHAnsi" w:hAnsi="Book Antiqua" w:cstheme="minorBidi"/>
          <w:sz w:val="22"/>
          <w:szCs w:val="22"/>
        </w:rPr>
        <w:t>élevé</w:t>
      </w:r>
      <w:r w:rsidRPr="004F2284">
        <w:rPr>
          <w:rFonts w:ascii="Book Antiqua" w:eastAsiaTheme="minorHAnsi" w:hAnsi="Book Antiqua" w:cstheme="minorBidi"/>
          <w:sz w:val="22"/>
          <w:szCs w:val="22"/>
        </w:rPr>
        <w:t xml:space="preserve"> des services (15,4%), l’inadaptation des </w:t>
      </w:r>
      <w:r w:rsidR="0027044F">
        <w:rPr>
          <w:rFonts w:ascii="Book Antiqua" w:eastAsiaTheme="minorHAnsi" w:hAnsi="Book Antiqua" w:cstheme="minorBidi"/>
          <w:sz w:val="22"/>
          <w:szCs w:val="22"/>
        </w:rPr>
        <w:t xml:space="preserve">produits (13,8%) et la mauvaise qualité du suivi des réclamations (10,8%). </w:t>
      </w:r>
    </w:p>
    <w:p w:rsidR="00944135" w:rsidRDefault="00944135" w:rsidP="00072163">
      <w:pPr>
        <w:pStyle w:val="Lgende"/>
        <w:keepNext/>
        <w:jc w:val="center"/>
        <w:rPr>
          <w:rFonts w:ascii="Book Antiqua" w:hAnsi="Book Antiqua"/>
          <w:color w:val="auto"/>
          <w:sz w:val="16"/>
          <w:szCs w:val="16"/>
        </w:rPr>
      </w:pPr>
      <w:bookmarkStart w:id="37" w:name="_Toc523313692"/>
    </w:p>
    <w:p w:rsidR="00072163" w:rsidRPr="008B7F0C" w:rsidRDefault="004F2284" w:rsidP="00072163">
      <w:pPr>
        <w:pStyle w:val="Lgende"/>
        <w:keepNext/>
        <w:jc w:val="center"/>
        <w:rPr>
          <w:rFonts w:ascii="Book Antiqua" w:hAnsi="Book Antiqua"/>
          <w:color w:val="auto"/>
          <w:sz w:val="16"/>
          <w:szCs w:val="16"/>
        </w:rPr>
      </w:pPr>
      <w:r w:rsidRPr="008B7F0C">
        <w:rPr>
          <w:rFonts w:ascii="Book Antiqua" w:hAnsi="Book Antiqua"/>
          <w:color w:val="auto"/>
          <w:sz w:val="16"/>
          <w:szCs w:val="16"/>
        </w:rPr>
        <w:t xml:space="preserve">Figure </w:t>
      </w:r>
      <w:r w:rsidR="000D65F2">
        <w:rPr>
          <w:rFonts w:ascii="Book Antiqua" w:hAnsi="Book Antiqua"/>
          <w:color w:val="auto"/>
          <w:sz w:val="16"/>
          <w:szCs w:val="16"/>
        </w:rPr>
        <w:fldChar w:fldCharType="begin"/>
      </w:r>
      <w:r w:rsidR="002708B0">
        <w:rPr>
          <w:rFonts w:ascii="Book Antiqua" w:hAnsi="Book Antiqua"/>
          <w:color w:val="auto"/>
          <w:sz w:val="16"/>
          <w:szCs w:val="16"/>
        </w:rPr>
        <w:instrText xml:space="preserve"> SEQ Figure \* ARABIC </w:instrText>
      </w:r>
      <w:r w:rsidR="000D65F2">
        <w:rPr>
          <w:rFonts w:ascii="Book Antiqua" w:hAnsi="Book Antiqua"/>
          <w:color w:val="auto"/>
          <w:sz w:val="16"/>
          <w:szCs w:val="16"/>
        </w:rPr>
        <w:fldChar w:fldCharType="separate"/>
      </w:r>
      <w:r w:rsidR="000F780F">
        <w:rPr>
          <w:rFonts w:ascii="Book Antiqua" w:hAnsi="Book Antiqua"/>
          <w:noProof/>
          <w:color w:val="auto"/>
          <w:sz w:val="16"/>
          <w:szCs w:val="16"/>
        </w:rPr>
        <w:t>9</w:t>
      </w:r>
      <w:r w:rsidR="000D65F2">
        <w:rPr>
          <w:rFonts w:ascii="Book Antiqua" w:hAnsi="Book Antiqua"/>
          <w:color w:val="auto"/>
          <w:sz w:val="16"/>
          <w:szCs w:val="16"/>
        </w:rPr>
        <w:fldChar w:fldCharType="end"/>
      </w:r>
      <w:r w:rsidRPr="008B7F0C">
        <w:rPr>
          <w:rFonts w:ascii="Book Antiqua" w:hAnsi="Book Antiqua"/>
          <w:color w:val="auto"/>
          <w:sz w:val="16"/>
          <w:szCs w:val="16"/>
        </w:rPr>
        <w:t xml:space="preserve"> : Motifs de changement de banque des unités enquêtées</w:t>
      </w:r>
      <w:bookmarkEnd w:id="37"/>
    </w:p>
    <w:p w:rsidR="009260C9" w:rsidRDefault="00F44BC9" w:rsidP="004F2284">
      <w:pPr>
        <w:spacing w:before="120" w:line="312" w:lineRule="auto"/>
        <w:jc w:val="center"/>
        <w:rPr>
          <w:rFonts w:ascii="Book Antiqua" w:eastAsiaTheme="minorHAnsi" w:hAnsi="Book Antiqua" w:cstheme="minorBidi"/>
          <w:sz w:val="22"/>
          <w:szCs w:val="22"/>
        </w:rPr>
      </w:pPr>
      <w:r w:rsidRPr="004F2284">
        <w:rPr>
          <w:rFonts w:ascii="Book Antiqua" w:eastAsiaTheme="minorHAnsi" w:hAnsi="Book Antiqua" w:cstheme="minorBidi"/>
          <w:noProof/>
          <w:sz w:val="22"/>
          <w:szCs w:val="22"/>
        </w:rPr>
        <w:drawing>
          <wp:inline distT="0" distB="0" distL="0" distR="0">
            <wp:extent cx="4218996" cy="2083241"/>
            <wp:effectExtent l="19050" t="0" r="10104"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F7F8C" w:rsidRDefault="007F7F8C" w:rsidP="009839AF">
      <w:pPr>
        <w:spacing w:before="120" w:line="312" w:lineRule="auto"/>
        <w:jc w:val="both"/>
        <w:rPr>
          <w:rFonts w:ascii="Book Antiqua" w:eastAsiaTheme="minorHAnsi" w:hAnsi="Book Antiqua" w:cstheme="minorBidi"/>
          <w:sz w:val="22"/>
          <w:szCs w:val="22"/>
        </w:rPr>
      </w:pPr>
    </w:p>
    <w:p w:rsidR="009839AF"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lastRenderedPageBreak/>
        <w:t xml:space="preserve">La fréquence de changement de banque est plus élevée pour les SARL (23,3%), </w:t>
      </w:r>
      <w:r w:rsidR="00072163">
        <w:rPr>
          <w:rFonts w:ascii="Book Antiqua" w:eastAsiaTheme="minorHAnsi" w:hAnsi="Book Antiqua" w:cstheme="minorBidi"/>
          <w:sz w:val="22"/>
          <w:szCs w:val="22"/>
        </w:rPr>
        <w:t xml:space="preserve">les </w:t>
      </w:r>
      <w:r w:rsidRPr="009839AF">
        <w:rPr>
          <w:rFonts w:ascii="Book Antiqua" w:eastAsiaTheme="minorHAnsi" w:hAnsi="Book Antiqua" w:cstheme="minorBidi"/>
          <w:sz w:val="22"/>
          <w:szCs w:val="22"/>
        </w:rPr>
        <w:t>SA (21,7%) et les Société</w:t>
      </w:r>
      <w:r w:rsidR="00AB2FA2">
        <w:rPr>
          <w:rFonts w:ascii="Book Antiqua" w:eastAsiaTheme="minorHAnsi" w:hAnsi="Book Antiqua" w:cstheme="minorBidi"/>
          <w:sz w:val="22"/>
          <w:szCs w:val="22"/>
        </w:rPr>
        <w:t>s</w:t>
      </w:r>
      <w:r w:rsidRPr="009839AF">
        <w:rPr>
          <w:rFonts w:ascii="Book Antiqua" w:eastAsiaTheme="minorHAnsi" w:hAnsi="Book Antiqua" w:cstheme="minorBidi"/>
          <w:sz w:val="22"/>
          <w:szCs w:val="22"/>
        </w:rPr>
        <w:t xml:space="preserve"> Unipersonnelle</w:t>
      </w:r>
      <w:r w:rsidR="00AB2FA2">
        <w:rPr>
          <w:rFonts w:ascii="Book Antiqua" w:eastAsiaTheme="minorHAnsi" w:hAnsi="Book Antiqua" w:cstheme="minorBidi"/>
          <w:sz w:val="22"/>
          <w:szCs w:val="22"/>
        </w:rPr>
        <w:t>s</w:t>
      </w:r>
      <w:r w:rsidRPr="009839AF">
        <w:rPr>
          <w:rFonts w:ascii="Book Antiqua" w:eastAsiaTheme="minorHAnsi" w:hAnsi="Book Antiqua" w:cstheme="minorBidi"/>
          <w:sz w:val="22"/>
          <w:szCs w:val="22"/>
        </w:rPr>
        <w:t xml:space="preserve"> (17,4%). Les unités économiques de type GIE et SNC sont celles qui enregistrent les plus faibles taux de changement d’opérateur</w:t>
      </w:r>
      <w:r w:rsidR="00072163">
        <w:rPr>
          <w:rFonts w:ascii="Book Antiqua" w:eastAsiaTheme="minorHAnsi" w:hAnsi="Book Antiqua" w:cstheme="minorBidi"/>
          <w:sz w:val="22"/>
          <w:szCs w:val="22"/>
        </w:rPr>
        <w:t xml:space="preserve"> bancaire</w:t>
      </w:r>
      <w:r w:rsidRPr="009839AF">
        <w:rPr>
          <w:rFonts w:ascii="Book Antiqua" w:eastAsiaTheme="minorHAnsi" w:hAnsi="Book Antiqua" w:cstheme="minorBidi"/>
          <w:sz w:val="22"/>
          <w:szCs w:val="22"/>
        </w:rPr>
        <w:t xml:space="preserve"> avec des proportions respectives de 7,8% et 0,0%. Le</w:t>
      </w:r>
      <w:r w:rsidR="0046322C">
        <w:rPr>
          <w:rFonts w:ascii="Book Antiqua" w:eastAsiaTheme="minorHAnsi" w:hAnsi="Book Antiqua" w:cstheme="minorBidi"/>
          <w:sz w:val="22"/>
          <w:szCs w:val="22"/>
        </w:rPr>
        <w:t xml:space="preserve">s unités ayant déclaré avoir changé une seule fois de banque représentent respectivement </w:t>
      </w:r>
      <w:r w:rsidRPr="009839AF">
        <w:rPr>
          <w:rFonts w:ascii="Book Antiqua" w:eastAsiaTheme="minorHAnsi" w:hAnsi="Book Antiqua" w:cstheme="minorBidi"/>
          <w:sz w:val="22"/>
          <w:szCs w:val="22"/>
        </w:rPr>
        <w:t xml:space="preserve">17,9%, 15,2%, 14,3% et 7,4% pour les SARL, les SU, les SA et les GIE. </w:t>
      </w:r>
    </w:p>
    <w:p w:rsidR="00526551" w:rsidRPr="009839AF" w:rsidRDefault="00526551" w:rsidP="009839AF">
      <w:pPr>
        <w:spacing w:before="120" w:line="312" w:lineRule="auto"/>
        <w:jc w:val="both"/>
        <w:rPr>
          <w:rFonts w:ascii="Book Antiqua" w:eastAsiaTheme="minorHAnsi" w:hAnsi="Book Antiqua" w:cstheme="minorBidi"/>
          <w:sz w:val="22"/>
          <w:szCs w:val="22"/>
        </w:rPr>
      </w:pPr>
    </w:p>
    <w:p w:rsidR="004F2284" w:rsidRPr="00072163" w:rsidRDefault="004F2284" w:rsidP="004F2284">
      <w:pPr>
        <w:pStyle w:val="Lgende"/>
        <w:keepNext/>
        <w:jc w:val="center"/>
        <w:rPr>
          <w:color w:val="auto"/>
          <w:sz w:val="16"/>
          <w:szCs w:val="16"/>
        </w:rPr>
      </w:pPr>
      <w:bookmarkStart w:id="38" w:name="_Toc523313693"/>
      <w:r w:rsidRPr="00072163">
        <w:rPr>
          <w:color w:val="auto"/>
          <w:sz w:val="16"/>
          <w:szCs w:val="16"/>
        </w:rPr>
        <w:t xml:space="preserve">Figure </w:t>
      </w:r>
      <w:r w:rsidR="000D65F2">
        <w:rPr>
          <w:color w:val="auto"/>
          <w:sz w:val="16"/>
          <w:szCs w:val="16"/>
        </w:rPr>
        <w:fldChar w:fldCharType="begin"/>
      </w:r>
      <w:r w:rsidR="002708B0">
        <w:rPr>
          <w:color w:val="auto"/>
          <w:sz w:val="16"/>
          <w:szCs w:val="16"/>
        </w:rPr>
        <w:instrText xml:space="preserve"> SEQ Figure \* ARABIC </w:instrText>
      </w:r>
      <w:r w:rsidR="000D65F2">
        <w:rPr>
          <w:color w:val="auto"/>
          <w:sz w:val="16"/>
          <w:szCs w:val="16"/>
        </w:rPr>
        <w:fldChar w:fldCharType="separate"/>
      </w:r>
      <w:r w:rsidR="000F780F">
        <w:rPr>
          <w:noProof/>
          <w:color w:val="auto"/>
          <w:sz w:val="16"/>
          <w:szCs w:val="16"/>
        </w:rPr>
        <w:t>10</w:t>
      </w:r>
      <w:r w:rsidR="000D65F2">
        <w:rPr>
          <w:color w:val="auto"/>
          <w:sz w:val="16"/>
          <w:szCs w:val="16"/>
        </w:rPr>
        <w:fldChar w:fldCharType="end"/>
      </w:r>
      <w:r w:rsidRPr="00072163">
        <w:rPr>
          <w:color w:val="auto"/>
          <w:sz w:val="16"/>
          <w:szCs w:val="16"/>
        </w:rPr>
        <w:t xml:space="preserve"> : Fréquence et nombre moyen de changement de banque des unités selon le statut juridique</w:t>
      </w:r>
      <w:bookmarkEnd w:id="38"/>
    </w:p>
    <w:p w:rsidR="009839AF" w:rsidRPr="009839AF" w:rsidRDefault="009839AF" w:rsidP="009839AF">
      <w:pPr>
        <w:tabs>
          <w:tab w:val="left" w:pos="1320"/>
          <w:tab w:val="right" w:leader="dot" w:pos="9572"/>
        </w:tabs>
        <w:spacing w:before="120" w:after="100" w:line="360" w:lineRule="auto"/>
        <w:contextualSpacing/>
        <w:jc w:val="center"/>
        <w:rPr>
          <w:rFonts w:ascii="Book Antiqua" w:hAnsi="Book Antiqua" w:cs="Arial"/>
          <w:b/>
          <w:noProof/>
          <w:sz w:val="22"/>
          <w:szCs w:val="22"/>
        </w:rPr>
      </w:pPr>
      <w:r w:rsidRPr="009839AF">
        <w:rPr>
          <w:rFonts w:ascii="Book Antiqua" w:hAnsi="Book Antiqua" w:cs="Arial"/>
          <w:b/>
          <w:noProof/>
          <w:sz w:val="22"/>
          <w:szCs w:val="22"/>
        </w:rPr>
        <w:drawing>
          <wp:inline distT="0" distB="0" distL="0" distR="0">
            <wp:extent cx="4667415" cy="2592125"/>
            <wp:effectExtent l="19050" t="0" r="18885" b="0"/>
            <wp:docPr id="285" name="Graphique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6551" w:rsidRDefault="00526551" w:rsidP="008F78AD">
      <w:pPr>
        <w:spacing w:before="120"/>
        <w:contextualSpacing/>
        <w:jc w:val="both"/>
        <w:rPr>
          <w:rFonts w:ascii="Book Antiqua" w:eastAsiaTheme="minorHAnsi" w:hAnsi="Book Antiqua" w:cstheme="minorBidi"/>
          <w:sz w:val="22"/>
          <w:szCs w:val="22"/>
        </w:rPr>
      </w:pPr>
    </w:p>
    <w:p w:rsidR="009839AF"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 xml:space="preserve">Suivant la nature de l’activité exercée, il est observé une tendance plus élevée au changement de banque pour les unités du secteur moderne (20,2%) que pour celles du secteur informel (11,4%). Parmi </w:t>
      </w:r>
      <w:r w:rsidR="00DC5470">
        <w:rPr>
          <w:rFonts w:ascii="Book Antiqua" w:eastAsiaTheme="minorHAnsi" w:hAnsi="Book Antiqua" w:cstheme="minorBidi"/>
          <w:sz w:val="22"/>
          <w:szCs w:val="22"/>
        </w:rPr>
        <w:t xml:space="preserve">les </w:t>
      </w:r>
      <w:r w:rsidR="007C6568">
        <w:rPr>
          <w:rFonts w:ascii="Book Antiqua" w:eastAsiaTheme="minorHAnsi" w:hAnsi="Book Antiqua" w:cstheme="minorBidi"/>
          <w:sz w:val="22"/>
          <w:szCs w:val="22"/>
        </w:rPr>
        <w:t>unités ayant changé d’opérateur</w:t>
      </w:r>
      <w:r w:rsidR="00072163">
        <w:rPr>
          <w:rFonts w:ascii="Book Antiqua" w:eastAsiaTheme="minorHAnsi" w:hAnsi="Book Antiqua" w:cstheme="minorBidi"/>
          <w:sz w:val="22"/>
          <w:szCs w:val="22"/>
        </w:rPr>
        <w:t xml:space="preserve"> bancaire</w:t>
      </w:r>
      <w:r w:rsidRPr="009839AF">
        <w:rPr>
          <w:rFonts w:ascii="Book Antiqua" w:eastAsiaTheme="minorHAnsi" w:hAnsi="Book Antiqua" w:cstheme="minorBidi"/>
          <w:sz w:val="22"/>
          <w:szCs w:val="22"/>
        </w:rPr>
        <w:t>, des proportions respectives de 15,8% et 10,9% déclarent avoir changé une</w:t>
      </w:r>
      <w:r w:rsidR="00DC5470">
        <w:rPr>
          <w:rFonts w:ascii="Book Antiqua" w:eastAsiaTheme="minorHAnsi" w:hAnsi="Book Antiqua" w:cstheme="minorBidi"/>
          <w:sz w:val="22"/>
          <w:szCs w:val="22"/>
        </w:rPr>
        <w:t xml:space="preserve"> (1)</w:t>
      </w:r>
      <w:r w:rsidR="007C6568">
        <w:rPr>
          <w:rFonts w:ascii="Book Antiqua" w:eastAsiaTheme="minorHAnsi" w:hAnsi="Book Antiqua" w:cstheme="minorBidi"/>
          <w:sz w:val="22"/>
          <w:szCs w:val="22"/>
        </w:rPr>
        <w:t xml:space="preserve"> </w:t>
      </w:r>
      <w:r w:rsidR="001D0086" w:rsidRPr="009839AF">
        <w:rPr>
          <w:rFonts w:ascii="Book Antiqua" w:eastAsiaTheme="minorHAnsi" w:hAnsi="Book Antiqua" w:cstheme="minorBidi"/>
          <w:sz w:val="22"/>
          <w:szCs w:val="22"/>
        </w:rPr>
        <w:t xml:space="preserve">seule </w:t>
      </w:r>
      <w:r w:rsidRPr="009839AF">
        <w:rPr>
          <w:rFonts w:ascii="Book Antiqua" w:eastAsiaTheme="minorHAnsi" w:hAnsi="Book Antiqua" w:cstheme="minorBidi"/>
          <w:sz w:val="22"/>
          <w:szCs w:val="22"/>
        </w:rPr>
        <w:t>fois de banque, contre 3,2% et 0,6</w:t>
      </w:r>
      <w:r w:rsidR="00EA6C5F">
        <w:rPr>
          <w:rFonts w:ascii="Book Antiqua" w:eastAsiaTheme="minorHAnsi" w:hAnsi="Book Antiqua" w:cstheme="minorBidi"/>
          <w:sz w:val="22"/>
          <w:szCs w:val="22"/>
        </w:rPr>
        <w:t>%</w:t>
      </w:r>
      <w:r w:rsidR="00E0197C">
        <w:rPr>
          <w:rFonts w:ascii="Book Antiqua" w:eastAsiaTheme="minorHAnsi" w:hAnsi="Book Antiqua" w:cstheme="minorBidi"/>
          <w:sz w:val="22"/>
          <w:szCs w:val="22"/>
        </w:rPr>
        <w:t xml:space="preserve"> </w:t>
      </w:r>
      <w:r w:rsidRPr="009839AF">
        <w:rPr>
          <w:rFonts w:ascii="Book Antiqua" w:eastAsiaTheme="minorHAnsi" w:hAnsi="Book Antiqua" w:cstheme="minorBidi"/>
          <w:sz w:val="22"/>
          <w:szCs w:val="22"/>
        </w:rPr>
        <w:t xml:space="preserve">deux (2) fois et 1,1% et 0,0% </w:t>
      </w:r>
      <w:r w:rsidR="00DC5470">
        <w:rPr>
          <w:rFonts w:ascii="Book Antiqua" w:eastAsiaTheme="minorHAnsi" w:hAnsi="Book Antiqua" w:cstheme="minorBidi"/>
          <w:sz w:val="22"/>
          <w:szCs w:val="22"/>
        </w:rPr>
        <w:t>plus</w:t>
      </w:r>
      <w:r w:rsidR="007C6568">
        <w:rPr>
          <w:rFonts w:ascii="Book Antiqua" w:eastAsiaTheme="minorHAnsi" w:hAnsi="Book Antiqua" w:cstheme="minorBidi"/>
          <w:sz w:val="22"/>
          <w:szCs w:val="22"/>
        </w:rPr>
        <w:t xml:space="preserve"> </w:t>
      </w:r>
      <w:r w:rsidRPr="009839AF">
        <w:rPr>
          <w:rFonts w:ascii="Book Antiqua" w:eastAsiaTheme="minorHAnsi" w:hAnsi="Book Antiqua" w:cstheme="minorBidi"/>
          <w:sz w:val="22"/>
          <w:szCs w:val="22"/>
        </w:rPr>
        <w:t>deux</w:t>
      </w:r>
      <w:r w:rsidR="00DC5470">
        <w:rPr>
          <w:rFonts w:ascii="Book Antiqua" w:eastAsiaTheme="minorHAnsi" w:hAnsi="Book Antiqua" w:cstheme="minorBidi"/>
          <w:sz w:val="22"/>
          <w:szCs w:val="22"/>
        </w:rPr>
        <w:t xml:space="preserve"> (2)</w:t>
      </w:r>
      <w:r w:rsidRPr="009839AF">
        <w:rPr>
          <w:rFonts w:ascii="Book Antiqua" w:eastAsiaTheme="minorHAnsi" w:hAnsi="Book Antiqua" w:cstheme="minorBidi"/>
          <w:sz w:val="22"/>
          <w:szCs w:val="22"/>
        </w:rPr>
        <w:t xml:space="preserve"> fois.</w:t>
      </w:r>
    </w:p>
    <w:p w:rsidR="0014503B" w:rsidRPr="009839AF" w:rsidRDefault="0014503B" w:rsidP="009839AF">
      <w:pPr>
        <w:spacing w:before="120" w:line="312" w:lineRule="auto"/>
        <w:jc w:val="both"/>
        <w:rPr>
          <w:rFonts w:ascii="Book Antiqua" w:eastAsiaTheme="minorHAnsi" w:hAnsi="Book Antiqua" w:cstheme="minorBidi"/>
          <w:sz w:val="22"/>
          <w:szCs w:val="22"/>
        </w:rPr>
      </w:pPr>
    </w:p>
    <w:p w:rsidR="0014503B" w:rsidRPr="0014503B" w:rsidRDefault="0014503B" w:rsidP="0014503B">
      <w:pPr>
        <w:pStyle w:val="Lgende"/>
        <w:keepNext/>
        <w:jc w:val="center"/>
        <w:rPr>
          <w:color w:val="auto"/>
          <w:sz w:val="16"/>
        </w:rPr>
      </w:pPr>
      <w:r w:rsidRPr="0014503B">
        <w:rPr>
          <w:color w:val="auto"/>
          <w:sz w:val="16"/>
        </w:rPr>
        <w:t xml:space="preserve">Figure </w:t>
      </w:r>
      <w:r w:rsidR="00072163">
        <w:rPr>
          <w:color w:val="auto"/>
          <w:sz w:val="16"/>
        </w:rPr>
        <w:t>11</w:t>
      </w:r>
      <w:r w:rsidRPr="0014503B">
        <w:rPr>
          <w:color w:val="auto"/>
          <w:sz w:val="16"/>
        </w:rPr>
        <w:t xml:space="preserve">: </w:t>
      </w:r>
      <w:r w:rsidR="00DC5470">
        <w:rPr>
          <w:color w:val="auto"/>
          <w:sz w:val="16"/>
        </w:rPr>
        <w:t>Fréquence et n</w:t>
      </w:r>
      <w:r w:rsidRPr="0014503B">
        <w:rPr>
          <w:color w:val="auto"/>
          <w:sz w:val="16"/>
        </w:rPr>
        <w:t>ombre moyen de changement de banque des unités selon la nature de l’activité</w:t>
      </w:r>
    </w:p>
    <w:p w:rsidR="009839AF" w:rsidRPr="009839AF" w:rsidRDefault="009839AF" w:rsidP="009839AF">
      <w:pPr>
        <w:tabs>
          <w:tab w:val="left" w:pos="1320"/>
          <w:tab w:val="right" w:leader="dot" w:pos="9572"/>
        </w:tabs>
        <w:spacing w:before="120" w:after="100" w:line="360" w:lineRule="auto"/>
        <w:contextualSpacing/>
        <w:jc w:val="center"/>
        <w:rPr>
          <w:rFonts w:ascii="Book Antiqua" w:hAnsi="Book Antiqua" w:cs="Arial"/>
          <w:b/>
          <w:noProof/>
          <w:sz w:val="22"/>
          <w:szCs w:val="22"/>
        </w:rPr>
      </w:pPr>
      <w:r w:rsidRPr="009839AF">
        <w:rPr>
          <w:rFonts w:ascii="Book Antiqua" w:hAnsi="Book Antiqua" w:cs="Arial"/>
          <w:b/>
          <w:noProof/>
          <w:sz w:val="22"/>
          <w:szCs w:val="22"/>
        </w:rPr>
        <w:drawing>
          <wp:inline distT="0" distB="0" distL="0" distR="0">
            <wp:extent cx="4175584" cy="2178685"/>
            <wp:effectExtent l="19050" t="0" r="15416" b="0"/>
            <wp:docPr id="286" name="Graphique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839AF" w:rsidRPr="009839AF" w:rsidRDefault="009839AF" w:rsidP="009839AF">
      <w:pPr>
        <w:tabs>
          <w:tab w:val="left" w:pos="1320"/>
          <w:tab w:val="right" w:leader="dot" w:pos="9572"/>
        </w:tabs>
        <w:spacing w:before="120" w:after="100" w:line="360" w:lineRule="auto"/>
        <w:contextualSpacing/>
        <w:jc w:val="both"/>
        <w:rPr>
          <w:rFonts w:ascii="Book Antiqua" w:hAnsi="Book Antiqua" w:cs="Arial"/>
          <w:b/>
          <w:noProof/>
          <w:sz w:val="22"/>
          <w:szCs w:val="22"/>
        </w:rPr>
      </w:pPr>
    </w:p>
    <w:p w:rsidR="009839AF" w:rsidRDefault="003E7FF3" w:rsidP="00840635">
      <w:pPr>
        <w:spacing w:before="120" w:line="276" w:lineRule="auto"/>
        <w:jc w:val="both"/>
        <w:rPr>
          <w:rFonts w:ascii="Book Antiqua" w:eastAsiaTheme="minorHAnsi" w:hAnsi="Book Antiqua" w:cstheme="minorBidi"/>
          <w:sz w:val="22"/>
          <w:szCs w:val="22"/>
        </w:rPr>
      </w:pPr>
      <w:r>
        <w:rPr>
          <w:rFonts w:ascii="Book Antiqua" w:eastAsiaTheme="minorHAnsi" w:hAnsi="Book Antiqua" w:cstheme="minorBidi"/>
          <w:sz w:val="22"/>
          <w:szCs w:val="22"/>
        </w:rPr>
        <w:t>De façon générale, l</w:t>
      </w:r>
      <w:r w:rsidR="009839AF" w:rsidRPr="009839AF">
        <w:rPr>
          <w:rFonts w:ascii="Book Antiqua" w:eastAsiaTheme="minorHAnsi" w:hAnsi="Book Antiqua" w:cstheme="minorBidi"/>
          <w:sz w:val="22"/>
          <w:szCs w:val="22"/>
        </w:rPr>
        <w:t>a fréquence de changement d’opérateur augmente avec la taille des unités enquêtées</w:t>
      </w:r>
      <w:r w:rsidR="00AC390C">
        <w:rPr>
          <w:rFonts w:ascii="Book Antiqua" w:eastAsiaTheme="minorHAnsi" w:hAnsi="Book Antiqua" w:cstheme="minorBidi"/>
          <w:sz w:val="22"/>
          <w:szCs w:val="22"/>
        </w:rPr>
        <w:t xml:space="preserve">. </w:t>
      </w:r>
      <w:r>
        <w:rPr>
          <w:rFonts w:ascii="Book Antiqua" w:eastAsiaTheme="minorHAnsi" w:hAnsi="Book Antiqua" w:cstheme="minorBidi"/>
          <w:sz w:val="22"/>
          <w:szCs w:val="22"/>
        </w:rPr>
        <w:t xml:space="preserve">En effet, </w:t>
      </w:r>
      <w:r w:rsidR="009839AF" w:rsidRPr="009839AF">
        <w:rPr>
          <w:rFonts w:ascii="Book Antiqua" w:eastAsiaTheme="minorHAnsi" w:hAnsi="Book Antiqua" w:cstheme="minorBidi"/>
          <w:sz w:val="22"/>
          <w:szCs w:val="22"/>
        </w:rPr>
        <w:t xml:space="preserve">il est observé des </w:t>
      </w:r>
      <w:r>
        <w:rPr>
          <w:rFonts w:ascii="Book Antiqua" w:eastAsiaTheme="minorHAnsi" w:hAnsi="Book Antiqua" w:cstheme="minorBidi"/>
          <w:sz w:val="22"/>
          <w:szCs w:val="22"/>
        </w:rPr>
        <w:t xml:space="preserve">proportions </w:t>
      </w:r>
      <w:r w:rsidR="009839AF" w:rsidRPr="009839AF">
        <w:rPr>
          <w:rFonts w:ascii="Book Antiqua" w:eastAsiaTheme="minorHAnsi" w:hAnsi="Book Antiqua" w:cstheme="minorBidi"/>
          <w:sz w:val="22"/>
          <w:szCs w:val="22"/>
        </w:rPr>
        <w:t xml:space="preserve">de 13,2%, 18,5%, 28%, 29%, 38,3% pour les </w:t>
      </w:r>
      <w:r w:rsidR="009839AF" w:rsidRPr="009839AF">
        <w:rPr>
          <w:rFonts w:ascii="Book Antiqua" w:eastAsiaTheme="minorHAnsi" w:hAnsi="Book Antiqua" w:cstheme="minorBidi"/>
          <w:sz w:val="22"/>
          <w:szCs w:val="22"/>
        </w:rPr>
        <w:lastRenderedPageBreak/>
        <w:t xml:space="preserve">unités dont le chiffre d’affaires se situe dans les tranches respectives de </w:t>
      </w:r>
      <w:r>
        <w:rPr>
          <w:rFonts w:ascii="Book Antiqua" w:eastAsiaTheme="minorHAnsi" w:hAnsi="Book Antiqua" w:cstheme="minorBidi"/>
          <w:sz w:val="22"/>
          <w:szCs w:val="22"/>
        </w:rPr>
        <w:t xml:space="preserve">moins de </w:t>
      </w:r>
      <w:r w:rsidR="009839AF" w:rsidRPr="009839AF">
        <w:rPr>
          <w:rFonts w:ascii="Book Antiqua" w:hAnsi="Book Antiqua" w:cs="Arial"/>
          <w:color w:val="000000"/>
          <w:sz w:val="22"/>
          <w:szCs w:val="22"/>
        </w:rPr>
        <w:t>10 millions</w:t>
      </w:r>
      <w:r w:rsidR="00072163">
        <w:rPr>
          <w:rFonts w:ascii="Book Antiqua" w:hAnsi="Book Antiqua" w:cs="Arial"/>
          <w:color w:val="000000"/>
          <w:sz w:val="22"/>
          <w:szCs w:val="22"/>
        </w:rPr>
        <w:t xml:space="preserve"> FCFA</w:t>
      </w:r>
      <w:r w:rsidR="009839AF" w:rsidRPr="009839AF">
        <w:rPr>
          <w:rFonts w:ascii="Book Antiqua" w:hAnsi="Book Antiqua" w:cs="Arial"/>
          <w:color w:val="000000"/>
          <w:sz w:val="22"/>
          <w:szCs w:val="22"/>
        </w:rPr>
        <w:t>, ]10 milli</w:t>
      </w:r>
      <w:r w:rsidR="00D644DB">
        <w:rPr>
          <w:rFonts w:ascii="Book Antiqua" w:hAnsi="Book Antiqua" w:cs="Arial"/>
          <w:color w:val="000000"/>
          <w:sz w:val="22"/>
          <w:szCs w:val="22"/>
        </w:rPr>
        <w:t>ons ;</w:t>
      </w:r>
      <w:r w:rsidR="004C4B92">
        <w:rPr>
          <w:rFonts w:ascii="Book Antiqua" w:hAnsi="Book Antiqua" w:cs="Arial"/>
          <w:color w:val="000000"/>
          <w:sz w:val="22"/>
          <w:szCs w:val="22"/>
        </w:rPr>
        <w:t xml:space="preserve"> 50 millions], ]50 millions ;</w:t>
      </w:r>
      <w:r w:rsidR="009839AF" w:rsidRPr="009839AF">
        <w:rPr>
          <w:rFonts w:ascii="Book Antiqua" w:hAnsi="Book Antiqua" w:cs="Arial"/>
          <w:color w:val="000000"/>
          <w:sz w:val="22"/>
          <w:szCs w:val="22"/>
        </w:rPr>
        <w:t xml:space="preserve"> 100 millions], ]100 millions</w:t>
      </w:r>
      <w:r w:rsidR="004C4B92">
        <w:rPr>
          <w:rFonts w:ascii="Book Antiqua" w:hAnsi="Book Antiqua" w:cs="Arial"/>
          <w:color w:val="000000"/>
          <w:sz w:val="22"/>
          <w:szCs w:val="22"/>
        </w:rPr>
        <w:t> ;</w:t>
      </w:r>
      <w:r w:rsidR="00E0197C">
        <w:rPr>
          <w:rFonts w:ascii="Book Antiqua" w:hAnsi="Book Antiqua" w:cs="Arial"/>
          <w:color w:val="000000"/>
          <w:sz w:val="22"/>
          <w:szCs w:val="22"/>
        </w:rPr>
        <w:t xml:space="preserve"> </w:t>
      </w:r>
      <w:r w:rsidR="004C4B92">
        <w:rPr>
          <w:rFonts w:ascii="Book Antiqua" w:hAnsi="Book Antiqua" w:cs="Arial"/>
          <w:color w:val="000000"/>
          <w:sz w:val="22"/>
          <w:szCs w:val="22"/>
        </w:rPr>
        <w:t>500 millions] et ]500 millions ;</w:t>
      </w:r>
      <w:r w:rsidR="009839AF" w:rsidRPr="009839AF">
        <w:rPr>
          <w:rFonts w:ascii="Book Antiqua" w:hAnsi="Book Antiqua" w:cs="Arial"/>
          <w:color w:val="000000"/>
          <w:sz w:val="22"/>
          <w:szCs w:val="22"/>
        </w:rPr>
        <w:t xml:space="preserve"> 1 milliard]</w:t>
      </w:r>
      <w:r w:rsidR="009839AF" w:rsidRPr="009839AF">
        <w:rPr>
          <w:rFonts w:ascii="Book Antiqua" w:eastAsiaTheme="minorHAnsi" w:hAnsi="Book Antiqua" w:cstheme="minorBidi"/>
          <w:sz w:val="22"/>
          <w:szCs w:val="22"/>
        </w:rPr>
        <w:t>.</w:t>
      </w:r>
      <w:r w:rsidR="00072163">
        <w:rPr>
          <w:rFonts w:ascii="Book Antiqua" w:eastAsiaTheme="minorHAnsi" w:hAnsi="Book Antiqua" w:cstheme="minorBidi"/>
          <w:sz w:val="22"/>
          <w:szCs w:val="22"/>
        </w:rPr>
        <w:t xml:space="preserve"> </w:t>
      </w:r>
      <w:r>
        <w:rPr>
          <w:rFonts w:ascii="Book Antiqua" w:eastAsiaTheme="minorHAnsi" w:hAnsi="Book Antiqua" w:cstheme="minorBidi"/>
          <w:sz w:val="22"/>
          <w:szCs w:val="22"/>
        </w:rPr>
        <w:t>Toutefois, les unités</w:t>
      </w:r>
      <w:r w:rsidRPr="009839AF">
        <w:rPr>
          <w:rFonts w:ascii="Book Antiqua" w:eastAsiaTheme="minorHAnsi" w:hAnsi="Book Antiqua" w:cstheme="minorBidi"/>
          <w:sz w:val="22"/>
          <w:szCs w:val="22"/>
        </w:rPr>
        <w:t xml:space="preserve"> ayant un chiffre d’affaires de plus d’un milliard de FCFA </w:t>
      </w:r>
      <w:r>
        <w:rPr>
          <w:rFonts w:ascii="Book Antiqua" w:eastAsiaTheme="minorHAnsi" w:hAnsi="Book Antiqua" w:cstheme="minorBidi"/>
          <w:sz w:val="22"/>
          <w:szCs w:val="22"/>
        </w:rPr>
        <w:t>affichent</w:t>
      </w:r>
      <w:r w:rsidR="007C6568">
        <w:rPr>
          <w:rFonts w:ascii="Book Antiqua" w:eastAsiaTheme="minorHAnsi" w:hAnsi="Book Antiqua" w:cstheme="minorBidi"/>
          <w:sz w:val="22"/>
          <w:szCs w:val="22"/>
        </w:rPr>
        <w:t xml:space="preserve"> </w:t>
      </w:r>
      <w:r>
        <w:rPr>
          <w:rFonts w:ascii="Book Antiqua" w:eastAsiaTheme="minorHAnsi" w:hAnsi="Book Antiqua" w:cstheme="minorBidi"/>
          <w:sz w:val="22"/>
          <w:szCs w:val="22"/>
        </w:rPr>
        <w:t>un taux de changement</w:t>
      </w:r>
      <w:r w:rsidR="007C6568">
        <w:rPr>
          <w:rFonts w:ascii="Book Antiqua" w:eastAsiaTheme="minorHAnsi" w:hAnsi="Book Antiqua" w:cstheme="minorBidi"/>
          <w:sz w:val="22"/>
          <w:szCs w:val="22"/>
        </w:rPr>
        <w:t xml:space="preserve"> </w:t>
      </w:r>
      <w:r>
        <w:rPr>
          <w:rFonts w:ascii="Book Antiqua" w:eastAsiaTheme="minorHAnsi" w:hAnsi="Book Antiqua" w:cstheme="minorBidi"/>
          <w:sz w:val="22"/>
          <w:szCs w:val="22"/>
        </w:rPr>
        <w:t>de</w:t>
      </w:r>
      <w:r w:rsidRPr="009839AF">
        <w:rPr>
          <w:rFonts w:ascii="Book Antiqua" w:eastAsiaTheme="minorHAnsi" w:hAnsi="Book Antiqua" w:cstheme="minorBidi"/>
          <w:sz w:val="22"/>
          <w:szCs w:val="22"/>
        </w:rPr>
        <w:t xml:space="preserve"> 22,9%.</w:t>
      </w:r>
    </w:p>
    <w:p w:rsidR="001341C2" w:rsidRPr="009839AF" w:rsidRDefault="001341C2" w:rsidP="009839AF">
      <w:pPr>
        <w:spacing w:before="120" w:line="312" w:lineRule="auto"/>
        <w:jc w:val="both"/>
        <w:rPr>
          <w:rFonts w:ascii="Book Antiqua" w:eastAsiaTheme="minorHAnsi" w:hAnsi="Book Antiqua" w:cstheme="minorBidi"/>
          <w:sz w:val="22"/>
          <w:szCs w:val="22"/>
        </w:rPr>
      </w:pPr>
    </w:p>
    <w:p w:rsidR="001341C2" w:rsidRPr="008B7F0C" w:rsidRDefault="001341C2" w:rsidP="001341C2">
      <w:pPr>
        <w:pStyle w:val="Lgende"/>
        <w:keepNext/>
        <w:jc w:val="center"/>
        <w:rPr>
          <w:rFonts w:ascii="Book Antiqua" w:hAnsi="Book Antiqua"/>
          <w:color w:val="auto"/>
          <w:sz w:val="16"/>
        </w:rPr>
      </w:pPr>
      <w:bookmarkStart w:id="39" w:name="_Toc523313694"/>
      <w:r w:rsidRPr="008B7F0C">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11</w:t>
      </w:r>
      <w:r w:rsidR="000D65F2">
        <w:rPr>
          <w:rFonts w:ascii="Book Antiqua" w:hAnsi="Book Antiqua"/>
          <w:color w:val="auto"/>
          <w:sz w:val="16"/>
        </w:rPr>
        <w:fldChar w:fldCharType="end"/>
      </w:r>
      <w:r w:rsidRPr="008B7F0C">
        <w:rPr>
          <w:rFonts w:ascii="Book Antiqua" w:hAnsi="Book Antiqua"/>
          <w:color w:val="auto"/>
          <w:sz w:val="16"/>
        </w:rPr>
        <w:t xml:space="preserve">: </w:t>
      </w:r>
      <w:r w:rsidR="002F582D" w:rsidRPr="008B7F0C">
        <w:rPr>
          <w:rFonts w:ascii="Book Antiqua" w:hAnsi="Book Antiqua"/>
          <w:color w:val="auto"/>
          <w:sz w:val="16"/>
        </w:rPr>
        <w:t>Fréquence et n</w:t>
      </w:r>
      <w:r w:rsidRPr="008B7F0C">
        <w:rPr>
          <w:rFonts w:ascii="Book Antiqua" w:hAnsi="Book Antiqua"/>
          <w:color w:val="auto"/>
          <w:sz w:val="16"/>
        </w:rPr>
        <w:t>ombre moyen de changement de banque des unités selon le chiffre d’affaires</w:t>
      </w:r>
      <w:bookmarkEnd w:id="39"/>
    </w:p>
    <w:p w:rsidR="009839AF" w:rsidRDefault="009839AF" w:rsidP="00072163">
      <w:pPr>
        <w:tabs>
          <w:tab w:val="left" w:pos="1320"/>
          <w:tab w:val="right" w:leader="dot" w:pos="9572"/>
        </w:tabs>
        <w:spacing w:before="120" w:after="100" w:line="360" w:lineRule="auto"/>
        <w:contextualSpacing/>
        <w:jc w:val="center"/>
        <w:rPr>
          <w:rFonts w:ascii="Book Antiqua" w:hAnsi="Book Antiqua" w:cs="Arial"/>
          <w:b/>
          <w:noProof/>
          <w:sz w:val="22"/>
          <w:szCs w:val="22"/>
        </w:rPr>
      </w:pPr>
      <w:r w:rsidRPr="009839AF">
        <w:rPr>
          <w:rFonts w:ascii="Book Antiqua" w:hAnsi="Book Antiqua" w:cs="Arial"/>
          <w:b/>
          <w:noProof/>
          <w:sz w:val="22"/>
          <w:szCs w:val="22"/>
        </w:rPr>
        <w:drawing>
          <wp:inline distT="0" distB="0" distL="0" distR="0">
            <wp:extent cx="4476115" cy="2349500"/>
            <wp:effectExtent l="19050" t="0" r="19685" b="0"/>
            <wp:docPr id="287" name="Graphique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72163" w:rsidRPr="009839AF" w:rsidRDefault="00072163" w:rsidP="00072163">
      <w:pPr>
        <w:tabs>
          <w:tab w:val="left" w:pos="1320"/>
          <w:tab w:val="right" w:leader="dot" w:pos="9572"/>
        </w:tabs>
        <w:spacing w:before="120" w:after="100" w:line="360" w:lineRule="auto"/>
        <w:contextualSpacing/>
        <w:jc w:val="center"/>
        <w:rPr>
          <w:rFonts w:ascii="Book Antiqua" w:hAnsi="Book Antiqua" w:cs="Arial"/>
          <w:b/>
          <w:noProof/>
          <w:sz w:val="22"/>
          <w:szCs w:val="22"/>
        </w:rPr>
      </w:pPr>
    </w:p>
    <w:p w:rsidR="009260C9" w:rsidRPr="00AC390C" w:rsidRDefault="004204AC" w:rsidP="00840635">
      <w:pPr>
        <w:spacing w:after="200" w:line="276" w:lineRule="auto"/>
        <w:jc w:val="both"/>
        <w:rPr>
          <w:rFonts w:ascii="Book Antiqua" w:hAnsi="Book Antiqua" w:cs="Arial"/>
          <w:noProof/>
          <w:sz w:val="22"/>
          <w:szCs w:val="22"/>
        </w:rPr>
      </w:pPr>
      <w:r w:rsidRPr="00AC390C">
        <w:rPr>
          <w:rFonts w:ascii="Book Antiqua" w:hAnsi="Book Antiqua" w:cs="Arial"/>
          <w:noProof/>
          <w:sz w:val="22"/>
          <w:szCs w:val="22"/>
        </w:rPr>
        <w:t>L’analyse s</w:t>
      </w:r>
      <w:r w:rsidR="00530891">
        <w:rPr>
          <w:rFonts w:ascii="Book Antiqua" w:hAnsi="Book Antiqua" w:cs="Arial"/>
          <w:noProof/>
          <w:sz w:val="22"/>
          <w:szCs w:val="22"/>
        </w:rPr>
        <w:t>uiva</w:t>
      </w:r>
      <w:r w:rsidR="00F2711E">
        <w:rPr>
          <w:rFonts w:ascii="Book Antiqua" w:hAnsi="Book Antiqua" w:cs="Arial"/>
          <w:noProof/>
          <w:sz w:val="22"/>
          <w:szCs w:val="22"/>
        </w:rPr>
        <w:t>n</w:t>
      </w:r>
      <w:r w:rsidR="00530891">
        <w:rPr>
          <w:rFonts w:ascii="Book Antiqua" w:hAnsi="Book Antiqua" w:cs="Arial"/>
          <w:noProof/>
          <w:sz w:val="22"/>
          <w:szCs w:val="22"/>
        </w:rPr>
        <w:t>t le secteur</w:t>
      </w:r>
      <w:r w:rsidR="00283F4F">
        <w:rPr>
          <w:rFonts w:ascii="Book Antiqua" w:hAnsi="Book Antiqua" w:cs="Arial"/>
          <w:noProof/>
          <w:sz w:val="22"/>
          <w:szCs w:val="22"/>
        </w:rPr>
        <w:t>d’a</w:t>
      </w:r>
      <w:r w:rsidR="00E75421">
        <w:rPr>
          <w:rFonts w:ascii="Book Antiqua" w:hAnsi="Book Antiqua" w:cs="Arial"/>
          <w:noProof/>
          <w:sz w:val="22"/>
          <w:szCs w:val="22"/>
        </w:rPr>
        <w:t>ctivité fait apparaitre des fréquences de mobilité plus élevées chez les unités du s</w:t>
      </w:r>
      <w:r w:rsidR="00E0197C">
        <w:rPr>
          <w:rFonts w:ascii="Book Antiqua" w:hAnsi="Book Antiqua" w:cs="Arial"/>
          <w:noProof/>
          <w:sz w:val="22"/>
          <w:szCs w:val="22"/>
        </w:rPr>
        <w:t>ecteur des BTP (24,9%), suivies</w:t>
      </w:r>
      <w:r w:rsidR="00E75421">
        <w:rPr>
          <w:rFonts w:ascii="Book Antiqua" w:hAnsi="Book Antiqua" w:cs="Arial"/>
          <w:noProof/>
          <w:sz w:val="22"/>
          <w:szCs w:val="22"/>
        </w:rPr>
        <w:t xml:space="preserve"> de l’Industrie (18,4%), des Services (18,3%) et du Commerce (18,2%). L’Administration et l’Artisanat connaissent les plus faibles taux de changement de banque avec des proportions respectives de 16,7% et 13,5%.</w:t>
      </w:r>
    </w:p>
    <w:p w:rsidR="00944135" w:rsidRDefault="00944135" w:rsidP="00AC390C">
      <w:pPr>
        <w:pStyle w:val="Lgende"/>
        <w:keepNext/>
        <w:jc w:val="center"/>
        <w:rPr>
          <w:rFonts w:ascii="Book Antiqua" w:hAnsi="Book Antiqua"/>
          <w:color w:val="auto"/>
          <w:sz w:val="16"/>
          <w:szCs w:val="16"/>
        </w:rPr>
      </w:pPr>
      <w:bookmarkStart w:id="40" w:name="_Toc523313695"/>
    </w:p>
    <w:p w:rsidR="00AC390C" w:rsidRPr="008B7F0C" w:rsidRDefault="00AC390C" w:rsidP="00AC390C">
      <w:pPr>
        <w:pStyle w:val="Lgende"/>
        <w:keepNext/>
        <w:jc w:val="center"/>
        <w:rPr>
          <w:rFonts w:ascii="Book Antiqua" w:hAnsi="Book Antiqua"/>
          <w:color w:val="auto"/>
          <w:sz w:val="16"/>
          <w:szCs w:val="16"/>
        </w:rPr>
      </w:pPr>
      <w:r w:rsidRPr="008B7F0C">
        <w:rPr>
          <w:rFonts w:ascii="Book Antiqua" w:hAnsi="Book Antiqua"/>
          <w:color w:val="auto"/>
          <w:sz w:val="16"/>
          <w:szCs w:val="16"/>
        </w:rPr>
        <w:t xml:space="preserve">Figure </w:t>
      </w:r>
      <w:r w:rsidR="000D65F2">
        <w:rPr>
          <w:rFonts w:ascii="Book Antiqua" w:hAnsi="Book Antiqua"/>
          <w:color w:val="auto"/>
          <w:sz w:val="16"/>
          <w:szCs w:val="16"/>
        </w:rPr>
        <w:fldChar w:fldCharType="begin"/>
      </w:r>
      <w:r w:rsidR="002708B0">
        <w:rPr>
          <w:rFonts w:ascii="Book Antiqua" w:hAnsi="Book Antiqua"/>
          <w:color w:val="auto"/>
          <w:sz w:val="16"/>
          <w:szCs w:val="16"/>
        </w:rPr>
        <w:instrText xml:space="preserve"> SEQ Figure \* ARABIC </w:instrText>
      </w:r>
      <w:r w:rsidR="000D65F2">
        <w:rPr>
          <w:rFonts w:ascii="Book Antiqua" w:hAnsi="Book Antiqua"/>
          <w:color w:val="auto"/>
          <w:sz w:val="16"/>
          <w:szCs w:val="16"/>
        </w:rPr>
        <w:fldChar w:fldCharType="separate"/>
      </w:r>
      <w:r w:rsidR="000F780F">
        <w:rPr>
          <w:rFonts w:ascii="Book Antiqua" w:hAnsi="Book Antiqua"/>
          <w:noProof/>
          <w:color w:val="auto"/>
          <w:sz w:val="16"/>
          <w:szCs w:val="16"/>
        </w:rPr>
        <w:t>12</w:t>
      </w:r>
      <w:r w:rsidR="000D65F2">
        <w:rPr>
          <w:rFonts w:ascii="Book Antiqua" w:hAnsi="Book Antiqua"/>
          <w:color w:val="auto"/>
          <w:sz w:val="16"/>
          <w:szCs w:val="16"/>
        </w:rPr>
        <w:fldChar w:fldCharType="end"/>
      </w:r>
      <w:r w:rsidRPr="008B7F0C">
        <w:rPr>
          <w:rFonts w:ascii="Book Antiqua" w:hAnsi="Book Antiqua"/>
          <w:color w:val="auto"/>
          <w:sz w:val="16"/>
          <w:szCs w:val="16"/>
        </w:rPr>
        <w:t xml:space="preserve"> : Fréquence et nombre moyen de changement de banque des unités selon le secteur d'activités</w:t>
      </w:r>
      <w:bookmarkEnd w:id="40"/>
    </w:p>
    <w:p w:rsidR="005715F2" w:rsidRDefault="00F44BC9" w:rsidP="00AC390C">
      <w:pPr>
        <w:spacing w:after="200" w:line="276" w:lineRule="auto"/>
        <w:jc w:val="center"/>
        <w:rPr>
          <w:rFonts w:ascii="Book Antiqua" w:hAnsi="Book Antiqua" w:cs="Arial"/>
          <w:b/>
          <w:noProof/>
          <w:sz w:val="22"/>
          <w:szCs w:val="22"/>
        </w:rPr>
      </w:pPr>
      <w:r w:rsidRPr="00AC390C">
        <w:rPr>
          <w:rFonts w:ascii="Book Antiqua" w:hAnsi="Book Antiqua" w:cs="Arial"/>
          <w:b/>
          <w:noProof/>
          <w:sz w:val="22"/>
          <w:szCs w:val="22"/>
        </w:rPr>
        <w:drawing>
          <wp:inline distT="0" distB="0" distL="0" distR="0">
            <wp:extent cx="5115919" cy="2441051"/>
            <wp:effectExtent l="19050" t="0" r="27581" b="0"/>
            <wp:docPr id="16"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15F2" w:rsidRDefault="005715F2" w:rsidP="008F78AD">
      <w:pPr>
        <w:spacing w:after="200" w:line="276" w:lineRule="auto"/>
        <w:rPr>
          <w:rFonts w:ascii="Book Antiqua" w:hAnsi="Book Antiqua" w:cs="Arial"/>
          <w:b/>
          <w:noProof/>
          <w:sz w:val="22"/>
          <w:szCs w:val="22"/>
        </w:rPr>
      </w:pPr>
      <w:r>
        <w:rPr>
          <w:rFonts w:ascii="Book Antiqua" w:hAnsi="Book Antiqua" w:cs="Arial"/>
          <w:b/>
          <w:noProof/>
          <w:sz w:val="22"/>
          <w:szCs w:val="22"/>
        </w:rPr>
        <w:br w:type="page"/>
      </w:r>
    </w:p>
    <w:p w:rsidR="005715F2" w:rsidRPr="008F78AD" w:rsidRDefault="005715F2" w:rsidP="00BA203C">
      <w:pPr>
        <w:pStyle w:val="Paragraphedeliste"/>
        <w:numPr>
          <w:ilvl w:val="0"/>
          <w:numId w:val="19"/>
        </w:numPr>
        <w:spacing w:before="120" w:after="240" w:line="360" w:lineRule="auto"/>
        <w:ind w:left="851" w:hanging="284"/>
        <w:contextualSpacing w:val="0"/>
        <w:jc w:val="both"/>
        <w:outlineLvl w:val="2"/>
        <w:rPr>
          <w:rFonts w:ascii="Book Antiqua" w:hAnsi="Book Antiqua" w:cs="Arial"/>
          <w:b/>
          <w:noProof/>
          <w:sz w:val="22"/>
          <w:szCs w:val="22"/>
        </w:rPr>
      </w:pPr>
      <w:bookmarkStart w:id="41" w:name="_Toc523322033"/>
      <w:r w:rsidRPr="008F78AD">
        <w:rPr>
          <w:rFonts w:ascii="Book Antiqua" w:hAnsi="Book Antiqua" w:cs="Arial"/>
          <w:b/>
          <w:noProof/>
          <w:sz w:val="22"/>
          <w:szCs w:val="22"/>
        </w:rPr>
        <w:lastRenderedPageBreak/>
        <w:t>Attitude des banques face au changement de domiciliation de compte des unités</w:t>
      </w:r>
      <w:bookmarkEnd w:id="41"/>
    </w:p>
    <w:p w:rsidR="005715F2" w:rsidRDefault="005715F2"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 xml:space="preserve">Parmi les unités ayant effectué un changement d’opérateur (17,7%), la moitié (50%) déplore l’attitude peu coopérative de leur banque contre une proportion de 50% qui sont d’avis </w:t>
      </w:r>
      <w:r>
        <w:rPr>
          <w:rFonts w:ascii="Book Antiqua" w:eastAsiaTheme="minorHAnsi" w:hAnsi="Book Antiqua" w:cstheme="minorBidi"/>
          <w:sz w:val="22"/>
          <w:szCs w:val="22"/>
        </w:rPr>
        <w:t xml:space="preserve">contraire. </w:t>
      </w:r>
    </w:p>
    <w:p w:rsidR="005715F2" w:rsidRPr="009839AF" w:rsidRDefault="005715F2" w:rsidP="00840635">
      <w:pPr>
        <w:spacing w:before="120" w:line="276" w:lineRule="auto"/>
        <w:jc w:val="both"/>
        <w:rPr>
          <w:rFonts w:ascii="Book Antiqua" w:eastAsiaTheme="minorHAnsi" w:hAnsi="Book Antiqua" w:cstheme="minorBidi"/>
          <w:sz w:val="22"/>
          <w:szCs w:val="22"/>
        </w:rPr>
      </w:pPr>
    </w:p>
    <w:p w:rsidR="005715F2" w:rsidRPr="008B7F0C" w:rsidRDefault="005715F2" w:rsidP="00840635">
      <w:pPr>
        <w:pStyle w:val="Lgende"/>
        <w:keepNext/>
        <w:spacing w:line="276" w:lineRule="auto"/>
        <w:jc w:val="center"/>
        <w:rPr>
          <w:rFonts w:ascii="Book Antiqua" w:hAnsi="Book Antiqua"/>
          <w:color w:val="auto"/>
          <w:sz w:val="16"/>
        </w:rPr>
      </w:pPr>
      <w:bookmarkStart w:id="42" w:name="_Toc523313696"/>
      <w:r w:rsidRPr="008B7F0C">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13</w:t>
      </w:r>
      <w:r w:rsidR="000D65F2">
        <w:rPr>
          <w:rFonts w:ascii="Book Antiqua" w:hAnsi="Book Antiqua"/>
          <w:color w:val="auto"/>
          <w:sz w:val="16"/>
        </w:rPr>
        <w:fldChar w:fldCharType="end"/>
      </w:r>
      <w:r w:rsidRPr="008B7F0C">
        <w:rPr>
          <w:rFonts w:ascii="Book Antiqua" w:hAnsi="Book Antiqua"/>
          <w:color w:val="auto"/>
          <w:sz w:val="16"/>
        </w:rPr>
        <w:t>: Proportion d’unités jugeant l’attitude coopérative de leur banque principale</w:t>
      </w:r>
      <w:bookmarkEnd w:id="42"/>
    </w:p>
    <w:p w:rsidR="005715F2" w:rsidRPr="009839AF" w:rsidRDefault="005715F2" w:rsidP="00840635">
      <w:pPr>
        <w:spacing w:before="120" w:line="276" w:lineRule="auto"/>
        <w:jc w:val="center"/>
        <w:rPr>
          <w:rFonts w:ascii="Book Antiqua" w:eastAsiaTheme="minorHAnsi" w:hAnsi="Book Antiqua" w:cstheme="minorBidi"/>
          <w:sz w:val="22"/>
          <w:szCs w:val="22"/>
        </w:rPr>
      </w:pPr>
      <w:r w:rsidRPr="009839AF">
        <w:rPr>
          <w:rFonts w:asciiTheme="minorHAnsi" w:eastAsiaTheme="minorHAnsi" w:hAnsiTheme="minorHAnsi" w:cstheme="minorBidi"/>
          <w:noProof/>
          <w:sz w:val="22"/>
          <w:szCs w:val="22"/>
        </w:rPr>
        <w:drawing>
          <wp:inline distT="0" distB="0" distL="0" distR="0">
            <wp:extent cx="3784057" cy="2192934"/>
            <wp:effectExtent l="19050" t="0" r="25943" b="0"/>
            <wp:docPr id="11" name="Graphique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715F2" w:rsidRDefault="005715F2" w:rsidP="00840635">
      <w:pPr>
        <w:spacing w:before="120" w:line="276" w:lineRule="auto"/>
        <w:jc w:val="both"/>
        <w:rPr>
          <w:rFonts w:ascii="Book Antiqua" w:eastAsiaTheme="minorHAnsi" w:hAnsi="Book Antiqua" w:cstheme="minorBidi"/>
          <w:sz w:val="22"/>
          <w:szCs w:val="22"/>
          <w:lang w:eastAsia="en-US"/>
        </w:rPr>
      </w:pPr>
      <w:r w:rsidRPr="009839AF">
        <w:rPr>
          <w:rFonts w:ascii="Book Antiqua" w:eastAsiaTheme="minorHAnsi" w:hAnsi="Book Antiqua" w:cstheme="minorBidi"/>
          <w:sz w:val="22"/>
          <w:szCs w:val="22"/>
        </w:rPr>
        <w:t xml:space="preserve">Une analyse selon la nature de l’activité renseigne sur les difficultés de mobilité bancaire chez les unités du secteur </w:t>
      </w:r>
      <w:r>
        <w:rPr>
          <w:rFonts w:ascii="Book Antiqua" w:eastAsiaTheme="minorHAnsi" w:hAnsi="Book Antiqua" w:cstheme="minorBidi"/>
          <w:sz w:val="22"/>
          <w:szCs w:val="22"/>
        </w:rPr>
        <w:t xml:space="preserve">informel qui jugent peu coopérative l’attitude de leurs banques d’origine lors de changement d’opérateur avec un taux d’appréciation qui ressort à </w:t>
      </w:r>
      <w:r w:rsidRPr="009839AF">
        <w:rPr>
          <w:rFonts w:ascii="Book Antiqua" w:eastAsiaTheme="minorHAnsi" w:hAnsi="Book Antiqua" w:cstheme="minorBidi"/>
          <w:sz w:val="22"/>
          <w:szCs w:val="22"/>
          <w:lang w:eastAsia="en-US"/>
        </w:rPr>
        <w:t>59,7% contre une proportion de 47,8% pour le secteur</w:t>
      </w:r>
      <w:r>
        <w:rPr>
          <w:rFonts w:ascii="Book Antiqua" w:eastAsiaTheme="minorHAnsi" w:hAnsi="Book Antiqua" w:cstheme="minorBidi"/>
          <w:sz w:val="22"/>
          <w:szCs w:val="22"/>
          <w:lang w:eastAsia="en-US"/>
        </w:rPr>
        <w:t xml:space="preserve"> moderne. </w:t>
      </w:r>
    </w:p>
    <w:p w:rsidR="005715F2" w:rsidRPr="009839AF" w:rsidRDefault="005715F2" w:rsidP="005715F2">
      <w:pPr>
        <w:spacing w:before="120" w:line="312" w:lineRule="auto"/>
        <w:jc w:val="both"/>
        <w:rPr>
          <w:rFonts w:ascii="Book Antiqua" w:eastAsiaTheme="minorHAnsi" w:hAnsi="Book Antiqua" w:cstheme="minorBidi"/>
          <w:sz w:val="22"/>
          <w:szCs w:val="22"/>
          <w:lang w:eastAsia="en-US"/>
        </w:rPr>
      </w:pPr>
    </w:p>
    <w:p w:rsidR="005715F2" w:rsidRPr="00373037" w:rsidRDefault="005715F2" w:rsidP="005715F2">
      <w:pPr>
        <w:pStyle w:val="Lgende"/>
        <w:keepNext/>
        <w:jc w:val="center"/>
        <w:rPr>
          <w:color w:val="auto"/>
          <w:sz w:val="16"/>
        </w:rPr>
      </w:pPr>
      <w:bookmarkStart w:id="43" w:name="_Toc523313697"/>
      <w:r w:rsidRPr="00373037">
        <w:rPr>
          <w:color w:val="auto"/>
          <w:sz w:val="16"/>
        </w:rPr>
        <w:t xml:space="preserve">Figure </w:t>
      </w:r>
      <w:r w:rsidR="000D65F2">
        <w:rPr>
          <w:color w:val="auto"/>
          <w:sz w:val="16"/>
        </w:rPr>
        <w:fldChar w:fldCharType="begin"/>
      </w:r>
      <w:r w:rsidR="002708B0">
        <w:rPr>
          <w:color w:val="auto"/>
          <w:sz w:val="16"/>
        </w:rPr>
        <w:instrText xml:space="preserve"> SEQ Figure \* ARABIC </w:instrText>
      </w:r>
      <w:r w:rsidR="000D65F2">
        <w:rPr>
          <w:color w:val="auto"/>
          <w:sz w:val="16"/>
        </w:rPr>
        <w:fldChar w:fldCharType="separate"/>
      </w:r>
      <w:r w:rsidR="000F780F">
        <w:rPr>
          <w:noProof/>
          <w:color w:val="auto"/>
          <w:sz w:val="16"/>
        </w:rPr>
        <w:t>14</w:t>
      </w:r>
      <w:r w:rsidR="000D65F2">
        <w:rPr>
          <w:color w:val="auto"/>
          <w:sz w:val="16"/>
        </w:rPr>
        <w:fldChar w:fldCharType="end"/>
      </w:r>
      <w:r w:rsidRPr="00373037">
        <w:rPr>
          <w:color w:val="auto"/>
          <w:sz w:val="16"/>
        </w:rPr>
        <w:t xml:space="preserve">: Proportion d’unités jugeant l’attitude coopérative de leur banque </w:t>
      </w:r>
      <w:r>
        <w:rPr>
          <w:color w:val="auto"/>
          <w:sz w:val="16"/>
        </w:rPr>
        <w:t xml:space="preserve">d’origine </w:t>
      </w:r>
      <w:r w:rsidRPr="00373037">
        <w:rPr>
          <w:color w:val="auto"/>
          <w:sz w:val="16"/>
        </w:rPr>
        <w:t>selon la nature de l’activité</w:t>
      </w:r>
      <w:bookmarkEnd w:id="43"/>
    </w:p>
    <w:p w:rsidR="005715F2" w:rsidRPr="009839AF" w:rsidRDefault="005715F2" w:rsidP="005715F2">
      <w:pPr>
        <w:tabs>
          <w:tab w:val="left" w:pos="880"/>
          <w:tab w:val="right" w:leader="dot" w:pos="9572"/>
        </w:tabs>
        <w:spacing w:before="120" w:after="100" w:line="360" w:lineRule="auto"/>
        <w:contextualSpacing/>
        <w:jc w:val="center"/>
        <w:rPr>
          <w:rFonts w:ascii="Book Antiqua" w:hAnsi="Book Antiqua" w:cs="Arial"/>
          <w:noProof/>
          <w:sz w:val="22"/>
          <w:szCs w:val="22"/>
        </w:rPr>
      </w:pPr>
      <w:r w:rsidRPr="009839AF">
        <w:rPr>
          <w:rFonts w:ascii="Book Antiqua" w:hAnsi="Book Antiqua" w:cs="Arial"/>
          <w:noProof/>
          <w:sz w:val="22"/>
          <w:szCs w:val="22"/>
        </w:rPr>
        <w:drawing>
          <wp:inline distT="0" distB="0" distL="0" distR="0">
            <wp:extent cx="4036783" cy="2368491"/>
            <wp:effectExtent l="19050" t="0" r="20867" b="0"/>
            <wp:docPr id="37" name="Graphique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39AF" w:rsidRPr="009839AF" w:rsidRDefault="009839AF" w:rsidP="009839AF">
      <w:pPr>
        <w:spacing w:before="120" w:line="312" w:lineRule="auto"/>
        <w:rPr>
          <w:rFonts w:asciiTheme="minorHAnsi" w:eastAsiaTheme="minorHAnsi" w:hAnsiTheme="minorHAnsi" w:cstheme="minorBidi"/>
          <w:sz w:val="22"/>
          <w:szCs w:val="22"/>
        </w:rPr>
      </w:pPr>
    </w:p>
    <w:p w:rsidR="009839AF" w:rsidRPr="0013648E" w:rsidRDefault="0013648E" w:rsidP="00531C35">
      <w:pPr>
        <w:pStyle w:val="Paragraphedeliste"/>
        <w:numPr>
          <w:ilvl w:val="1"/>
          <w:numId w:val="20"/>
        </w:numPr>
        <w:tabs>
          <w:tab w:val="left" w:pos="-720"/>
        </w:tabs>
        <w:suppressAutoHyphens/>
        <w:spacing w:after="240" w:line="276" w:lineRule="auto"/>
        <w:ind w:left="567" w:hanging="283"/>
        <w:contextualSpacing w:val="0"/>
        <w:jc w:val="both"/>
        <w:outlineLvl w:val="1"/>
        <w:rPr>
          <w:rFonts w:ascii="Book Antiqua" w:hAnsi="Book Antiqua" w:cs="Tahoma"/>
          <w:b/>
          <w:sz w:val="22"/>
          <w:szCs w:val="22"/>
        </w:rPr>
      </w:pPr>
      <w:bookmarkStart w:id="44" w:name="_Toc523322034"/>
      <w:r>
        <w:rPr>
          <w:rFonts w:ascii="Book Antiqua" w:hAnsi="Book Antiqua" w:cs="Tahoma"/>
          <w:b/>
          <w:sz w:val="22"/>
          <w:szCs w:val="22"/>
        </w:rPr>
        <w:t>S</w:t>
      </w:r>
      <w:r w:rsidRPr="0013648E">
        <w:rPr>
          <w:rFonts w:ascii="Book Antiqua" w:hAnsi="Book Antiqua" w:cs="Tahoma"/>
          <w:b/>
          <w:sz w:val="22"/>
          <w:szCs w:val="22"/>
        </w:rPr>
        <w:t>atisfaction sur les agences bancaires</w:t>
      </w:r>
      <w:bookmarkEnd w:id="44"/>
    </w:p>
    <w:p w:rsidR="00840635"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 xml:space="preserve">Les </w:t>
      </w:r>
      <w:r w:rsidR="00EA7657">
        <w:rPr>
          <w:rFonts w:ascii="Book Antiqua" w:eastAsiaTheme="minorHAnsi" w:hAnsi="Book Antiqua" w:cstheme="minorBidi"/>
          <w:sz w:val="22"/>
          <w:szCs w:val="22"/>
        </w:rPr>
        <w:t xml:space="preserve">unités </w:t>
      </w:r>
      <w:r w:rsidRPr="009839AF">
        <w:rPr>
          <w:rFonts w:ascii="Book Antiqua" w:eastAsiaTheme="minorHAnsi" w:hAnsi="Book Antiqua" w:cstheme="minorBidi"/>
          <w:sz w:val="22"/>
          <w:szCs w:val="22"/>
        </w:rPr>
        <w:t>ont été interrogées</w:t>
      </w:r>
      <w:r w:rsidR="00912A42">
        <w:rPr>
          <w:rFonts w:ascii="Book Antiqua" w:eastAsiaTheme="minorHAnsi" w:hAnsi="Book Antiqua" w:cstheme="minorBidi"/>
          <w:sz w:val="22"/>
          <w:szCs w:val="22"/>
        </w:rPr>
        <w:t xml:space="preserve"> </w:t>
      </w:r>
      <w:r w:rsidRPr="009839AF">
        <w:rPr>
          <w:rFonts w:ascii="Book Antiqua" w:eastAsiaTheme="minorHAnsi" w:hAnsi="Book Antiqua" w:cstheme="minorBidi"/>
          <w:sz w:val="22"/>
          <w:szCs w:val="22"/>
        </w:rPr>
        <w:t xml:space="preserve"> sur leur</w:t>
      </w:r>
      <w:r w:rsidR="00EA7657">
        <w:rPr>
          <w:rFonts w:ascii="Book Antiqua" w:eastAsiaTheme="minorHAnsi" w:hAnsi="Book Antiqua" w:cstheme="minorBidi"/>
          <w:sz w:val="22"/>
          <w:szCs w:val="22"/>
        </w:rPr>
        <w:t>s</w:t>
      </w:r>
      <w:r w:rsidR="0067080A">
        <w:rPr>
          <w:rFonts w:ascii="Book Antiqua" w:eastAsiaTheme="minorHAnsi" w:hAnsi="Book Antiqua" w:cstheme="minorBidi"/>
          <w:sz w:val="22"/>
          <w:szCs w:val="22"/>
        </w:rPr>
        <w:t xml:space="preserve"> </w:t>
      </w:r>
      <w:r w:rsidR="00EA7657">
        <w:rPr>
          <w:rFonts w:ascii="Book Antiqua" w:eastAsiaTheme="minorHAnsi" w:hAnsi="Book Antiqua" w:cstheme="minorBidi"/>
          <w:sz w:val="22"/>
          <w:szCs w:val="22"/>
        </w:rPr>
        <w:t xml:space="preserve">avis par rapport à </w:t>
      </w:r>
      <w:r w:rsidRPr="009839AF">
        <w:rPr>
          <w:rFonts w:ascii="Book Antiqua" w:eastAsiaTheme="minorHAnsi" w:hAnsi="Book Antiqua" w:cstheme="minorBidi"/>
          <w:sz w:val="22"/>
          <w:szCs w:val="22"/>
        </w:rPr>
        <w:t>la répartition géographique des agences</w:t>
      </w:r>
      <w:r w:rsidR="00EA7657">
        <w:rPr>
          <w:rFonts w:ascii="Book Antiqua" w:eastAsiaTheme="minorHAnsi" w:hAnsi="Book Antiqua" w:cstheme="minorBidi"/>
          <w:sz w:val="22"/>
          <w:szCs w:val="22"/>
        </w:rPr>
        <w:t xml:space="preserve"> de leur banque principale</w:t>
      </w:r>
      <w:r w:rsidRPr="009839AF">
        <w:rPr>
          <w:rFonts w:ascii="Book Antiqua" w:eastAsiaTheme="minorHAnsi" w:hAnsi="Book Antiqua" w:cstheme="minorBidi"/>
          <w:sz w:val="22"/>
          <w:szCs w:val="22"/>
        </w:rPr>
        <w:t xml:space="preserve">, le nombre de caisses fonctionnelles </w:t>
      </w:r>
      <w:r w:rsidR="00EA7657">
        <w:rPr>
          <w:rFonts w:ascii="Book Antiqua" w:eastAsiaTheme="minorHAnsi" w:hAnsi="Book Antiqua" w:cstheme="minorBidi"/>
          <w:sz w:val="22"/>
          <w:szCs w:val="22"/>
        </w:rPr>
        <w:t xml:space="preserve">et </w:t>
      </w:r>
      <w:r w:rsidRPr="009839AF">
        <w:rPr>
          <w:rFonts w:ascii="Book Antiqua" w:eastAsiaTheme="minorHAnsi" w:hAnsi="Book Antiqua" w:cstheme="minorBidi"/>
          <w:sz w:val="22"/>
          <w:szCs w:val="22"/>
        </w:rPr>
        <w:t>la durée</w:t>
      </w:r>
      <w:r w:rsidR="00EA7657">
        <w:rPr>
          <w:rFonts w:ascii="Book Antiqua" w:eastAsiaTheme="minorHAnsi" w:hAnsi="Book Antiqua" w:cstheme="minorBidi"/>
          <w:sz w:val="22"/>
          <w:szCs w:val="22"/>
        </w:rPr>
        <w:t xml:space="preserve"> de traitement</w:t>
      </w:r>
      <w:r w:rsidRPr="009839AF">
        <w:rPr>
          <w:rFonts w:ascii="Book Antiqua" w:eastAsiaTheme="minorHAnsi" w:hAnsi="Book Antiqua" w:cstheme="minorBidi"/>
          <w:sz w:val="22"/>
          <w:szCs w:val="22"/>
        </w:rPr>
        <w:t xml:space="preserve"> des opérations de caisse. </w:t>
      </w:r>
    </w:p>
    <w:p w:rsidR="001B1C52" w:rsidRDefault="00840635" w:rsidP="00840635">
      <w:pPr>
        <w:spacing w:after="200" w:line="276" w:lineRule="auto"/>
        <w:rPr>
          <w:rFonts w:ascii="Book Antiqua" w:eastAsiaTheme="minorHAnsi" w:hAnsi="Book Antiqua" w:cstheme="minorBidi"/>
          <w:sz w:val="22"/>
          <w:szCs w:val="22"/>
        </w:rPr>
      </w:pPr>
      <w:r>
        <w:rPr>
          <w:rFonts w:ascii="Book Antiqua" w:eastAsiaTheme="minorHAnsi" w:hAnsi="Book Antiqua" w:cstheme="minorBidi"/>
          <w:sz w:val="22"/>
          <w:szCs w:val="22"/>
        </w:rPr>
        <w:br w:type="page"/>
      </w:r>
    </w:p>
    <w:p w:rsidR="009839AF" w:rsidRPr="008F78AD" w:rsidRDefault="009839AF" w:rsidP="00531C35">
      <w:pPr>
        <w:pStyle w:val="Paragraphedeliste"/>
        <w:numPr>
          <w:ilvl w:val="2"/>
          <w:numId w:val="21"/>
        </w:numPr>
        <w:spacing w:before="120" w:after="240" w:line="276" w:lineRule="auto"/>
        <w:ind w:left="851" w:hanging="284"/>
        <w:contextualSpacing w:val="0"/>
        <w:jc w:val="both"/>
        <w:outlineLvl w:val="2"/>
        <w:rPr>
          <w:rFonts w:ascii="Book Antiqua" w:hAnsi="Book Antiqua" w:cs="Arial"/>
          <w:b/>
          <w:noProof/>
          <w:sz w:val="22"/>
          <w:szCs w:val="22"/>
        </w:rPr>
      </w:pPr>
      <w:bookmarkStart w:id="45" w:name="_Toc523322035"/>
      <w:r w:rsidRPr="008F78AD">
        <w:rPr>
          <w:rFonts w:ascii="Book Antiqua" w:hAnsi="Book Antiqua" w:cs="Arial"/>
          <w:b/>
          <w:noProof/>
          <w:sz w:val="22"/>
          <w:szCs w:val="22"/>
        </w:rPr>
        <w:lastRenderedPageBreak/>
        <w:t>Appréciation sur le nombre d’agences</w:t>
      </w:r>
      <w:bookmarkEnd w:id="45"/>
    </w:p>
    <w:p w:rsidR="0092555C"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 xml:space="preserve">Une proportion de 44,7% des unités enquêtées déplore </w:t>
      </w:r>
      <w:r w:rsidR="00D511FE">
        <w:rPr>
          <w:rFonts w:ascii="Book Antiqua" w:eastAsiaTheme="minorHAnsi" w:hAnsi="Book Antiqua" w:cstheme="minorBidi"/>
          <w:sz w:val="22"/>
          <w:szCs w:val="22"/>
        </w:rPr>
        <w:t xml:space="preserve">le </w:t>
      </w:r>
      <w:r w:rsidRPr="009839AF">
        <w:rPr>
          <w:rFonts w:ascii="Book Antiqua" w:eastAsiaTheme="minorHAnsi" w:hAnsi="Book Antiqua" w:cstheme="minorBidi"/>
          <w:sz w:val="22"/>
          <w:szCs w:val="22"/>
        </w:rPr>
        <w:t>nombre</w:t>
      </w:r>
      <w:r w:rsidR="00D511FE">
        <w:rPr>
          <w:rFonts w:ascii="Book Antiqua" w:eastAsiaTheme="minorHAnsi" w:hAnsi="Book Antiqua" w:cstheme="minorBidi"/>
          <w:sz w:val="22"/>
          <w:szCs w:val="22"/>
        </w:rPr>
        <w:t xml:space="preserve"> insuffisant</w:t>
      </w:r>
      <w:r w:rsidRPr="009839AF">
        <w:rPr>
          <w:rFonts w:ascii="Book Antiqua" w:eastAsiaTheme="minorHAnsi" w:hAnsi="Book Antiqua" w:cstheme="minorBidi"/>
          <w:sz w:val="22"/>
          <w:szCs w:val="22"/>
        </w:rPr>
        <w:t xml:space="preserve"> d’agences de leur banque contre 53,5 % qui pensent que ces points de services sont en nombre « suffisant » et 1,8% qui </w:t>
      </w:r>
      <w:r w:rsidR="00D511FE">
        <w:rPr>
          <w:rFonts w:ascii="Book Antiqua" w:eastAsiaTheme="minorHAnsi" w:hAnsi="Book Antiqua" w:cstheme="minorBidi"/>
          <w:sz w:val="22"/>
          <w:szCs w:val="22"/>
        </w:rPr>
        <w:t xml:space="preserve">en </w:t>
      </w:r>
      <w:r w:rsidRPr="009839AF">
        <w:rPr>
          <w:rFonts w:ascii="Book Antiqua" w:eastAsiaTheme="minorHAnsi" w:hAnsi="Book Antiqua" w:cstheme="minorBidi"/>
          <w:sz w:val="22"/>
          <w:szCs w:val="22"/>
        </w:rPr>
        <w:t xml:space="preserve">ont une appréciation </w:t>
      </w:r>
      <w:r w:rsidR="00480F3D">
        <w:rPr>
          <w:rFonts w:ascii="Book Antiqua" w:eastAsiaTheme="minorHAnsi" w:hAnsi="Book Antiqua" w:cstheme="minorBidi"/>
          <w:sz w:val="22"/>
          <w:szCs w:val="22"/>
        </w:rPr>
        <w:t xml:space="preserve">très </w:t>
      </w:r>
      <w:r w:rsidRPr="009839AF">
        <w:rPr>
          <w:rFonts w:ascii="Book Antiqua" w:eastAsiaTheme="minorHAnsi" w:hAnsi="Book Antiqua" w:cstheme="minorBidi"/>
          <w:sz w:val="22"/>
          <w:szCs w:val="22"/>
        </w:rPr>
        <w:t>satisfaisante</w:t>
      </w:r>
      <w:r w:rsidR="00EA7657">
        <w:rPr>
          <w:rFonts w:ascii="Book Antiqua" w:eastAsiaTheme="minorHAnsi" w:hAnsi="Book Antiqua" w:cstheme="minorBidi"/>
          <w:sz w:val="22"/>
          <w:szCs w:val="22"/>
        </w:rPr>
        <w:t xml:space="preserve">. </w:t>
      </w:r>
    </w:p>
    <w:p w:rsidR="008553F5" w:rsidRPr="009839AF" w:rsidRDefault="008553F5" w:rsidP="00840635">
      <w:pPr>
        <w:spacing w:before="120" w:line="276" w:lineRule="auto"/>
        <w:contextualSpacing/>
        <w:jc w:val="both"/>
        <w:rPr>
          <w:rFonts w:ascii="Book Antiqua" w:eastAsiaTheme="minorHAnsi" w:hAnsi="Book Antiqua" w:cstheme="minorBidi"/>
          <w:sz w:val="22"/>
          <w:szCs w:val="22"/>
        </w:rPr>
      </w:pPr>
    </w:p>
    <w:p w:rsidR="0092555C" w:rsidRPr="00E0197C" w:rsidRDefault="0092555C" w:rsidP="00840635">
      <w:pPr>
        <w:pStyle w:val="Lgende"/>
        <w:keepNext/>
        <w:spacing w:line="276" w:lineRule="auto"/>
        <w:jc w:val="center"/>
        <w:rPr>
          <w:rFonts w:ascii="Book Antiqua" w:hAnsi="Book Antiqua"/>
          <w:color w:val="auto"/>
          <w:sz w:val="16"/>
        </w:rPr>
      </w:pPr>
      <w:bookmarkStart w:id="46" w:name="_Toc523313698"/>
      <w:r w:rsidRPr="00E0197C">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15</w:t>
      </w:r>
      <w:r w:rsidR="000D65F2">
        <w:rPr>
          <w:rFonts w:ascii="Book Antiqua" w:hAnsi="Book Antiqua"/>
          <w:color w:val="auto"/>
          <w:sz w:val="16"/>
        </w:rPr>
        <w:fldChar w:fldCharType="end"/>
      </w:r>
      <w:r w:rsidRPr="00E0197C">
        <w:rPr>
          <w:rFonts w:ascii="Book Antiqua" w:hAnsi="Book Antiqua"/>
          <w:color w:val="auto"/>
          <w:sz w:val="16"/>
        </w:rPr>
        <w:t>: Appréciation des unités sur le nombre d’agences de leur banque principale</w:t>
      </w:r>
      <w:bookmarkEnd w:id="46"/>
    </w:p>
    <w:p w:rsidR="009839AF" w:rsidRPr="009839AF" w:rsidRDefault="009839AF" w:rsidP="00840635">
      <w:pPr>
        <w:spacing w:before="120" w:line="276" w:lineRule="auto"/>
        <w:jc w:val="center"/>
        <w:rPr>
          <w:rFonts w:asciiTheme="minorHAnsi" w:eastAsiaTheme="minorHAnsi" w:hAnsiTheme="minorHAnsi" w:cstheme="minorBidi"/>
          <w:sz w:val="22"/>
          <w:szCs w:val="22"/>
        </w:rPr>
      </w:pPr>
      <w:r w:rsidRPr="009839AF">
        <w:rPr>
          <w:rFonts w:asciiTheme="minorHAnsi" w:eastAsiaTheme="minorHAnsi" w:hAnsiTheme="minorHAnsi" w:cstheme="minorBidi"/>
          <w:noProof/>
          <w:sz w:val="22"/>
          <w:szCs w:val="22"/>
        </w:rPr>
        <w:drawing>
          <wp:inline distT="0" distB="0" distL="0" distR="0">
            <wp:extent cx="3744261" cy="2203645"/>
            <wp:effectExtent l="19050" t="0" r="27639" b="6155"/>
            <wp:docPr id="290" name="Graphique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39AF" w:rsidRPr="009839AF" w:rsidRDefault="009839AF" w:rsidP="00840635">
      <w:pPr>
        <w:tabs>
          <w:tab w:val="left" w:pos="1320"/>
          <w:tab w:val="right" w:leader="dot" w:pos="9572"/>
        </w:tabs>
        <w:spacing w:before="120" w:after="100" w:line="276" w:lineRule="auto"/>
        <w:contextualSpacing/>
        <w:jc w:val="both"/>
        <w:rPr>
          <w:rFonts w:ascii="Book Antiqua" w:hAnsi="Book Antiqua" w:cs="Arial"/>
          <w:b/>
          <w:noProof/>
          <w:sz w:val="22"/>
          <w:szCs w:val="22"/>
        </w:rPr>
      </w:pPr>
    </w:p>
    <w:p w:rsidR="00217E7D" w:rsidRPr="00E0197C" w:rsidRDefault="009839AF" w:rsidP="00840635">
      <w:pPr>
        <w:tabs>
          <w:tab w:val="left" w:pos="1320"/>
          <w:tab w:val="right" w:leader="dot" w:pos="9572"/>
        </w:tabs>
        <w:spacing w:before="120" w:after="100" w:line="276" w:lineRule="auto"/>
        <w:contextualSpacing/>
        <w:jc w:val="both"/>
        <w:rPr>
          <w:rFonts w:ascii="Book Antiqua" w:hAnsi="Book Antiqua" w:cs="Arial"/>
          <w:noProof/>
          <w:sz w:val="22"/>
          <w:szCs w:val="22"/>
        </w:rPr>
      </w:pPr>
      <w:r w:rsidRPr="0092555C">
        <w:rPr>
          <w:rFonts w:ascii="Book Antiqua" w:hAnsi="Book Antiqua" w:cs="Arial"/>
          <w:noProof/>
          <w:sz w:val="22"/>
          <w:szCs w:val="22"/>
        </w:rPr>
        <w:t>Les opinions sur la même question diverge</w:t>
      </w:r>
      <w:r w:rsidR="00730F48">
        <w:rPr>
          <w:rFonts w:ascii="Book Antiqua" w:hAnsi="Book Antiqua" w:cs="Arial"/>
          <w:noProof/>
          <w:sz w:val="22"/>
          <w:szCs w:val="22"/>
        </w:rPr>
        <w:t>nt</w:t>
      </w:r>
      <w:r w:rsidRPr="0092555C">
        <w:rPr>
          <w:rFonts w:ascii="Book Antiqua" w:hAnsi="Book Antiqua" w:cs="Arial"/>
          <w:noProof/>
          <w:sz w:val="22"/>
          <w:szCs w:val="22"/>
        </w:rPr>
        <w:t xml:space="preserve"> selon la </w:t>
      </w:r>
      <w:r w:rsidR="00730F48">
        <w:rPr>
          <w:rFonts w:ascii="Book Antiqua" w:hAnsi="Book Antiqua" w:cs="Arial"/>
          <w:noProof/>
          <w:sz w:val="22"/>
          <w:szCs w:val="22"/>
        </w:rPr>
        <w:t xml:space="preserve">localisation </w:t>
      </w:r>
      <w:r w:rsidRPr="0092555C">
        <w:rPr>
          <w:rFonts w:ascii="Book Antiqua" w:hAnsi="Book Antiqua" w:cs="Arial"/>
          <w:noProof/>
          <w:sz w:val="22"/>
          <w:szCs w:val="22"/>
        </w:rPr>
        <w:t>géographique des unités enquêtées avec des</w:t>
      </w:r>
      <w:r w:rsidR="00730F48">
        <w:rPr>
          <w:rFonts w:ascii="Book Antiqua" w:hAnsi="Book Antiqua" w:cs="Arial"/>
          <w:noProof/>
          <w:sz w:val="22"/>
          <w:szCs w:val="22"/>
        </w:rPr>
        <w:t xml:space="preserve"> pics de</w:t>
      </w:r>
      <w:r w:rsidRPr="0092555C">
        <w:rPr>
          <w:rFonts w:ascii="Book Antiqua" w:hAnsi="Book Antiqua" w:cs="Arial"/>
          <w:noProof/>
          <w:sz w:val="22"/>
          <w:szCs w:val="22"/>
        </w:rPr>
        <w:t xml:space="preserve"> taux d’insatisfaction observés notamment dans les régions de Sédhiou (95,7%), Kolda (75,6%), Kédougou (74,6%) et Matam (68,3%). Il convient de souligner que le taux de satisfaction le plus élevé est enrigistré à Dakar avec une proportion de 66,3% des unités interrogées qui </w:t>
      </w:r>
      <w:r w:rsidR="00730F48">
        <w:rPr>
          <w:rFonts w:ascii="Book Antiqua" w:hAnsi="Book Antiqua" w:cs="Arial"/>
          <w:noProof/>
          <w:sz w:val="22"/>
          <w:szCs w:val="22"/>
        </w:rPr>
        <w:t xml:space="preserve">jugent </w:t>
      </w:r>
      <w:r w:rsidRPr="0092555C">
        <w:rPr>
          <w:rFonts w:ascii="Book Antiqua" w:hAnsi="Book Antiqua" w:cs="Arial"/>
          <w:noProof/>
          <w:sz w:val="22"/>
          <w:szCs w:val="22"/>
        </w:rPr>
        <w:t>satisfai</w:t>
      </w:r>
      <w:r w:rsidR="00730F48">
        <w:rPr>
          <w:rFonts w:ascii="Book Antiqua" w:hAnsi="Book Antiqua" w:cs="Arial"/>
          <w:noProof/>
          <w:sz w:val="22"/>
          <w:szCs w:val="22"/>
        </w:rPr>
        <w:t>sante</w:t>
      </w:r>
      <w:r w:rsidRPr="0092555C">
        <w:rPr>
          <w:rFonts w:ascii="Book Antiqua" w:hAnsi="Book Antiqua" w:cs="Arial"/>
          <w:noProof/>
          <w:sz w:val="22"/>
          <w:szCs w:val="22"/>
        </w:rPr>
        <w:t>la répartition des points de services</w:t>
      </w:r>
      <w:r w:rsidR="00730F48">
        <w:rPr>
          <w:rFonts w:ascii="Book Antiqua" w:hAnsi="Book Antiqua" w:cs="Arial"/>
          <w:noProof/>
          <w:sz w:val="22"/>
          <w:szCs w:val="22"/>
        </w:rPr>
        <w:t xml:space="preserve"> bancaires</w:t>
      </w:r>
      <w:r w:rsidRPr="0092555C">
        <w:rPr>
          <w:rFonts w:ascii="Book Antiqua" w:hAnsi="Book Antiqua" w:cs="Arial"/>
          <w:noProof/>
          <w:sz w:val="22"/>
          <w:szCs w:val="22"/>
        </w:rPr>
        <w:t xml:space="preserve">. </w:t>
      </w:r>
    </w:p>
    <w:p w:rsidR="00944135" w:rsidRDefault="00944135" w:rsidP="00840635">
      <w:pPr>
        <w:pStyle w:val="Lgende"/>
        <w:keepNext/>
        <w:spacing w:line="276" w:lineRule="auto"/>
        <w:jc w:val="center"/>
        <w:rPr>
          <w:color w:val="auto"/>
          <w:sz w:val="16"/>
        </w:rPr>
      </w:pPr>
      <w:bookmarkStart w:id="47" w:name="_Toc523313699"/>
    </w:p>
    <w:p w:rsidR="00217E7D" w:rsidRPr="00217E7D" w:rsidRDefault="00217E7D" w:rsidP="00840635">
      <w:pPr>
        <w:pStyle w:val="Lgende"/>
        <w:keepNext/>
        <w:spacing w:line="276" w:lineRule="auto"/>
        <w:jc w:val="center"/>
        <w:rPr>
          <w:color w:val="auto"/>
          <w:sz w:val="16"/>
        </w:rPr>
      </w:pPr>
      <w:r w:rsidRPr="00217E7D">
        <w:rPr>
          <w:color w:val="auto"/>
          <w:sz w:val="16"/>
        </w:rPr>
        <w:t xml:space="preserve">Figure </w:t>
      </w:r>
      <w:r w:rsidR="000D65F2">
        <w:rPr>
          <w:color w:val="auto"/>
          <w:sz w:val="16"/>
        </w:rPr>
        <w:fldChar w:fldCharType="begin"/>
      </w:r>
      <w:r w:rsidR="002708B0">
        <w:rPr>
          <w:color w:val="auto"/>
          <w:sz w:val="16"/>
        </w:rPr>
        <w:instrText xml:space="preserve"> SEQ Figure \* ARABIC </w:instrText>
      </w:r>
      <w:r w:rsidR="000D65F2">
        <w:rPr>
          <w:color w:val="auto"/>
          <w:sz w:val="16"/>
        </w:rPr>
        <w:fldChar w:fldCharType="separate"/>
      </w:r>
      <w:r w:rsidR="000F780F">
        <w:rPr>
          <w:noProof/>
          <w:color w:val="auto"/>
          <w:sz w:val="16"/>
        </w:rPr>
        <w:t>16</w:t>
      </w:r>
      <w:r w:rsidR="000D65F2">
        <w:rPr>
          <w:color w:val="auto"/>
          <w:sz w:val="16"/>
        </w:rPr>
        <w:fldChar w:fldCharType="end"/>
      </w:r>
      <w:r w:rsidRPr="00217E7D">
        <w:rPr>
          <w:color w:val="auto"/>
          <w:sz w:val="16"/>
        </w:rPr>
        <w:t>: Appréciation des unités sur le nombre d’agences de leur banque principale selon les régions</w:t>
      </w:r>
      <w:bookmarkEnd w:id="47"/>
    </w:p>
    <w:p w:rsidR="009839AF" w:rsidRPr="009839AF" w:rsidRDefault="009839AF" w:rsidP="00840635">
      <w:pPr>
        <w:spacing w:before="120" w:line="276" w:lineRule="auto"/>
        <w:jc w:val="center"/>
        <w:rPr>
          <w:rFonts w:asciiTheme="minorHAnsi" w:eastAsiaTheme="minorHAnsi" w:hAnsiTheme="minorHAnsi" w:cstheme="minorBidi"/>
          <w:sz w:val="22"/>
          <w:szCs w:val="22"/>
        </w:rPr>
      </w:pPr>
      <w:r w:rsidRPr="009839AF">
        <w:rPr>
          <w:rFonts w:asciiTheme="minorHAnsi" w:eastAsiaTheme="minorHAnsi" w:hAnsiTheme="minorHAnsi" w:cstheme="minorBidi"/>
          <w:noProof/>
          <w:sz w:val="22"/>
          <w:szCs w:val="22"/>
        </w:rPr>
        <w:drawing>
          <wp:inline distT="0" distB="0" distL="0" distR="0">
            <wp:extent cx="4107626" cy="2119745"/>
            <wp:effectExtent l="19050" t="0" r="26224" b="0"/>
            <wp:docPr id="291" name="Graphique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12A42" w:rsidRPr="005715F2" w:rsidRDefault="00912A42" w:rsidP="00840635">
      <w:pPr>
        <w:spacing w:after="200" w:line="276" w:lineRule="auto"/>
        <w:rPr>
          <w:rFonts w:ascii="Book Antiqua" w:hAnsi="Book Antiqua" w:cs="Arial"/>
          <w:b/>
          <w:noProof/>
          <w:sz w:val="20"/>
          <w:szCs w:val="22"/>
        </w:rPr>
      </w:pPr>
    </w:p>
    <w:p w:rsidR="009839AF" w:rsidRPr="00EA752B" w:rsidRDefault="009839AF" w:rsidP="00531C35">
      <w:pPr>
        <w:pStyle w:val="Paragraphedeliste"/>
        <w:numPr>
          <w:ilvl w:val="2"/>
          <w:numId w:val="21"/>
        </w:numPr>
        <w:spacing w:before="120" w:after="240" w:line="276" w:lineRule="auto"/>
        <w:ind w:left="1077" w:hanging="510"/>
        <w:contextualSpacing w:val="0"/>
        <w:jc w:val="both"/>
        <w:outlineLvl w:val="2"/>
        <w:rPr>
          <w:rFonts w:ascii="Book Antiqua" w:hAnsi="Book Antiqua" w:cs="Arial"/>
          <w:b/>
          <w:noProof/>
          <w:sz w:val="22"/>
          <w:szCs w:val="22"/>
        </w:rPr>
      </w:pPr>
      <w:bookmarkStart w:id="48" w:name="_Toc523322036"/>
      <w:r w:rsidRPr="00EA752B">
        <w:rPr>
          <w:rFonts w:ascii="Book Antiqua" w:hAnsi="Book Antiqua" w:cs="Arial"/>
          <w:b/>
          <w:noProof/>
          <w:sz w:val="22"/>
          <w:szCs w:val="22"/>
        </w:rPr>
        <w:t>Nombre de guichets fonctionnels et durée de traitement des opérations de caisse</w:t>
      </w:r>
      <w:bookmarkEnd w:id="48"/>
    </w:p>
    <w:p w:rsidR="009839AF"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Plus de la moitié (56,5%) des unités enquêtées juge</w:t>
      </w:r>
      <w:r w:rsidR="00912AEA">
        <w:rPr>
          <w:rFonts w:ascii="Book Antiqua" w:eastAsiaTheme="minorHAnsi" w:hAnsi="Book Antiqua" w:cstheme="minorBidi"/>
          <w:sz w:val="22"/>
          <w:szCs w:val="22"/>
        </w:rPr>
        <w:t>nt</w:t>
      </w:r>
      <w:r w:rsidRPr="009839AF">
        <w:rPr>
          <w:rFonts w:ascii="Book Antiqua" w:eastAsiaTheme="minorHAnsi" w:hAnsi="Book Antiqua" w:cstheme="minorBidi"/>
          <w:sz w:val="22"/>
          <w:szCs w:val="22"/>
        </w:rPr>
        <w:t xml:space="preserve"> insuffisant le nombre de guichets fonctionnels </w:t>
      </w:r>
      <w:r w:rsidR="00912AEA">
        <w:rPr>
          <w:rFonts w:ascii="Book Antiqua" w:eastAsiaTheme="minorHAnsi" w:hAnsi="Book Antiqua" w:cstheme="minorBidi"/>
          <w:sz w:val="22"/>
          <w:szCs w:val="22"/>
        </w:rPr>
        <w:t xml:space="preserve">de leur banque principale </w:t>
      </w:r>
      <w:r w:rsidRPr="009839AF">
        <w:rPr>
          <w:rFonts w:ascii="Book Antiqua" w:eastAsiaTheme="minorHAnsi" w:hAnsi="Book Antiqua" w:cstheme="minorBidi"/>
          <w:sz w:val="22"/>
          <w:szCs w:val="22"/>
        </w:rPr>
        <w:t xml:space="preserve">contre une proportion de 42,6% qui </w:t>
      </w:r>
      <w:r w:rsidR="00912AEA">
        <w:rPr>
          <w:rFonts w:ascii="Book Antiqua" w:eastAsiaTheme="minorHAnsi" w:hAnsi="Book Antiqua" w:cstheme="minorBidi"/>
          <w:sz w:val="22"/>
          <w:szCs w:val="22"/>
        </w:rPr>
        <w:t xml:space="preserve">soutient le contraire. </w:t>
      </w:r>
      <w:r w:rsidRPr="009839AF">
        <w:rPr>
          <w:rFonts w:ascii="Book Antiqua" w:eastAsiaTheme="minorHAnsi" w:hAnsi="Book Antiqua" w:cstheme="minorBidi"/>
          <w:sz w:val="22"/>
          <w:szCs w:val="22"/>
        </w:rPr>
        <w:t xml:space="preserve">Seules 1,0% des unités interrogées pensent que les guichets </w:t>
      </w:r>
      <w:r w:rsidR="003E5841">
        <w:rPr>
          <w:rFonts w:ascii="Book Antiqua" w:eastAsiaTheme="minorHAnsi" w:hAnsi="Book Antiqua" w:cstheme="minorBidi"/>
          <w:sz w:val="22"/>
          <w:szCs w:val="22"/>
        </w:rPr>
        <w:t xml:space="preserve">sont en nombre très suffisant. </w:t>
      </w:r>
    </w:p>
    <w:p w:rsidR="003E5841" w:rsidRPr="009839AF" w:rsidRDefault="003E5841" w:rsidP="00840635">
      <w:pPr>
        <w:spacing w:before="120" w:line="276" w:lineRule="auto"/>
        <w:jc w:val="both"/>
        <w:rPr>
          <w:rFonts w:ascii="Book Antiqua" w:eastAsiaTheme="minorHAnsi" w:hAnsi="Book Antiqua" w:cstheme="minorBidi"/>
          <w:sz w:val="22"/>
          <w:szCs w:val="22"/>
        </w:rPr>
      </w:pPr>
    </w:p>
    <w:p w:rsidR="003E5841" w:rsidRPr="008553F5" w:rsidRDefault="003E5841" w:rsidP="00840635">
      <w:pPr>
        <w:pStyle w:val="Lgende"/>
        <w:keepNext/>
        <w:spacing w:line="276" w:lineRule="auto"/>
        <w:jc w:val="center"/>
        <w:rPr>
          <w:rFonts w:ascii="Book Antiqua" w:hAnsi="Book Antiqua"/>
          <w:color w:val="auto"/>
          <w:sz w:val="16"/>
        </w:rPr>
      </w:pPr>
      <w:bookmarkStart w:id="49" w:name="_Toc523313700"/>
      <w:r w:rsidRPr="008553F5">
        <w:rPr>
          <w:rFonts w:ascii="Book Antiqua" w:hAnsi="Book Antiqua"/>
          <w:color w:val="auto"/>
          <w:sz w:val="16"/>
        </w:rPr>
        <w:lastRenderedPageBreak/>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17</w:t>
      </w:r>
      <w:r w:rsidR="000D65F2">
        <w:rPr>
          <w:rFonts w:ascii="Book Antiqua" w:hAnsi="Book Antiqua"/>
          <w:color w:val="auto"/>
          <w:sz w:val="16"/>
        </w:rPr>
        <w:fldChar w:fldCharType="end"/>
      </w:r>
      <w:r w:rsidRPr="008553F5">
        <w:rPr>
          <w:rFonts w:ascii="Book Antiqua" w:hAnsi="Book Antiqua"/>
          <w:color w:val="auto"/>
          <w:sz w:val="16"/>
        </w:rPr>
        <w:t>: Appréciation des unités sur le nombre de guichets fonctionnels des banques</w:t>
      </w:r>
      <w:bookmarkEnd w:id="49"/>
    </w:p>
    <w:p w:rsidR="009839AF" w:rsidRPr="009839AF" w:rsidRDefault="009839AF" w:rsidP="00840635">
      <w:pPr>
        <w:spacing w:before="120" w:line="276" w:lineRule="auto"/>
        <w:jc w:val="center"/>
        <w:rPr>
          <w:rFonts w:asciiTheme="minorHAnsi" w:eastAsiaTheme="minorHAnsi" w:hAnsiTheme="minorHAnsi" w:cstheme="minorBidi"/>
          <w:sz w:val="22"/>
          <w:szCs w:val="22"/>
        </w:rPr>
      </w:pPr>
      <w:r w:rsidRPr="009839AF">
        <w:rPr>
          <w:rFonts w:asciiTheme="minorHAnsi" w:eastAsiaTheme="minorHAnsi" w:hAnsiTheme="minorHAnsi" w:cstheme="minorBidi"/>
          <w:noProof/>
          <w:sz w:val="22"/>
          <w:szCs w:val="22"/>
        </w:rPr>
        <w:drawing>
          <wp:inline distT="0" distB="0" distL="0" distR="0">
            <wp:extent cx="3793787" cy="2214748"/>
            <wp:effectExtent l="19050" t="0" r="16213" b="0"/>
            <wp:docPr id="29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E5841" w:rsidRDefault="003E5841" w:rsidP="00840635">
      <w:pPr>
        <w:spacing w:before="120" w:line="276" w:lineRule="auto"/>
        <w:jc w:val="both"/>
        <w:rPr>
          <w:rFonts w:ascii="Book Antiqua" w:eastAsiaTheme="minorHAnsi" w:hAnsi="Book Antiqua" w:cstheme="minorBidi"/>
          <w:sz w:val="22"/>
          <w:szCs w:val="22"/>
        </w:rPr>
      </w:pPr>
    </w:p>
    <w:p w:rsidR="009839AF"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L’analyse de la perception des unités</w:t>
      </w:r>
      <w:r w:rsidR="00912A42">
        <w:rPr>
          <w:rFonts w:ascii="Book Antiqua" w:eastAsiaTheme="minorHAnsi" w:hAnsi="Book Antiqua" w:cstheme="minorBidi"/>
          <w:sz w:val="22"/>
          <w:szCs w:val="22"/>
        </w:rPr>
        <w:t xml:space="preserve"> </w:t>
      </w:r>
      <w:r w:rsidR="00223A58" w:rsidRPr="009839AF">
        <w:rPr>
          <w:rFonts w:ascii="Book Antiqua" w:eastAsiaTheme="minorHAnsi" w:hAnsi="Book Antiqua" w:cstheme="minorBidi"/>
          <w:sz w:val="22"/>
          <w:szCs w:val="22"/>
        </w:rPr>
        <w:t xml:space="preserve">sur le nombre des guichets </w:t>
      </w:r>
      <w:r w:rsidR="00223A58">
        <w:rPr>
          <w:rFonts w:ascii="Book Antiqua" w:eastAsiaTheme="minorHAnsi" w:hAnsi="Book Antiqua" w:cstheme="minorBidi"/>
          <w:sz w:val="22"/>
          <w:szCs w:val="22"/>
        </w:rPr>
        <w:t>fonctionnels</w:t>
      </w:r>
      <w:r w:rsidR="00912A42">
        <w:rPr>
          <w:rFonts w:ascii="Book Antiqua" w:eastAsiaTheme="minorHAnsi" w:hAnsi="Book Antiqua" w:cstheme="minorBidi"/>
          <w:sz w:val="22"/>
          <w:szCs w:val="22"/>
        </w:rPr>
        <w:t xml:space="preserve"> </w:t>
      </w:r>
      <w:r w:rsidRPr="009839AF">
        <w:rPr>
          <w:rFonts w:ascii="Book Antiqua" w:eastAsiaTheme="minorHAnsi" w:hAnsi="Book Antiqua" w:cstheme="minorBidi"/>
          <w:sz w:val="22"/>
          <w:szCs w:val="22"/>
        </w:rPr>
        <w:t>selon leur localisation géographique révèle des taux d’</w:t>
      </w:r>
      <w:r w:rsidR="003E5841" w:rsidRPr="009839AF">
        <w:rPr>
          <w:rFonts w:ascii="Book Antiqua" w:eastAsiaTheme="minorHAnsi" w:hAnsi="Book Antiqua" w:cstheme="minorBidi"/>
          <w:sz w:val="22"/>
          <w:szCs w:val="22"/>
        </w:rPr>
        <w:t>insatisfaction</w:t>
      </w:r>
      <w:r w:rsidR="00912A42">
        <w:rPr>
          <w:rFonts w:ascii="Book Antiqua" w:eastAsiaTheme="minorHAnsi" w:hAnsi="Book Antiqua" w:cstheme="minorBidi"/>
          <w:sz w:val="22"/>
          <w:szCs w:val="22"/>
        </w:rPr>
        <w:t xml:space="preserve"> </w:t>
      </w:r>
      <w:r w:rsidRPr="009839AF">
        <w:rPr>
          <w:rFonts w:ascii="Book Antiqua" w:eastAsiaTheme="minorHAnsi" w:hAnsi="Book Antiqua" w:cstheme="minorBidi"/>
          <w:sz w:val="22"/>
          <w:szCs w:val="22"/>
        </w:rPr>
        <w:t>élevés notamment dans les régions de</w:t>
      </w:r>
      <w:r w:rsidR="00912A42">
        <w:rPr>
          <w:rFonts w:ascii="Book Antiqua" w:eastAsiaTheme="minorHAnsi" w:hAnsi="Book Antiqua" w:cstheme="minorBidi"/>
          <w:sz w:val="22"/>
          <w:szCs w:val="22"/>
        </w:rPr>
        <w:t xml:space="preserve"> </w:t>
      </w:r>
      <w:proofErr w:type="spellStart"/>
      <w:r w:rsidRPr="009839AF">
        <w:rPr>
          <w:rFonts w:ascii="Book Antiqua" w:eastAsiaTheme="minorHAnsi" w:hAnsi="Book Antiqua" w:cstheme="minorBidi"/>
          <w:sz w:val="22"/>
          <w:szCs w:val="22"/>
        </w:rPr>
        <w:t>Sédhiou</w:t>
      </w:r>
      <w:proofErr w:type="spellEnd"/>
      <w:r w:rsidRPr="009839AF">
        <w:rPr>
          <w:rFonts w:ascii="Book Antiqua" w:eastAsiaTheme="minorHAnsi" w:hAnsi="Book Antiqua" w:cstheme="minorBidi"/>
          <w:sz w:val="22"/>
          <w:szCs w:val="22"/>
        </w:rPr>
        <w:t xml:space="preserve"> (89,4%), Kédougou (82,5%), Diourbel (77,6%), et Matam (70,7%). </w:t>
      </w:r>
      <w:r w:rsidR="00F018F0">
        <w:rPr>
          <w:rFonts w:ascii="Book Antiqua" w:eastAsiaTheme="minorHAnsi" w:hAnsi="Book Antiqua" w:cstheme="minorBidi"/>
          <w:sz w:val="22"/>
          <w:szCs w:val="22"/>
        </w:rPr>
        <w:t xml:space="preserve">Des </w:t>
      </w:r>
      <w:r w:rsidRPr="009839AF">
        <w:rPr>
          <w:rFonts w:ascii="Book Antiqua" w:eastAsiaTheme="minorHAnsi" w:hAnsi="Book Antiqua" w:cstheme="minorBidi"/>
          <w:sz w:val="22"/>
          <w:szCs w:val="22"/>
        </w:rPr>
        <w:t xml:space="preserve">taux de satisfaction élevés sont </w:t>
      </w:r>
      <w:r w:rsidR="00223A58">
        <w:rPr>
          <w:rFonts w:ascii="Book Antiqua" w:eastAsiaTheme="minorHAnsi" w:hAnsi="Book Antiqua" w:cstheme="minorBidi"/>
          <w:sz w:val="22"/>
          <w:szCs w:val="22"/>
        </w:rPr>
        <w:t xml:space="preserve">toutefois </w:t>
      </w:r>
      <w:r w:rsidR="003E5841" w:rsidRPr="009839AF">
        <w:rPr>
          <w:rFonts w:ascii="Book Antiqua" w:eastAsiaTheme="minorHAnsi" w:hAnsi="Book Antiqua" w:cstheme="minorBidi"/>
          <w:sz w:val="22"/>
          <w:szCs w:val="22"/>
        </w:rPr>
        <w:t>enregistrés</w:t>
      </w:r>
      <w:r w:rsidRPr="009839AF">
        <w:rPr>
          <w:rFonts w:ascii="Book Antiqua" w:eastAsiaTheme="minorHAnsi" w:hAnsi="Book Antiqua" w:cstheme="minorBidi"/>
          <w:sz w:val="22"/>
          <w:szCs w:val="22"/>
        </w:rPr>
        <w:t xml:space="preserve"> à Louga (62,8%), </w:t>
      </w:r>
      <w:proofErr w:type="spellStart"/>
      <w:r w:rsidRPr="009839AF">
        <w:rPr>
          <w:rFonts w:ascii="Book Antiqua" w:eastAsiaTheme="minorHAnsi" w:hAnsi="Book Antiqua" w:cstheme="minorBidi"/>
          <w:sz w:val="22"/>
          <w:szCs w:val="22"/>
        </w:rPr>
        <w:t>Fatick</w:t>
      </w:r>
      <w:proofErr w:type="spellEnd"/>
      <w:r w:rsidRPr="009839AF">
        <w:rPr>
          <w:rFonts w:ascii="Book Antiqua" w:eastAsiaTheme="minorHAnsi" w:hAnsi="Book Antiqua" w:cstheme="minorBidi"/>
          <w:sz w:val="22"/>
          <w:szCs w:val="22"/>
        </w:rPr>
        <w:t xml:space="preserve"> (55%), </w:t>
      </w:r>
      <w:r w:rsidR="003E5841" w:rsidRPr="009839AF">
        <w:rPr>
          <w:rFonts w:ascii="Book Antiqua" w:eastAsiaTheme="minorHAnsi" w:hAnsi="Book Antiqua" w:cstheme="minorBidi"/>
          <w:sz w:val="22"/>
          <w:szCs w:val="22"/>
        </w:rPr>
        <w:t>Thiès</w:t>
      </w:r>
      <w:r w:rsidRPr="009839AF">
        <w:rPr>
          <w:rFonts w:ascii="Book Antiqua" w:eastAsiaTheme="minorHAnsi" w:hAnsi="Book Antiqua" w:cstheme="minorBidi"/>
          <w:sz w:val="22"/>
          <w:szCs w:val="22"/>
        </w:rPr>
        <w:t xml:space="preserve"> (54,4%) et  Saint Louis (54,3%).</w:t>
      </w:r>
    </w:p>
    <w:p w:rsidR="0031048B" w:rsidRPr="009839AF" w:rsidRDefault="0031048B" w:rsidP="00840635">
      <w:pPr>
        <w:spacing w:before="120" w:line="276" w:lineRule="auto"/>
        <w:jc w:val="both"/>
        <w:rPr>
          <w:rFonts w:ascii="Book Antiqua" w:eastAsiaTheme="minorHAnsi" w:hAnsi="Book Antiqua" w:cstheme="minorBidi"/>
          <w:sz w:val="22"/>
          <w:szCs w:val="22"/>
        </w:rPr>
      </w:pPr>
    </w:p>
    <w:p w:rsidR="0031048B" w:rsidRPr="008553F5" w:rsidRDefault="0031048B" w:rsidP="00840635">
      <w:pPr>
        <w:pStyle w:val="Lgende"/>
        <w:keepNext/>
        <w:spacing w:line="276" w:lineRule="auto"/>
        <w:jc w:val="center"/>
        <w:rPr>
          <w:rFonts w:ascii="Book Antiqua" w:hAnsi="Book Antiqua"/>
          <w:color w:val="auto"/>
          <w:sz w:val="16"/>
        </w:rPr>
      </w:pPr>
      <w:bookmarkStart w:id="50" w:name="_Toc523313701"/>
      <w:r w:rsidRPr="008553F5">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18</w:t>
      </w:r>
      <w:r w:rsidR="000D65F2">
        <w:rPr>
          <w:rFonts w:ascii="Book Antiqua" w:hAnsi="Book Antiqua"/>
          <w:color w:val="auto"/>
          <w:sz w:val="16"/>
        </w:rPr>
        <w:fldChar w:fldCharType="end"/>
      </w:r>
      <w:r w:rsidR="00E0197C">
        <w:rPr>
          <w:rFonts w:ascii="Book Antiqua" w:hAnsi="Book Antiqua"/>
          <w:color w:val="auto"/>
          <w:sz w:val="16"/>
        </w:rPr>
        <w:t xml:space="preserve"> </w:t>
      </w:r>
      <w:r w:rsidRPr="008553F5">
        <w:rPr>
          <w:rFonts w:ascii="Book Antiqua" w:hAnsi="Book Antiqua"/>
          <w:color w:val="auto"/>
          <w:sz w:val="16"/>
        </w:rPr>
        <w:t>: Appréciation des unités sur le nombre de guichets fonctionnels des banques selon les régions</w:t>
      </w:r>
      <w:bookmarkEnd w:id="50"/>
    </w:p>
    <w:p w:rsidR="009839AF" w:rsidRPr="009839AF" w:rsidRDefault="009839AF" w:rsidP="00840635">
      <w:pPr>
        <w:spacing w:before="120" w:line="276" w:lineRule="auto"/>
        <w:jc w:val="center"/>
        <w:rPr>
          <w:rFonts w:ascii="Book Antiqua" w:eastAsiaTheme="minorHAnsi" w:hAnsi="Book Antiqua" w:cstheme="minorBidi"/>
          <w:sz w:val="22"/>
          <w:szCs w:val="22"/>
        </w:rPr>
      </w:pPr>
      <w:r w:rsidRPr="009839AF">
        <w:rPr>
          <w:rFonts w:ascii="Book Antiqua" w:eastAsiaTheme="minorHAnsi" w:hAnsi="Book Antiqua" w:cstheme="minorBidi"/>
          <w:noProof/>
          <w:sz w:val="22"/>
          <w:szCs w:val="22"/>
        </w:rPr>
        <w:drawing>
          <wp:inline distT="0" distB="0" distL="0" distR="0">
            <wp:extent cx="4210824" cy="2578934"/>
            <wp:effectExtent l="0" t="0" r="18415" b="12065"/>
            <wp:docPr id="293"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44135" w:rsidRDefault="00944135" w:rsidP="00840635">
      <w:pPr>
        <w:spacing w:after="200" w:line="276" w:lineRule="auto"/>
        <w:rPr>
          <w:rFonts w:ascii="Book Antiqua" w:eastAsiaTheme="minorHAnsi" w:hAnsi="Book Antiqua" w:cstheme="minorBidi"/>
          <w:sz w:val="22"/>
          <w:szCs w:val="22"/>
        </w:rPr>
      </w:pPr>
    </w:p>
    <w:p w:rsidR="00110E2B" w:rsidRPr="009839AF"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 xml:space="preserve">L’appréciation négative des unités sur le </w:t>
      </w:r>
      <w:r w:rsidR="00AC390C">
        <w:rPr>
          <w:rFonts w:ascii="Book Antiqua" w:eastAsiaTheme="minorHAnsi" w:hAnsi="Book Antiqua" w:cstheme="minorBidi"/>
          <w:sz w:val="22"/>
          <w:szCs w:val="22"/>
        </w:rPr>
        <w:t>nombre de guichets fonctionnels</w:t>
      </w:r>
      <w:r w:rsidR="00026685">
        <w:rPr>
          <w:rFonts w:ascii="Book Antiqua" w:eastAsiaTheme="minorHAnsi" w:hAnsi="Book Antiqua" w:cstheme="minorBidi"/>
          <w:sz w:val="22"/>
          <w:szCs w:val="22"/>
        </w:rPr>
        <w:t xml:space="preserve"> a été également observée sur</w:t>
      </w:r>
      <w:r w:rsidR="00912A42">
        <w:rPr>
          <w:rFonts w:ascii="Book Antiqua" w:eastAsiaTheme="minorHAnsi" w:hAnsi="Book Antiqua" w:cstheme="minorBidi"/>
          <w:sz w:val="22"/>
          <w:szCs w:val="22"/>
        </w:rPr>
        <w:t xml:space="preserve"> </w:t>
      </w:r>
      <w:r w:rsidR="00026685">
        <w:rPr>
          <w:rFonts w:ascii="Book Antiqua" w:eastAsiaTheme="minorHAnsi" w:hAnsi="Book Antiqua" w:cstheme="minorBidi"/>
          <w:sz w:val="22"/>
          <w:szCs w:val="22"/>
        </w:rPr>
        <w:t xml:space="preserve">la </w:t>
      </w:r>
      <w:r w:rsidRPr="009839AF">
        <w:rPr>
          <w:rFonts w:ascii="Book Antiqua" w:eastAsiaTheme="minorHAnsi" w:hAnsi="Book Antiqua" w:cstheme="minorBidi"/>
          <w:sz w:val="22"/>
          <w:szCs w:val="22"/>
        </w:rPr>
        <w:t>satisfaction concernant la rapidité de traitement des opérations de caisse. En effet, une proportion de 48,4% des unités interrogées déplore le manque de célérité des opérations de caisse</w:t>
      </w:r>
      <w:r w:rsidR="00891A93">
        <w:rPr>
          <w:rFonts w:ascii="Book Antiqua" w:eastAsiaTheme="minorHAnsi" w:hAnsi="Book Antiqua" w:cstheme="minorBidi"/>
          <w:sz w:val="22"/>
          <w:szCs w:val="22"/>
        </w:rPr>
        <w:t xml:space="preserve"> contre</w:t>
      </w:r>
      <w:r w:rsidR="008553F5">
        <w:rPr>
          <w:rFonts w:ascii="Book Antiqua" w:eastAsiaTheme="minorHAnsi" w:hAnsi="Book Antiqua" w:cstheme="minorBidi"/>
          <w:sz w:val="22"/>
          <w:szCs w:val="22"/>
        </w:rPr>
        <w:t xml:space="preserve"> </w:t>
      </w:r>
      <w:r w:rsidR="00891A93">
        <w:rPr>
          <w:rFonts w:ascii="Book Antiqua" w:eastAsiaTheme="minorHAnsi" w:hAnsi="Book Antiqua" w:cstheme="minorBidi"/>
          <w:sz w:val="22"/>
          <w:szCs w:val="22"/>
        </w:rPr>
        <w:t xml:space="preserve">2,6% et 49,1% qui jugent respectivement « très satisfaisante » et «  satisfaisante » leur durée de traitement. </w:t>
      </w:r>
    </w:p>
    <w:p w:rsidR="0020712E" w:rsidRPr="008553F5" w:rsidRDefault="0020712E" w:rsidP="00840635">
      <w:pPr>
        <w:pStyle w:val="Lgende"/>
        <w:keepNext/>
        <w:spacing w:line="276" w:lineRule="auto"/>
        <w:jc w:val="center"/>
        <w:rPr>
          <w:rFonts w:ascii="Book Antiqua" w:hAnsi="Book Antiqua"/>
          <w:color w:val="auto"/>
          <w:sz w:val="16"/>
        </w:rPr>
      </w:pPr>
      <w:bookmarkStart w:id="51" w:name="_Toc523313702"/>
      <w:r w:rsidRPr="008553F5">
        <w:rPr>
          <w:rFonts w:ascii="Book Antiqua" w:hAnsi="Book Antiqua"/>
          <w:color w:val="auto"/>
          <w:sz w:val="16"/>
        </w:rPr>
        <w:lastRenderedPageBreak/>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19</w:t>
      </w:r>
      <w:r w:rsidR="000D65F2">
        <w:rPr>
          <w:rFonts w:ascii="Book Antiqua" w:hAnsi="Book Antiqua"/>
          <w:color w:val="auto"/>
          <w:sz w:val="16"/>
        </w:rPr>
        <w:fldChar w:fldCharType="end"/>
      </w:r>
      <w:r w:rsidRPr="008553F5">
        <w:rPr>
          <w:rFonts w:ascii="Book Antiqua" w:hAnsi="Book Antiqua"/>
          <w:color w:val="auto"/>
          <w:sz w:val="16"/>
        </w:rPr>
        <w:t>: Appréciation des unités sur la durée de traitement des opérations de caisse</w:t>
      </w:r>
      <w:bookmarkEnd w:id="51"/>
    </w:p>
    <w:p w:rsidR="0020712E" w:rsidRDefault="009839AF" w:rsidP="00840635">
      <w:pPr>
        <w:tabs>
          <w:tab w:val="left" w:pos="880"/>
          <w:tab w:val="right" w:leader="dot" w:pos="9572"/>
        </w:tabs>
        <w:spacing w:before="120" w:after="100" w:line="276" w:lineRule="auto"/>
        <w:contextualSpacing/>
        <w:jc w:val="center"/>
        <w:rPr>
          <w:rFonts w:ascii="Book Antiqua" w:hAnsi="Book Antiqua" w:cs="Arial"/>
          <w:noProof/>
          <w:sz w:val="22"/>
          <w:szCs w:val="22"/>
        </w:rPr>
      </w:pPr>
      <w:r w:rsidRPr="009839AF">
        <w:rPr>
          <w:rFonts w:ascii="Book Antiqua" w:hAnsi="Book Antiqua" w:cs="Arial"/>
          <w:noProof/>
          <w:sz w:val="22"/>
          <w:szCs w:val="22"/>
        </w:rPr>
        <w:drawing>
          <wp:inline distT="0" distB="0" distL="0" distR="0">
            <wp:extent cx="3933876" cy="2473472"/>
            <wp:effectExtent l="0" t="0" r="9525" b="3175"/>
            <wp:docPr id="29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10E2B" w:rsidRPr="00110E2B" w:rsidRDefault="00110E2B" w:rsidP="00840635">
      <w:pPr>
        <w:tabs>
          <w:tab w:val="left" w:pos="880"/>
          <w:tab w:val="right" w:leader="dot" w:pos="9572"/>
        </w:tabs>
        <w:spacing w:before="120" w:after="100" w:line="276" w:lineRule="auto"/>
        <w:contextualSpacing/>
        <w:jc w:val="center"/>
        <w:rPr>
          <w:rFonts w:ascii="Book Antiqua" w:hAnsi="Book Antiqua" w:cs="Arial"/>
          <w:noProof/>
          <w:sz w:val="22"/>
          <w:szCs w:val="22"/>
        </w:rPr>
      </w:pPr>
    </w:p>
    <w:p w:rsidR="009839AF"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 xml:space="preserve">Suivant les régions, </w:t>
      </w:r>
      <w:r w:rsidR="00B66C63">
        <w:rPr>
          <w:rFonts w:ascii="Book Antiqua" w:eastAsiaTheme="minorHAnsi" w:hAnsi="Book Antiqua" w:cstheme="minorBidi"/>
          <w:sz w:val="22"/>
          <w:szCs w:val="22"/>
        </w:rPr>
        <w:t xml:space="preserve">la perception des </w:t>
      </w:r>
      <w:r w:rsidRPr="009839AF">
        <w:rPr>
          <w:rFonts w:ascii="Book Antiqua" w:eastAsiaTheme="minorHAnsi" w:hAnsi="Book Antiqua" w:cstheme="minorBidi"/>
          <w:sz w:val="22"/>
          <w:szCs w:val="22"/>
        </w:rPr>
        <w:t xml:space="preserve">unités enquêtées sur la durée de traitement des opérations de caisse montre également des niveaux d’insatisfaction élevés notamment à Kédougou (77,8%), </w:t>
      </w:r>
      <w:proofErr w:type="spellStart"/>
      <w:r w:rsidRPr="009839AF">
        <w:rPr>
          <w:rFonts w:ascii="Book Antiqua" w:eastAsiaTheme="minorHAnsi" w:hAnsi="Book Antiqua" w:cstheme="minorBidi"/>
          <w:sz w:val="22"/>
          <w:szCs w:val="22"/>
        </w:rPr>
        <w:t>Sédhiou</w:t>
      </w:r>
      <w:proofErr w:type="spellEnd"/>
      <w:r w:rsidRPr="009839AF">
        <w:rPr>
          <w:rFonts w:ascii="Book Antiqua" w:eastAsiaTheme="minorHAnsi" w:hAnsi="Book Antiqua" w:cstheme="minorBidi"/>
          <w:sz w:val="22"/>
          <w:szCs w:val="22"/>
        </w:rPr>
        <w:t xml:space="preserve"> (70,2%), Tambacounda (69,4%) et Diourbel (63,2%). </w:t>
      </w:r>
      <w:r w:rsidR="00B66C63">
        <w:rPr>
          <w:rFonts w:ascii="Book Antiqua" w:eastAsiaTheme="minorHAnsi" w:hAnsi="Book Antiqua" w:cstheme="minorBidi"/>
          <w:sz w:val="22"/>
          <w:szCs w:val="22"/>
        </w:rPr>
        <w:t xml:space="preserve">Les </w:t>
      </w:r>
      <w:r w:rsidRPr="009839AF">
        <w:rPr>
          <w:rFonts w:ascii="Book Antiqua" w:eastAsiaTheme="minorHAnsi" w:hAnsi="Book Antiqua" w:cstheme="minorBidi"/>
          <w:sz w:val="22"/>
          <w:szCs w:val="22"/>
        </w:rPr>
        <w:t xml:space="preserve">régions de </w:t>
      </w:r>
      <w:proofErr w:type="spellStart"/>
      <w:r w:rsidRPr="009839AF">
        <w:rPr>
          <w:rFonts w:ascii="Book Antiqua" w:eastAsiaTheme="minorHAnsi" w:hAnsi="Book Antiqua" w:cstheme="minorBidi"/>
          <w:sz w:val="22"/>
          <w:szCs w:val="22"/>
        </w:rPr>
        <w:t>Fatick</w:t>
      </w:r>
      <w:proofErr w:type="spellEnd"/>
      <w:r w:rsidRPr="009839AF">
        <w:rPr>
          <w:rFonts w:ascii="Book Antiqua" w:eastAsiaTheme="minorHAnsi" w:hAnsi="Book Antiqua" w:cstheme="minorBidi"/>
          <w:sz w:val="22"/>
          <w:szCs w:val="22"/>
        </w:rPr>
        <w:t xml:space="preserve"> (70%), </w:t>
      </w:r>
      <w:r w:rsidR="00B66C63">
        <w:rPr>
          <w:rFonts w:ascii="Book Antiqua" w:eastAsiaTheme="minorHAnsi" w:hAnsi="Book Antiqua" w:cstheme="minorBidi"/>
          <w:sz w:val="22"/>
          <w:szCs w:val="22"/>
        </w:rPr>
        <w:t xml:space="preserve">Saint Louis (66,7%), </w:t>
      </w:r>
      <w:r w:rsidRPr="009839AF">
        <w:rPr>
          <w:rFonts w:ascii="Book Antiqua" w:eastAsiaTheme="minorHAnsi" w:hAnsi="Book Antiqua" w:cstheme="minorBidi"/>
          <w:sz w:val="22"/>
          <w:szCs w:val="22"/>
        </w:rPr>
        <w:t xml:space="preserve">Louga (60,5%) et </w:t>
      </w:r>
      <w:r w:rsidR="00B66C63" w:rsidRPr="009839AF">
        <w:rPr>
          <w:rFonts w:ascii="Book Antiqua" w:eastAsiaTheme="minorHAnsi" w:hAnsi="Book Antiqua" w:cstheme="minorBidi"/>
          <w:sz w:val="22"/>
          <w:szCs w:val="22"/>
        </w:rPr>
        <w:t>Thiès</w:t>
      </w:r>
      <w:r w:rsidRPr="009839AF">
        <w:rPr>
          <w:rFonts w:ascii="Book Antiqua" w:eastAsiaTheme="minorHAnsi" w:hAnsi="Book Antiqua" w:cstheme="minorBidi"/>
          <w:sz w:val="22"/>
          <w:szCs w:val="22"/>
        </w:rPr>
        <w:t xml:space="preserve"> (60</w:t>
      </w:r>
      <w:r w:rsidR="00781EA6">
        <w:rPr>
          <w:rFonts w:ascii="Book Antiqua" w:eastAsiaTheme="minorHAnsi" w:hAnsi="Book Antiqua" w:cstheme="minorBidi"/>
          <w:sz w:val="22"/>
          <w:szCs w:val="22"/>
        </w:rPr>
        <w:t>,0</w:t>
      </w:r>
      <w:r w:rsidRPr="009839AF">
        <w:rPr>
          <w:rFonts w:ascii="Book Antiqua" w:eastAsiaTheme="minorHAnsi" w:hAnsi="Book Antiqua" w:cstheme="minorBidi"/>
          <w:sz w:val="22"/>
          <w:szCs w:val="22"/>
        </w:rPr>
        <w:t>%)</w:t>
      </w:r>
      <w:r w:rsidR="00B66C63">
        <w:rPr>
          <w:rFonts w:ascii="Book Antiqua" w:eastAsiaTheme="minorHAnsi" w:hAnsi="Book Antiqua" w:cstheme="minorBidi"/>
          <w:sz w:val="22"/>
          <w:szCs w:val="22"/>
        </w:rPr>
        <w:t xml:space="preserve"> ressortent avec des taux de satisfaction élevés</w:t>
      </w:r>
      <w:r w:rsidRPr="009839AF">
        <w:rPr>
          <w:rFonts w:ascii="Book Antiqua" w:eastAsiaTheme="minorHAnsi" w:hAnsi="Book Antiqua" w:cstheme="minorBidi"/>
          <w:sz w:val="22"/>
          <w:szCs w:val="22"/>
        </w:rPr>
        <w:t xml:space="preserve">. </w:t>
      </w:r>
    </w:p>
    <w:p w:rsidR="00BA421F" w:rsidRPr="009839AF" w:rsidRDefault="00BA421F" w:rsidP="00840635">
      <w:pPr>
        <w:spacing w:before="120" w:line="276" w:lineRule="auto"/>
        <w:jc w:val="both"/>
        <w:rPr>
          <w:rFonts w:ascii="Book Antiqua" w:eastAsiaTheme="minorHAnsi" w:hAnsi="Book Antiqua" w:cstheme="minorBidi"/>
          <w:sz w:val="22"/>
          <w:szCs w:val="22"/>
        </w:rPr>
      </w:pPr>
    </w:p>
    <w:p w:rsidR="00BA421F" w:rsidRPr="00BA421F" w:rsidRDefault="00BA421F" w:rsidP="00840635">
      <w:pPr>
        <w:pStyle w:val="Lgende"/>
        <w:keepNext/>
        <w:spacing w:line="276" w:lineRule="auto"/>
        <w:jc w:val="center"/>
        <w:rPr>
          <w:color w:val="auto"/>
          <w:sz w:val="16"/>
        </w:rPr>
      </w:pPr>
      <w:bookmarkStart w:id="52" w:name="_Toc523313703"/>
      <w:r w:rsidRPr="00BA421F">
        <w:rPr>
          <w:color w:val="auto"/>
          <w:sz w:val="16"/>
        </w:rPr>
        <w:t xml:space="preserve">Figure </w:t>
      </w:r>
      <w:r w:rsidR="000D65F2">
        <w:rPr>
          <w:color w:val="auto"/>
          <w:sz w:val="16"/>
        </w:rPr>
        <w:fldChar w:fldCharType="begin"/>
      </w:r>
      <w:r w:rsidR="002708B0">
        <w:rPr>
          <w:color w:val="auto"/>
          <w:sz w:val="16"/>
        </w:rPr>
        <w:instrText xml:space="preserve"> SEQ Figure \* ARABIC </w:instrText>
      </w:r>
      <w:r w:rsidR="000D65F2">
        <w:rPr>
          <w:color w:val="auto"/>
          <w:sz w:val="16"/>
        </w:rPr>
        <w:fldChar w:fldCharType="separate"/>
      </w:r>
      <w:r w:rsidR="000F780F">
        <w:rPr>
          <w:noProof/>
          <w:color w:val="auto"/>
          <w:sz w:val="16"/>
        </w:rPr>
        <w:t>20</w:t>
      </w:r>
      <w:r w:rsidR="000D65F2">
        <w:rPr>
          <w:color w:val="auto"/>
          <w:sz w:val="16"/>
        </w:rPr>
        <w:fldChar w:fldCharType="end"/>
      </w:r>
      <w:r w:rsidRPr="00BA421F">
        <w:rPr>
          <w:color w:val="auto"/>
          <w:sz w:val="16"/>
        </w:rPr>
        <w:t>: Appréciation des unités sur la durée de traitement des opérations de caisse selon les régions</w:t>
      </w:r>
      <w:bookmarkEnd w:id="52"/>
    </w:p>
    <w:p w:rsidR="009839AF" w:rsidRDefault="009839AF" w:rsidP="00840635">
      <w:pPr>
        <w:spacing w:before="120" w:line="276" w:lineRule="auto"/>
        <w:jc w:val="center"/>
        <w:rPr>
          <w:rFonts w:ascii="Book Antiqua" w:eastAsiaTheme="minorHAnsi" w:hAnsi="Book Antiqua" w:cstheme="minorBidi"/>
          <w:sz w:val="22"/>
          <w:szCs w:val="22"/>
        </w:rPr>
      </w:pPr>
      <w:r w:rsidRPr="009839AF">
        <w:rPr>
          <w:rFonts w:ascii="Book Antiqua" w:eastAsiaTheme="minorHAnsi" w:hAnsi="Book Antiqua" w:cstheme="minorBidi"/>
          <w:noProof/>
          <w:sz w:val="22"/>
          <w:szCs w:val="22"/>
        </w:rPr>
        <w:drawing>
          <wp:inline distT="0" distB="0" distL="0" distR="0">
            <wp:extent cx="4862577" cy="2983916"/>
            <wp:effectExtent l="0" t="0" r="14605" b="6985"/>
            <wp:docPr id="295"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41BD6" w:rsidRDefault="00A41BD6">
      <w:pPr>
        <w:spacing w:after="200" w:line="276" w:lineRule="auto"/>
        <w:rPr>
          <w:rFonts w:ascii="Book Antiqua" w:hAnsi="Book Antiqua" w:cs="Tahoma"/>
          <w:b/>
          <w:sz w:val="22"/>
          <w:szCs w:val="22"/>
        </w:rPr>
      </w:pPr>
      <w:bookmarkStart w:id="53" w:name="_Toc523322037"/>
      <w:r>
        <w:rPr>
          <w:rFonts w:ascii="Book Antiqua" w:hAnsi="Book Antiqua" w:cs="Tahoma"/>
          <w:b/>
          <w:sz w:val="22"/>
          <w:szCs w:val="22"/>
        </w:rPr>
        <w:br w:type="page"/>
      </w:r>
    </w:p>
    <w:p w:rsidR="009839AF" w:rsidRPr="00912B9D" w:rsidRDefault="00015643" w:rsidP="00531C35">
      <w:pPr>
        <w:pStyle w:val="Paragraphedeliste"/>
        <w:numPr>
          <w:ilvl w:val="1"/>
          <w:numId w:val="22"/>
        </w:numPr>
        <w:tabs>
          <w:tab w:val="left" w:pos="-720"/>
        </w:tabs>
        <w:suppressAutoHyphens/>
        <w:spacing w:before="240" w:after="240" w:line="276" w:lineRule="auto"/>
        <w:ind w:left="567" w:hanging="283"/>
        <w:contextualSpacing w:val="0"/>
        <w:jc w:val="both"/>
        <w:outlineLvl w:val="1"/>
        <w:rPr>
          <w:rFonts w:ascii="Book Antiqua" w:hAnsi="Book Antiqua" w:cs="Tahoma"/>
          <w:b/>
          <w:sz w:val="22"/>
          <w:szCs w:val="22"/>
        </w:rPr>
      </w:pPr>
      <w:r w:rsidRPr="00912B9D">
        <w:rPr>
          <w:rFonts w:ascii="Book Antiqua" w:hAnsi="Book Antiqua" w:cs="Tahoma"/>
          <w:b/>
          <w:sz w:val="22"/>
          <w:szCs w:val="22"/>
        </w:rPr>
        <w:lastRenderedPageBreak/>
        <w:t>Satisfaction sur les opérations de virements</w:t>
      </w:r>
      <w:bookmarkEnd w:id="53"/>
    </w:p>
    <w:p w:rsidR="00840635"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 xml:space="preserve">Les unités ont été également interrogées sur </w:t>
      </w:r>
      <w:r w:rsidR="0088734B">
        <w:rPr>
          <w:rFonts w:ascii="Book Antiqua" w:eastAsiaTheme="minorHAnsi" w:hAnsi="Book Antiqua" w:cstheme="minorBidi"/>
          <w:sz w:val="22"/>
          <w:szCs w:val="22"/>
        </w:rPr>
        <w:t>la fréquence d</w:t>
      </w:r>
      <w:r w:rsidRPr="009839AF">
        <w:rPr>
          <w:rFonts w:ascii="Book Antiqua" w:eastAsiaTheme="minorHAnsi" w:hAnsi="Book Antiqua" w:cstheme="minorBidi"/>
          <w:sz w:val="22"/>
          <w:szCs w:val="22"/>
        </w:rPr>
        <w:t>’utilisation</w:t>
      </w:r>
      <w:r w:rsidR="00D74511">
        <w:rPr>
          <w:rFonts w:ascii="Book Antiqua" w:eastAsiaTheme="minorHAnsi" w:hAnsi="Book Antiqua" w:cstheme="minorBidi"/>
          <w:sz w:val="22"/>
          <w:szCs w:val="22"/>
        </w:rPr>
        <w:t xml:space="preserve"> et la nature</w:t>
      </w:r>
      <w:r w:rsidR="00110E2B">
        <w:rPr>
          <w:rFonts w:ascii="Book Antiqua" w:eastAsiaTheme="minorHAnsi" w:hAnsi="Book Antiqua" w:cstheme="minorBidi"/>
          <w:sz w:val="22"/>
          <w:szCs w:val="22"/>
        </w:rPr>
        <w:t xml:space="preserve"> </w:t>
      </w:r>
      <w:r w:rsidRPr="009839AF">
        <w:rPr>
          <w:rFonts w:ascii="Book Antiqua" w:eastAsiaTheme="minorHAnsi" w:hAnsi="Book Antiqua" w:cstheme="minorBidi"/>
          <w:sz w:val="22"/>
          <w:szCs w:val="22"/>
        </w:rPr>
        <w:t>des opérations de virement</w:t>
      </w:r>
      <w:r w:rsidR="00D74511">
        <w:rPr>
          <w:rFonts w:ascii="Book Antiqua" w:eastAsiaTheme="minorHAnsi" w:hAnsi="Book Antiqua" w:cstheme="minorBidi"/>
          <w:sz w:val="22"/>
          <w:szCs w:val="22"/>
        </w:rPr>
        <w:t xml:space="preserve">, </w:t>
      </w:r>
      <w:r w:rsidRPr="009839AF">
        <w:rPr>
          <w:rFonts w:ascii="Book Antiqua" w:eastAsiaTheme="minorHAnsi" w:hAnsi="Book Antiqua" w:cstheme="minorBidi"/>
          <w:sz w:val="22"/>
          <w:szCs w:val="22"/>
        </w:rPr>
        <w:t xml:space="preserve"> ainsi que sur leur </w:t>
      </w:r>
      <w:r w:rsidR="0088734B">
        <w:rPr>
          <w:rFonts w:ascii="Book Antiqua" w:eastAsiaTheme="minorHAnsi" w:hAnsi="Book Antiqua" w:cstheme="minorBidi"/>
          <w:sz w:val="22"/>
          <w:szCs w:val="22"/>
        </w:rPr>
        <w:t xml:space="preserve">appréciation sur la </w:t>
      </w:r>
      <w:r w:rsidRPr="009839AF">
        <w:rPr>
          <w:rFonts w:ascii="Book Antiqua" w:eastAsiaTheme="minorHAnsi" w:hAnsi="Book Antiqua" w:cstheme="minorBidi"/>
          <w:sz w:val="22"/>
          <w:szCs w:val="22"/>
        </w:rPr>
        <w:t>durée d’exécution</w:t>
      </w:r>
    </w:p>
    <w:p w:rsidR="009839AF" w:rsidRPr="005952A4" w:rsidRDefault="00FB0869" w:rsidP="00531C35">
      <w:pPr>
        <w:pStyle w:val="Paragraphedeliste"/>
        <w:numPr>
          <w:ilvl w:val="2"/>
          <w:numId w:val="23"/>
        </w:numPr>
        <w:spacing w:before="240" w:after="240" w:line="276" w:lineRule="auto"/>
        <w:ind w:left="851" w:hanging="284"/>
        <w:contextualSpacing w:val="0"/>
        <w:jc w:val="both"/>
        <w:outlineLvl w:val="2"/>
        <w:rPr>
          <w:rFonts w:ascii="Book Antiqua" w:hAnsi="Book Antiqua" w:cs="Arial"/>
          <w:b/>
          <w:noProof/>
          <w:sz w:val="22"/>
          <w:szCs w:val="22"/>
        </w:rPr>
      </w:pPr>
      <w:bookmarkStart w:id="54" w:name="_Toc523322038"/>
      <w:r w:rsidRPr="005952A4">
        <w:rPr>
          <w:rFonts w:ascii="Book Antiqua" w:hAnsi="Book Antiqua" w:cs="Arial"/>
          <w:b/>
          <w:noProof/>
          <w:sz w:val="22"/>
          <w:szCs w:val="22"/>
        </w:rPr>
        <w:t>Utilisation et d</w:t>
      </w:r>
      <w:r w:rsidR="009839AF" w:rsidRPr="005952A4">
        <w:rPr>
          <w:rFonts w:ascii="Book Antiqua" w:hAnsi="Book Antiqua" w:cs="Arial"/>
          <w:b/>
          <w:noProof/>
          <w:sz w:val="22"/>
          <w:szCs w:val="22"/>
        </w:rPr>
        <w:t>urée de traitement des virements domestiques</w:t>
      </w:r>
      <w:bookmarkEnd w:id="54"/>
    </w:p>
    <w:p w:rsidR="004511D1"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 xml:space="preserve">Les résultats de </w:t>
      </w:r>
      <w:r w:rsidR="008553F5">
        <w:rPr>
          <w:rFonts w:ascii="Book Antiqua" w:eastAsiaTheme="minorHAnsi" w:hAnsi="Book Antiqua" w:cstheme="minorBidi"/>
          <w:sz w:val="22"/>
          <w:szCs w:val="22"/>
        </w:rPr>
        <w:t>l’ESUB</w:t>
      </w:r>
      <w:r w:rsidRPr="009839AF">
        <w:rPr>
          <w:rFonts w:ascii="Book Antiqua" w:eastAsiaTheme="minorHAnsi" w:hAnsi="Book Antiqua" w:cstheme="minorBidi"/>
          <w:sz w:val="22"/>
          <w:szCs w:val="22"/>
        </w:rPr>
        <w:t xml:space="preserve"> montrent que la propension à l’utilisation des virements domestiques reste encore faible avec une proportion de 35,5% qui </w:t>
      </w:r>
      <w:r w:rsidR="00870694">
        <w:rPr>
          <w:rFonts w:ascii="Book Antiqua" w:eastAsiaTheme="minorHAnsi" w:hAnsi="Book Antiqua" w:cstheme="minorBidi"/>
          <w:sz w:val="22"/>
          <w:szCs w:val="22"/>
        </w:rPr>
        <w:t xml:space="preserve">déclarent </w:t>
      </w:r>
      <w:r w:rsidRPr="009839AF">
        <w:rPr>
          <w:rFonts w:ascii="Book Antiqua" w:eastAsiaTheme="minorHAnsi" w:hAnsi="Book Antiqua" w:cstheme="minorBidi"/>
          <w:sz w:val="22"/>
          <w:szCs w:val="22"/>
        </w:rPr>
        <w:t xml:space="preserve">avoir effectué au cours des </w:t>
      </w:r>
      <w:r w:rsidR="00870694">
        <w:rPr>
          <w:rFonts w:ascii="Book Antiqua" w:eastAsiaTheme="minorHAnsi" w:hAnsi="Book Antiqua" w:cstheme="minorBidi"/>
          <w:sz w:val="22"/>
          <w:szCs w:val="22"/>
        </w:rPr>
        <w:t xml:space="preserve">trois (03) </w:t>
      </w:r>
      <w:r w:rsidRPr="009839AF">
        <w:rPr>
          <w:rFonts w:ascii="Book Antiqua" w:eastAsiaTheme="minorHAnsi" w:hAnsi="Book Antiqua" w:cstheme="minorBidi"/>
          <w:sz w:val="22"/>
          <w:szCs w:val="22"/>
        </w:rPr>
        <w:t xml:space="preserve">dernières années des ordres de virement vers une autre banque.  </w:t>
      </w:r>
    </w:p>
    <w:p w:rsidR="00110E2B" w:rsidRPr="009839AF" w:rsidRDefault="00110E2B" w:rsidP="00840635">
      <w:pPr>
        <w:spacing w:before="120" w:line="276" w:lineRule="auto"/>
        <w:jc w:val="both"/>
        <w:rPr>
          <w:rFonts w:ascii="Book Antiqua" w:eastAsiaTheme="minorHAnsi" w:hAnsi="Book Antiqua" w:cstheme="minorBidi"/>
          <w:sz w:val="22"/>
          <w:szCs w:val="22"/>
        </w:rPr>
      </w:pPr>
    </w:p>
    <w:p w:rsidR="004511D1" w:rsidRPr="004511D1" w:rsidRDefault="004511D1" w:rsidP="00840635">
      <w:pPr>
        <w:pStyle w:val="Lgende"/>
        <w:keepNext/>
        <w:spacing w:line="276" w:lineRule="auto"/>
        <w:jc w:val="center"/>
        <w:rPr>
          <w:color w:val="auto"/>
          <w:sz w:val="16"/>
        </w:rPr>
      </w:pPr>
      <w:bookmarkStart w:id="55" w:name="_Toc523313704"/>
      <w:r w:rsidRPr="004511D1">
        <w:rPr>
          <w:color w:val="auto"/>
          <w:sz w:val="16"/>
        </w:rPr>
        <w:t xml:space="preserve">Figure </w:t>
      </w:r>
      <w:r w:rsidR="000D65F2">
        <w:rPr>
          <w:color w:val="auto"/>
          <w:sz w:val="16"/>
        </w:rPr>
        <w:fldChar w:fldCharType="begin"/>
      </w:r>
      <w:r w:rsidR="002708B0">
        <w:rPr>
          <w:color w:val="auto"/>
          <w:sz w:val="16"/>
        </w:rPr>
        <w:instrText xml:space="preserve"> SEQ Figure \* ARABIC </w:instrText>
      </w:r>
      <w:r w:rsidR="000D65F2">
        <w:rPr>
          <w:color w:val="auto"/>
          <w:sz w:val="16"/>
        </w:rPr>
        <w:fldChar w:fldCharType="separate"/>
      </w:r>
      <w:r w:rsidR="000F780F">
        <w:rPr>
          <w:noProof/>
          <w:color w:val="auto"/>
          <w:sz w:val="16"/>
        </w:rPr>
        <w:t>21</w:t>
      </w:r>
      <w:r w:rsidR="000D65F2">
        <w:rPr>
          <w:color w:val="auto"/>
          <w:sz w:val="16"/>
        </w:rPr>
        <w:fldChar w:fldCharType="end"/>
      </w:r>
      <w:r w:rsidRPr="004511D1">
        <w:rPr>
          <w:color w:val="auto"/>
          <w:sz w:val="16"/>
        </w:rPr>
        <w:t>: Appréciation des unités sur la durée de traitement des virements domestiques</w:t>
      </w:r>
      <w:bookmarkEnd w:id="55"/>
    </w:p>
    <w:p w:rsidR="009839AF" w:rsidRPr="009839AF" w:rsidRDefault="009839AF" w:rsidP="00840635">
      <w:pPr>
        <w:spacing w:before="120" w:line="276" w:lineRule="auto"/>
        <w:jc w:val="center"/>
        <w:rPr>
          <w:rFonts w:asciiTheme="minorHAnsi" w:eastAsiaTheme="minorHAnsi" w:hAnsiTheme="minorHAnsi" w:cstheme="minorBidi"/>
          <w:sz w:val="22"/>
          <w:szCs w:val="22"/>
        </w:rPr>
      </w:pPr>
      <w:r w:rsidRPr="009839AF">
        <w:rPr>
          <w:rFonts w:asciiTheme="minorHAnsi" w:eastAsiaTheme="minorHAnsi" w:hAnsiTheme="minorHAnsi" w:cstheme="minorBidi"/>
          <w:noProof/>
          <w:sz w:val="22"/>
          <w:szCs w:val="22"/>
        </w:rPr>
        <w:drawing>
          <wp:inline distT="0" distB="0" distL="0" distR="0">
            <wp:extent cx="3612347" cy="1812943"/>
            <wp:effectExtent l="19050" t="0" r="26203" b="0"/>
            <wp:docPr id="296"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324C6" w:rsidRDefault="006324C6" w:rsidP="00840635">
      <w:pPr>
        <w:spacing w:before="120" w:line="276" w:lineRule="auto"/>
        <w:rPr>
          <w:rFonts w:ascii="Book Antiqua" w:eastAsiaTheme="minorHAnsi" w:hAnsi="Book Antiqua" w:cstheme="minorBidi"/>
          <w:sz w:val="22"/>
          <w:szCs w:val="22"/>
        </w:rPr>
      </w:pPr>
    </w:p>
    <w:p w:rsidR="009839AF" w:rsidRPr="009839AF"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 xml:space="preserve">Parmi les unités émettrices </w:t>
      </w:r>
      <w:r w:rsidR="00870694">
        <w:rPr>
          <w:rFonts w:ascii="Book Antiqua" w:eastAsiaTheme="minorHAnsi" w:hAnsi="Book Antiqua" w:cstheme="minorBidi"/>
          <w:sz w:val="22"/>
          <w:szCs w:val="22"/>
        </w:rPr>
        <w:t>d’</w:t>
      </w:r>
      <w:r w:rsidRPr="009839AF">
        <w:rPr>
          <w:rFonts w:ascii="Book Antiqua" w:eastAsiaTheme="minorHAnsi" w:hAnsi="Book Antiqua" w:cstheme="minorBidi"/>
          <w:sz w:val="22"/>
          <w:szCs w:val="22"/>
        </w:rPr>
        <w:t>ordres de virements domestiques, plus des deux tiers (68,</w:t>
      </w:r>
      <w:r w:rsidR="00870694">
        <w:rPr>
          <w:rFonts w:ascii="Book Antiqua" w:eastAsiaTheme="minorHAnsi" w:hAnsi="Book Antiqua" w:cstheme="minorBidi"/>
          <w:sz w:val="22"/>
          <w:szCs w:val="22"/>
        </w:rPr>
        <w:t>8</w:t>
      </w:r>
      <w:r w:rsidR="00AC390C">
        <w:rPr>
          <w:rFonts w:ascii="Book Antiqua" w:eastAsiaTheme="minorHAnsi" w:hAnsi="Book Antiqua" w:cstheme="minorBidi"/>
          <w:sz w:val="22"/>
          <w:szCs w:val="22"/>
        </w:rPr>
        <w:t>%) dé</w:t>
      </w:r>
      <w:r w:rsidRPr="009839AF">
        <w:rPr>
          <w:rFonts w:ascii="Book Antiqua" w:eastAsiaTheme="minorHAnsi" w:hAnsi="Book Antiqua" w:cstheme="minorBidi"/>
          <w:sz w:val="22"/>
          <w:szCs w:val="22"/>
        </w:rPr>
        <w:t>clare</w:t>
      </w:r>
      <w:r w:rsidR="00870694">
        <w:rPr>
          <w:rFonts w:ascii="Book Antiqua" w:eastAsiaTheme="minorHAnsi" w:hAnsi="Book Antiqua" w:cstheme="minorBidi"/>
          <w:sz w:val="22"/>
          <w:szCs w:val="22"/>
        </w:rPr>
        <w:t>nt</w:t>
      </w:r>
      <w:r w:rsidRPr="009839AF">
        <w:rPr>
          <w:rFonts w:ascii="Book Antiqua" w:eastAsiaTheme="minorHAnsi" w:hAnsi="Book Antiqua" w:cstheme="minorBidi"/>
          <w:sz w:val="22"/>
          <w:szCs w:val="22"/>
        </w:rPr>
        <w:t xml:space="preserve"> être satisfaite</w:t>
      </w:r>
      <w:r w:rsidR="00870694">
        <w:rPr>
          <w:rFonts w:ascii="Book Antiqua" w:eastAsiaTheme="minorHAnsi" w:hAnsi="Book Antiqua" w:cstheme="minorBidi"/>
          <w:sz w:val="22"/>
          <w:szCs w:val="22"/>
        </w:rPr>
        <w:t>s</w:t>
      </w:r>
      <w:r w:rsidRPr="009839AF">
        <w:rPr>
          <w:rFonts w:ascii="Book Antiqua" w:eastAsiaTheme="minorHAnsi" w:hAnsi="Book Antiqua" w:cstheme="minorBidi"/>
          <w:sz w:val="22"/>
          <w:szCs w:val="22"/>
        </w:rPr>
        <w:t xml:space="preserve"> de la durée de leur traitement contre une proportion de 31,2% qui la juge longue. </w:t>
      </w:r>
    </w:p>
    <w:p w:rsidR="009839AF" w:rsidRPr="009839AF" w:rsidRDefault="009839AF" w:rsidP="00840635">
      <w:pPr>
        <w:spacing w:before="120" w:line="276" w:lineRule="auto"/>
        <w:jc w:val="center"/>
        <w:rPr>
          <w:rFonts w:ascii="Book Antiqua" w:eastAsiaTheme="minorHAnsi" w:hAnsi="Book Antiqua" w:cstheme="minorBidi"/>
          <w:b/>
          <w:sz w:val="16"/>
          <w:szCs w:val="16"/>
          <w:lang w:eastAsia="en-US"/>
        </w:rPr>
      </w:pPr>
    </w:p>
    <w:p w:rsidR="00840635" w:rsidRPr="00840635" w:rsidRDefault="003F7688" w:rsidP="00840635">
      <w:pPr>
        <w:pStyle w:val="Lgende"/>
        <w:keepNext/>
        <w:spacing w:line="276" w:lineRule="auto"/>
        <w:jc w:val="center"/>
        <w:rPr>
          <w:color w:val="auto"/>
          <w:sz w:val="16"/>
        </w:rPr>
      </w:pPr>
      <w:bookmarkStart w:id="56" w:name="_Toc523313705"/>
      <w:r w:rsidRPr="003F7688">
        <w:rPr>
          <w:color w:val="auto"/>
          <w:sz w:val="16"/>
        </w:rPr>
        <w:t xml:space="preserve">Figure </w:t>
      </w:r>
      <w:r w:rsidR="000D65F2">
        <w:rPr>
          <w:color w:val="auto"/>
          <w:sz w:val="16"/>
        </w:rPr>
        <w:fldChar w:fldCharType="begin"/>
      </w:r>
      <w:r w:rsidR="002708B0">
        <w:rPr>
          <w:color w:val="auto"/>
          <w:sz w:val="16"/>
        </w:rPr>
        <w:instrText xml:space="preserve"> SEQ Figure \* ARABIC </w:instrText>
      </w:r>
      <w:r w:rsidR="000D65F2">
        <w:rPr>
          <w:color w:val="auto"/>
          <w:sz w:val="16"/>
        </w:rPr>
        <w:fldChar w:fldCharType="separate"/>
      </w:r>
      <w:r w:rsidR="000F780F">
        <w:rPr>
          <w:noProof/>
          <w:color w:val="auto"/>
          <w:sz w:val="16"/>
        </w:rPr>
        <w:t>22</w:t>
      </w:r>
      <w:r w:rsidR="000D65F2">
        <w:rPr>
          <w:color w:val="auto"/>
          <w:sz w:val="16"/>
        </w:rPr>
        <w:fldChar w:fldCharType="end"/>
      </w:r>
      <w:r w:rsidRPr="003F7688">
        <w:rPr>
          <w:color w:val="auto"/>
          <w:sz w:val="16"/>
        </w:rPr>
        <w:t>: Appréciation des unités sur la durée de traitement des virements domestiques</w:t>
      </w:r>
      <w:bookmarkEnd w:id="56"/>
    </w:p>
    <w:p w:rsidR="009839AF" w:rsidRPr="009839AF" w:rsidRDefault="009839AF" w:rsidP="00840635">
      <w:pPr>
        <w:spacing w:before="120" w:line="276" w:lineRule="auto"/>
        <w:jc w:val="center"/>
        <w:rPr>
          <w:rFonts w:ascii="Book Antiqua" w:eastAsiaTheme="minorHAnsi" w:hAnsi="Book Antiqua" w:cstheme="minorBidi"/>
          <w:sz w:val="22"/>
          <w:szCs w:val="22"/>
        </w:rPr>
      </w:pPr>
      <w:r w:rsidRPr="009839AF">
        <w:rPr>
          <w:rFonts w:ascii="Book Antiqua" w:eastAsiaTheme="minorHAnsi" w:hAnsi="Book Antiqua" w:cstheme="minorBidi"/>
          <w:noProof/>
          <w:sz w:val="22"/>
          <w:szCs w:val="22"/>
        </w:rPr>
        <w:drawing>
          <wp:inline distT="0" distB="0" distL="0" distR="0">
            <wp:extent cx="3845700" cy="2054431"/>
            <wp:effectExtent l="19050" t="0" r="21450" b="2969"/>
            <wp:docPr id="297"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A64F3" w:rsidRDefault="00AA64F3" w:rsidP="00840635">
      <w:pPr>
        <w:tabs>
          <w:tab w:val="left" w:pos="1320"/>
          <w:tab w:val="right" w:leader="dot" w:pos="9572"/>
        </w:tabs>
        <w:spacing w:before="120" w:after="100" w:line="276" w:lineRule="auto"/>
        <w:contextualSpacing/>
        <w:jc w:val="both"/>
        <w:rPr>
          <w:rFonts w:ascii="Book Antiqua" w:hAnsi="Book Antiqua" w:cs="Arial"/>
          <w:noProof/>
          <w:sz w:val="22"/>
          <w:szCs w:val="22"/>
        </w:rPr>
      </w:pPr>
    </w:p>
    <w:p w:rsidR="003F7688" w:rsidRPr="009839AF" w:rsidRDefault="009839AF" w:rsidP="00840635">
      <w:pPr>
        <w:tabs>
          <w:tab w:val="left" w:pos="1320"/>
          <w:tab w:val="right" w:leader="dot" w:pos="9572"/>
        </w:tabs>
        <w:spacing w:before="120" w:after="100" w:line="276" w:lineRule="auto"/>
        <w:contextualSpacing/>
        <w:jc w:val="both"/>
        <w:rPr>
          <w:rFonts w:ascii="Book Antiqua" w:hAnsi="Book Antiqua" w:cs="Arial"/>
          <w:noProof/>
          <w:sz w:val="22"/>
          <w:szCs w:val="22"/>
        </w:rPr>
      </w:pPr>
      <w:r w:rsidRPr="009839AF">
        <w:rPr>
          <w:rFonts w:ascii="Book Antiqua" w:hAnsi="Book Antiqua" w:cs="Arial"/>
          <w:noProof/>
          <w:sz w:val="22"/>
          <w:szCs w:val="22"/>
        </w:rPr>
        <w:t xml:space="preserve">L’appréciation sur la durée de traitement des virements locaux diffère selon </w:t>
      </w:r>
      <w:r w:rsidR="00870694">
        <w:rPr>
          <w:rFonts w:ascii="Book Antiqua" w:hAnsi="Book Antiqua" w:cs="Arial"/>
          <w:noProof/>
          <w:sz w:val="22"/>
          <w:szCs w:val="22"/>
        </w:rPr>
        <w:t xml:space="preserve">l’implantation </w:t>
      </w:r>
      <w:r w:rsidRPr="009839AF">
        <w:rPr>
          <w:rFonts w:ascii="Book Antiqua" w:hAnsi="Book Antiqua" w:cs="Arial"/>
          <w:noProof/>
          <w:sz w:val="22"/>
          <w:szCs w:val="22"/>
        </w:rPr>
        <w:t xml:space="preserve">géographique des unités avec des taux de récrimination élevés </w:t>
      </w:r>
      <w:r w:rsidR="00870694">
        <w:rPr>
          <w:rFonts w:ascii="Book Antiqua" w:hAnsi="Book Antiqua" w:cs="Arial"/>
          <w:noProof/>
          <w:sz w:val="22"/>
          <w:szCs w:val="22"/>
        </w:rPr>
        <w:t xml:space="preserve">notés </w:t>
      </w:r>
      <w:r w:rsidRPr="009839AF">
        <w:rPr>
          <w:rFonts w:ascii="Book Antiqua" w:hAnsi="Book Antiqua" w:cs="Arial"/>
          <w:noProof/>
          <w:sz w:val="22"/>
          <w:szCs w:val="22"/>
        </w:rPr>
        <w:t>dans les localités de Matam (57,1%), Kaffrine (50,0%) et Tambacounda (50,0%). En revanche, les localités de Sédhiou, Fatick, Kolda, Ziguinchor et Thiés ressortent</w:t>
      </w:r>
      <w:r w:rsidR="008553F5">
        <w:rPr>
          <w:rFonts w:ascii="Book Antiqua" w:hAnsi="Book Antiqua" w:cs="Arial"/>
          <w:noProof/>
          <w:sz w:val="22"/>
          <w:szCs w:val="22"/>
        </w:rPr>
        <w:t xml:space="preserve"> </w:t>
      </w:r>
      <w:r w:rsidRPr="009839AF">
        <w:rPr>
          <w:rFonts w:ascii="Book Antiqua" w:hAnsi="Book Antiqua" w:cs="Arial"/>
          <w:noProof/>
          <w:sz w:val="22"/>
          <w:szCs w:val="22"/>
        </w:rPr>
        <w:t xml:space="preserve">avec des taux de satisfaction </w:t>
      </w:r>
      <w:r w:rsidR="00A1666F">
        <w:rPr>
          <w:rFonts w:ascii="Book Antiqua" w:hAnsi="Book Antiqua" w:cs="Arial"/>
          <w:noProof/>
          <w:sz w:val="22"/>
          <w:szCs w:val="22"/>
        </w:rPr>
        <w:t>respectifs</w:t>
      </w:r>
      <w:r w:rsidR="008553F5">
        <w:rPr>
          <w:rFonts w:ascii="Book Antiqua" w:hAnsi="Book Antiqua" w:cs="Arial"/>
          <w:noProof/>
          <w:sz w:val="22"/>
          <w:szCs w:val="22"/>
        </w:rPr>
        <w:t xml:space="preserve"> de</w:t>
      </w:r>
      <w:r w:rsidR="00A1666F">
        <w:rPr>
          <w:rFonts w:ascii="Book Antiqua" w:hAnsi="Book Antiqua" w:cs="Arial"/>
          <w:noProof/>
          <w:sz w:val="22"/>
          <w:szCs w:val="22"/>
        </w:rPr>
        <w:t xml:space="preserve"> </w:t>
      </w:r>
      <w:r w:rsidRPr="009839AF">
        <w:rPr>
          <w:rFonts w:ascii="Book Antiqua" w:hAnsi="Book Antiqua" w:cs="Arial"/>
          <w:noProof/>
          <w:sz w:val="22"/>
          <w:szCs w:val="22"/>
        </w:rPr>
        <w:t xml:space="preserve"> 95,7%, 90,9%, 90,0%, 83,3% et 81</w:t>
      </w:r>
      <w:r w:rsidR="00A1666F">
        <w:rPr>
          <w:rFonts w:ascii="Book Antiqua" w:hAnsi="Book Antiqua" w:cs="Arial"/>
          <w:noProof/>
          <w:sz w:val="22"/>
          <w:szCs w:val="22"/>
        </w:rPr>
        <w:t>,0</w:t>
      </w:r>
      <w:r w:rsidRPr="009839AF">
        <w:rPr>
          <w:rFonts w:ascii="Book Antiqua" w:hAnsi="Book Antiqua" w:cs="Arial"/>
          <w:noProof/>
          <w:sz w:val="22"/>
          <w:szCs w:val="22"/>
        </w:rPr>
        <w:t xml:space="preserve">%. </w:t>
      </w:r>
    </w:p>
    <w:p w:rsidR="003F7688" w:rsidRPr="003F7688" w:rsidRDefault="003F7688" w:rsidP="00840635">
      <w:pPr>
        <w:pStyle w:val="Lgende"/>
        <w:keepNext/>
        <w:spacing w:line="276" w:lineRule="auto"/>
        <w:jc w:val="center"/>
        <w:rPr>
          <w:color w:val="auto"/>
          <w:sz w:val="16"/>
        </w:rPr>
      </w:pPr>
      <w:bookmarkStart w:id="57" w:name="_Toc523313706"/>
      <w:r w:rsidRPr="003F7688">
        <w:rPr>
          <w:color w:val="auto"/>
          <w:sz w:val="16"/>
        </w:rPr>
        <w:lastRenderedPageBreak/>
        <w:t xml:space="preserve">Figure </w:t>
      </w:r>
      <w:r w:rsidR="000D65F2">
        <w:rPr>
          <w:color w:val="auto"/>
          <w:sz w:val="16"/>
        </w:rPr>
        <w:fldChar w:fldCharType="begin"/>
      </w:r>
      <w:r w:rsidR="002708B0">
        <w:rPr>
          <w:color w:val="auto"/>
          <w:sz w:val="16"/>
        </w:rPr>
        <w:instrText xml:space="preserve"> SEQ Figure \* ARABIC </w:instrText>
      </w:r>
      <w:r w:rsidR="000D65F2">
        <w:rPr>
          <w:color w:val="auto"/>
          <w:sz w:val="16"/>
        </w:rPr>
        <w:fldChar w:fldCharType="separate"/>
      </w:r>
      <w:r w:rsidR="000F780F">
        <w:rPr>
          <w:noProof/>
          <w:color w:val="auto"/>
          <w:sz w:val="16"/>
        </w:rPr>
        <w:t>23</w:t>
      </w:r>
      <w:r w:rsidR="000D65F2">
        <w:rPr>
          <w:color w:val="auto"/>
          <w:sz w:val="16"/>
        </w:rPr>
        <w:fldChar w:fldCharType="end"/>
      </w:r>
      <w:r w:rsidRPr="003F7688">
        <w:rPr>
          <w:color w:val="auto"/>
          <w:sz w:val="16"/>
        </w:rPr>
        <w:t>: Appréciation des unités sur la durée de traitement des virements domestiques selon les régions</w:t>
      </w:r>
      <w:bookmarkEnd w:id="57"/>
    </w:p>
    <w:p w:rsidR="009839AF" w:rsidRPr="009839AF" w:rsidRDefault="009839AF" w:rsidP="00840635">
      <w:pPr>
        <w:spacing w:before="120" w:line="276" w:lineRule="auto"/>
        <w:jc w:val="center"/>
        <w:rPr>
          <w:rFonts w:asciiTheme="minorHAnsi" w:eastAsiaTheme="minorHAnsi" w:hAnsiTheme="minorHAnsi" w:cstheme="minorBidi"/>
          <w:sz w:val="22"/>
          <w:szCs w:val="22"/>
        </w:rPr>
      </w:pPr>
      <w:r w:rsidRPr="009839AF">
        <w:rPr>
          <w:rFonts w:asciiTheme="minorHAnsi" w:eastAsiaTheme="minorHAnsi" w:hAnsiTheme="minorHAnsi" w:cstheme="minorBidi"/>
          <w:noProof/>
          <w:sz w:val="22"/>
          <w:szCs w:val="22"/>
        </w:rPr>
        <w:drawing>
          <wp:inline distT="0" distB="0" distL="0" distR="0">
            <wp:extent cx="4350245" cy="2084119"/>
            <wp:effectExtent l="19050" t="0" r="12205" b="0"/>
            <wp:docPr id="298"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F7688" w:rsidRDefault="003F7688" w:rsidP="00840635">
      <w:pPr>
        <w:tabs>
          <w:tab w:val="left" w:pos="1320"/>
          <w:tab w:val="right" w:leader="dot" w:pos="9572"/>
        </w:tabs>
        <w:spacing w:before="120" w:after="100" w:line="276" w:lineRule="auto"/>
        <w:contextualSpacing/>
        <w:jc w:val="both"/>
        <w:rPr>
          <w:rFonts w:ascii="Book Antiqua" w:hAnsi="Book Antiqua" w:cs="Arial"/>
          <w:noProof/>
          <w:sz w:val="22"/>
          <w:szCs w:val="22"/>
        </w:rPr>
      </w:pPr>
    </w:p>
    <w:p w:rsidR="009839AF" w:rsidRDefault="009839AF" w:rsidP="00840635">
      <w:pPr>
        <w:tabs>
          <w:tab w:val="left" w:pos="1320"/>
          <w:tab w:val="right" w:leader="dot" w:pos="9572"/>
        </w:tabs>
        <w:spacing w:before="120" w:after="100" w:line="276" w:lineRule="auto"/>
        <w:contextualSpacing/>
        <w:jc w:val="both"/>
        <w:rPr>
          <w:rFonts w:ascii="Book Antiqua" w:hAnsi="Book Antiqua" w:cs="Arial"/>
          <w:noProof/>
          <w:sz w:val="22"/>
          <w:szCs w:val="22"/>
        </w:rPr>
      </w:pPr>
      <w:r w:rsidRPr="009839AF">
        <w:rPr>
          <w:rFonts w:ascii="Book Antiqua" w:hAnsi="Book Antiqua" w:cs="Arial"/>
          <w:noProof/>
          <w:sz w:val="22"/>
          <w:szCs w:val="22"/>
        </w:rPr>
        <w:t xml:space="preserve">Une analyse suivant la nature de l’activité </w:t>
      </w:r>
      <w:r w:rsidR="00DB6F1F">
        <w:rPr>
          <w:rFonts w:ascii="Book Antiqua" w:hAnsi="Book Antiqua" w:cs="Arial"/>
          <w:noProof/>
          <w:sz w:val="22"/>
          <w:szCs w:val="22"/>
        </w:rPr>
        <w:t xml:space="preserve">fait apparaitre </w:t>
      </w:r>
      <w:r w:rsidRPr="009839AF">
        <w:rPr>
          <w:rFonts w:ascii="Book Antiqua" w:hAnsi="Book Antiqua" w:cs="Arial"/>
          <w:noProof/>
          <w:sz w:val="22"/>
          <w:szCs w:val="22"/>
        </w:rPr>
        <w:t xml:space="preserve">une fréquence d’utilisation des virements domestiques plus élevée chez les unités du secteur moderne (42,6%) </w:t>
      </w:r>
      <w:r w:rsidR="00DB6F1F">
        <w:rPr>
          <w:rFonts w:ascii="Book Antiqua" w:hAnsi="Book Antiqua" w:cs="Arial"/>
          <w:noProof/>
          <w:sz w:val="22"/>
          <w:szCs w:val="22"/>
        </w:rPr>
        <w:t>que celles relevant du secteur informel (</w:t>
      </w:r>
      <w:r w:rsidRPr="009839AF">
        <w:rPr>
          <w:rFonts w:ascii="Book Antiqua" w:hAnsi="Book Antiqua" w:cs="Arial"/>
          <w:noProof/>
          <w:sz w:val="22"/>
          <w:szCs w:val="22"/>
        </w:rPr>
        <w:t>18,1%</w:t>
      </w:r>
      <w:r w:rsidR="00DB6F1F">
        <w:rPr>
          <w:rFonts w:ascii="Book Antiqua" w:hAnsi="Book Antiqua" w:cs="Arial"/>
          <w:noProof/>
          <w:sz w:val="22"/>
          <w:szCs w:val="22"/>
        </w:rPr>
        <w:t xml:space="preserve">). </w:t>
      </w:r>
      <w:r w:rsidRPr="009839AF">
        <w:rPr>
          <w:rFonts w:ascii="Book Antiqua" w:hAnsi="Book Antiqua" w:cs="Arial"/>
          <w:noProof/>
          <w:sz w:val="22"/>
          <w:szCs w:val="22"/>
        </w:rPr>
        <w:t xml:space="preserve">Parmi les </w:t>
      </w:r>
      <w:r w:rsidR="00AC390C">
        <w:rPr>
          <w:rFonts w:ascii="Book Antiqua" w:hAnsi="Book Antiqua" w:cs="Arial"/>
          <w:noProof/>
          <w:sz w:val="22"/>
          <w:szCs w:val="22"/>
        </w:rPr>
        <w:t xml:space="preserve">utilisatrices, </w:t>
      </w:r>
      <w:r w:rsidRPr="009839AF">
        <w:rPr>
          <w:rFonts w:ascii="Book Antiqua" w:hAnsi="Book Antiqua" w:cs="Arial"/>
          <w:noProof/>
          <w:sz w:val="22"/>
          <w:szCs w:val="22"/>
        </w:rPr>
        <w:t>des proportions respectives de 31,3% et 30,3% déplorent les lenteurs d’exécution de leurs ordres de virements</w:t>
      </w:r>
      <w:r w:rsidR="00DB6F1F">
        <w:rPr>
          <w:rFonts w:ascii="Book Antiqua" w:hAnsi="Book Antiqua" w:cs="Arial"/>
          <w:noProof/>
          <w:sz w:val="22"/>
          <w:szCs w:val="22"/>
        </w:rPr>
        <w:t>.</w:t>
      </w:r>
      <w:r w:rsidRPr="009839AF">
        <w:rPr>
          <w:rFonts w:ascii="Book Antiqua" w:hAnsi="Book Antiqua" w:cs="Arial"/>
          <w:noProof/>
          <w:sz w:val="22"/>
          <w:szCs w:val="22"/>
        </w:rPr>
        <w:t xml:space="preserve"> </w:t>
      </w:r>
      <w:r w:rsidR="003E7561">
        <w:rPr>
          <w:rFonts w:ascii="Book Antiqua" w:hAnsi="Book Antiqua" w:cs="Arial"/>
          <w:noProof/>
          <w:sz w:val="22"/>
          <w:szCs w:val="22"/>
        </w:rPr>
        <w:t>Un sentiment de satisfaction est observé</w:t>
      </w:r>
      <w:r w:rsidR="008553F5">
        <w:rPr>
          <w:rFonts w:ascii="Book Antiqua" w:hAnsi="Book Antiqua" w:cs="Arial"/>
          <w:noProof/>
          <w:sz w:val="22"/>
          <w:szCs w:val="22"/>
        </w:rPr>
        <w:t xml:space="preserve"> </w:t>
      </w:r>
      <w:r w:rsidR="003E7561">
        <w:rPr>
          <w:rFonts w:ascii="Book Antiqua" w:hAnsi="Book Antiqua" w:cs="Arial"/>
          <w:noProof/>
          <w:sz w:val="22"/>
          <w:szCs w:val="22"/>
        </w:rPr>
        <w:t xml:space="preserve">pour </w:t>
      </w:r>
      <w:r w:rsidRPr="009839AF">
        <w:rPr>
          <w:rFonts w:ascii="Book Antiqua" w:hAnsi="Book Antiqua" w:cs="Arial"/>
          <w:noProof/>
          <w:sz w:val="22"/>
          <w:szCs w:val="22"/>
        </w:rPr>
        <w:t xml:space="preserve"> 69,7%</w:t>
      </w:r>
      <w:r w:rsidR="003E7561">
        <w:rPr>
          <w:rFonts w:ascii="Book Antiqua" w:hAnsi="Book Antiqua" w:cs="Arial"/>
          <w:noProof/>
          <w:sz w:val="22"/>
          <w:szCs w:val="22"/>
        </w:rPr>
        <w:t xml:space="preserve"> des unités informelles</w:t>
      </w:r>
      <w:r w:rsidR="008553F5">
        <w:rPr>
          <w:rFonts w:ascii="Book Antiqua" w:hAnsi="Book Antiqua" w:cs="Arial"/>
          <w:noProof/>
          <w:sz w:val="22"/>
          <w:szCs w:val="22"/>
        </w:rPr>
        <w:t xml:space="preserve"> </w:t>
      </w:r>
      <w:r w:rsidR="003E7561">
        <w:rPr>
          <w:rFonts w:ascii="Book Antiqua" w:hAnsi="Book Antiqua" w:cs="Arial"/>
          <w:noProof/>
          <w:sz w:val="22"/>
          <w:szCs w:val="22"/>
        </w:rPr>
        <w:t xml:space="preserve">et </w:t>
      </w:r>
      <w:r w:rsidRPr="009839AF">
        <w:rPr>
          <w:rFonts w:ascii="Book Antiqua" w:hAnsi="Book Antiqua" w:cs="Arial"/>
          <w:noProof/>
          <w:sz w:val="22"/>
          <w:szCs w:val="22"/>
        </w:rPr>
        <w:t xml:space="preserve">68,7% </w:t>
      </w:r>
      <w:r w:rsidR="003E7561">
        <w:rPr>
          <w:rFonts w:ascii="Book Antiqua" w:hAnsi="Book Antiqua" w:cs="Arial"/>
          <w:noProof/>
          <w:sz w:val="22"/>
          <w:szCs w:val="22"/>
        </w:rPr>
        <w:t>chez les unités du secteur moderne</w:t>
      </w:r>
      <w:r w:rsidR="008553F5">
        <w:rPr>
          <w:rFonts w:ascii="Book Antiqua" w:hAnsi="Book Antiqua" w:cs="Arial"/>
          <w:noProof/>
          <w:sz w:val="22"/>
          <w:szCs w:val="22"/>
        </w:rPr>
        <w:t>.</w:t>
      </w:r>
    </w:p>
    <w:p w:rsidR="00B258CA" w:rsidRPr="009839AF" w:rsidRDefault="00B258CA" w:rsidP="00840635">
      <w:pPr>
        <w:tabs>
          <w:tab w:val="left" w:pos="1320"/>
          <w:tab w:val="right" w:leader="dot" w:pos="9572"/>
        </w:tabs>
        <w:spacing w:before="120" w:after="100" w:line="276" w:lineRule="auto"/>
        <w:contextualSpacing/>
        <w:jc w:val="both"/>
        <w:rPr>
          <w:rFonts w:ascii="Book Antiqua" w:hAnsi="Book Antiqua" w:cs="Arial"/>
          <w:noProof/>
          <w:sz w:val="22"/>
          <w:szCs w:val="22"/>
        </w:rPr>
      </w:pPr>
    </w:p>
    <w:p w:rsidR="00B258CA" w:rsidRPr="008553F5" w:rsidRDefault="00B258CA" w:rsidP="00840635">
      <w:pPr>
        <w:pStyle w:val="Lgende"/>
        <w:keepNext/>
        <w:spacing w:line="276" w:lineRule="auto"/>
        <w:jc w:val="center"/>
        <w:rPr>
          <w:rFonts w:ascii="Book Antiqua" w:hAnsi="Book Antiqua"/>
          <w:color w:val="auto"/>
          <w:sz w:val="16"/>
        </w:rPr>
      </w:pPr>
      <w:bookmarkStart w:id="58" w:name="_Toc523313707"/>
      <w:r w:rsidRPr="008553F5">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24</w:t>
      </w:r>
      <w:r w:rsidR="000D65F2">
        <w:rPr>
          <w:rFonts w:ascii="Book Antiqua" w:hAnsi="Book Antiqua"/>
          <w:color w:val="auto"/>
          <w:sz w:val="16"/>
        </w:rPr>
        <w:fldChar w:fldCharType="end"/>
      </w:r>
      <w:r w:rsidR="008553F5">
        <w:rPr>
          <w:rFonts w:ascii="Book Antiqua" w:hAnsi="Book Antiqua"/>
          <w:color w:val="auto"/>
          <w:sz w:val="16"/>
        </w:rPr>
        <w:t xml:space="preserve"> </w:t>
      </w:r>
      <w:r w:rsidRPr="008553F5">
        <w:rPr>
          <w:rFonts w:ascii="Book Antiqua" w:hAnsi="Book Antiqua"/>
          <w:color w:val="auto"/>
          <w:sz w:val="16"/>
        </w:rPr>
        <w:t xml:space="preserve">: Appréciation des unités sur </w:t>
      </w:r>
      <w:r w:rsidR="00411F8A" w:rsidRPr="008553F5">
        <w:rPr>
          <w:rFonts w:ascii="Book Antiqua" w:hAnsi="Book Antiqua"/>
          <w:color w:val="auto"/>
          <w:sz w:val="16"/>
        </w:rPr>
        <w:t>l’utilisation</w:t>
      </w:r>
      <w:r w:rsidRPr="008553F5">
        <w:rPr>
          <w:rFonts w:ascii="Book Antiqua" w:hAnsi="Book Antiqua"/>
          <w:color w:val="auto"/>
          <w:sz w:val="16"/>
        </w:rPr>
        <w:t xml:space="preserve"> des virements domestiques selon la nature de l’activité</w:t>
      </w:r>
      <w:bookmarkEnd w:id="58"/>
    </w:p>
    <w:p w:rsidR="009839AF" w:rsidRPr="009839AF" w:rsidRDefault="009839AF" w:rsidP="00840635">
      <w:pPr>
        <w:spacing w:before="120" w:line="276" w:lineRule="auto"/>
        <w:jc w:val="center"/>
        <w:rPr>
          <w:rFonts w:asciiTheme="minorHAnsi" w:eastAsiaTheme="minorHAnsi" w:hAnsiTheme="minorHAnsi" w:cstheme="minorBidi"/>
          <w:sz w:val="22"/>
          <w:szCs w:val="22"/>
        </w:rPr>
      </w:pPr>
      <w:r w:rsidRPr="009839AF">
        <w:rPr>
          <w:rFonts w:asciiTheme="minorHAnsi" w:eastAsiaTheme="minorHAnsi" w:hAnsiTheme="minorHAnsi" w:cstheme="minorBidi"/>
          <w:noProof/>
          <w:sz w:val="22"/>
          <w:szCs w:val="22"/>
        </w:rPr>
        <w:drawing>
          <wp:inline distT="0" distB="0" distL="0" distR="0">
            <wp:extent cx="4177665" cy="2218414"/>
            <wp:effectExtent l="19050" t="0" r="13335" b="0"/>
            <wp:docPr id="299"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258CA" w:rsidRDefault="00B258CA" w:rsidP="00840635">
      <w:pPr>
        <w:tabs>
          <w:tab w:val="left" w:pos="1320"/>
          <w:tab w:val="right" w:leader="dot" w:pos="9572"/>
        </w:tabs>
        <w:spacing w:before="120" w:after="100" w:line="276" w:lineRule="auto"/>
        <w:contextualSpacing/>
        <w:jc w:val="both"/>
        <w:rPr>
          <w:rFonts w:ascii="Book Antiqua" w:hAnsi="Book Antiqua" w:cs="Arial"/>
          <w:noProof/>
          <w:sz w:val="22"/>
          <w:szCs w:val="22"/>
        </w:rPr>
      </w:pPr>
    </w:p>
    <w:p w:rsidR="009F7F0F" w:rsidRPr="009839AF" w:rsidRDefault="009839AF" w:rsidP="00840635">
      <w:pPr>
        <w:tabs>
          <w:tab w:val="left" w:pos="1320"/>
          <w:tab w:val="right" w:leader="dot" w:pos="9572"/>
        </w:tabs>
        <w:spacing w:before="120" w:after="100" w:line="276" w:lineRule="auto"/>
        <w:contextualSpacing/>
        <w:jc w:val="both"/>
        <w:rPr>
          <w:rFonts w:ascii="Book Antiqua" w:hAnsi="Book Antiqua" w:cs="Arial"/>
          <w:noProof/>
          <w:sz w:val="22"/>
          <w:szCs w:val="22"/>
        </w:rPr>
      </w:pPr>
      <w:r w:rsidRPr="009839AF">
        <w:rPr>
          <w:rFonts w:ascii="Book Antiqua" w:hAnsi="Book Antiqua" w:cs="Arial"/>
          <w:noProof/>
          <w:sz w:val="22"/>
          <w:szCs w:val="22"/>
        </w:rPr>
        <w:t xml:space="preserve">L’analyse selon les secteurs </w:t>
      </w:r>
      <w:r w:rsidR="003E7561">
        <w:rPr>
          <w:rFonts w:ascii="Book Antiqua" w:hAnsi="Book Antiqua" w:cs="Arial"/>
          <w:noProof/>
          <w:sz w:val="22"/>
          <w:szCs w:val="22"/>
        </w:rPr>
        <w:t xml:space="preserve">d’appartenance des </w:t>
      </w:r>
      <w:r w:rsidRPr="009839AF">
        <w:rPr>
          <w:rFonts w:ascii="Book Antiqua" w:hAnsi="Book Antiqua" w:cs="Arial"/>
          <w:noProof/>
          <w:sz w:val="22"/>
          <w:szCs w:val="22"/>
        </w:rPr>
        <w:t xml:space="preserve">unités enquêtées montre des taux </w:t>
      </w:r>
      <w:r w:rsidR="000758EC">
        <w:rPr>
          <w:rFonts w:ascii="Book Antiqua" w:hAnsi="Book Antiqua" w:cs="Arial"/>
          <w:noProof/>
          <w:sz w:val="22"/>
          <w:szCs w:val="22"/>
        </w:rPr>
        <w:t xml:space="preserve">élevés </w:t>
      </w:r>
      <w:r w:rsidRPr="009839AF">
        <w:rPr>
          <w:rFonts w:ascii="Book Antiqua" w:hAnsi="Book Antiqua" w:cs="Arial"/>
          <w:noProof/>
          <w:sz w:val="22"/>
          <w:szCs w:val="22"/>
        </w:rPr>
        <w:t>d’utilisation de virements domestiques dans l’Administration, l’Industrie</w:t>
      </w:r>
      <w:r w:rsidR="00212E69">
        <w:rPr>
          <w:rFonts w:ascii="Book Antiqua" w:hAnsi="Book Antiqua" w:cs="Arial"/>
          <w:noProof/>
          <w:sz w:val="22"/>
          <w:szCs w:val="22"/>
        </w:rPr>
        <w:t xml:space="preserve"> et </w:t>
      </w:r>
      <w:r w:rsidRPr="009839AF">
        <w:rPr>
          <w:rFonts w:ascii="Book Antiqua" w:hAnsi="Book Antiqua" w:cs="Arial"/>
          <w:noProof/>
          <w:sz w:val="22"/>
          <w:szCs w:val="22"/>
        </w:rPr>
        <w:t>les BTP avec des proportions respectives de 58,3%, 52,6</w:t>
      </w:r>
      <w:r w:rsidR="00212E69">
        <w:rPr>
          <w:rFonts w:ascii="Book Antiqua" w:hAnsi="Book Antiqua" w:cs="Arial"/>
          <w:noProof/>
          <w:sz w:val="22"/>
          <w:szCs w:val="22"/>
        </w:rPr>
        <w:t>% et</w:t>
      </w:r>
      <w:r w:rsidRPr="009839AF">
        <w:rPr>
          <w:rFonts w:ascii="Book Antiqua" w:hAnsi="Book Antiqua" w:cs="Arial"/>
          <w:noProof/>
          <w:sz w:val="22"/>
          <w:szCs w:val="22"/>
        </w:rPr>
        <w:t xml:space="preserve"> 46,6%</w:t>
      </w:r>
      <w:r w:rsidR="00212E69">
        <w:rPr>
          <w:rFonts w:ascii="Book Antiqua" w:hAnsi="Book Antiqua" w:cs="Arial"/>
          <w:noProof/>
          <w:sz w:val="22"/>
          <w:szCs w:val="22"/>
        </w:rPr>
        <w:t>.</w:t>
      </w:r>
      <w:r w:rsidR="00C3213B">
        <w:rPr>
          <w:rFonts w:ascii="Book Antiqua" w:hAnsi="Book Antiqua" w:cs="Arial"/>
          <w:noProof/>
          <w:sz w:val="22"/>
          <w:szCs w:val="22"/>
        </w:rPr>
        <w:t xml:space="preserve"> </w:t>
      </w:r>
      <w:r w:rsidRPr="009839AF">
        <w:rPr>
          <w:rFonts w:ascii="Book Antiqua" w:hAnsi="Book Antiqua" w:cs="Arial"/>
          <w:noProof/>
          <w:sz w:val="22"/>
          <w:szCs w:val="22"/>
        </w:rPr>
        <w:t xml:space="preserve">Les secteurs </w:t>
      </w:r>
      <w:r w:rsidR="00212E69" w:rsidRPr="009839AF">
        <w:rPr>
          <w:rFonts w:ascii="Book Antiqua" w:hAnsi="Book Antiqua" w:cs="Arial"/>
          <w:noProof/>
          <w:sz w:val="22"/>
          <w:szCs w:val="22"/>
        </w:rPr>
        <w:t xml:space="preserve">de l’Agriculture (16,3%) </w:t>
      </w:r>
      <w:r w:rsidR="00212E69">
        <w:rPr>
          <w:rFonts w:ascii="Book Antiqua" w:hAnsi="Book Antiqua" w:cs="Arial"/>
          <w:noProof/>
          <w:sz w:val="22"/>
          <w:szCs w:val="22"/>
        </w:rPr>
        <w:t xml:space="preserve">et </w:t>
      </w:r>
      <w:r w:rsidRPr="009839AF">
        <w:rPr>
          <w:rFonts w:ascii="Book Antiqua" w:hAnsi="Book Antiqua" w:cs="Arial"/>
          <w:noProof/>
          <w:sz w:val="22"/>
          <w:szCs w:val="22"/>
        </w:rPr>
        <w:t xml:space="preserve">de l’Artisanat (18,0%) enrigistrent les plus faibles </w:t>
      </w:r>
      <w:r w:rsidR="000758EC">
        <w:rPr>
          <w:rFonts w:ascii="Book Antiqua" w:hAnsi="Book Antiqua" w:cs="Arial"/>
          <w:noProof/>
          <w:sz w:val="22"/>
          <w:szCs w:val="22"/>
        </w:rPr>
        <w:t xml:space="preserve">fréquences d’utilisation. </w:t>
      </w:r>
    </w:p>
    <w:p w:rsidR="00EA55D1" w:rsidRPr="008553F5" w:rsidRDefault="00EA55D1" w:rsidP="00840635">
      <w:pPr>
        <w:pStyle w:val="Lgende"/>
        <w:keepNext/>
        <w:spacing w:line="276" w:lineRule="auto"/>
        <w:jc w:val="center"/>
        <w:rPr>
          <w:rFonts w:ascii="Book Antiqua" w:hAnsi="Book Antiqua"/>
          <w:color w:val="auto"/>
          <w:sz w:val="16"/>
        </w:rPr>
      </w:pPr>
      <w:bookmarkStart w:id="59" w:name="_Toc523313708"/>
      <w:r w:rsidRPr="008553F5">
        <w:rPr>
          <w:rFonts w:ascii="Book Antiqua" w:hAnsi="Book Antiqua"/>
          <w:color w:val="auto"/>
          <w:sz w:val="16"/>
        </w:rPr>
        <w:lastRenderedPageBreak/>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25</w:t>
      </w:r>
      <w:r w:rsidR="000D65F2">
        <w:rPr>
          <w:rFonts w:ascii="Book Antiqua" w:hAnsi="Book Antiqua"/>
          <w:color w:val="auto"/>
          <w:sz w:val="16"/>
        </w:rPr>
        <w:fldChar w:fldCharType="end"/>
      </w:r>
      <w:r w:rsidRPr="008553F5">
        <w:rPr>
          <w:rFonts w:ascii="Book Antiqua" w:hAnsi="Book Antiqua"/>
          <w:color w:val="auto"/>
          <w:sz w:val="16"/>
        </w:rPr>
        <w:t xml:space="preserve">: Appréciation des unités sur </w:t>
      </w:r>
      <w:r w:rsidR="00C54B91" w:rsidRPr="008553F5">
        <w:rPr>
          <w:rFonts w:ascii="Book Antiqua" w:hAnsi="Book Antiqua"/>
          <w:color w:val="auto"/>
          <w:sz w:val="16"/>
        </w:rPr>
        <w:t xml:space="preserve">l’utilisation </w:t>
      </w:r>
      <w:r w:rsidRPr="008553F5">
        <w:rPr>
          <w:rFonts w:ascii="Book Antiqua" w:hAnsi="Book Antiqua"/>
          <w:color w:val="auto"/>
          <w:sz w:val="16"/>
        </w:rPr>
        <w:t>des virements domestiques selon les secteurs d’activité</w:t>
      </w:r>
      <w:bookmarkEnd w:id="59"/>
    </w:p>
    <w:p w:rsidR="009839AF" w:rsidRPr="009839AF" w:rsidRDefault="009839AF" w:rsidP="00840635">
      <w:pPr>
        <w:spacing w:before="120" w:line="276" w:lineRule="auto"/>
        <w:jc w:val="center"/>
        <w:rPr>
          <w:rFonts w:asciiTheme="minorHAnsi" w:eastAsiaTheme="minorHAnsi" w:hAnsiTheme="minorHAnsi" w:cstheme="minorBidi"/>
          <w:sz w:val="22"/>
          <w:szCs w:val="22"/>
        </w:rPr>
      </w:pPr>
      <w:r w:rsidRPr="009839AF">
        <w:rPr>
          <w:rFonts w:asciiTheme="minorHAnsi" w:eastAsiaTheme="minorHAnsi" w:hAnsiTheme="minorHAnsi" w:cstheme="minorBidi"/>
          <w:noProof/>
          <w:sz w:val="22"/>
          <w:szCs w:val="22"/>
        </w:rPr>
        <w:drawing>
          <wp:inline distT="0" distB="0" distL="0" distR="0">
            <wp:extent cx="4430577" cy="2363190"/>
            <wp:effectExtent l="19050" t="0" r="27123" b="0"/>
            <wp:docPr id="300"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839AF" w:rsidRPr="009839AF" w:rsidRDefault="009839AF" w:rsidP="00840635">
      <w:pPr>
        <w:spacing w:after="200" w:line="276" w:lineRule="auto"/>
        <w:rPr>
          <w:rFonts w:ascii="Book Antiqua" w:hAnsi="Book Antiqua" w:cs="Arial"/>
          <w:b/>
          <w:noProof/>
          <w:sz w:val="22"/>
          <w:szCs w:val="22"/>
        </w:rPr>
      </w:pPr>
    </w:p>
    <w:p w:rsidR="009839AF" w:rsidRPr="005952A4" w:rsidRDefault="009839AF" w:rsidP="00531C35">
      <w:pPr>
        <w:pStyle w:val="Paragraphedeliste"/>
        <w:numPr>
          <w:ilvl w:val="2"/>
          <w:numId w:val="23"/>
        </w:numPr>
        <w:spacing w:before="120" w:after="240" w:line="276" w:lineRule="auto"/>
        <w:ind w:left="851" w:hanging="284"/>
        <w:contextualSpacing w:val="0"/>
        <w:jc w:val="both"/>
        <w:outlineLvl w:val="2"/>
        <w:rPr>
          <w:rFonts w:ascii="Book Antiqua" w:hAnsi="Book Antiqua" w:cs="Arial"/>
          <w:b/>
          <w:noProof/>
          <w:sz w:val="22"/>
          <w:szCs w:val="22"/>
        </w:rPr>
      </w:pPr>
      <w:bookmarkStart w:id="60" w:name="_Toc523322039"/>
      <w:r w:rsidRPr="005952A4">
        <w:rPr>
          <w:rFonts w:ascii="Book Antiqua" w:hAnsi="Book Antiqua" w:cs="Arial"/>
          <w:b/>
          <w:noProof/>
          <w:sz w:val="22"/>
          <w:szCs w:val="22"/>
        </w:rPr>
        <w:t>Utilisation et durée de traitement des virements étrangers</w:t>
      </w:r>
      <w:bookmarkEnd w:id="60"/>
    </w:p>
    <w:p w:rsidR="009839AF"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Seule une proportion de 20,5% des unités enquêtées déclare avoir émis des ordres de virement vers l’étranger au cours des trois</w:t>
      </w:r>
      <w:r w:rsidR="00F336D6">
        <w:rPr>
          <w:rFonts w:ascii="Book Antiqua" w:eastAsiaTheme="minorHAnsi" w:hAnsi="Book Antiqua" w:cstheme="minorBidi"/>
          <w:sz w:val="22"/>
          <w:szCs w:val="22"/>
        </w:rPr>
        <w:t xml:space="preserve"> (3)</w:t>
      </w:r>
      <w:r w:rsidRPr="009839AF">
        <w:rPr>
          <w:rFonts w:ascii="Book Antiqua" w:eastAsiaTheme="minorHAnsi" w:hAnsi="Book Antiqua" w:cstheme="minorBidi"/>
          <w:sz w:val="22"/>
          <w:szCs w:val="22"/>
        </w:rPr>
        <w:t xml:space="preserve"> dernières années contre 79,5% qui ne sont pas utilisatrices. Parmi</w:t>
      </w:r>
      <w:r w:rsidR="00F336D6">
        <w:rPr>
          <w:rFonts w:ascii="Book Antiqua" w:eastAsiaTheme="minorHAnsi" w:hAnsi="Book Antiqua" w:cstheme="minorBidi"/>
          <w:sz w:val="22"/>
          <w:szCs w:val="22"/>
        </w:rPr>
        <w:t xml:space="preserve"> ces dernières</w:t>
      </w:r>
      <w:r w:rsidRPr="009839AF">
        <w:rPr>
          <w:rFonts w:ascii="Book Antiqua" w:eastAsiaTheme="minorHAnsi" w:hAnsi="Book Antiqua" w:cstheme="minorBidi"/>
          <w:sz w:val="22"/>
          <w:szCs w:val="22"/>
        </w:rPr>
        <w:t xml:space="preserve">, une proportion de 42,5% </w:t>
      </w:r>
      <w:r w:rsidR="00F336D6">
        <w:rPr>
          <w:rFonts w:ascii="Book Antiqua" w:eastAsiaTheme="minorHAnsi" w:hAnsi="Book Antiqua" w:cstheme="minorBidi"/>
          <w:sz w:val="22"/>
          <w:szCs w:val="22"/>
        </w:rPr>
        <w:t xml:space="preserve">trouve </w:t>
      </w:r>
      <w:r w:rsidRPr="009839AF">
        <w:rPr>
          <w:rFonts w:ascii="Book Antiqua" w:eastAsiaTheme="minorHAnsi" w:hAnsi="Book Antiqua" w:cstheme="minorBidi"/>
          <w:sz w:val="22"/>
          <w:szCs w:val="22"/>
        </w:rPr>
        <w:t xml:space="preserve">cette durée longue </w:t>
      </w:r>
      <w:r w:rsidR="00F336D6">
        <w:rPr>
          <w:rFonts w:ascii="Book Antiqua" w:eastAsiaTheme="minorHAnsi" w:hAnsi="Book Antiqua" w:cstheme="minorBidi"/>
          <w:sz w:val="22"/>
          <w:szCs w:val="22"/>
        </w:rPr>
        <w:t xml:space="preserve">contre </w:t>
      </w:r>
      <w:r w:rsidRPr="009839AF">
        <w:rPr>
          <w:rFonts w:ascii="Book Antiqua" w:eastAsiaTheme="minorHAnsi" w:hAnsi="Book Antiqua" w:cstheme="minorBidi"/>
          <w:sz w:val="22"/>
          <w:szCs w:val="22"/>
        </w:rPr>
        <w:t xml:space="preserve">57,5% qui </w:t>
      </w:r>
      <w:r w:rsidR="00F336D6">
        <w:rPr>
          <w:rFonts w:ascii="Book Antiqua" w:eastAsiaTheme="minorHAnsi" w:hAnsi="Book Antiqua" w:cstheme="minorBidi"/>
          <w:sz w:val="22"/>
          <w:szCs w:val="22"/>
        </w:rPr>
        <w:t xml:space="preserve">pensent que </w:t>
      </w:r>
      <w:r w:rsidRPr="009839AF">
        <w:rPr>
          <w:rFonts w:ascii="Book Antiqua" w:eastAsiaTheme="minorHAnsi" w:hAnsi="Book Antiqua" w:cstheme="minorBidi"/>
          <w:sz w:val="22"/>
          <w:szCs w:val="22"/>
        </w:rPr>
        <w:t>le délai de traitement</w:t>
      </w:r>
      <w:r w:rsidR="00D70979">
        <w:rPr>
          <w:rFonts w:ascii="Book Antiqua" w:eastAsiaTheme="minorHAnsi" w:hAnsi="Book Antiqua" w:cstheme="minorBidi"/>
          <w:sz w:val="22"/>
          <w:szCs w:val="22"/>
        </w:rPr>
        <w:t xml:space="preserve"> de</w:t>
      </w:r>
      <w:r w:rsidR="008553F5">
        <w:rPr>
          <w:rFonts w:ascii="Book Antiqua" w:eastAsiaTheme="minorHAnsi" w:hAnsi="Book Antiqua" w:cstheme="minorBidi"/>
          <w:sz w:val="22"/>
          <w:szCs w:val="22"/>
        </w:rPr>
        <w:t xml:space="preserve"> ces</w:t>
      </w:r>
      <w:r w:rsidR="00D70979">
        <w:rPr>
          <w:rFonts w:ascii="Book Antiqua" w:eastAsiaTheme="minorHAnsi" w:hAnsi="Book Antiqua" w:cstheme="minorBidi"/>
          <w:sz w:val="22"/>
          <w:szCs w:val="22"/>
        </w:rPr>
        <w:t xml:space="preserve"> virements est acceptable. </w:t>
      </w:r>
    </w:p>
    <w:p w:rsidR="009839AF" w:rsidRPr="009839AF" w:rsidRDefault="009839AF" w:rsidP="00840635">
      <w:pPr>
        <w:spacing w:before="120" w:line="276" w:lineRule="auto"/>
        <w:rPr>
          <w:rFonts w:ascii="Book Antiqua" w:eastAsiaTheme="minorHAnsi" w:hAnsi="Book Antiqua" w:cstheme="minorBidi"/>
          <w:b/>
          <w:sz w:val="16"/>
          <w:szCs w:val="16"/>
          <w:lang w:eastAsia="en-US"/>
        </w:rPr>
      </w:pPr>
    </w:p>
    <w:p w:rsidR="00D70979" w:rsidRPr="008553F5" w:rsidRDefault="00D70979" w:rsidP="00840635">
      <w:pPr>
        <w:pStyle w:val="Lgende"/>
        <w:keepNext/>
        <w:spacing w:line="276" w:lineRule="auto"/>
        <w:jc w:val="center"/>
        <w:rPr>
          <w:rFonts w:ascii="Book Antiqua" w:hAnsi="Book Antiqua"/>
          <w:color w:val="auto"/>
          <w:sz w:val="16"/>
        </w:rPr>
      </w:pPr>
      <w:bookmarkStart w:id="61" w:name="_Toc523313709"/>
      <w:r w:rsidRPr="008553F5">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26</w:t>
      </w:r>
      <w:r w:rsidR="000D65F2">
        <w:rPr>
          <w:rFonts w:ascii="Book Antiqua" w:hAnsi="Book Antiqua"/>
          <w:color w:val="auto"/>
          <w:sz w:val="16"/>
        </w:rPr>
        <w:fldChar w:fldCharType="end"/>
      </w:r>
      <w:r w:rsidRPr="008553F5">
        <w:rPr>
          <w:rFonts w:ascii="Book Antiqua" w:hAnsi="Book Antiqua"/>
          <w:color w:val="auto"/>
          <w:sz w:val="16"/>
        </w:rPr>
        <w:t xml:space="preserve">: Appréciation des unités sur </w:t>
      </w:r>
      <w:r w:rsidR="00FB409A" w:rsidRPr="008553F5">
        <w:rPr>
          <w:rFonts w:ascii="Book Antiqua" w:hAnsi="Book Antiqua"/>
          <w:color w:val="auto"/>
          <w:sz w:val="16"/>
        </w:rPr>
        <w:t xml:space="preserve">l’utilisation </w:t>
      </w:r>
      <w:r w:rsidRPr="008553F5">
        <w:rPr>
          <w:rFonts w:ascii="Book Antiqua" w:hAnsi="Book Antiqua"/>
          <w:color w:val="auto"/>
          <w:sz w:val="16"/>
        </w:rPr>
        <w:t>des virements vers l’étranger</w:t>
      </w:r>
      <w:bookmarkEnd w:id="61"/>
    </w:p>
    <w:p w:rsidR="009839AF" w:rsidRPr="009839AF" w:rsidRDefault="009839AF" w:rsidP="00840635">
      <w:pPr>
        <w:spacing w:before="120" w:line="276" w:lineRule="auto"/>
        <w:jc w:val="center"/>
        <w:rPr>
          <w:rFonts w:ascii="Book Antiqua" w:eastAsiaTheme="minorHAnsi" w:hAnsi="Book Antiqua" w:cstheme="minorBidi"/>
          <w:sz w:val="22"/>
          <w:szCs w:val="22"/>
        </w:rPr>
      </w:pPr>
      <w:r w:rsidRPr="009839AF">
        <w:rPr>
          <w:rFonts w:ascii="Book Antiqua" w:eastAsiaTheme="minorHAnsi" w:hAnsi="Book Antiqua" w:cstheme="minorBidi"/>
          <w:noProof/>
          <w:sz w:val="22"/>
          <w:szCs w:val="22"/>
        </w:rPr>
        <w:drawing>
          <wp:inline distT="0" distB="0" distL="0" distR="0">
            <wp:extent cx="4098290" cy="2345376"/>
            <wp:effectExtent l="19050" t="0" r="16510" b="0"/>
            <wp:docPr id="30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A64F3" w:rsidRDefault="00AA64F3" w:rsidP="00840635">
      <w:pPr>
        <w:tabs>
          <w:tab w:val="left" w:pos="880"/>
          <w:tab w:val="right" w:leader="dot" w:pos="9572"/>
        </w:tabs>
        <w:spacing w:before="120" w:after="100" w:line="276" w:lineRule="auto"/>
        <w:contextualSpacing/>
        <w:jc w:val="both"/>
        <w:rPr>
          <w:rFonts w:ascii="Book Antiqua" w:hAnsi="Book Antiqua" w:cs="Arial"/>
          <w:noProof/>
          <w:sz w:val="22"/>
          <w:szCs w:val="22"/>
        </w:rPr>
      </w:pPr>
    </w:p>
    <w:p w:rsidR="00C3213B" w:rsidRDefault="009839AF" w:rsidP="00840635">
      <w:pPr>
        <w:tabs>
          <w:tab w:val="left" w:pos="880"/>
          <w:tab w:val="right" w:leader="dot" w:pos="9572"/>
        </w:tabs>
        <w:spacing w:before="240" w:after="240" w:line="276" w:lineRule="auto"/>
        <w:jc w:val="both"/>
        <w:rPr>
          <w:rFonts w:ascii="Book Antiqua" w:hAnsi="Book Antiqua" w:cs="Arial"/>
          <w:noProof/>
          <w:sz w:val="22"/>
          <w:szCs w:val="22"/>
        </w:rPr>
      </w:pPr>
      <w:r w:rsidRPr="009839AF">
        <w:rPr>
          <w:rFonts w:ascii="Book Antiqua" w:hAnsi="Book Antiqua" w:cs="Arial"/>
          <w:noProof/>
          <w:sz w:val="22"/>
          <w:szCs w:val="22"/>
        </w:rPr>
        <w:t>Une analyse selon la forme juridique montre une fréquence d’utilisation des ordres de virements vers l’étranger plus élevée chez les unités de type SA</w:t>
      </w:r>
      <w:r w:rsidR="008553F5">
        <w:rPr>
          <w:rFonts w:ascii="Book Antiqua" w:hAnsi="Book Antiqua" w:cs="Arial"/>
          <w:noProof/>
          <w:sz w:val="22"/>
          <w:szCs w:val="22"/>
        </w:rPr>
        <w:t xml:space="preserve"> (</w:t>
      </w:r>
      <w:r w:rsidRPr="009839AF">
        <w:rPr>
          <w:rFonts w:ascii="Book Antiqua" w:hAnsi="Book Antiqua" w:cs="Arial"/>
          <w:noProof/>
          <w:sz w:val="22"/>
          <w:szCs w:val="22"/>
        </w:rPr>
        <w:t xml:space="preserve">36,9%), suivies </w:t>
      </w:r>
      <w:r w:rsidR="005B2F23">
        <w:rPr>
          <w:rFonts w:ascii="Book Antiqua" w:hAnsi="Book Antiqua" w:cs="Arial"/>
          <w:noProof/>
          <w:sz w:val="22"/>
          <w:szCs w:val="22"/>
        </w:rPr>
        <w:t xml:space="preserve">des </w:t>
      </w:r>
      <w:r w:rsidRPr="009839AF">
        <w:rPr>
          <w:rFonts w:ascii="Book Antiqua" w:hAnsi="Book Antiqua" w:cs="Arial"/>
          <w:noProof/>
          <w:sz w:val="22"/>
          <w:szCs w:val="22"/>
        </w:rPr>
        <w:t xml:space="preserve">SNC (33,3%) et </w:t>
      </w:r>
      <w:r w:rsidR="005B2F23">
        <w:rPr>
          <w:rFonts w:ascii="Book Antiqua" w:hAnsi="Book Antiqua" w:cs="Arial"/>
          <w:noProof/>
          <w:sz w:val="22"/>
          <w:szCs w:val="22"/>
        </w:rPr>
        <w:t xml:space="preserve">des </w:t>
      </w:r>
      <w:r w:rsidRPr="009839AF">
        <w:rPr>
          <w:rFonts w:ascii="Book Antiqua" w:hAnsi="Book Antiqua" w:cs="Arial"/>
          <w:noProof/>
          <w:sz w:val="22"/>
          <w:szCs w:val="22"/>
        </w:rPr>
        <w:t>SARL (32,8%). Les</w:t>
      </w:r>
      <w:r w:rsidR="005B2F23">
        <w:rPr>
          <w:rFonts w:ascii="Book Antiqua" w:hAnsi="Book Antiqua" w:cs="Arial"/>
          <w:noProof/>
          <w:sz w:val="22"/>
          <w:szCs w:val="22"/>
        </w:rPr>
        <w:t xml:space="preserve"> plus faibles taux sont enrigistrés au niveau des</w:t>
      </w:r>
      <w:r w:rsidRPr="009839AF">
        <w:rPr>
          <w:rFonts w:ascii="Book Antiqua" w:hAnsi="Book Antiqua" w:cs="Arial"/>
          <w:noProof/>
          <w:sz w:val="22"/>
          <w:szCs w:val="22"/>
        </w:rPr>
        <w:t xml:space="preserve"> GIE et </w:t>
      </w:r>
      <w:r w:rsidR="005B2F23">
        <w:rPr>
          <w:rFonts w:ascii="Book Antiqua" w:hAnsi="Book Antiqua" w:cs="Arial"/>
          <w:noProof/>
          <w:sz w:val="22"/>
          <w:szCs w:val="22"/>
        </w:rPr>
        <w:t>d</w:t>
      </w:r>
      <w:r w:rsidRPr="009839AF">
        <w:rPr>
          <w:rFonts w:ascii="Book Antiqua" w:hAnsi="Book Antiqua" w:cs="Arial"/>
          <w:noProof/>
          <w:sz w:val="22"/>
          <w:szCs w:val="22"/>
        </w:rPr>
        <w:t xml:space="preserve">es sociétés individuelles </w:t>
      </w:r>
      <w:r w:rsidR="005B2F23">
        <w:rPr>
          <w:rFonts w:ascii="Book Antiqua" w:hAnsi="Book Antiqua" w:cs="Arial"/>
          <w:noProof/>
          <w:sz w:val="22"/>
          <w:szCs w:val="22"/>
        </w:rPr>
        <w:t>qui</w:t>
      </w:r>
      <w:r w:rsidR="008553F5">
        <w:rPr>
          <w:rFonts w:ascii="Book Antiqua" w:hAnsi="Book Antiqua" w:cs="Arial"/>
          <w:noProof/>
          <w:sz w:val="22"/>
          <w:szCs w:val="22"/>
        </w:rPr>
        <w:t xml:space="preserve"> </w:t>
      </w:r>
      <w:r w:rsidRPr="009839AF">
        <w:rPr>
          <w:rFonts w:ascii="Book Antiqua" w:hAnsi="Book Antiqua" w:cs="Arial"/>
          <w:noProof/>
          <w:sz w:val="22"/>
          <w:szCs w:val="22"/>
        </w:rPr>
        <w:t xml:space="preserve">ressortent </w:t>
      </w:r>
      <w:r w:rsidR="005B2F23">
        <w:rPr>
          <w:rFonts w:ascii="Book Antiqua" w:hAnsi="Book Antiqua" w:cs="Arial"/>
          <w:noProof/>
          <w:sz w:val="22"/>
          <w:szCs w:val="22"/>
        </w:rPr>
        <w:t xml:space="preserve">avec </w:t>
      </w:r>
      <w:r w:rsidRPr="009839AF">
        <w:rPr>
          <w:rFonts w:ascii="Book Antiqua" w:hAnsi="Book Antiqua" w:cs="Arial"/>
          <w:noProof/>
          <w:sz w:val="22"/>
          <w:szCs w:val="22"/>
        </w:rPr>
        <w:t xml:space="preserve"> des proportions respectives de 8,2% et 14,9%.</w:t>
      </w:r>
    </w:p>
    <w:p w:rsidR="009260C9" w:rsidRDefault="009839AF" w:rsidP="00840635">
      <w:pPr>
        <w:spacing w:before="240" w:after="24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 xml:space="preserve">Par ailleurs, </w:t>
      </w:r>
      <w:r w:rsidR="005B2F23">
        <w:rPr>
          <w:rFonts w:ascii="Book Antiqua" w:eastAsiaTheme="minorHAnsi" w:hAnsi="Book Antiqua" w:cstheme="minorBidi"/>
          <w:sz w:val="22"/>
          <w:szCs w:val="22"/>
        </w:rPr>
        <w:t>l’</w:t>
      </w:r>
      <w:r w:rsidRPr="009839AF">
        <w:rPr>
          <w:rFonts w:ascii="Book Antiqua" w:eastAsiaTheme="minorHAnsi" w:hAnsi="Book Antiqua" w:cstheme="minorBidi"/>
          <w:sz w:val="22"/>
          <w:szCs w:val="22"/>
        </w:rPr>
        <w:t>appréciation</w:t>
      </w:r>
      <w:r w:rsidR="00C3213B">
        <w:rPr>
          <w:rFonts w:ascii="Book Antiqua" w:eastAsiaTheme="minorHAnsi" w:hAnsi="Book Antiqua" w:cstheme="minorBidi"/>
          <w:sz w:val="22"/>
          <w:szCs w:val="22"/>
        </w:rPr>
        <w:t xml:space="preserve"> </w:t>
      </w:r>
      <w:r w:rsidR="005B2F23">
        <w:rPr>
          <w:rFonts w:ascii="Book Antiqua" w:eastAsiaTheme="minorHAnsi" w:hAnsi="Book Antiqua" w:cstheme="minorBidi"/>
          <w:sz w:val="22"/>
          <w:szCs w:val="22"/>
        </w:rPr>
        <w:t>des unités</w:t>
      </w:r>
      <w:r w:rsidRPr="009839AF">
        <w:rPr>
          <w:rFonts w:ascii="Book Antiqua" w:eastAsiaTheme="minorHAnsi" w:hAnsi="Book Antiqua" w:cstheme="minorBidi"/>
          <w:sz w:val="22"/>
          <w:szCs w:val="22"/>
        </w:rPr>
        <w:t xml:space="preserve"> sur la durée de traitement </w:t>
      </w:r>
      <w:r w:rsidR="005B2F23">
        <w:rPr>
          <w:rFonts w:ascii="Book Antiqua" w:eastAsiaTheme="minorHAnsi" w:hAnsi="Book Antiqua" w:cstheme="minorBidi"/>
          <w:sz w:val="22"/>
          <w:szCs w:val="22"/>
        </w:rPr>
        <w:t>des virements</w:t>
      </w:r>
      <w:r w:rsidR="00C3213B">
        <w:rPr>
          <w:rFonts w:ascii="Book Antiqua" w:eastAsiaTheme="minorHAnsi" w:hAnsi="Book Antiqua" w:cstheme="minorBidi"/>
          <w:sz w:val="22"/>
          <w:szCs w:val="22"/>
        </w:rPr>
        <w:t xml:space="preserve"> </w:t>
      </w:r>
      <w:r w:rsidR="00C61741">
        <w:rPr>
          <w:rFonts w:ascii="Book Antiqua" w:eastAsiaTheme="minorHAnsi" w:hAnsi="Book Antiqua" w:cstheme="minorBidi"/>
          <w:sz w:val="22"/>
          <w:szCs w:val="22"/>
        </w:rPr>
        <w:t>vers l’étranger</w:t>
      </w:r>
      <w:r w:rsidR="00C3213B">
        <w:rPr>
          <w:rFonts w:ascii="Book Antiqua" w:eastAsiaTheme="minorHAnsi" w:hAnsi="Book Antiqua" w:cstheme="minorBidi"/>
          <w:sz w:val="22"/>
          <w:szCs w:val="22"/>
        </w:rPr>
        <w:t xml:space="preserve"> </w:t>
      </w:r>
      <w:r w:rsidR="005B2F23">
        <w:rPr>
          <w:rFonts w:ascii="Book Antiqua" w:eastAsiaTheme="minorHAnsi" w:hAnsi="Book Antiqua" w:cstheme="minorBidi"/>
          <w:sz w:val="22"/>
          <w:szCs w:val="22"/>
        </w:rPr>
        <w:t xml:space="preserve">révèle </w:t>
      </w:r>
      <w:r w:rsidR="00C3213B">
        <w:rPr>
          <w:rFonts w:ascii="Book Antiqua" w:eastAsiaTheme="minorHAnsi" w:hAnsi="Book Antiqua" w:cstheme="minorBidi"/>
          <w:sz w:val="22"/>
          <w:szCs w:val="22"/>
        </w:rPr>
        <w:t xml:space="preserve"> </w:t>
      </w:r>
      <w:r w:rsidRPr="009839AF">
        <w:rPr>
          <w:rFonts w:ascii="Book Antiqua" w:eastAsiaTheme="minorHAnsi" w:hAnsi="Book Antiqua" w:cstheme="minorBidi"/>
          <w:sz w:val="22"/>
          <w:szCs w:val="22"/>
        </w:rPr>
        <w:t>des taux d’insatisfaction de 59,1%, 44</w:t>
      </w:r>
      <w:r w:rsidR="00C833E5">
        <w:rPr>
          <w:rFonts w:ascii="Book Antiqua" w:eastAsiaTheme="minorHAnsi" w:hAnsi="Book Antiqua" w:cstheme="minorBidi"/>
          <w:sz w:val="22"/>
          <w:szCs w:val="22"/>
        </w:rPr>
        <w:t>,0</w:t>
      </w:r>
      <w:r w:rsidRPr="009839AF">
        <w:rPr>
          <w:rFonts w:ascii="Book Antiqua" w:eastAsiaTheme="minorHAnsi" w:hAnsi="Book Antiqua" w:cstheme="minorBidi"/>
          <w:sz w:val="22"/>
          <w:szCs w:val="22"/>
        </w:rPr>
        <w:t>%, 41,3% et 40,7% respectivement chez les GIE, SA, SU et SARL.</w:t>
      </w:r>
    </w:p>
    <w:p w:rsidR="003714D9" w:rsidRDefault="003714D9" w:rsidP="00840635">
      <w:pPr>
        <w:pStyle w:val="Lgende"/>
        <w:keepNext/>
        <w:spacing w:line="276" w:lineRule="auto"/>
        <w:jc w:val="center"/>
        <w:rPr>
          <w:rFonts w:ascii="Book Antiqua" w:hAnsi="Book Antiqua"/>
          <w:color w:val="auto"/>
          <w:sz w:val="16"/>
        </w:rPr>
      </w:pPr>
      <w:bookmarkStart w:id="62" w:name="_Toc523313710"/>
    </w:p>
    <w:p w:rsidR="00D70979" w:rsidRPr="008553F5" w:rsidRDefault="00D70979" w:rsidP="00840635">
      <w:pPr>
        <w:pStyle w:val="Lgende"/>
        <w:keepNext/>
        <w:spacing w:line="276" w:lineRule="auto"/>
        <w:jc w:val="center"/>
        <w:rPr>
          <w:rFonts w:ascii="Book Antiqua" w:hAnsi="Book Antiqua"/>
          <w:color w:val="auto"/>
          <w:sz w:val="16"/>
        </w:rPr>
      </w:pPr>
      <w:r w:rsidRPr="008553F5">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27</w:t>
      </w:r>
      <w:r w:rsidR="000D65F2">
        <w:rPr>
          <w:rFonts w:ascii="Book Antiqua" w:hAnsi="Book Antiqua"/>
          <w:color w:val="auto"/>
          <w:sz w:val="16"/>
        </w:rPr>
        <w:fldChar w:fldCharType="end"/>
      </w:r>
      <w:r w:rsidRPr="008553F5">
        <w:rPr>
          <w:rFonts w:ascii="Book Antiqua" w:hAnsi="Book Antiqua"/>
          <w:color w:val="auto"/>
          <w:sz w:val="16"/>
        </w:rPr>
        <w:t xml:space="preserve">: </w:t>
      </w:r>
      <w:r w:rsidR="006B3805" w:rsidRPr="008553F5">
        <w:rPr>
          <w:rFonts w:ascii="Book Antiqua" w:hAnsi="Book Antiqua"/>
          <w:color w:val="auto"/>
          <w:sz w:val="16"/>
        </w:rPr>
        <w:t xml:space="preserve">Fréquence d’utilisation </w:t>
      </w:r>
      <w:r w:rsidRPr="008553F5">
        <w:rPr>
          <w:rFonts w:ascii="Book Antiqua" w:hAnsi="Book Antiqua"/>
          <w:color w:val="auto"/>
          <w:sz w:val="16"/>
        </w:rPr>
        <w:t xml:space="preserve">des </w:t>
      </w:r>
      <w:r w:rsidR="006B3805" w:rsidRPr="008553F5">
        <w:rPr>
          <w:rFonts w:ascii="Book Antiqua" w:hAnsi="Book Antiqua"/>
          <w:color w:val="auto"/>
          <w:sz w:val="16"/>
        </w:rPr>
        <w:t xml:space="preserve">ordres de </w:t>
      </w:r>
      <w:r w:rsidRPr="008553F5">
        <w:rPr>
          <w:rFonts w:ascii="Book Antiqua" w:hAnsi="Book Antiqua"/>
          <w:color w:val="auto"/>
          <w:sz w:val="16"/>
        </w:rPr>
        <w:t xml:space="preserve">virements </w:t>
      </w:r>
      <w:r w:rsidR="006B3805" w:rsidRPr="008553F5">
        <w:rPr>
          <w:rFonts w:ascii="Book Antiqua" w:hAnsi="Book Antiqua"/>
          <w:color w:val="auto"/>
          <w:sz w:val="16"/>
        </w:rPr>
        <w:t>vers l’étranger par les unités</w:t>
      </w:r>
      <w:bookmarkEnd w:id="62"/>
    </w:p>
    <w:p w:rsidR="009839AF" w:rsidRPr="009839AF" w:rsidRDefault="009839AF" w:rsidP="00840635">
      <w:pPr>
        <w:spacing w:before="120" w:line="276" w:lineRule="auto"/>
        <w:jc w:val="center"/>
        <w:rPr>
          <w:rFonts w:asciiTheme="minorHAnsi" w:eastAsiaTheme="minorHAnsi" w:hAnsiTheme="minorHAnsi" w:cstheme="minorBidi"/>
          <w:sz w:val="22"/>
          <w:szCs w:val="22"/>
        </w:rPr>
      </w:pPr>
      <w:r w:rsidRPr="009839AF">
        <w:rPr>
          <w:rFonts w:asciiTheme="minorHAnsi" w:eastAsiaTheme="minorHAnsi" w:hAnsiTheme="minorHAnsi" w:cstheme="minorBidi"/>
          <w:noProof/>
          <w:sz w:val="22"/>
          <w:szCs w:val="22"/>
        </w:rPr>
        <w:drawing>
          <wp:inline distT="0" distB="0" distL="0" distR="0">
            <wp:extent cx="4019917" cy="2087597"/>
            <wp:effectExtent l="19050" t="0" r="18683" b="7903"/>
            <wp:docPr id="30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553F5" w:rsidRDefault="008553F5" w:rsidP="00840635">
      <w:pPr>
        <w:spacing w:before="120" w:line="276" w:lineRule="auto"/>
        <w:jc w:val="both"/>
        <w:rPr>
          <w:rFonts w:ascii="Book Antiqua" w:eastAsiaTheme="minorHAnsi" w:hAnsi="Book Antiqua" w:cstheme="minorBidi"/>
          <w:sz w:val="22"/>
          <w:szCs w:val="22"/>
        </w:rPr>
      </w:pPr>
    </w:p>
    <w:p w:rsidR="00C61741" w:rsidRDefault="00C61741"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 xml:space="preserve">S’agissant de la réception des ordres de virement </w:t>
      </w:r>
      <w:r>
        <w:rPr>
          <w:rFonts w:ascii="Book Antiqua" w:eastAsiaTheme="minorHAnsi" w:hAnsi="Book Antiqua" w:cstheme="minorBidi"/>
          <w:sz w:val="22"/>
          <w:szCs w:val="22"/>
        </w:rPr>
        <w:t xml:space="preserve">de </w:t>
      </w:r>
      <w:r w:rsidRPr="009839AF">
        <w:rPr>
          <w:rFonts w:ascii="Book Antiqua" w:eastAsiaTheme="minorHAnsi" w:hAnsi="Book Antiqua" w:cstheme="minorBidi"/>
          <w:sz w:val="22"/>
          <w:szCs w:val="22"/>
        </w:rPr>
        <w:t xml:space="preserve">l’étranger, 22,6% des unités interviewées déclarent en avoir reçu au cours des trois dernières années. Parmi </w:t>
      </w:r>
      <w:r>
        <w:rPr>
          <w:rFonts w:ascii="Book Antiqua" w:eastAsiaTheme="minorHAnsi" w:hAnsi="Book Antiqua" w:cstheme="minorBidi"/>
          <w:sz w:val="22"/>
          <w:szCs w:val="22"/>
        </w:rPr>
        <w:t xml:space="preserve">celles-ci, </w:t>
      </w:r>
      <w:r w:rsidRPr="009839AF">
        <w:rPr>
          <w:rFonts w:ascii="Book Antiqua" w:eastAsiaTheme="minorHAnsi" w:hAnsi="Book Antiqua" w:cstheme="minorBidi"/>
          <w:sz w:val="22"/>
          <w:szCs w:val="22"/>
        </w:rPr>
        <w:t>37,9% déplore</w:t>
      </w:r>
      <w:r>
        <w:rPr>
          <w:rFonts w:ascii="Book Antiqua" w:eastAsiaTheme="minorHAnsi" w:hAnsi="Book Antiqua" w:cstheme="minorBidi"/>
          <w:sz w:val="22"/>
          <w:szCs w:val="22"/>
        </w:rPr>
        <w:t>nt</w:t>
      </w:r>
      <w:r w:rsidRPr="009839AF">
        <w:rPr>
          <w:rFonts w:ascii="Book Antiqua" w:eastAsiaTheme="minorHAnsi" w:hAnsi="Book Antiqua" w:cstheme="minorBidi"/>
          <w:sz w:val="22"/>
          <w:szCs w:val="22"/>
        </w:rPr>
        <w:t xml:space="preserve"> la lenteur de traitement </w:t>
      </w:r>
      <w:r>
        <w:rPr>
          <w:rFonts w:ascii="Book Antiqua" w:eastAsiaTheme="minorHAnsi" w:hAnsi="Book Antiqua" w:cstheme="minorBidi"/>
          <w:sz w:val="22"/>
          <w:szCs w:val="22"/>
        </w:rPr>
        <w:t xml:space="preserve">de ces opérations </w:t>
      </w:r>
      <w:r w:rsidRPr="009839AF">
        <w:rPr>
          <w:rFonts w:ascii="Book Antiqua" w:eastAsiaTheme="minorHAnsi" w:hAnsi="Book Antiqua" w:cstheme="minorBidi"/>
          <w:sz w:val="22"/>
          <w:szCs w:val="22"/>
        </w:rPr>
        <w:t xml:space="preserve">contre 62,1% qui </w:t>
      </w:r>
      <w:r>
        <w:rPr>
          <w:rFonts w:ascii="Book Antiqua" w:eastAsiaTheme="minorHAnsi" w:hAnsi="Book Antiqua" w:cstheme="minorBidi"/>
          <w:sz w:val="22"/>
          <w:szCs w:val="22"/>
        </w:rPr>
        <w:t xml:space="preserve">éprouvent un sentiment de satisfaction sur l’exécution des ordres de transferts à l’étranger.  </w:t>
      </w:r>
    </w:p>
    <w:p w:rsidR="00C61741" w:rsidRPr="009839AF" w:rsidRDefault="00C61741" w:rsidP="00840635">
      <w:pPr>
        <w:spacing w:before="120" w:line="276" w:lineRule="auto"/>
        <w:jc w:val="both"/>
        <w:rPr>
          <w:rFonts w:ascii="Book Antiqua" w:eastAsiaTheme="minorHAnsi" w:hAnsi="Book Antiqua" w:cstheme="minorBidi"/>
          <w:sz w:val="22"/>
          <w:szCs w:val="22"/>
        </w:rPr>
      </w:pPr>
    </w:p>
    <w:p w:rsidR="00C61741" w:rsidRPr="008553F5" w:rsidRDefault="00C61741" w:rsidP="00840635">
      <w:pPr>
        <w:pStyle w:val="Lgende"/>
        <w:keepNext/>
        <w:spacing w:line="276" w:lineRule="auto"/>
        <w:jc w:val="center"/>
        <w:rPr>
          <w:rFonts w:ascii="Book Antiqua" w:hAnsi="Book Antiqua"/>
          <w:color w:val="auto"/>
          <w:sz w:val="16"/>
        </w:rPr>
      </w:pPr>
      <w:bookmarkStart w:id="63" w:name="_Toc523313711"/>
      <w:r w:rsidRPr="008553F5">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28</w:t>
      </w:r>
      <w:r w:rsidR="000D65F2">
        <w:rPr>
          <w:rFonts w:ascii="Book Antiqua" w:hAnsi="Book Antiqua"/>
          <w:color w:val="auto"/>
          <w:sz w:val="16"/>
        </w:rPr>
        <w:fldChar w:fldCharType="end"/>
      </w:r>
      <w:r w:rsidRPr="008553F5">
        <w:rPr>
          <w:rFonts w:ascii="Book Antiqua" w:hAnsi="Book Antiqua"/>
          <w:color w:val="auto"/>
          <w:sz w:val="16"/>
        </w:rPr>
        <w:t>: Appréciation des unités sur la durée de traitement des virements reçus de l’étranger</w:t>
      </w:r>
      <w:bookmarkEnd w:id="63"/>
    </w:p>
    <w:p w:rsidR="00C61741" w:rsidRPr="009839AF" w:rsidRDefault="00F44BC9" w:rsidP="00840635">
      <w:pPr>
        <w:spacing w:before="120" w:line="276" w:lineRule="auto"/>
        <w:jc w:val="center"/>
        <w:rPr>
          <w:rFonts w:ascii="Book Antiqua" w:eastAsiaTheme="minorHAnsi" w:hAnsi="Book Antiqua" w:cstheme="minorBidi"/>
          <w:sz w:val="22"/>
          <w:szCs w:val="22"/>
        </w:rPr>
      </w:pPr>
      <w:r w:rsidRPr="00AC390C">
        <w:rPr>
          <w:rFonts w:ascii="Book Antiqua" w:eastAsiaTheme="minorHAnsi" w:hAnsi="Book Antiqua" w:cstheme="minorBidi"/>
          <w:noProof/>
          <w:sz w:val="22"/>
          <w:szCs w:val="22"/>
        </w:rPr>
        <w:drawing>
          <wp:inline distT="0" distB="0" distL="0" distR="0">
            <wp:extent cx="3201831" cy="2073198"/>
            <wp:effectExtent l="0" t="0" r="36830" b="3810"/>
            <wp:docPr id="1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4141F" w:rsidRDefault="00F4141F" w:rsidP="00840635">
      <w:pPr>
        <w:spacing w:before="120" w:line="276" w:lineRule="auto"/>
        <w:jc w:val="both"/>
        <w:rPr>
          <w:rFonts w:ascii="Book Antiqua" w:eastAsiaTheme="minorHAnsi" w:hAnsi="Book Antiqua" w:cstheme="minorBidi"/>
          <w:sz w:val="22"/>
          <w:szCs w:val="22"/>
          <w:lang w:eastAsia="en-US"/>
        </w:rPr>
      </w:pPr>
    </w:p>
    <w:p w:rsidR="00C61741" w:rsidRDefault="00DF64BA" w:rsidP="00A41BD6">
      <w:pPr>
        <w:tabs>
          <w:tab w:val="left" w:pos="880"/>
          <w:tab w:val="right" w:leader="dot" w:pos="9572"/>
        </w:tabs>
        <w:spacing w:before="240" w:after="240" w:line="276" w:lineRule="auto"/>
        <w:jc w:val="both"/>
        <w:rPr>
          <w:rFonts w:ascii="Book Antiqua" w:eastAsiaTheme="minorHAnsi" w:hAnsi="Book Antiqua" w:cstheme="minorBidi"/>
          <w:sz w:val="22"/>
          <w:szCs w:val="22"/>
          <w:lang w:eastAsia="en-US"/>
        </w:rPr>
      </w:pPr>
      <w:r>
        <w:rPr>
          <w:rFonts w:ascii="Book Antiqua" w:eastAsiaTheme="minorHAnsi" w:hAnsi="Book Antiqua" w:cstheme="minorBidi"/>
          <w:sz w:val="22"/>
          <w:szCs w:val="22"/>
          <w:lang w:eastAsia="en-US"/>
        </w:rPr>
        <w:t xml:space="preserve">L’analyse croisée selon la nature de l’activité montre </w:t>
      </w:r>
      <w:r w:rsidR="000C0863">
        <w:rPr>
          <w:rFonts w:ascii="Book Antiqua" w:eastAsiaTheme="minorHAnsi" w:hAnsi="Book Antiqua" w:cstheme="minorBidi"/>
          <w:sz w:val="22"/>
          <w:szCs w:val="22"/>
          <w:lang w:eastAsia="en-US"/>
        </w:rPr>
        <w:t xml:space="preserve">que </w:t>
      </w:r>
      <w:r w:rsidR="00F4141F" w:rsidRPr="009839AF">
        <w:rPr>
          <w:rFonts w:ascii="Book Antiqua" w:eastAsiaTheme="minorHAnsi" w:hAnsi="Book Antiqua" w:cstheme="minorBidi"/>
          <w:sz w:val="22"/>
          <w:szCs w:val="22"/>
          <w:lang w:eastAsia="en-US"/>
        </w:rPr>
        <w:t>26,1%</w:t>
      </w:r>
      <w:r w:rsidR="000C0863">
        <w:rPr>
          <w:rFonts w:ascii="Book Antiqua" w:eastAsiaTheme="minorHAnsi" w:hAnsi="Book Antiqua" w:cstheme="minorBidi"/>
          <w:sz w:val="22"/>
          <w:szCs w:val="22"/>
          <w:lang w:eastAsia="en-US"/>
        </w:rPr>
        <w:t xml:space="preserve"> des unités interrogées</w:t>
      </w:r>
      <w:r w:rsidR="00C3213B">
        <w:rPr>
          <w:rFonts w:ascii="Book Antiqua" w:eastAsiaTheme="minorHAnsi" w:hAnsi="Book Antiqua" w:cstheme="minorBidi"/>
          <w:sz w:val="22"/>
          <w:szCs w:val="22"/>
          <w:lang w:eastAsia="en-US"/>
        </w:rPr>
        <w:t xml:space="preserve"> </w:t>
      </w:r>
      <w:r w:rsidR="000C0863">
        <w:rPr>
          <w:rFonts w:ascii="Book Antiqua" w:eastAsiaTheme="minorHAnsi" w:hAnsi="Book Antiqua" w:cstheme="minorBidi"/>
          <w:sz w:val="22"/>
          <w:szCs w:val="22"/>
          <w:lang w:eastAsia="en-US"/>
        </w:rPr>
        <w:t xml:space="preserve">au niveau du </w:t>
      </w:r>
      <w:r w:rsidR="00F4141F" w:rsidRPr="009839AF">
        <w:rPr>
          <w:rFonts w:ascii="Book Antiqua" w:eastAsiaTheme="minorHAnsi" w:hAnsi="Book Antiqua" w:cstheme="minorBidi"/>
          <w:sz w:val="22"/>
          <w:szCs w:val="22"/>
          <w:lang w:eastAsia="en-US"/>
        </w:rPr>
        <w:t>secteur moderne et 14</w:t>
      </w:r>
      <w:r w:rsidR="00F4141F">
        <w:rPr>
          <w:rFonts w:ascii="Book Antiqua" w:eastAsiaTheme="minorHAnsi" w:hAnsi="Book Antiqua" w:cstheme="minorBidi"/>
          <w:sz w:val="22"/>
          <w:szCs w:val="22"/>
          <w:lang w:eastAsia="en-US"/>
        </w:rPr>
        <w:t>,0</w:t>
      </w:r>
      <w:r w:rsidR="00F4141F" w:rsidRPr="009839AF">
        <w:rPr>
          <w:rFonts w:ascii="Book Antiqua" w:eastAsiaTheme="minorHAnsi" w:hAnsi="Book Antiqua" w:cstheme="minorBidi"/>
          <w:sz w:val="22"/>
          <w:szCs w:val="22"/>
          <w:lang w:eastAsia="en-US"/>
        </w:rPr>
        <w:t xml:space="preserve">% </w:t>
      </w:r>
      <w:r w:rsidR="000C0863">
        <w:rPr>
          <w:rFonts w:ascii="Book Antiqua" w:eastAsiaTheme="minorHAnsi" w:hAnsi="Book Antiqua" w:cstheme="minorBidi"/>
          <w:sz w:val="22"/>
          <w:szCs w:val="22"/>
          <w:lang w:eastAsia="en-US"/>
        </w:rPr>
        <w:t xml:space="preserve">relevant de l’informel </w:t>
      </w:r>
      <w:r w:rsidR="00F4141F" w:rsidRPr="009839AF">
        <w:rPr>
          <w:rFonts w:ascii="Book Antiqua" w:eastAsiaTheme="minorHAnsi" w:hAnsi="Book Antiqua" w:cstheme="minorBidi"/>
          <w:sz w:val="22"/>
          <w:szCs w:val="22"/>
          <w:lang w:eastAsia="en-US"/>
        </w:rPr>
        <w:t>reconnaissent avoir reçu des</w:t>
      </w:r>
      <w:r>
        <w:rPr>
          <w:rFonts w:ascii="Book Antiqua" w:eastAsiaTheme="minorHAnsi" w:hAnsi="Book Antiqua" w:cstheme="minorBidi"/>
          <w:sz w:val="22"/>
          <w:szCs w:val="22"/>
          <w:lang w:eastAsia="en-US"/>
        </w:rPr>
        <w:t xml:space="preserve"> virements </w:t>
      </w:r>
      <w:r w:rsidR="00F4141F" w:rsidRPr="009839AF">
        <w:rPr>
          <w:rFonts w:ascii="Book Antiqua" w:eastAsiaTheme="minorHAnsi" w:hAnsi="Book Antiqua" w:cstheme="minorBidi"/>
          <w:sz w:val="22"/>
          <w:szCs w:val="22"/>
          <w:lang w:eastAsia="en-US"/>
        </w:rPr>
        <w:t xml:space="preserve">de l’étranger au cours des trois dernières années. </w:t>
      </w:r>
      <w:r w:rsidR="000C0863">
        <w:rPr>
          <w:rFonts w:ascii="Book Antiqua" w:eastAsiaTheme="minorHAnsi" w:hAnsi="Book Antiqua" w:cstheme="minorBidi"/>
          <w:sz w:val="22"/>
          <w:szCs w:val="22"/>
          <w:lang w:eastAsia="en-US"/>
        </w:rPr>
        <w:t>Parmi ce</w:t>
      </w:r>
      <w:r w:rsidR="000373AA">
        <w:rPr>
          <w:rFonts w:ascii="Book Antiqua" w:eastAsiaTheme="minorHAnsi" w:hAnsi="Book Antiqua" w:cstheme="minorBidi"/>
          <w:sz w:val="22"/>
          <w:szCs w:val="22"/>
          <w:lang w:eastAsia="en-US"/>
        </w:rPr>
        <w:t>lles-ci</w:t>
      </w:r>
      <w:r w:rsidR="000C0863">
        <w:rPr>
          <w:rFonts w:ascii="Book Antiqua" w:eastAsiaTheme="minorHAnsi" w:hAnsi="Book Antiqua" w:cstheme="minorBidi"/>
          <w:sz w:val="22"/>
          <w:szCs w:val="22"/>
          <w:lang w:eastAsia="en-US"/>
        </w:rPr>
        <w:t xml:space="preserve">, </w:t>
      </w:r>
      <w:r w:rsidR="00250898">
        <w:rPr>
          <w:rFonts w:ascii="Book Antiqua" w:eastAsiaTheme="minorHAnsi" w:hAnsi="Book Antiqua" w:cstheme="minorBidi"/>
          <w:sz w:val="22"/>
          <w:szCs w:val="22"/>
          <w:lang w:eastAsia="en-US"/>
        </w:rPr>
        <w:t xml:space="preserve">il a été </w:t>
      </w:r>
      <w:r w:rsidR="00C3213B">
        <w:rPr>
          <w:rFonts w:ascii="Book Antiqua" w:eastAsiaTheme="minorHAnsi" w:hAnsi="Book Antiqua" w:cstheme="minorBidi"/>
          <w:sz w:val="22"/>
          <w:szCs w:val="22"/>
          <w:lang w:eastAsia="en-US"/>
        </w:rPr>
        <w:t>relevé</w:t>
      </w:r>
      <w:r w:rsidR="00250898">
        <w:rPr>
          <w:rFonts w:ascii="Book Antiqua" w:eastAsiaTheme="minorHAnsi" w:hAnsi="Book Antiqua" w:cstheme="minorBidi"/>
          <w:sz w:val="22"/>
          <w:szCs w:val="22"/>
          <w:lang w:eastAsia="en-US"/>
        </w:rPr>
        <w:t xml:space="preserve"> </w:t>
      </w:r>
      <w:r w:rsidR="000C0863">
        <w:rPr>
          <w:rFonts w:ascii="Book Antiqua" w:eastAsiaTheme="minorHAnsi" w:hAnsi="Book Antiqua" w:cstheme="minorBidi"/>
          <w:sz w:val="22"/>
          <w:szCs w:val="22"/>
          <w:lang w:eastAsia="en-US"/>
        </w:rPr>
        <w:t>des taux</w:t>
      </w:r>
      <w:r w:rsidR="00C3213B">
        <w:rPr>
          <w:rFonts w:ascii="Book Antiqua" w:eastAsiaTheme="minorHAnsi" w:hAnsi="Book Antiqua" w:cstheme="minorBidi"/>
          <w:sz w:val="22"/>
          <w:szCs w:val="22"/>
          <w:lang w:eastAsia="en-US"/>
        </w:rPr>
        <w:t xml:space="preserve"> </w:t>
      </w:r>
      <w:r w:rsidR="000C0863">
        <w:rPr>
          <w:rFonts w:ascii="Book Antiqua" w:eastAsiaTheme="minorHAnsi" w:hAnsi="Book Antiqua" w:cstheme="minorBidi"/>
          <w:sz w:val="22"/>
          <w:szCs w:val="22"/>
          <w:lang w:eastAsia="en-US"/>
        </w:rPr>
        <w:t xml:space="preserve">d’insatisfaction respectifs de </w:t>
      </w:r>
      <w:r w:rsidR="00F4141F" w:rsidRPr="009839AF">
        <w:rPr>
          <w:rFonts w:ascii="Book Antiqua" w:eastAsiaTheme="minorHAnsi" w:hAnsi="Book Antiqua" w:cstheme="minorBidi"/>
          <w:sz w:val="22"/>
          <w:szCs w:val="22"/>
          <w:lang w:eastAsia="en-US"/>
        </w:rPr>
        <w:t>38,8%</w:t>
      </w:r>
      <w:r w:rsidR="000C0863">
        <w:rPr>
          <w:rFonts w:ascii="Book Antiqua" w:eastAsiaTheme="minorHAnsi" w:hAnsi="Book Antiqua" w:cstheme="minorBidi"/>
          <w:sz w:val="22"/>
          <w:szCs w:val="22"/>
          <w:lang w:eastAsia="en-US"/>
        </w:rPr>
        <w:t xml:space="preserve"> et </w:t>
      </w:r>
      <w:r w:rsidR="00F4141F">
        <w:rPr>
          <w:rFonts w:ascii="Book Antiqua" w:eastAsiaTheme="minorHAnsi" w:hAnsi="Book Antiqua" w:cstheme="minorBidi"/>
          <w:sz w:val="22"/>
          <w:szCs w:val="22"/>
          <w:lang w:eastAsia="en-US"/>
        </w:rPr>
        <w:t xml:space="preserve">de </w:t>
      </w:r>
      <w:r w:rsidR="00F4141F" w:rsidRPr="009839AF">
        <w:rPr>
          <w:rFonts w:ascii="Book Antiqua" w:eastAsiaTheme="minorHAnsi" w:hAnsi="Book Antiqua" w:cstheme="minorBidi"/>
          <w:sz w:val="22"/>
          <w:szCs w:val="22"/>
          <w:lang w:eastAsia="en-US"/>
        </w:rPr>
        <w:t>34,2%</w:t>
      </w:r>
      <w:r w:rsidR="000C0863">
        <w:rPr>
          <w:rFonts w:ascii="Book Antiqua" w:eastAsiaTheme="minorHAnsi" w:hAnsi="Book Antiqua" w:cstheme="minorBidi"/>
          <w:sz w:val="22"/>
          <w:szCs w:val="22"/>
          <w:lang w:eastAsia="en-US"/>
        </w:rPr>
        <w:t xml:space="preserve"> sur le délai </w:t>
      </w:r>
      <w:r w:rsidR="00250898">
        <w:rPr>
          <w:rFonts w:ascii="Book Antiqua" w:eastAsiaTheme="minorHAnsi" w:hAnsi="Book Antiqua" w:cstheme="minorBidi"/>
          <w:sz w:val="22"/>
          <w:szCs w:val="22"/>
          <w:lang w:eastAsia="en-US"/>
        </w:rPr>
        <w:t>de traitement</w:t>
      </w:r>
      <w:r w:rsidR="00C3213B">
        <w:rPr>
          <w:rFonts w:ascii="Book Antiqua" w:eastAsiaTheme="minorHAnsi" w:hAnsi="Book Antiqua" w:cstheme="minorBidi"/>
          <w:sz w:val="22"/>
          <w:szCs w:val="22"/>
          <w:lang w:eastAsia="en-US"/>
        </w:rPr>
        <w:t xml:space="preserve"> </w:t>
      </w:r>
      <w:r w:rsidR="00250898">
        <w:rPr>
          <w:rFonts w:ascii="Book Antiqua" w:eastAsiaTheme="minorHAnsi" w:hAnsi="Book Antiqua" w:cstheme="minorBidi"/>
          <w:sz w:val="22"/>
          <w:szCs w:val="22"/>
          <w:lang w:eastAsia="en-US"/>
        </w:rPr>
        <w:t>des</w:t>
      </w:r>
      <w:r w:rsidR="00C3213B">
        <w:rPr>
          <w:rFonts w:ascii="Book Antiqua" w:eastAsiaTheme="minorHAnsi" w:hAnsi="Book Antiqua" w:cstheme="minorBidi"/>
          <w:sz w:val="22"/>
          <w:szCs w:val="22"/>
          <w:lang w:eastAsia="en-US"/>
        </w:rPr>
        <w:t xml:space="preserve"> virements reçus.</w:t>
      </w:r>
    </w:p>
    <w:p w:rsidR="001D14E4" w:rsidRDefault="001D14E4" w:rsidP="00A41BD6">
      <w:pPr>
        <w:tabs>
          <w:tab w:val="left" w:pos="880"/>
          <w:tab w:val="right" w:leader="dot" w:pos="9572"/>
        </w:tabs>
        <w:spacing w:before="240" w:after="240" w:line="276" w:lineRule="auto"/>
        <w:jc w:val="both"/>
        <w:rPr>
          <w:rFonts w:ascii="Book Antiqua" w:hAnsi="Book Antiqua" w:cs="Arial"/>
          <w:noProof/>
          <w:sz w:val="22"/>
          <w:szCs w:val="22"/>
        </w:rPr>
      </w:pPr>
      <w:r>
        <w:rPr>
          <w:rFonts w:ascii="Book Antiqua" w:hAnsi="Book Antiqua" w:cs="Arial"/>
          <w:noProof/>
          <w:sz w:val="22"/>
          <w:szCs w:val="22"/>
        </w:rPr>
        <w:t xml:space="preserve">L’exploitation des statistiques sur la fréquence de réception des ordres de virements étrangers fait apparaitre </w:t>
      </w:r>
      <w:r w:rsidR="0069270D">
        <w:rPr>
          <w:rFonts w:ascii="Book Antiqua" w:hAnsi="Book Antiqua" w:cs="Arial"/>
          <w:noProof/>
          <w:sz w:val="22"/>
          <w:szCs w:val="22"/>
        </w:rPr>
        <w:t>les plus forts</w:t>
      </w:r>
      <w:r>
        <w:rPr>
          <w:rFonts w:ascii="Book Antiqua" w:hAnsi="Book Antiqua" w:cs="Arial"/>
          <w:noProof/>
          <w:sz w:val="22"/>
          <w:szCs w:val="22"/>
        </w:rPr>
        <w:t xml:space="preserve"> taux d’utilisation </w:t>
      </w:r>
      <w:r w:rsidR="0069270D">
        <w:rPr>
          <w:rFonts w:ascii="Book Antiqua" w:hAnsi="Book Antiqua" w:cs="Arial"/>
          <w:noProof/>
          <w:sz w:val="22"/>
          <w:szCs w:val="22"/>
        </w:rPr>
        <w:t>chez les SNC (33,3%), les SARL (32,4%) et les SA (32,0%) contre des proportions de 11,5% pour les GIE et de 16,9% pour les SU.</w:t>
      </w:r>
    </w:p>
    <w:p w:rsidR="005C4A89" w:rsidRPr="008553F5" w:rsidRDefault="005C4A89" w:rsidP="00840635">
      <w:pPr>
        <w:pStyle w:val="Lgende"/>
        <w:keepNext/>
        <w:spacing w:line="276" w:lineRule="auto"/>
        <w:jc w:val="center"/>
        <w:rPr>
          <w:rFonts w:ascii="Book Antiqua" w:hAnsi="Book Antiqua"/>
          <w:color w:val="auto"/>
          <w:sz w:val="16"/>
        </w:rPr>
      </w:pPr>
      <w:bookmarkStart w:id="64" w:name="_Toc523313712"/>
      <w:r w:rsidRPr="008553F5">
        <w:rPr>
          <w:rFonts w:ascii="Book Antiqua" w:hAnsi="Book Antiqua"/>
          <w:color w:val="auto"/>
          <w:sz w:val="16"/>
        </w:rPr>
        <w:lastRenderedPageBreak/>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29</w:t>
      </w:r>
      <w:r w:rsidR="000D65F2">
        <w:rPr>
          <w:rFonts w:ascii="Book Antiqua" w:hAnsi="Book Antiqua"/>
          <w:color w:val="auto"/>
          <w:sz w:val="16"/>
        </w:rPr>
        <w:fldChar w:fldCharType="end"/>
      </w:r>
      <w:r w:rsidRPr="008553F5">
        <w:rPr>
          <w:rFonts w:ascii="Book Antiqua" w:hAnsi="Book Antiqua"/>
          <w:color w:val="auto"/>
          <w:sz w:val="16"/>
        </w:rPr>
        <w:t>: Fréquence de ré</w:t>
      </w:r>
      <w:r w:rsidR="008553F5">
        <w:rPr>
          <w:rFonts w:ascii="Book Antiqua" w:hAnsi="Book Antiqua"/>
          <w:color w:val="auto"/>
          <w:sz w:val="16"/>
        </w:rPr>
        <w:t>ception des ordres de virements</w:t>
      </w:r>
      <w:r w:rsidRPr="008553F5">
        <w:rPr>
          <w:rFonts w:ascii="Book Antiqua" w:hAnsi="Book Antiqua"/>
          <w:color w:val="auto"/>
          <w:sz w:val="16"/>
        </w:rPr>
        <w:t xml:space="preserve"> étrangers par les unités</w:t>
      </w:r>
      <w:bookmarkEnd w:id="64"/>
    </w:p>
    <w:p w:rsidR="005C4A89" w:rsidRDefault="00F44BC9" w:rsidP="00840635">
      <w:pPr>
        <w:spacing w:before="120" w:line="276" w:lineRule="auto"/>
        <w:contextualSpacing/>
        <w:jc w:val="center"/>
        <w:rPr>
          <w:rFonts w:ascii="Book Antiqua" w:eastAsiaTheme="minorHAnsi" w:hAnsi="Book Antiqua" w:cstheme="minorBidi"/>
          <w:sz w:val="22"/>
          <w:szCs w:val="22"/>
        </w:rPr>
      </w:pPr>
      <w:r w:rsidRPr="00AC390C">
        <w:rPr>
          <w:rFonts w:ascii="Book Antiqua" w:eastAsiaTheme="minorHAnsi" w:hAnsi="Book Antiqua" w:cstheme="minorBidi"/>
          <w:noProof/>
          <w:sz w:val="22"/>
          <w:szCs w:val="22"/>
        </w:rPr>
        <w:drawing>
          <wp:inline distT="0" distB="0" distL="0" distR="0">
            <wp:extent cx="5638800" cy="2509838"/>
            <wp:effectExtent l="19050" t="0" r="19050" b="4762"/>
            <wp:docPr id="26"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C4A89" w:rsidRDefault="005C4A89" w:rsidP="00840635">
      <w:pPr>
        <w:spacing w:before="120" w:line="276" w:lineRule="auto"/>
        <w:contextualSpacing/>
        <w:jc w:val="both"/>
        <w:rPr>
          <w:rFonts w:ascii="Book Antiqua" w:eastAsiaTheme="minorHAnsi" w:hAnsi="Book Antiqua" w:cstheme="minorBidi"/>
          <w:sz w:val="22"/>
          <w:szCs w:val="22"/>
        </w:rPr>
      </w:pPr>
    </w:p>
    <w:p w:rsidR="00162497" w:rsidRPr="00162497" w:rsidRDefault="00162497" w:rsidP="00840635">
      <w:pPr>
        <w:spacing w:before="120" w:line="276" w:lineRule="auto"/>
        <w:contextualSpacing/>
        <w:jc w:val="both"/>
        <w:rPr>
          <w:rFonts w:ascii="Book Antiqua" w:eastAsiaTheme="minorHAnsi" w:hAnsi="Book Antiqua" w:cstheme="minorBidi"/>
          <w:sz w:val="22"/>
          <w:szCs w:val="22"/>
        </w:rPr>
      </w:pPr>
      <w:r w:rsidRPr="00162497">
        <w:rPr>
          <w:rFonts w:ascii="Book Antiqua" w:eastAsiaTheme="minorHAnsi" w:hAnsi="Book Antiqua" w:cstheme="minorBidi"/>
          <w:sz w:val="22"/>
          <w:szCs w:val="22"/>
        </w:rPr>
        <w:t xml:space="preserve">La nature de l’activité des unités semble être un facteur déterminant dans l’utilisation des ordres </w:t>
      </w:r>
      <w:r>
        <w:rPr>
          <w:rFonts w:ascii="Book Antiqua" w:eastAsiaTheme="minorHAnsi" w:hAnsi="Book Antiqua" w:cstheme="minorBidi"/>
          <w:sz w:val="22"/>
          <w:szCs w:val="22"/>
        </w:rPr>
        <w:t>de virements vers l’étranger</w:t>
      </w:r>
      <w:r w:rsidR="00F27987">
        <w:rPr>
          <w:rFonts w:ascii="Book Antiqua" w:eastAsiaTheme="minorHAnsi" w:hAnsi="Book Antiqua" w:cstheme="minorBidi"/>
          <w:sz w:val="22"/>
          <w:szCs w:val="22"/>
        </w:rPr>
        <w:t>. En effet,</w:t>
      </w:r>
      <w:r w:rsidR="00723075">
        <w:rPr>
          <w:rFonts w:ascii="Book Antiqua" w:eastAsiaTheme="minorHAnsi" w:hAnsi="Book Antiqua" w:cstheme="minorBidi"/>
          <w:sz w:val="22"/>
          <w:szCs w:val="22"/>
        </w:rPr>
        <w:t xml:space="preserve"> </w:t>
      </w:r>
      <w:r w:rsidR="00015164">
        <w:rPr>
          <w:rFonts w:ascii="Book Antiqua" w:eastAsiaTheme="minorHAnsi" w:hAnsi="Book Antiqua" w:cstheme="minorBidi"/>
          <w:sz w:val="22"/>
          <w:szCs w:val="22"/>
        </w:rPr>
        <w:t xml:space="preserve">les unités </w:t>
      </w:r>
      <w:r w:rsidRPr="00162497">
        <w:rPr>
          <w:rFonts w:ascii="Book Antiqua" w:eastAsiaTheme="minorHAnsi" w:hAnsi="Book Antiqua" w:cstheme="minorBidi"/>
          <w:sz w:val="22"/>
          <w:szCs w:val="22"/>
        </w:rPr>
        <w:t xml:space="preserve">du secteur moderne </w:t>
      </w:r>
      <w:r w:rsidR="00015164">
        <w:rPr>
          <w:rFonts w:ascii="Book Antiqua" w:eastAsiaTheme="minorHAnsi" w:hAnsi="Book Antiqua" w:cstheme="minorBidi"/>
          <w:sz w:val="22"/>
          <w:szCs w:val="22"/>
        </w:rPr>
        <w:t xml:space="preserve">ont </w:t>
      </w:r>
      <w:r w:rsidR="001833CD">
        <w:rPr>
          <w:rFonts w:ascii="Book Antiqua" w:eastAsiaTheme="minorHAnsi" w:hAnsi="Book Antiqua" w:cstheme="minorBidi"/>
          <w:sz w:val="22"/>
          <w:szCs w:val="22"/>
        </w:rPr>
        <w:t>plus</w:t>
      </w:r>
      <w:r w:rsidR="00723075">
        <w:rPr>
          <w:rFonts w:ascii="Book Antiqua" w:eastAsiaTheme="minorHAnsi" w:hAnsi="Book Antiqua" w:cstheme="minorBidi"/>
          <w:sz w:val="22"/>
          <w:szCs w:val="22"/>
        </w:rPr>
        <w:t xml:space="preserve"> </w:t>
      </w:r>
      <w:r w:rsidR="00015164">
        <w:rPr>
          <w:rFonts w:ascii="Book Antiqua" w:eastAsiaTheme="minorHAnsi" w:hAnsi="Book Antiqua" w:cstheme="minorBidi"/>
          <w:sz w:val="22"/>
          <w:szCs w:val="22"/>
        </w:rPr>
        <w:t>tendance à en faire usage</w:t>
      </w:r>
      <w:r w:rsidR="00723075">
        <w:rPr>
          <w:rFonts w:ascii="Book Antiqua" w:eastAsiaTheme="minorHAnsi" w:hAnsi="Book Antiqua" w:cstheme="minorBidi"/>
          <w:sz w:val="22"/>
          <w:szCs w:val="22"/>
        </w:rPr>
        <w:t xml:space="preserve"> </w:t>
      </w:r>
      <w:r w:rsidR="001833CD">
        <w:rPr>
          <w:rFonts w:ascii="Book Antiqua" w:eastAsiaTheme="minorHAnsi" w:hAnsi="Book Antiqua" w:cstheme="minorBidi"/>
          <w:sz w:val="22"/>
          <w:szCs w:val="22"/>
        </w:rPr>
        <w:t>(</w:t>
      </w:r>
      <w:r w:rsidR="00015164" w:rsidRPr="00162497">
        <w:rPr>
          <w:rFonts w:ascii="Book Antiqua" w:eastAsiaTheme="minorHAnsi" w:hAnsi="Book Antiqua" w:cstheme="minorBidi"/>
          <w:sz w:val="22"/>
          <w:szCs w:val="22"/>
        </w:rPr>
        <w:t>25,5%</w:t>
      </w:r>
      <w:r w:rsidR="001833CD">
        <w:rPr>
          <w:rFonts w:ascii="Book Antiqua" w:eastAsiaTheme="minorHAnsi" w:hAnsi="Book Antiqua" w:cstheme="minorBidi"/>
          <w:sz w:val="22"/>
          <w:szCs w:val="22"/>
        </w:rPr>
        <w:t>)</w:t>
      </w:r>
      <w:r w:rsidR="00723075">
        <w:rPr>
          <w:rFonts w:ascii="Book Antiqua" w:eastAsiaTheme="minorHAnsi" w:hAnsi="Book Antiqua" w:cstheme="minorBidi"/>
          <w:sz w:val="22"/>
          <w:szCs w:val="22"/>
        </w:rPr>
        <w:t xml:space="preserve"> </w:t>
      </w:r>
      <w:r w:rsidR="001833CD">
        <w:rPr>
          <w:rFonts w:ascii="Book Antiqua" w:eastAsiaTheme="minorHAnsi" w:hAnsi="Book Antiqua" w:cstheme="minorBidi"/>
          <w:sz w:val="22"/>
          <w:szCs w:val="22"/>
        </w:rPr>
        <w:t>que</w:t>
      </w:r>
      <w:r w:rsidRPr="00162497">
        <w:rPr>
          <w:rFonts w:ascii="Book Antiqua" w:eastAsiaTheme="minorHAnsi" w:hAnsi="Book Antiqua" w:cstheme="minorBidi"/>
          <w:sz w:val="22"/>
          <w:szCs w:val="22"/>
        </w:rPr>
        <w:t xml:space="preserve"> les unités informelles</w:t>
      </w:r>
      <w:r w:rsidR="001833CD">
        <w:rPr>
          <w:rFonts w:ascii="Book Antiqua" w:eastAsiaTheme="minorHAnsi" w:hAnsi="Book Antiqua" w:cstheme="minorBidi"/>
          <w:sz w:val="22"/>
          <w:szCs w:val="22"/>
        </w:rPr>
        <w:t xml:space="preserve"> (</w:t>
      </w:r>
      <w:r w:rsidR="001833CD" w:rsidRPr="00162497">
        <w:rPr>
          <w:rFonts w:ascii="Book Antiqua" w:eastAsiaTheme="minorHAnsi" w:hAnsi="Book Antiqua" w:cstheme="minorBidi"/>
          <w:sz w:val="22"/>
          <w:szCs w:val="22"/>
        </w:rPr>
        <w:t>8,3%</w:t>
      </w:r>
      <w:r w:rsidR="001833CD">
        <w:rPr>
          <w:rFonts w:ascii="Book Antiqua" w:eastAsiaTheme="minorHAnsi" w:hAnsi="Book Antiqua" w:cstheme="minorBidi"/>
          <w:sz w:val="22"/>
          <w:szCs w:val="22"/>
        </w:rPr>
        <w:t>)</w:t>
      </w:r>
      <w:r w:rsidRPr="00162497">
        <w:rPr>
          <w:rFonts w:ascii="Book Antiqua" w:eastAsiaTheme="minorHAnsi" w:hAnsi="Book Antiqua" w:cstheme="minorBidi"/>
          <w:sz w:val="22"/>
          <w:szCs w:val="22"/>
        </w:rPr>
        <w:t xml:space="preserve">. </w:t>
      </w:r>
    </w:p>
    <w:p w:rsidR="00162497" w:rsidRPr="00AC390C" w:rsidRDefault="00162497" w:rsidP="00840635">
      <w:pPr>
        <w:spacing w:before="120" w:line="276" w:lineRule="auto"/>
        <w:contextualSpacing/>
        <w:jc w:val="both"/>
        <w:rPr>
          <w:rFonts w:ascii="Book Antiqua" w:eastAsiaTheme="minorHAnsi" w:hAnsi="Book Antiqua" w:cstheme="minorBidi"/>
          <w:sz w:val="22"/>
          <w:szCs w:val="22"/>
          <w:highlight w:val="yellow"/>
        </w:rPr>
      </w:pPr>
    </w:p>
    <w:p w:rsidR="00162497" w:rsidRPr="00723075" w:rsidRDefault="004204AC" w:rsidP="00840635">
      <w:pPr>
        <w:pStyle w:val="Lgende"/>
        <w:keepNext/>
        <w:spacing w:line="276" w:lineRule="auto"/>
        <w:jc w:val="center"/>
        <w:rPr>
          <w:rFonts w:ascii="Book Antiqua" w:hAnsi="Book Antiqua"/>
          <w:color w:val="auto"/>
          <w:sz w:val="16"/>
        </w:rPr>
      </w:pPr>
      <w:bookmarkStart w:id="65" w:name="_Toc523313713"/>
      <w:r w:rsidRPr="00723075">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30</w:t>
      </w:r>
      <w:r w:rsidR="000D65F2">
        <w:rPr>
          <w:rFonts w:ascii="Book Antiqua" w:hAnsi="Book Antiqua"/>
          <w:color w:val="auto"/>
          <w:sz w:val="16"/>
        </w:rPr>
        <w:fldChar w:fldCharType="end"/>
      </w:r>
      <w:r w:rsidRPr="00723075">
        <w:rPr>
          <w:rFonts w:ascii="Book Antiqua" w:hAnsi="Book Antiqua"/>
          <w:color w:val="auto"/>
          <w:sz w:val="16"/>
        </w:rPr>
        <w:t>: Appréciation des unités sur l’utilisation des virements vers l’étranger selon la nature de l’activité</w:t>
      </w:r>
      <w:bookmarkEnd w:id="65"/>
    </w:p>
    <w:p w:rsidR="0069270D" w:rsidRDefault="00F44BC9" w:rsidP="00840635">
      <w:pPr>
        <w:tabs>
          <w:tab w:val="left" w:pos="880"/>
          <w:tab w:val="right" w:leader="dot" w:pos="9572"/>
        </w:tabs>
        <w:spacing w:before="120" w:after="100" w:line="276" w:lineRule="auto"/>
        <w:contextualSpacing/>
        <w:jc w:val="center"/>
        <w:rPr>
          <w:rFonts w:ascii="Book Antiqua" w:hAnsi="Book Antiqua" w:cs="Arial"/>
          <w:noProof/>
          <w:sz w:val="22"/>
          <w:szCs w:val="22"/>
        </w:rPr>
      </w:pPr>
      <w:r w:rsidRPr="00AC390C">
        <w:rPr>
          <w:rFonts w:ascii="Book Antiqua" w:hAnsi="Book Antiqua" w:cs="Arial"/>
          <w:noProof/>
          <w:sz w:val="22"/>
          <w:szCs w:val="22"/>
        </w:rPr>
        <w:drawing>
          <wp:inline distT="0" distB="0" distL="0" distR="0">
            <wp:extent cx="4572000" cy="2371725"/>
            <wp:effectExtent l="19050" t="0" r="19050" b="0"/>
            <wp:docPr id="25"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260C9" w:rsidRDefault="009260C9" w:rsidP="00840635">
      <w:pPr>
        <w:spacing w:before="120" w:line="276" w:lineRule="auto"/>
        <w:contextualSpacing/>
        <w:jc w:val="both"/>
        <w:rPr>
          <w:rFonts w:ascii="Book Antiqua" w:eastAsiaTheme="minorHAnsi" w:hAnsi="Book Antiqua" w:cstheme="minorBidi"/>
          <w:sz w:val="22"/>
          <w:szCs w:val="22"/>
        </w:rPr>
      </w:pPr>
    </w:p>
    <w:p w:rsidR="00C3213B" w:rsidRPr="00132182" w:rsidRDefault="004204AC" w:rsidP="00A41BD6">
      <w:pPr>
        <w:spacing w:before="240" w:after="240" w:line="276" w:lineRule="auto"/>
        <w:jc w:val="both"/>
        <w:rPr>
          <w:rFonts w:ascii="Book Antiqua" w:eastAsiaTheme="minorHAnsi" w:hAnsi="Book Antiqua" w:cstheme="minorBidi"/>
          <w:sz w:val="22"/>
          <w:szCs w:val="22"/>
        </w:rPr>
      </w:pPr>
      <w:r w:rsidRPr="00132182">
        <w:rPr>
          <w:rFonts w:ascii="Book Antiqua" w:eastAsiaTheme="minorHAnsi" w:hAnsi="Book Antiqua" w:cstheme="minorBidi"/>
          <w:sz w:val="22"/>
          <w:szCs w:val="22"/>
        </w:rPr>
        <w:t>S’a</w:t>
      </w:r>
      <w:r w:rsidR="00FA2EE7">
        <w:rPr>
          <w:rFonts w:ascii="Book Antiqua" w:eastAsiaTheme="minorHAnsi" w:hAnsi="Book Antiqua" w:cstheme="minorBidi"/>
          <w:sz w:val="22"/>
          <w:szCs w:val="22"/>
        </w:rPr>
        <w:t>gissant de l’appréciation sur la durée de</w:t>
      </w:r>
      <w:r w:rsidRPr="00132182">
        <w:rPr>
          <w:rFonts w:ascii="Book Antiqua" w:eastAsiaTheme="minorHAnsi" w:hAnsi="Book Antiqua" w:cstheme="minorBidi"/>
          <w:sz w:val="22"/>
          <w:szCs w:val="22"/>
        </w:rPr>
        <w:t xml:space="preserve"> traitement des ordres vers l’étranger, </w:t>
      </w:r>
      <w:r w:rsidR="00FA2EE7">
        <w:rPr>
          <w:rFonts w:ascii="Book Antiqua" w:eastAsiaTheme="minorHAnsi" w:hAnsi="Book Antiqua" w:cstheme="minorBidi"/>
          <w:sz w:val="22"/>
          <w:szCs w:val="22"/>
        </w:rPr>
        <w:t xml:space="preserve">il est noté une </w:t>
      </w:r>
      <w:r w:rsidRPr="00132182">
        <w:rPr>
          <w:rFonts w:ascii="Book Antiqua" w:eastAsiaTheme="minorHAnsi" w:hAnsi="Book Antiqua" w:cstheme="minorBidi"/>
          <w:sz w:val="22"/>
          <w:szCs w:val="22"/>
        </w:rPr>
        <w:t>perception plus négative chez les unités informelles (51,1%) que chez celles issues du secteur moderne (41,3%)</w:t>
      </w:r>
      <w:r w:rsidR="00FA2EE7">
        <w:rPr>
          <w:rFonts w:ascii="Book Antiqua" w:eastAsiaTheme="minorHAnsi" w:hAnsi="Book Antiqua" w:cstheme="minorBidi"/>
          <w:sz w:val="22"/>
          <w:szCs w:val="22"/>
        </w:rPr>
        <w:t>.</w:t>
      </w:r>
    </w:p>
    <w:p w:rsidR="00A41BD6" w:rsidRDefault="008D1FA2" w:rsidP="00A41BD6">
      <w:pPr>
        <w:spacing w:before="240" w:after="240" w:line="276" w:lineRule="auto"/>
        <w:jc w:val="both"/>
        <w:rPr>
          <w:rFonts w:ascii="Book Antiqua" w:eastAsiaTheme="minorHAnsi" w:hAnsi="Book Antiqua" w:cstheme="minorBidi"/>
          <w:sz w:val="22"/>
          <w:szCs w:val="22"/>
        </w:rPr>
      </w:pPr>
      <w:r>
        <w:rPr>
          <w:rFonts w:ascii="Book Antiqua" w:eastAsiaTheme="minorHAnsi" w:hAnsi="Book Antiqua" w:cstheme="minorBidi"/>
          <w:sz w:val="22"/>
          <w:szCs w:val="22"/>
        </w:rPr>
        <w:t>L’analyse s</w:t>
      </w:r>
      <w:r w:rsidR="00F5126D">
        <w:rPr>
          <w:rFonts w:ascii="Book Antiqua" w:eastAsiaTheme="minorHAnsi" w:hAnsi="Book Antiqua" w:cstheme="minorBidi"/>
          <w:sz w:val="22"/>
          <w:szCs w:val="22"/>
        </w:rPr>
        <w:t>uivant le délai de traitement de ces opérations</w:t>
      </w:r>
      <w:r>
        <w:rPr>
          <w:rFonts w:ascii="Book Antiqua" w:eastAsiaTheme="minorHAnsi" w:hAnsi="Book Antiqua" w:cstheme="minorBidi"/>
          <w:sz w:val="22"/>
          <w:szCs w:val="22"/>
        </w:rPr>
        <w:t xml:space="preserve"> fait ressortir des </w:t>
      </w:r>
      <w:r w:rsidR="006319A2">
        <w:rPr>
          <w:rFonts w:ascii="Book Antiqua" w:eastAsiaTheme="minorHAnsi" w:hAnsi="Book Antiqua" w:cstheme="minorBidi"/>
          <w:sz w:val="22"/>
          <w:szCs w:val="22"/>
        </w:rPr>
        <w:t>taux de récrimination</w:t>
      </w:r>
      <w:r w:rsidR="00C3213B">
        <w:rPr>
          <w:rFonts w:ascii="Book Antiqua" w:eastAsiaTheme="minorHAnsi" w:hAnsi="Book Antiqua" w:cstheme="minorBidi"/>
          <w:sz w:val="22"/>
          <w:szCs w:val="22"/>
        </w:rPr>
        <w:t xml:space="preserve"> </w:t>
      </w:r>
      <w:r w:rsidR="006319A2">
        <w:rPr>
          <w:rFonts w:ascii="Book Antiqua" w:eastAsiaTheme="minorHAnsi" w:hAnsi="Book Antiqua" w:cstheme="minorBidi"/>
          <w:sz w:val="22"/>
          <w:szCs w:val="22"/>
        </w:rPr>
        <w:t xml:space="preserve">dont </w:t>
      </w:r>
      <w:r w:rsidR="006B3805">
        <w:rPr>
          <w:rFonts w:ascii="Book Antiqua" w:eastAsiaTheme="minorHAnsi" w:hAnsi="Book Antiqua" w:cstheme="minorBidi"/>
          <w:sz w:val="22"/>
          <w:szCs w:val="22"/>
        </w:rPr>
        <w:t xml:space="preserve">les </w:t>
      </w:r>
      <w:r w:rsidR="006B3805" w:rsidRPr="009839AF">
        <w:rPr>
          <w:rFonts w:ascii="Book Antiqua" w:eastAsiaTheme="minorHAnsi" w:hAnsi="Book Antiqua" w:cstheme="minorBidi"/>
          <w:sz w:val="22"/>
          <w:szCs w:val="22"/>
        </w:rPr>
        <w:t xml:space="preserve">plus élevés </w:t>
      </w:r>
      <w:r>
        <w:rPr>
          <w:rFonts w:ascii="Book Antiqua" w:eastAsiaTheme="minorHAnsi" w:hAnsi="Book Antiqua" w:cstheme="minorBidi"/>
          <w:sz w:val="22"/>
          <w:szCs w:val="22"/>
        </w:rPr>
        <w:t xml:space="preserve">sont observés chez </w:t>
      </w:r>
      <w:r w:rsidR="006B3805" w:rsidRPr="009839AF">
        <w:rPr>
          <w:rFonts w:ascii="Book Antiqua" w:eastAsiaTheme="minorHAnsi" w:hAnsi="Book Antiqua" w:cstheme="minorBidi"/>
          <w:sz w:val="22"/>
          <w:szCs w:val="22"/>
        </w:rPr>
        <w:t>les</w:t>
      </w:r>
      <w:r>
        <w:rPr>
          <w:rFonts w:ascii="Book Antiqua" w:eastAsiaTheme="minorHAnsi" w:hAnsi="Book Antiqua" w:cstheme="minorBidi"/>
          <w:sz w:val="22"/>
          <w:szCs w:val="22"/>
        </w:rPr>
        <w:t xml:space="preserve"> unités de type</w:t>
      </w:r>
      <w:r w:rsidR="006B3805" w:rsidRPr="009839AF">
        <w:rPr>
          <w:rFonts w:ascii="Book Antiqua" w:eastAsiaTheme="minorHAnsi" w:hAnsi="Book Antiqua" w:cstheme="minorBidi"/>
          <w:sz w:val="22"/>
          <w:szCs w:val="22"/>
        </w:rPr>
        <w:t xml:space="preserve"> GIE (50%), les SARL (44,8%), les SA (35,4%) et les SU (31,7%). </w:t>
      </w:r>
    </w:p>
    <w:p w:rsidR="00A41BD6" w:rsidRDefault="00A41BD6">
      <w:pPr>
        <w:spacing w:after="200" w:line="276" w:lineRule="auto"/>
        <w:rPr>
          <w:rFonts w:ascii="Book Antiqua" w:eastAsiaTheme="minorHAnsi" w:hAnsi="Book Antiqua" w:cstheme="minorBidi"/>
          <w:sz w:val="22"/>
          <w:szCs w:val="22"/>
        </w:rPr>
      </w:pPr>
      <w:r>
        <w:rPr>
          <w:rFonts w:ascii="Book Antiqua" w:eastAsiaTheme="minorHAnsi" w:hAnsi="Book Antiqua" w:cstheme="minorBidi"/>
          <w:sz w:val="22"/>
          <w:szCs w:val="22"/>
        </w:rPr>
        <w:br w:type="page"/>
      </w:r>
    </w:p>
    <w:p w:rsidR="009839AF" w:rsidRPr="003A0A14" w:rsidRDefault="00A62FDF" w:rsidP="00AA59E0">
      <w:pPr>
        <w:pStyle w:val="Paragraphedeliste"/>
        <w:numPr>
          <w:ilvl w:val="1"/>
          <w:numId w:val="24"/>
        </w:numPr>
        <w:tabs>
          <w:tab w:val="left" w:pos="-720"/>
        </w:tabs>
        <w:suppressAutoHyphens/>
        <w:spacing w:before="120" w:after="120" w:line="276" w:lineRule="auto"/>
        <w:ind w:left="568" w:hanging="284"/>
        <w:contextualSpacing w:val="0"/>
        <w:jc w:val="both"/>
        <w:outlineLvl w:val="1"/>
        <w:rPr>
          <w:rFonts w:ascii="Book Antiqua" w:hAnsi="Book Antiqua" w:cs="Tahoma"/>
          <w:b/>
          <w:sz w:val="22"/>
          <w:szCs w:val="22"/>
        </w:rPr>
      </w:pPr>
      <w:bookmarkStart w:id="66" w:name="_Toc523322040"/>
      <w:r w:rsidRPr="003A0A14">
        <w:rPr>
          <w:rFonts w:ascii="Book Antiqua" w:hAnsi="Book Antiqua" w:cs="Tahoma"/>
          <w:b/>
          <w:sz w:val="22"/>
          <w:szCs w:val="22"/>
        </w:rPr>
        <w:lastRenderedPageBreak/>
        <w:t>Satisfaction sur le fonctionnement du compte</w:t>
      </w:r>
      <w:bookmarkEnd w:id="66"/>
    </w:p>
    <w:p w:rsidR="009839AF" w:rsidRDefault="0032570A" w:rsidP="00840635">
      <w:pPr>
        <w:spacing w:before="120" w:line="276" w:lineRule="auto"/>
        <w:contextualSpacing/>
        <w:jc w:val="both"/>
        <w:rPr>
          <w:rFonts w:ascii="Book Antiqua" w:eastAsiaTheme="minorHAnsi" w:hAnsi="Book Antiqua" w:cstheme="minorBidi"/>
          <w:sz w:val="22"/>
          <w:szCs w:val="22"/>
        </w:rPr>
      </w:pPr>
      <w:r>
        <w:rPr>
          <w:rFonts w:ascii="Book Antiqua" w:eastAsiaTheme="minorHAnsi" w:hAnsi="Book Antiqua" w:cstheme="minorBidi"/>
          <w:sz w:val="22"/>
          <w:szCs w:val="22"/>
        </w:rPr>
        <w:t xml:space="preserve">L’appréciation </w:t>
      </w:r>
      <w:r w:rsidR="009839AF" w:rsidRPr="009839AF">
        <w:rPr>
          <w:rFonts w:ascii="Book Antiqua" w:eastAsiaTheme="minorHAnsi" w:hAnsi="Book Antiqua" w:cstheme="minorBidi"/>
          <w:sz w:val="22"/>
          <w:szCs w:val="22"/>
        </w:rPr>
        <w:t>des unités enquêtées sur le fonctionnement de leur compte</w:t>
      </w:r>
      <w:r w:rsidR="00CA531F">
        <w:rPr>
          <w:rFonts w:ascii="Book Antiqua" w:eastAsiaTheme="minorHAnsi" w:hAnsi="Book Antiqua" w:cstheme="minorBidi"/>
          <w:sz w:val="22"/>
          <w:szCs w:val="22"/>
        </w:rPr>
        <w:t xml:space="preserve"> principal</w:t>
      </w:r>
      <w:r w:rsidR="009839AF" w:rsidRPr="009839AF">
        <w:rPr>
          <w:rFonts w:ascii="Book Antiqua" w:eastAsiaTheme="minorHAnsi" w:hAnsi="Book Antiqua" w:cstheme="minorBidi"/>
          <w:sz w:val="22"/>
          <w:szCs w:val="22"/>
        </w:rPr>
        <w:t xml:space="preserve"> est établie à partir de plusieurs </w:t>
      </w:r>
      <w:r>
        <w:rPr>
          <w:rFonts w:ascii="Book Antiqua" w:eastAsiaTheme="minorHAnsi" w:hAnsi="Book Antiqua" w:cstheme="minorBidi"/>
          <w:sz w:val="22"/>
          <w:szCs w:val="22"/>
        </w:rPr>
        <w:t xml:space="preserve">paramètres </w:t>
      </w:r>
      <w:r w:rsidR="00F00013">
        <w:rPr>
          <w:rFonts w:ascii="Book Antiqua" w:eastAsiaTheme="minorHAnsi" w:hAnsi="Book Antiqua" w:cstheme="minorBidi"/>
          <w:sz w:val="22"/>
          <w:szCs w:val="22"/>
        </w:rPr>
        <w:t xml:space="preserve">dont notamment </w:t>
      </w:r>
      <w:r w:rsidR="009839AF" w:rsidRPr="009839AF">
        <w:rPr>
          <w:rFonts w:ascii="Book Antiqua" w:eastAsiaTheme="minorHAnsi" w:hAnsi="Book Antiqua" w:cstheme="minorBidi"/>
          <w:sz w:val="22"/>
          <w:szCs w:val="22"/>
        </w:rPr>
        <w:t xml:space="preserve">la fréquence de réception de relevés de compte </w:t>
      </w:r>
      <w:r w:rsidR="00CA531F">
        <w:rPr>
          <w:rFonts w:ascii="Book Antiqua" w:eastAsiaTheme="minorHAnsi" w:hAnsi="Book Antiqua" w:cstheme="minorBidi"/>
          <w:sz w:val="22"/>
          <w:szCs w:val="22"/>
        </w:rPr>
        <w:t xml:space="preserve">ainsi que </w:t>
      </w:r>
      <w:r w:rsidR="009839AF" w:rsidRPr="009839AF">
        <w:rPr>
          <w:rFonts w:ascii="Book Antiqua" w:eastAsiaTheme="minorHAnsi" w:hAnsi="Book Antiqua" w:cstheme="minorBidi"/>
          <w:sz w:val="22"/>
          <w:szCs w:val="22"/>
        </w:rPr>
        <w:t xml:space="preserve">les irrégularités </w:t>
      </w:r>
      <w:r w:rsidR="00F00013">
        <w:rPr>
          <w:rFonts w:ascii="Book Antiqua" w:eastAsiaTheme="minorHAnsi" w:hAnsi="Book Antiqua" w:cstheme="minorBidi"/>
          <w:sz w:val="22"/>
          <w:szCs w:val="22"/>
        </w:rPr>
        <w:t>décelées</w:t>
      </w:r>
      <w:r w:rsidR="009839AF" w:rsidRPr="009839AF">
        <w:rPr>
          <w:rFonts w:ascii="Book Antiqua" w:eastAsiaTheme="minorHAnsi" w:hAnsi="Book Antiqua" w:cstheme="minorBidi"/>
          <w:sz w:val="22"/>
          <w:szCs w:val="22"/>
        </w:rPr>
        <w:t>, les dates de valeur sur</w:t>
      </w:r>
      <w:r w:rsidR="009B6A50">
        <w:rPr>
          <w:rFonts w:ascii="Book Antiqua" w:eastAsiaTheme="minorHAnsi" w:hAnsi="Book Antiqua" w:cstheme="minorBidi"/>
          <w:sz w:val="22"/>
          <w:szCs w:val="22"/>
        </w:rPr>
        <w:t xml:space="preserve"> les opérations créditrices ou </w:t>
      </w:r>
      <w:r w:rsidR="009839AF" w:rsidRPr="009839AF">
        <w:rPr>
          <w:rFonts w:ascii="Book Antiqua" w:eastAsiaTheme="minorHAnsi" w:hAnsi="Book Antiqua" w:cstheme="minorBidi"/>
          <w:sz w:val="22"/>
          <w:szCs w:val="22"/>
        </w:rPr>
        <w:t>débitrices</w:t>
      </w:r>
      <w:r w:rsidR="00C3213B">
        <w:rPr>
          <w:rFonts w:ascii="Book Antiqua" w:eastAsiaTheme="minorHAnsi" w:hAnsi="Book Antiqua" w:cstheme="minorBidi"/>
          <w:sz w:val="22"/>
          <w:szCs w:val="22"/>
        </w:rPr>
        <w:t xml:space="preserve"> </w:t>
      </w:r>
      <w:r w:rsidR="00D557A2">
        <w:rPr>
          <w:rFonts w:ascii="Book Antiqua" w:eastAsiaTheme="minorHAnsi" w:hAnsi="Book Antiqua" w:cstheme="minorBidi"/>
          <w:sz w:val="22"/>
          <w:szCs w:val="22"/>
        </w:rPr>
        <w:t xml:space="preserve">ou </w:t>
      </w:r>
      <w:r w:rsidR="009839AF" w:rsidRPr="009839AF">
        <w:rPr>
          <w:rFonts w:ascii="Book Antiqua" w:eastAsiaTheme="minorHAnsi" w:hAnsi="Book Antiqua" w:cstheme="minorBidi"/>
          <w:sz w:val="22"/>
          <w:szCs w:val="22"/>
        </w:rPr>
        <w:t>le délai de renouvellement du chéquier.</w:t>
      </w:r>
    </w:p>
    <w:p w:rsidR="009839AF" w:rsidRPr="005715F2" w:rsidRDefault="009839AF" w:rsidP="00AA59E0">
      <w:pPr>
        <w:pStyle w:val="Paragraphedeliste"/>
        <w:numPr>
          <w:ilvl w:val="2"/>
          <w:numId w:val="25"/>
        </w:numPr>
        <w:tabs>
          <w:tab w:val="left" w:pos="1320"/>
          <w:tab w:val="right" w:leader="dot" w:pos="9572"/>
        </w:tabs>
        <w:spacing w:before="120" w:after="120" w:line="276" w:lineRule="auto"/>
        <w:ind w:left="851" w:hanging="284"/>
        <w:contextualSpacing w:val="0"/>
        <w:jc w:val="both"/>
        <w:outlineLvl w:val="2"/>
        <w:rPr>
          <w:rFonts w:ascii="Book Antiqua" w:hAnsi="Book Antiqua" w:cs="Arial"/>
          <w:b/>
          <w:noProof/>
          <w:sz w:val="22"/>
          <w:szCs w:val="22"/>
        </w:rPr>
      </w:pPr>
      <w:bookmarkStart w:id="67" w:name="_Toc523322041"/>
      <w:r w:rsidRPr="005715F2">
        <w:rPr>
          <w:rFonts w:ascii="Book Antiqua" w:hAnsi="Book Antiqua" w:cs="Arial"/>
          <w:b/>
          <w:noProof/>
          <w:sz w:val="22"/>
          <w:szCs w:val="22"/>
        </w:rPr>
        <w:t>Périodicité de délivrance des relevés de compte</w:t>
      </w:r>
      <w:r w:rsidR="003009BB" w:rsidRPr="005715F2">
        <w:rPr>
          <w:rFonts w:ascii="Book Antiqua" w:hAnsi="Book Antiqua" w:cs="Arial"/>
          <w:b/>
          <w:noProof/>
          <w:sz w:val="22"/>
          <w:szCs w:val="22"/>
        </w:rPr>
        <w:t xml:space="preserve"> et canaux de transmission</w:t>
      </w:r>
      <w:bookmarkEnd w:id="67"/>
    </w:p>
    <w:p w:rsidR="00B40C60" w:rsidRPr="00725214" w:rsidRDefault="009839AF" w:rsidP="00AA59E0">
      <w:pPr>
        <w:spacing w:before="120" w:after="24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La fréquence de réception des relevés de compte est appréciée différemment chez les unités enquêtées : une proportion de 43</w:t>
      </w:r>
      <w:r w:rsidR="00D557A2">
        <w:rPr>
          <w:rFonts w:ascii="Book Antiqua" w:eastAsiaTheme="minorHAnsi" w:hAnsi="Book Antiqua" w:cstheme="minorBidi"/>
          <w:sz w:val="22"/>
          <w:szCs w:val="22"/>
        </w:rPr>
        <w:t>,0</w:t>
      </w:r>
      <w:r w:rsidRPr="009839AF">
        <w:rPr>
          <w:rFonts w:ascii="Book Antiqua" w:eastAsiaTheme="minorHAnsi" w:hAnsi="Book Antiqua" w:cstheme="minorBidi"/>
          <w:sz w:val="22"/>
          <w:szCs w:val="22"/>
        </w:rPr>
        <w:t xml:space="preserve">% </w:t>
      </w:r>
      <w:r w:rsidR="0032570A">
        <w:rPr>
          <w:rFonts w:ascii="Book Antiqua" w:eastAsiaTheme="minorHAnsi" w:hAnsi="Book Antiqua" w:cstheme="minorBidi"/>
          <w:sz w:val="22"/>
          <w:szCs w:val="22"/>
        </w:rPr>
        <w:t xml:space="preserve">déclare </w:t>
      </w:r>
      <w:r w:rsidRPr="009839AF">
        <w:rPr>
          <w:rFonts w:ascii="Book Antiqua" w:eastAsiaTheme="minorHAnsi" w:hAnsi="Book Antiqua" w:cstheme="minorBidi"/>
          <w:sz w:val="22"/>
          <w:szCs w:val="22"/>
        </w:rPr>
        <w:t xml:space="preserve">les recevoir </w:t>
      </w:r>
      <w:r w:rsidR="004204AC" w:rsidRPr="00132182">
        <w:rPr>
          <w:rFonts w:ascii="Book Antiqua" w:eastAsiaTheme="minorHAnsi" w:hAnsi="Book Antiqua" w:cstheme="minorBidi"/>
          <w:i/>
          <w:sz w:val="22"/>
          <w:szCs w:val="22"/>
        </w:rPr>
        <w:t>« mensuellement »</w:t>
      </w:r>
      <w:r w:rsidR="00725214">
        <w:rPr>
          <w:rFonts w:ascii="Book Antiqua" w:eastAsiaTheme="minorHAnsi" w:hAnsi="Book Antiqua" w:cstheme="minorBidi"/>
          <w:i/>
          <w:sz w:val="22"/>
          <w:szCs w:val="22"/>
        </w:rPr>
        <w:t xml:space="preserve"> </w:t>
      </w:r>
      <w:r w:rsidRPr="009839AF">
        <w:rPr>
          <w:rFonts w:ascii="Book Antiqua" w:eastAsiaTheme="minorHAnsi" w:hAnsi="Book Antiqua" w:cstheme="minorBidi"/>
          <w:sz w:val="22"/>
          <w:szCs w:val="22"/>
        </w:rPr>
        <w:t xml:space="preserve">contre des proportions de 7,5%, 3,0% et 1,0% </w:t>
      </w:r>
      <w:r w:rsidR="00D557A2">
        <w:rPr>
          <w:rFonts w:ascii="Book Antiqua" w:eastAsiaTheme="minorHAnsi" w:hAnsi="Book Antiqua" w:cstheme="minorBidi"/>
          <w:sz w:val="22"/>
          <w:szCs w:val="22"/>
        </w:rPr>
        <w:t xml:space="preserve">chez </w:t>
      </w:r>
      <w:r w:rsidRPr="009839AF">
        <w:rPr>
          <w:rFonts w:ascii="Book Antiqua" w:eastAsiaTheme="minorHAnsi" w:hAnsi="Book Antiqua" w:cstheme="minorBidi"/>
          <w:sz w:val="22"/>
          <w:szCs w:val="22"/>
        </w:rPr>
        <w:t xml:space="preserve">les </w:t>
      </w:r>
      <w:r w:rsidR="00D557A2">
        <w:rPr>
          <w:rFonts w:ascii="Book Antiqua" w:eastAsiaTheme="minorHAnsi" w:hAnsi="Book Antiqua" w:cstheme="minorBidi"/>
          <w:sz w:val="22"/>
          <w:szCs w:val="22"/>
        </w:rPr>
        <w:t xml:space="preserve">unités </w:t>
      </w:r>
      <w:r w:rsidRPr="009839AF">
        <w:rPr>
          <w:rFonts w:ascii="Book Antiqua" w:eastAsiaTheme="minorHAnsi" w:hAnsi="Book Antiqua" w:cstheme="minorBidi"/>
          <w:sz w:val="22"/>
          <w:szCs w:val="22"/>
        </w:rPr>
        <w:t xml:space="preserve">qui les reçoivent respectivement </w:t>
      </w:r>
      <w:r w:rsidR="004204AC" w:rsidRPr="00132182">
        <w:rPr>
          <w:rFonts w:ascii="Book Antiqua" w:eastAsiaTheme="minorHAnsi" w:hAnsi="Book Antiqua" w:cstheme="minorBidi"/>
          <w:i/>
          <w:sz w:val="22"/>
          <w:szCs w:val="22"/>
        </w:rPr>
        <w:t>« tous les 15 jours »</w:t>
      </w:r>
      <w:r w:rsidRPr="009839AF">
        <w:rPr>
          <w:rFonts w:ascii="Book Antiqua" w:eastAsiaTheme="minorHAnsi" w:hAnsi="Book Antiqua" w:cstheme="minorBidi"/>
          <w:sz w:val="22"/>
          <w:szCs w:val="22"/>
        </w:rPr>
        <w:t xml:space="preserve">, </w:t>
      </w:r>
      <w:r w:rsidR="004204AC" w:rsidRPr="00132182">
        <w:rPr>
          <w:rFonts w:ascii="Book Antiqua" w:eastAsiaTheme="minorHAnsi" w:hAnsi="Book Antiqua" w:cstheme="minorBidi"/>
          <w:i/>
          <w:sz w:val="22"/>
          <w:szCs w:val="22"/>
        </w:rPr>
        <w:t>« trimestriellement »</w:t>
      </w:r>
      <w:r w:rsidRPr="009839AF">
        <w:rPr>
          <w:rFonts w:ascii="Book Antiqua" w:eastAsiaTheme="minorHAnsi" w:hAnsi="Book Antiqua" w:cstheme="minorBidi"/>
          <w:sz w:val="22"/>
          <w:szCs w:val="22"/>
        </w:rPr>
        <w:t xml:space="preserve"> et </w:t>
      </w:r>
      <w:r w:rsidR="004204AC" w:rsidRPr="00132182">
        <w:rPr>
          <w:rFonts w:ascii="Book Antiqua" w:eastAsiaTheme="minorHAnsi" w:hAnsi="Book Antiqua" w:cstheme="minorBidi"/>
          <w:i/>
          <w:sz w:val="22"/>
          <w:szCs w:val="22"/>
        </w:rPr>
        <w:t>« annuellement ».</w:t>
      </w:r>
      <w:r w:rsidR="00725214">
        <w:rPr>
          <w:rFonts w:ascii="Book Antiqua" w:eastAsiaTheme="minorHAnsi" w:hAnsi="Book Antiqua" w:cstheme="minorBidi"/>
          <w:i/>
          <w:sz w:val="22"/>
          <w:szCs w:val="22"/>
        </w:rPr>
        <w:t xml:space="preserve"> </w:t>
      </w:r>
    </w:p>
    <w:p w:rsidR="00383C95" w:rsidRPr="009839AF" w:rsidRDefault="009839AF" w:rsidP="00AA59E0">
      <w:pPr>
        <w:spacing w:before="120" w:after="24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Toutefois, une part non négligeable des unités enquêtées (34,1%) déclare recevoir leurs relevés</w:t>
      </w:r>
      <w:r w:rsidR="00D557A2">
        <w:rPr>
          <w:rFonts w:ascii="Book Antiqua" w:eastAsiaTheme="minorHAnsi" w:hAnsi="Book Antiqua" w:cstheme="minorBidi"/>
          <w:sz w:val="22"/>
          <w:szCs w:val="22"/>
        </w:rPr>
        <w:t xml:space="preserve"> de façon irrégulière</w:t>
      </w:r>
      <w:r w:rsidR="0093117A">
        <w:rPr>
          <w:rFonts w:ascii="Book Antiqua" w:eastAsiaTheme="minorHAnsi" w:hAnsi="Book Antiqua" w:cstheme="minorBidi"/>
          <w:sz w:val="22"/>
          <w:szCs w:val="22"/>
        </w:rPr>
        <w:t>. En outre, il est à déplorer</w:t>
      </w:r>
      <w:r w:rsidR="005317D7">
        <w:rPr>
          <w:rFonts w:ascii="Book Antiqua" w:eastAsiaTheme="minorHAnsi" w:hAnsi="Book Antiqua" w:cstheme="minorBidi"/>
          <w:sz w:val="22"/>
          <w:szCs w:val="22"/>
        </w:rPr>
        <w:t xml:space="preserve"> qu</w:t>
      </w:r>
      <w:r w:rsidR="00B40C60">
        <w:rPr>
          <w:rFonts w:ascii="Book Antiqua" w:eastAsiaTheme="minorHAnsi" w:hAnsi="Book Antiqua" w:cstheme="minorBidi"/>
          <w:sz w:val="22"/>
          <w:szCs w:val="22"/>
        </w:rPr>
        <w:t>’une proportion de</w:t>
      </w:r>
      <w:r w:rsidR="00725214">
        <w:rPr>
          <w:rFonts w:ascii="Book Antiqua" w:eastAsiaTheme="minorHAnsi" w:hAnsi="Book Antiqua" w:cstheme="minorBidi"/>
          <w:sz w:val="22"/>
          <w:szCs w:val="22"/>
        </w:rPr>
        <w:t xml:space="preserve"> </w:t>
      </w:r>
      <w:r w:rsidR="00D557A2" w:rsidRPr="009839AF">
        <w:rPr>
          <w:rFonts w:ascii="Book Antiqua" w:eastAsiaTheme="minorHAnsi" w:hAnsi="Book Antiqua" w:cstheme="minorBidi"/>
          <w:sz w:val="22"/>
          <w:szCs w:val="22"/>
        </w:rPr>
        <w:t>11,4%</w:t>
      </w:r>
      <w:r w:rsidR="00D557A2">
        <w:rPr>
          <w:rFonts w:ascii="Book Antiqua" w:eastAsiaTheme="minorHAnsi" w:hAnsi="Book Antiqua" w:cstheme="minorBidi"/>
          <w:sz w:val="22"/>
          <w:szCs w:val="22"/>
        </w:rPr>
        <w:t xml:space="preserve"> des unités enquêtées </w:t>
      </w:r>
      <w:r w:rsidR="00B40C60">
        <w:rPr>
          <w:rFonts w:ascii="Book Antiqua" w:eastAsiaTheme="minorHAnsi" w:hAnsi="Book Antiqua" w:cstheme="minorBidi"/>
          <w:sz w:val="22"/>
          <w:szCs w:val="22"/>
        </w:rPr>
        <w:t>déclare</w:t>
      </w:r>
      <w:r w:rsidR="00C3213B">
        <w:rPr>
          <w:rFonts w:ascii="Book Antiqua" w:eastAsiaTheme="minorHAnsi" w:hAnsi="Book Antiqua" w:cstheme="minorBidi"/>
          <w:sz w:val="22"/>
          <w:szCs w:val="22"/>
        </w:rPr>
        <w:t xml:space="preserve"> </w:t>
      </w:r>
      <w:r w:rsidR="00D557A2">
        <w:rPr>
          <w:rFonts w:ascii="Book Antiqua" w:eastAsiaTheme="minorHAnsi" w:hAnsi="Book Antiqua" w:cstheme="minorBidi"/>
          <w:sz w:val="22"/>
          <w:szCs w:val="22"/>
        </w:rPr>
        <w:t>n’</w:t>
      </w:r>
      <w:r w:rsidR="00D557A2" w:rsidRPr="009839AF">
        <w:rPr>
          <w:rFonts w:ascii="Book Antiqua" w:eastAsiaTheme="minorHAnsi" w:hAnsi="Book Antiqua" w:cstheme="minorBidi"/>
          <w:sz w:val="22"/>
          <w:szCs w:val="22"/>
        </w:rPr>
        <w:t>avoir jamais reçu</w:t>
      </w:r>
      <w:r w:rsidR="00D557A2">
        <w:rPr>
          <w:rFonts w:ascii="Book Antiqua" w:eastAsiaTheme="minorHAnsi" w:hAnsi="Book Antiqua" w:cstheme="minorBidi"/>
          <w:sz w:val="22"/>
          <w:szCs w:val="22"/>
        </w:rPr>
        <w:t xml:space="preserve"> de relevés da</w:t>
      </w:r>
      <w:r w:rsidR="0099180F">
        <w:rPr>
          <w:rFonts w:ascii="Book Antiqua" w:eastAsiaTheme="minorHAnsi" w:hAnsi="Book Antiqua" w:cstheme="minorBidi"/>
          <w:sz w:val="22"/>
          <w:szCs w:val="22"/>
        </w:rPr>
        <w:t>ns le cadre de la</w:t>
      </w:r>
      <w:r w:rsidR="00D557A2">
        <w:rPr>
          <w:rFonts w:ascii="Book Antiqua" w:eastAsiaTheme="minorHAnsi" w:hAnsi="Book Antiqua" w:cstheme="minorBidi"/>
          <w:sz w:val="22"/>
          <w:szCs w:val="22"/>
        </w:rPr>
        <w:t xml:space="preserve"> relation commerciale avec leur banque principale.</w:t>
      </w:r>
    </w:p>
    <w:p w:rsidR="00383C95" w:rsidRPr="00725214" w:rsidRDefault="00383C95" w:rsidP="00AA59E0">
      <w:pPr>
        <w:pStyle w:val="Lgende"/>
        <w:keepNext/>
        <w:spacing w:after="0" w:line="276" w:lineRule="auto"/>
        <w:jc w:val="center"/>
        <w:rPr>
          <w:rFonts w:ascii="Book Antiqua" w:hAnsi="Book Antiqua"/>
          <w:color w:val="auto"/>
          <w:sz w:val="16"/>
        </w:rPr>
      </w:pPr>
      <w:bookmarkStart w:id="68" w:name="_Toc523313714"/>
      <w:r w:rsidRPr="00725214">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31</w:t>
      </w:r>
      <w:r w:rsidR="000D65F2">
        <w:rPr>
          <w:rFonts w:ascii="Book Antiqua" w:hAnsi="Book Antiqua"/>
          <w:color w:val="auto"/>
          <w:sz w:val="16"/>
        </w:rPr>
        <w:fldChar w:fldCharType="end"/>
      </w:r>
      <w:r w:rsidRPr="00725214">
        <w:rPr>
          <w:rFonts w:ascii="Book Antiqua" w:hAnsi="Book Antiqua"/>
          <w:color w:val="auto"/>
          <w:sz w:val="16"/>
        </w:rPr>
        <w:t>: Appréciation des unités sur la périodicité de réception de</w:t>
      </w:r>
      <w:r w:rsidR="005317D7" w:rsidRPr="00725214">
        <w:rPr>
          <w:rFonts w:ascii="Book Antiqua" w:hAnsi="Book Antiqua"/>
          <w:color w:val="auto"/>
          <w:sz w:val="16"/>
        </w:rPr>
        <w:t xml:space="preserve"> leur</w:t>
      </w:r>
      <w:r w:rsidR="0099180F" w:rsidRPr="00725214">
        <w:rPr>
          <w:rFonts w:ascii="Book Antiqua" w:hAnsi="Book Antiqua"/>
          <w:color w:val="auto"/>
          <w:sz w:val="16"/>
        </w:rPr>
        <w:t xml:space="preserve">s </w:t>
      </w:r>
      <w:r w:rsidRPr="00725214">
        <w:rPr>
          <w:rFonts w:ascii="Book Antiqua" w:hAnsi="Book Antiqua"/>
          <w:color w:val="auto"/>
          <w:sz w:val="16"/>
        </w:rPr>
        <w:t>relevés de compte</w:t>
      </w:r>
      <w:bookmarkEnd w:id="68"/>
    </w:p>
    <w:p w:rsidR="009839AF" w:rsidRPr="009839AF" w:rsidRDefault="009839AF" w:rsidP="00840635">
      <w:pPr>
        <w:spacing w:before="120" w:line="276" w:lineRule="auto"/>
        <w:jc w:val="center"/>
        <w:rPr>
          <w:rFonts w:asciiTheme="minorHAnsi" w:eastAsiaTheme="minorHAnsi" w:hAnsiTheme="minorHAnsi" w:cstheme="minorBidi"/>
          <w:sz w:val="22"/>
          <w:szCs w:val="22"/>
        </w:rPr>
      </w:pPr>
      <w:r w:rsidRPr="009839AF">
        <w:rPr>
          <w:rFonts w:asciiTheme="minorHAnsi" w:eastAsiaTheme="minorHAnsi" w:hAnsiTheme="minorHAnsi" w:cstheme="minorBidi"/>
          <w:noProof/>
          <w:sz w:val="22"/>
          <w:szCs w:val="22"/>
        </w:rPr>
        <w:drawing>
          <wp:inline distT="0" distB="0" distL="0" distR="0">
            <wp:extent cx="3471470" cy="2190997"/>
            <wp:effectExtent l="19050" t="0" r="14680" b="0"/>
            <wp:docPr id="30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839AF" w:rsidRPr="00AA59E0" w:rsidRDefault="009839AF" w:rsidP="00840635">
      <w:pPr>
        <w:tabs>
          <w:tab w:val="left" w:pos="1320"/>
          <w:tab w:val="right" w:leader="dot" w:pos="9572"/>
        </w:tabs>
        <w:spacing w:before="120" w:after="100" w:line="276" w:lineRule="auto"/>
        <w:contextualSpacing/>
        <w:jc w:val="both"/>
        <w:rPr>
          <w:rFonts w:ascii="Book Antiqua" w:hAnsi="Book Antiqua" w:cs="Arial"/>
          <w:noProof/>
          <w:sz w:val="16"/>
          <w:szCs w:val="16"/>
        </w:rPr>
      </w:pPr>
    </w:p>
    <w:p w:rsidR="009839AF" w:rsidRPr="00AA59E0" w:rsidRDefault="009839AF" w:rsidP="00AA59E0">
      <w:pPr>
        <w:tabs>
          <w:tab w:val="left" w:pos="1320"/>
          <w:tab w:val="right" w:leader="dot" w:pos="9572"/>
        </w:tabs>
        <w:spacing w:before="120" w:after="100" w:line="276" w:lineRule="auto"/>
        <w:contextualSpacing/>
        <w:jc w:val="both"/>
        <w:rPr>
          <w:rFonts w:ascii="Book Antiqua" w:hAnsi="Book Antiqua" w:cs="Arial"/>
          <w:noProof/>
          <w:sz w:val="22"/>
          <w:szCs w:val="22"/>
        </w:rPr>
      </w:pPr>
      <w:r w:rsidRPr="009839AF">
        <w:rPr>
          <w:rFonts w:ascii="Book Antiqua" w:hAnsi="Book Antiqua" w:cs="Arial"/>
          <w:noProof/>
          <w:sz w:val="22"/>
          <w:szCs w:val="22"/>
        </w:rPr>
        <w:t xml:space="preserve">Les canaux </w:t>
      </w:r>
      <w:r w:rsidR="003F0390">
        <w:rPr>
          <w:rFonts w:ascii="Book Antiqua" w:hAnsi="Book Antiqua" w:cs="Arial"/>
          <w:noProof/>
          <w:sz w:val="22"/>
          <w:szCs w:val="22"/>
        </w:rPr>
        <w:t>par lesquels les unités enquêté</w:t>
      </w:r>
      <w:r w:rsidR="00A95761">
        <w:rPr>
          <w:rFonts w:ascii="Book Antiqua" w:hAnsi="Book Antiqua" w:cs="Arial"/>
          <w:noProof/>
          <w:sz w:val="22"/>
          <w:szCs w:val="22"/>
        </w:rPr>
        <w:t>es déclarent recevoir leurs relevés de compte</w:t>
      </w:r>
      <w:r w:rsidR="00725214">
        <w:rPr>
          <w:rFonts w:ascii="Book Antiqua" w:hAnsi="Book Antiqua" w:cs="Arial"/>
          <w:noProof/>
          <w:sz w:val="22"/>
          <w:szCs w:val="22"/>
        </w:rPr>
        <w:t xml:space="preserve"> </w:t>
      </w:r>
      <w:r w:rsidRPr="009839AF">
        <w:rPr>
          <w:rFonts w:ascii="Book Antiqua" w:hAnsi="Book Antiqua" w:cs="Arial"/>
          <w:noProof/>
          <w:sz w:val="22"/>
          <w:szCs w:val="22"/>
        </w:rPr>
        <w:t xml:space="preserve">sont la boite électronique (39%), </w:t>
      </w:r>
      <w:r w:rsidR="003F0390">
        <w:rPr>
          <w:rFonts w:ascii="Book Antiqua" w:hAnsi="Book Antiqua" w:cs="Arial"/>
          <w:noProof/>
          <w:sz w:val="22"/>
          <w:szCs w:val="22"/>
        </w:rPr>
        <w:t xml:space="preserve">le </w:t>
      </w:r>
      <w:r w:rsidRPr="009839AF">
        <w:rPr>
          <w:rFonts w:ascii="Book Antiqua" w:hAnsi="Book Antiqua" w:cs="Arial"/>
          <w:noProof/>
          <w:sz w:val="22"/>
          <w:szCs w:val="22"/>
        </w:rPr>
        <w:t xml:space="preserve">guichet (35,6%) et La Poste (19,7%). </w:t>
      </w:r>
      <w:r w:rsidR="0059790F">
        <w:rPr>
          <w:rFonts w:ascii="Book Antiqua" w:hAnsi="Book Antiqua" w:cs="Arial"/>
          <w:noProof/>
          <w:sz w:val="22"/>
          <w:szCs w:val="22"/>
        </w:rPr>
        <w:t xml:space="preserve">Il convient de relever qu’une </w:t>
      </w:r>
      <w:r w:rsidRPr="009839AF">
        <w:rPr>
          <w:rFonts w:ascii="Book Antiqua" w:hAnsi="Book Antiqua" w:cs="Arial"/>
          <w:noProof/>
          <w:sz w:val="22"/>
          <w:szCs w:val="22"/>
        </w:rPr>
        <w:t xml:space="preserve">proportion de 5,7% des enquêtés affirme recevoir </w:t>
      </w:r>
      <w:r w:rsidR="0059790F">
        <w:rPr>
          <w:rFonts w:ascii="Book Antiqua" w:hAnsi="Book Antiqua" w:cs="Arial"/>
          <w:noProof/>
          <w:sz w:val="22"/>
          <w:szCs w:val="22"/>
        </w:rPr>
        <w:t>le</w:t>
      </w:r>
      <w:r w:rsidR="00725214">
        <w:rPr>
          <w:rFonts w:ascii="Book Antiqua" w:hAnsi="Book Antiqua" w:cs="Arial"/>
          <w:noProof/>
          <w:sz w:val="22"/>
          <w:szCs w:val="22"/>
        </w:rPr>
        <w:t>ur</w:t>
      </w:r>
      <w:r w:rsidR="0059790F">
        <w:rPr>
          <w:rFonts w:ascii="Book Antiqua" w:hAnsi="Book Antiqua" w:cs="Arial"/>
          <w:noProof/>
          <w:sz w:val="22"/>
          <w:szCs w:val="22"/>
        </w:rPr>
        <w:t xml:space="preserve">s </w:t>
      </w:r>
      <w:r w:rsidRPr="009839AF">
        <w:rPr>
          <w:rFonts w:ascii="Book Antiqua" w:hAnsi="Book Antiqua" w:cs="Arial"/>
          <w:noProof/>
          <w:sz w:val="22"/>
          <w:szCs w:val="22"/>
        </w:rPr>
        <w:t>relevés</w:t>
      </w:r>
      <w:r w:rsidR="0059790F">
        <w:rPr>
          <w:rFonts w:ascii="Book Antiqua" w:hAnsi="Book Antiqua" w:cs="Arial"/>
          <w:noProof/>
          <w:sz w:val="22"/>
          <w:szCs w:val="22"/>
        </w:rPr>
        <w:t xml:space="preserve"> </w:t>
      </w:r>
      <w:r w:rsidR="003F0390">
        <w:rPr>
          <w:rFonts w:ascii="Book Antiqua" w:hAnsi="Book Antiqua" w:cs="Arial"/>
          <w:noProof/>
          <w:sz w:val="22"/>
          <w:szCs w:val="22"/>
        </w:rPr>
        <w:t xml:space="preserve">par </w:t>
      </w:r>
      <w:r w:rsidRPr="009839AF">
        <w:rPr>
          <w:rFonts w:ascii="Book Antiqua" w:hAnsi="Book Antiqua" w:cs="Arial"/>
          <w:noProof/>
          <w:sz w:val="22"/>
          <w:szCs w:val="22"/>
        </w:rPr>
        <w:t>SMS.</w:t>
      </w:r>
    </w:p>
    <w:p w:rsidR="00383C95" w:rsidRPr="00725214" w:rsidRDefault="00383C95" w:rsidP="00840635">
      <w:pPr>
        <w:pStyle w:val="Lgende"/>
        <w:keepNext/>
        <w:spacing w:line="276" w:lineRule="auto"/>
        <w:jc w:val="center"/>
        <w:rPr>
          <w:rFonts w:ascii="Book Antiqua" w:hAnsi="Book Antiqua"/>
          <w:color w:val="auto"/>
          <w:sz w:val="16"/>
        </w:rPr>
      </w:pPr>
      <w:bookmarkStart w:id="69" w:name="_Toc523313715"/>
      <w:r w:rsidRPr="00725214">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32</w:t>
      </w:r>
      <w:r w:rsidR="000D65F2">
        <w:rPr>
          <w:rFonts w:ascii="Book Antiqua" w:hAnsi="Book Antiqua"/>
          <w:color w:val="auto"/>
          <w:sz w:val="16"/>
        </w:rPr>
        <w:fldChar w:fldCharType="end"/>
      </w:r>
      <w:r w:rsidRPr="00725214">
        <w:rPr>
          <w:rFonts w:ascii="Book Antiqua" w:hAnsi="Book Antiqua"/>
          <w:color w:val="auto"/>
          <w:sz w:val="16"/>
        </w:rPr>
        <w:t>: Appréciation des unités sur les canaux de transmission de</w:t>
      </w:r>
      <w:r w:rsidR="0059790F" w:rsidRPr="00725214">
        <w:rPr>
          <w:rFonts w:ascii="Book Antiqua" w:hAnsi="Book Antiqua"/>
          <w:color w:val="auto"/>
          <w:sz w:val="16"/>
        </w:rPr>
        <w:t xml:space="preserve"> leurs </w:t>
      </w:r>
      <w:r w:rsidRPr="00725214">
        <w:rPr>
          <w:rFonts w:ascii="Book Antiqua" w:hAnsi="Book Antiqua"/>
          <w:color w:val="auto"/>
          <w:sz w:val="16"/>
        </w:rPr>
        <w:t xml:space="preserve"> relevés de compte</w:t>
      </w:r>
      <w:bookmarkEnd w:id="69"/>
    </w:p>
    <w:p w:rsidR="009839AF" w:rsidRPr="009839AF" w:rsidRDefault="009839AF" w:rsidP="00840635">
      <w:pPr>
        <w:spacing w:before="120" w:line="276" w:lineRule="auto"/>
        <w:jc w:val="center"/>
        <w:rPr>
          <w:rFonts w:asciiTheme="minorHAnsi" w:eastAsiaTheme="minorHAnsi" w:hAnsiTheme="minorHAnsi" w:cstheme="minorBidi"/>
          <w:sz w:val="22"/>
          <w:szCs w:val="22"/>
        </w:rPr>
      </w:pPr>
      <w:r w:rsidRPr="009839AF">
        <w:rPr>
          <w:rFonts w:asciiTheme="minorHAnsi" w:eastAsiaTheme="minorHAnsi" w:hAnsiTheme="minorHAnsi" w:cstheme="minorBidi"/>
          <w:noProof/>
          <w:sz w:val="22"/>
          <w:szCs w:val="22"/>
        </w:rPr>
        <w:drawing>
          <wp:inline distT="0" distB="0" distL="0" distR="0">
            <wp:extent cx="4149156" cy="2214748"/>
            <wp:effectExtent l="19050" t="0" r="22794" b="0"/>
            <wp:docPr id="30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769BF" w:rsidRDefault="009839AF" w:rsidP="00A41BD6">
      <w:pPr>
        <w:spacing w:before="240" w:after="24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lastRenderedPageBreak/>
        <w:t>Les résultats de l’</w:t>
      </w:r>
      <w:r w:rsidR="00C449AC">
        <w:rPr>
          <w:rFonts w:ascii="Book Antiqua" w:eastAsiaTheme="minorHAnsi" w:hAnsi="Book Antiqua" w:cstheme="minorBidi"/>
          <w:sz w:val="22"/>
          <w:szCs w:val="22"/>
        </w:rPr>
        <w:t>ESUB</w:t>
      </w:r>
      <w:r w:rsidR="00725214">
        <w:rPr>
          <w:rFonts w:ascii="Book Antiqua" w:eastAsiaTheme="minorHAnsi" w:hAnsi="Book Antiqua" w:cstheme="minorBidi"/>
          <w:sz w:val="22"/>
          <w:szCs w:val="22"/>
        </w:rPr>
        <w:t xml:space="preserve"> </w:t>
      </w:r>
      <w:r w:rsidR="006D7DF0" w:rsidRPr="009839AF">
        <w:rPr>
          <w:rFonts w:ascii="Book Antiqua" w:eastAsiaTheme="minorHAnsi" w:hAnsi="Book Antiqua" w:cstheme="minorBidi"/>
          <w:sz w:val="22"/>
          <w:szCs w:val="22"/>
        </w:rPr>
        <w:t>révèlent</w:t>
      </w:r>
      <w:r w:rsidRPr="009839AF">
        <w:rPr>
          <w:rFonts w:ascii="Book Antiqua" w:eastAsiaTheme="minorHAnsi" w:hAnsi="Book Antiqua" w:cstheme="minorBidi"/>
          <w:sz w:val="22"/>
          <w:szCs w:val="22"/>
        </w:rPr>
        <w:t xml:space="preserve"> que plus de </w:t>
      </w:r>
      <w:r w:rsidR="003769BF">
        <w:rPr>
          <w:rFonts w:ascii="Book Antiqua" w:eastAsiaTheme="minorHAnsi" w:hAnsi="Book Antiqua" w:cstheme="minorBidi"/>
          <w:sz w:val="22"/>
          <w:szCs w:val="22"/>
        </w:rPr>
        <w:t xml:space="preserve">la </w:t>
      </w:r>
      <w:r w:rsidRPr="009839AF">
        <w:rPr>
          <w:rFonts w:ascii="Book Antiqua" w:eastAsiaTheme="minorHAnsi" w:hAnsi="Book Antiqua" w:cstheme="minorBidi"/>
          <w:sz w:val="22"/>
          <w:szCs w:val="22"/>
        </w:rPr>
        <w:t xml:space="preserve">moitié des unités informelles (55,3%) </w:t>
      </w:r>
      <w:r w:rsidR="006D7DF0" w:rsidRPr="009839AF">
        <w:rPr>
          <w:rFonts w:ascii="Book Antiqua" w:eastAsiaTheme="minorHAnsi" w:hAnsi="Book Antiqua" w:cstheme="minorBidi"/>
          <w:sz w:val="22"/>
          <w:szCs w:val="22"/>
        </w:rPr>
        <w:t>reçoivent</w:t>
      </w:r>
      <w:r w:rsidRPr="009839AF">
        <w:rPr>
          <w:rFonts w:ascii="Book Antiqua" w:eastAsiaTheme="minorHAnsi" w:hAnsi="Book Antiqua" w:cstheme="minorBidi"/>
          <w:sz w:val="22"/>
          <w:szCs w:val="22"/>
        </w:rPr>
        <w:t xml:space="preserve"> leurs relevés de compte </w:t>
      </w:r>
      <w:r w:rsidR="00C449AC">
        <w:rPr>
          <w:rFonts w:ascii="Book Antiqua" w:eastAsiaTheme="minorHAnsi" w:hAnsi="Book Antiqua" w:cstheme="minorBidi"/>
          <w:sz w:val="22"/>
          <w:szCs w:val="22"/>
        </w:rPr>
        <w:t xml:space="preserve">directement au guichet </w:t>
      </w:r>
      <w:r w:rsidRPr="009839AF">
        <w:rPr>
          <w:rFonts w:ascii="Book Antiqua" w:eastAsiaTheme="minorHAnsi" w:hAnsi="Book Antiqua" w:cstheme="minorBidi"/>
          <w:sz w:val="22"/>
          <w:szCs w:val="22"/>
        </w:rPr>
        <w:t xml:space="preserve">de leur banque contre une proportion plus faible chez les unités du secteur moderne (28,1%). </w:t>
      </w:r>
    </w:p>
    <w:p w:rsidR="00C449AC" w:rsidRDefault="009839AF" w:rsidP="00A41BD6">
      <w:pPr>
        <w:spacing w:before="240" w:after="24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La transmission par voie électronique</w:t>
      </w:r>
      <w:r w:rsidR="003769BF">
        <w:rPr>
          <w:rFonts w:ascii="Book Antiqua" w:eastAsiaTheme="minorHAnsi" w:hAnsi="Book Antiqua" w:cstheme="minorBidi"/>
          <w:sz w:val="22"/>
          <w:szCs w:val="22"/>
        </w:rPr>
        <w:t xml:space="preserve"> ressort avec</w:t>
      </w:r>
      <w:r w:rsidR="00C3213B">
        <w:rPr>
          <w:rFonts w:ascii="Book Antiqua" w:eastAsiaTheme="minorHAnsi" w:hAnsi="Book Antiqua" w:cstheme="minorBidi"/>
          <w:sz w:val="22"/>
          <w:szCs w:val="22"/>
        </w:rPr>
        <w:t xml:space="preserve"> </w:t>
      </w:r>
      <w:r w:rsidR="003769BF">
        <w:rPr>
          <w:rFonts w:ascii="Book Antiqua" w:eastAsiaTheme="minorHAnsi" w:hAnsi="Book Antiqua" w:cstheme="minorBidi"/>
          <w:sz w:val="22"/>
          <w:szCs w:val="22"/>
        </w:rPr>
        <w:t xml:space="preserve">un taux plus élevé </w:t>
      </w:r>
      <w:r w:rsidRPr="009839AF">
        <w:rPr>
          <w:rFonts w:ascii="Book Antiqua" w:eastAsiaTheme="minorHAnsi" w:hAnsi="Book Antiqua" w:cstheme="minorBidi"/>
          <w:sz w:val="22"/>
          <w:szCs w:val="22"/>
        </w:rPr>
        <w:t xml:space="preserve">chez les unités du secteur moderne (43,0%) que </w:t>
      </w:r>
      <w:r w:rsidR="003769BF">
        <w:rPr>
          <w:rFonts w:ascii="Book Antiqua" w:eastAsiaTheme="minorHAnsi" w:hAnsi="Book Antiqua" w:cstheme="minorBidi"/>
          <w:sz w:val="22"/>
          <w:szCs w:val="22"/>
        </w:rPr>
        <w:t xml:space="preserve">celles relevant de l’informel </w:t>
      </w:r>
      <w:r w:rsidRPr="009839AF">
        <w:rPr>
          <w:rFonts w:ascii="Book Antiqua" w:eastAsiaTheme="minorHAnsi" w:hAnsi="Book Antiqua" w:cstheme="minorBidi"/>
          <w:sz w:val="22"/>
          <w:szCs w:val="22"/>
        </w:rPr>
        <w:t xml:space="preserve">(28,3%). </w:t>
      </w:r>
    </w:p>
    <w:p w:rsidR="00383C95" w:rsidRPr="009839AF" w:rsidRDefault="00F07855" w:rsidP="00A41BD6">
      <w:pPr>
        <w:spacing w:before="240" w:after="240" w:line="276" w:lineRule="auto"/>
        <w:jc w:val="both"/>
        <w:rPr>
          <w:rFonts w:ascii="Book Antiqua" w:eastAsiaTheme="minorHAnsi" w:hAnsi="Book Antiqua" w:cstheme="minorBidi"/>
          <w:sz w:val="22"/>
          <w:szCs w:val="22"/>
        </w:rPr>
      </w:pPr>
      <w:r>
        <w:rPr>
          <w:rFonts w:ascii="Book Antiqua" w:eastAsiaTheme="minorHAnsi" w:hAnsi="Book Antiqua" w:cstheme="minorBidi"/>
          <w:sz w:val="22"/>
          <w:szCs w:val="22"/>
        </w:rPr>
        <w:t>L</w:t>
      </w:r>
      <w:r w:rsidR="009839AF" w:rsidRPr="009839AF">
        <w:rPr>
          <w:rFonts w:ascii="Book Antiqua" w:eastAsiaTheme="minorHAnsi" w:hAnsi="Book Antiqua" w:cstheme="minorBidi"/>
          <w:sz w:val="22"/>
          <w:szCs w:val="22"/>
        </w:rPr>
        <w:t>a fréquence</w:t>
      </w:r>
      <w:r w:rsidR="00C449AC">
        <w:rPr>
          <w:rFonts w:ascii="Book Antiqua" w:eastAsiaTheme="minorHAnsi" w:hAnsi="Book Antiqua" w:cstheme="minorBidi"/>
          <w:sz w:val="22"/>
          <w:szCs w:val="22"/>
        </w:rPr>
        <w:t xml:space="preserve"> déclarée</w:t>
      </w:r>
      <w:r w:rsidR="009839AF" w:rsidRPr="009839AF">
        <w:rPr>
          <w:rFonts w:ascii="Book Antiqua" w:eastAsiaTheme="minorHAnsi" w:hAnsi="Book Antiqua" w:cstheme="minorBidi"/>
          <w:sz w:val="22"/>
          <w:szCs w:val="22"/>
        </w:rPr>
        <w:t xml:space="preserve"> de transmission des relevés </w:t>
      </w:r>
      <w:r w:rsidR="003769BF">
        <w:rPr>
          <w:rFonts w:ascii="Book Antiqua" w:eastAsiaTheme="minorHAnsi" w:hAnsi="Book Antiqua" w:cstheme="minorBidi"/>
          <w:sz w:val="22"/>
          <w:szCs w:val="22"/>
        </w:rPr>
        <w:t xml:space="preserve">de compte </w:t>
      </w:r>
      <w:r w:rsidR="00C449AC">
        <w:rPr>
          <w:rFonts w:ascii="Book Antiqua" w:eastAsiaTheme="minorHAnsi" w:hAnsi="Book Antiqua" w:cstheme="minorBidi"/>
          <w:sz w:val="22"/>
          <w:szCs w:val="22"/>
        </w:rPr>
        <w:t>par voie postale</w:t>
      </w:r>
      <w:r w:rsidR="00C3213B">
        <w:rPr>
          <w:rFonts w:ascii="Book Antiqua" w:eastAsiaTheme="minorHAnsi" w:hAnsi="Book Antiqua" w:cstheme="minorBidi"/>
          <w:sz w:val="22"/>
          <w:szCs w:val="22"/>
        </w:rPr>
        <w:t xml:space="preserve"> </w:t>
      </w:r>
      <w:r w:rsidR="003769BF">
        <w:rPr>
          <w:rFonts w:ascii="Book Antiqua" w:eastAsiaTheme="minorHAnsi" w:hAnsi="Book Antiqua" w:cstheme="minorBidi"/>
          <w:sz w:val="22"/>
          <w:szCs w:val="22"/>
        </w:rPr>
        <w:t xml:space="preserve">est de </w:t>
      </w:r>
      <w:r w:rsidR="009839AF" w:rsidRPr="009839AF">
        <w:rPr>
          <w:rFonts w:ascii="Book Antiqua" w:eastAsiaTheme="minorHAnsi" w:hAnsi="Book Antiqua" w:cstheme="minorBidi"/>
          <w:sz w:val="22"/>
          <w:szCs w:val="22"/>
        </w:rPr>
        <w:t>24,2% pour les unités formelles et 7,8% pour celles du secteur informel. Le SMS reste le canal le moins usité avec des taux respectifs de 4,7% et 8,5%.</w:t>
      </w:r>
    </w:p>
    <w:p w:rsidR="00FC3B43" w:rsidRPr="00725214" w:rsidRDefault="00FC3B43" w:rsidP="00840635">
      <w:pPr>
        <w:pStyle w:val="Lgende"/>
        <w:keepNext/>
        <w:spacing w:line="276" w:lineRule="auto"/>
        <w:jc w:val="center"/>
        <w:rPr>
          <w:rFonts w:ascii="Book Antiqua" w:hAnsi="Book Antiqua"/>
          <w:color w:val="auto"/>
          <w:sz w:val="16"/>
        </w:rPr>
      </w:pPr>
      <w:bookmarkStart w:id="70" w:name="_Toc523313716"/>
      <w:r w:rsidRPr="00725214">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33</w:t>
      </w:r>
      <w:r w:rsidR="000D65F2">
        <w:rPr>
          <w:rFonts w:ascii="Book Antiqua" w:hAnsi="Book Antiqua"/>
          <w:color w:val="auto"/>
          <w:sz w:val="16"/>
        </w:rPr>
        <w:fldChar w:fldCharType="end"/>
      </w:r>
      <w:r w:rsidRPr="00725214">
        <w:rPr>
          <w:rFonts w:ascii="Book Antiqua" w:hAnsi="Book Antiqua"/>
          <w:color w:val="auto"/>
          <w:sz w:val="16"/>
        </w:rPr>
        <w:t>: Appréciation des unités sur les canaux de transmission des relevés de compte selon la nature de l’activité</w:t>
      </w:r>
      <w:bookmarkEnd w:id="70"/>
    </w:p>
    <w:p w:rsidR="009839AF" w:rsidRPr="009839AF" w:rsidRDefault="009839AF" w:rsidP="00840635">
      <w:pPr>
        <w:tabs>
          <w:tab w:val="left" w:pos="1320"/>
          <w:tab w:val="right" w:leader="dot" w:pos="9572"/>
        </w:tabs>
        <w:spacing w:before="120" w:after="100" w:line="276" w:lineRule="auto"/>
        <w:contextualSpacing/>
        <w:jc w:val="center"/>
        <w:rPr>
          <w:rFonts w:ascii="Book Antiqua" w:hAnsi="Book Antiqua" w:cs="Arial"/>
          <w:b/>
          <w:noProof/>
          <w:sz w:val="22"/>
          <w:szCs w:val="22"/>
        </w:rPr>
      </w:pPr>
      <w:r w:rsidRPr="009839AF">
        <w:rPr>
          <w:rFonts w:ascii="Book Antiqua" w:hAnsi="Book Antiqua" w:cs="Arial"/>
          <w:b/>
          <w:noProof/>
          <w:sz w:val="22"/>
          <w:szCs w:val="22"/>
        </w:rPr>
        <w:drawing>
          <wp:inline distT="0" distB="0" distL="0" distR="0">
            <wp:extent cx="4135441" cy="2101932"/>
            <wp:effectExtent l="19050" t="0" r="17459" b="0"/>
            <wp:docPr id="308"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714D9" w:rsidRDefault="003714D9" w:rsidP="00840635">
      <w:pPr>
        <w:spacing w:after="200" w:line="276" w:lineRule="auto"/>
        <w:rPr>
          <w:rFonts w:asciiTheme="minorHAnsi" w:eastAsiaTheme="minorHAnsi" w:hAnsiTheme="minorHAnsi" w:cstheme="minorBidi"/>
          <w:sz w:val="22"/>
          <w:szCs w:val="22"/>
        </w:rPr>
      </w:pPr>
    </w:p>
    <w:p w:rsidR="009839AF" w:rsidRPr="005715F2" w:rsidRDefault="009839AF" w:rsidP="00531C35">
      <w:pPr>
        <w:pStyle w:val="Paragraphedeliste"/>
        <w:numPr>
          <w:ilvl w:val="2"/>
          <w:numId w:val="25"/>
        </w:numPr>
        <w:tabs>
          <w:tab w:val="left" w:pos="1320"/>
          <w:tab w:val="right" w:leader="dot" w:pos="9572"/>
        </w:tabs>
        <w:spacing w:before="120" w:after="240" w:line="276" w:lineRule="auto"/>
        <w:ind w:left="851" w:hanging="284"/>
        <w:contextualSpacing w:val="0"/>
        <w:jc w:val="both"/>
        <w:outlineLvl w:val="2"/>
        <w:rPr>
          <w:rFonts w:ascii="Book Antiqua" w:hAnsi="Book Antiqua" w:cs="Arial"/>
          <w:b/>
          <w:noProof/>
          <w:sz w:val="22"/>
          <w:szCs w:val="22"/>
        </w:rPr>
      </w:pPr>
      <w:bookmarkStart w:id="71" w:name="_Toc523322042"/>
      <w:r w:rsidRPr="005715F2">
        <w:rPr>
          <w:rFonts w:ascii="Book Antiqua" w:hAnsi="Book Antiqua" w:cs="Arial"/>
          <w:b/>
          <w:noProof/>
          <w:sz w:val="22"/>
          <w:szCs w:val="22"/>
        </w:rPr>
        <w:t xml:space="preserve">Irrégularités </w:t>
      </w:r>
      <w:r w:rsidR="00D05991" w:rsidRPr="005715F2">
        <w:rPr>
          <w:rFonts w:ascii="Book Antiqua" w:hAnsi="Book Antiqua" w:cs="Arial"/>
          <w:b/>
          <w:noProof/>
          <w:sz w:val="22"/>
          <w:szCs w:val="22"/>
        </w:rPr>
        <w:t>decelées</w:t>
      </w:r>
      <w:r w:rsidR="006A2156" w:rsidRPr="005715F2">
        <w:rPr>
          <w:rFonts w:ascii="Book Antiqua" w:hAnsi="Book Antiqua" w:cs="Arial"/>
          <w:b/>
          <w:noProof/>
          <w:sz w:val="22"/>
          <w:szCs w:val="22"/>
        </w:rPr>
        <w:t xml:space="preserve"> </w:t>
      </w:r>
      <w:r w:rsidRPr="005715F2">
        <w:rPr>
          <w:rFonts w:ascii="Book Antiqua" w:hAnsi="Book Antiqua" w:cs="Arial"/>
          <w:b/>
          <w:noProof/>
          <w:sz w:val="22"/>
          <w:szCs w:val="22"/>
        </w:rPr>
        <w:t xml:space="preserve">dans les relevés </w:t>
      </w:r>
      <w:r w:rsidR="00D05991" w:rsidRPr="005715F2">
        <w:rPr>
          <w:rFonts w:ascii="Book Antiqua" w:hAnsi="Book Antiqua" w:cs="Arial"/>
          <w:b/>
          <w:noProof/>
          <w:sz w:val="22"/>
          <w:szCs w:val="22"/>
        </w:rPr>
        <w:t>de compte</w:t>
      </w:r>
      <w:bookmarkEnd w:id="71"/>
      <w:r w:rsidR="00D05991" w:rsidRPr="005715F2">
        <w:rPr>
          <w:rFonts w:ascii="Book Antiqua" w:hAnsi="Book Antiqua" w:cs="Arial"/>
          <w:b/>
          <w:noProof/>
          <w:sz w:val="22"/>
          <w:szCs w:val="22"/>
        </w:rPr>
        <w:t xml:space="preserve"> </w:t>
      </w:r>
    </w:p>
    <w:p w:rsidR="00E16B29" w:rsidRDefault="006A2156" w:rsidP="00840635">
      <w:pPr>
        <w:spacing w:before="120" w:line="276" w:lineRule="auto"/>
        <w:jc w:val="both"/>
        <w:rPr>
          <w:rFonts w:ascii="Book Antiqua" w:eastAsiaTheme="minorHAnsi" w:hAnsi="Book Antiqua" w:cstheme="minorBidi"/>
          <w:i/>
          <w:sz w:val="22"/>
          <w:szCs w:val="22"/>
        </w:rPr>
      </w:pPr>
      <w:r>
        <w:rPr>
          <w:rFonts w:ascii="Book Antiqua" w:eastAsiaTheme="minorHAnsi" w:hAnsi="Book Antiqua" w:cstheme="minorBidi"/>
          <w:sz w:val="22"/>
          <w:szCs w:val="22"/>
        </w:rPr>
        <w:t>Les résultats de l’ESUB</w:t>
      </w:r>
      <w:r w:rsidR="00A46268">
        <w:rPr>
          <w:rFonts w:ascii="Book Antiqua" w:eastAsiaTheme="minorHAnsi" w:hAnsi="Book Antiqua" w:cstheme="minorBidi"/>
          <w:sz w:val="22"/>
          <w:szCs w:val="22"/>
        </w:rPr>
        <w:t xml:space="preserve"> révèlent que </w:t>
      </w:r>
      <w:r w:rsidR="00E16B29" w:rsidRPr="00C3213B">
        <w:rPr>
          <w:rFonts w:ascii="Book Antiqua" w:eastAsiaTheme="minorHAnsi" w:hAnsi="Book Antiqua" w:cstheme="minorBidi"/>
          <w:sz w:val="22"/>
          <w:szCs w:val="22"/>
        </w:rPr>
        <w:t>59,9%</w:t>
      </w:r>
      <w:r w:rsidR="00E16B29">
        <w:rPr>
          <w:rFonts w:ascii="Book Antiqua" w:eastAsiaTheme="minorHAnsi" w:hAnsi="Book Antiqua" w:cstheme="minorBidi"/>
          <w:sz w:val="22"/>
          <w:szCs w:val="22"/>
        </w:rPr>
        <w:t xml:space="preserve"> des personnes morales indique</w:t>
      </w:r>
      <w:r w:rsidR="00A46268">
        <w:rPr>
          <w:rFonts w:ascii="Book Antiqua" w:eastAsiaTheme="minorHAnsi" w:hAnsi="Book Antiqua" w:cstheme="minorBidi"/>
          <w:sz w:val="22"/>
          <w:szCs w:val="22"/>
        </w:rPr>
        <w:t>nt</w:t>
      </w:r>
      <w:r w:rsidR="00E16B29">
        <w:rPr>
          <w:rFonts w:ascii="Book Antiqua" w:eastAsiaTheme="minorHAnsi" w:hAnsi="Book Antiqua" w:cstheme="minorBidi"/>
          <w:sz w:val="22"/>
          <w:szCs w:val="22"/>
        </w:rPr>
        <w:t xml:space="preserve"> n’avoir jamais relevé d’irrégularités dans leurs relevés de compte.  Cette perception est </w:t>
      </w:r>
      <w:r w:rsidR="00507DF9">
        <w:rPr>
          <w:rFonts w:ascii="Book Antiqua" w:eastAsiaTheme="minorHAnsi" w:hAnsi="Book Antiqua" w:cstheme="minorBidi"/>
          <w:sz w:val="22"/>
          <w:szCs w:val="22"/>
        </w:rPr>
        <w:t xml:space="preserve">toutefois </w:t>
      </w:r>
      <w:r w:rsidR="00E16B29">
        <w:rPr>
          <w:rFonts w:ascii="Book Antiqua" w:eastAsiaTheme="minorHAnsi" w:hAnsi="Book Antiqua" w:cstheme="minorBidi"/>
          <w:sz w:val="22"/>
          <w:szCs w:val="22"/>
        </w:rPr>
        <w:t xml:space="preserve">atténuée par les </w:t>
      </w:r>
      <w:r w:rsidR="00507DF9">
        <w:rPr>
          <w:rFonts w:ascii="Book Antiqua" w:eastAsiaTheme="minorHAnsi" w:hAnsi="Book Antiqua" w:cstheme="minorBidi"/>
          <w:sz w:val="22"/>
          <w:szCs w:val="22"/>
        </w:rPr>
        <w:t>déclarations</w:t>
      </w:r>
      <w:r w:rsidR="00C3213B">
        <w:rPr>
          <w:rFonts w:ascii="Book Antiqua" w:eastAsiaTheme="minorHAnsi" w:hAnsi="Book Antiqua" w:cstheme="minorBidi"/>
          <w:sz w:val="22"/>
          <w:szCs w:val="22"/>
        </w:rPr>
        <w:t xml:space="preserve"> </w:t>
      </w:r>
      <w:r w:rsidR="00507DF9">
        <w:rPr>
          <w:rFonts w:ascii="Book Antiqua" w:eastAsiaTheme="minorHAnsi" w:hAnsi="Book Antiqua" w:cstheme="minorBidi"/>
          <w:sz w:val="22"/>
          <w:szCs w:val="22"/>
        </w:rPr>
        <w:t>recueillies</w:t>
      </w:r>
      <w:r w:rsidR="00E16B29">
        <w:rPr>
          <w:rFonts w:ascii="Book Antiqua" w:eastAsiaTheme="minorHAnsi" w:hAnsi="Book Antiqua" w:cstheme="minorBidi"/>
          <w:sz w:val="22"/>
          <w:szCs w:val="22"/>
        </w:rPr>
        <w:t xml:space="preserve"> chez les unités qui </w:t>
      </w:r>
      <w:r w:rsidR="00507DF9">
        <w:rPr>
          <w:rFonts w:ascii="Book Antiqua" w:eastAsiaTheme="minorHAnsi" w:hAnsi="Book Antiqua" w:cstheme="minorBidi"/>
          <w:sz w:val="22"/>
          <w:szCs w:val="22"/>
        </w:rPr>
        <w:t xml:space="preserve">constatent </w:t>
      </w:r>
      <w:r w:rsidR="004204AC" w:rsidRPr="00132182">
        <w:rPr>
          <w:rFonts w:ascii="Book Antiqua" w:eastAsiaTheme="minorHAnsi" w:hAnsi="Book Antiqua" w:cstheme="minorBidi"/>
          <w:i/>
          <w:sz w:val="22"/>
          <w:szCs w:val="22"/>
        </w:rPr>
        <w:t>« souvent</w:t>
      </w:r>
      <w:r w:rsidR="00E16B29">
        <w:rPr>
          <w:rFonts w:ascii="Book Antiqua" w:eastAsiaTheme="minorHAnsi" w:hAnsi="Book Antiqua" w:cstheme="minorBidi"/>
          <w:sz w:val="22"/>
          <w:szCs w:val="22"/>
        </w:rPr>
        <w:t xml:space="preserve"> » voire </w:t>
      </w:r>
      <w:r w:rsidR="004204AC" w:rsidRPr="00132182">
        <w:rPr>
          <w:rFonts w:ascii="Book Antiqua" w:eastAsiaTheme="minorHAnsi" w:hAnsi="Book Antiqua" w:cstheme="minorBidi"/>
          <w:i/>
          <w:sz w:val="22"/>
          <w:szCs w:val="22"/>
        </w:rPr>
        <w:t>« très souvent »</w:t>
      </w:r>
      <w:r w:rsidR="00B74571">
        <w:rPr>
          <w:rFonts w:ascii="Book Antiqua" w:eastAsiaTheme="minorHAnsi" w:hAnsi="Book Antiqua" w:cstheme="minorBidi"/>
          <w:sz w:val="22"/>
          <w:szCs w:val="22"/>
        </w:rPr>
        <w:t> </w:t>
      </w:r>
      <w:r w:rsidR="009839AF" w:rsidRPr="009839AF">
        <w:rPr>
          <w:rFonts w:ascii="Book Antiqua" w:eastAsiaTheme="minorHAnsi" w:hAnsi="Book Antiqua" w:cstheme="minorBidi"/>
          <w:sz w:val="22"/>
          <w:szCs w:val="22"/>
        </w:rPr>
        <w:t xml:space="preserve"> des irrégularités dans leurs relevés</w:t>
      </w:r>
      <w:r w:rsidR="00E16B29">
        <w:rPr>
          <w:rFonts w:ascii="Book Antiqua" w:eastAsiaTheme="minorHAnsi" w:hAnsi="Book Antiqua" w:cstheme="minorBidi"/>
          <w:sz w:val="22"/>
          <w:szCs w:val="22"/>
        </w:rPr>
        <w:t xml:space="preserve"> (10%)</w:t>
      </w:r>
      <w:r w:rsidR="00507DF9">
        <w:rPr>
          <w:rFonts w:ascii="Book Antiqua" w:eastAsiaTheme="minorHAnsi" w:hAnsi="Book Antiqua" w:cstheme="minorBidi"/>
          <w:sz w:val="22"/>
          <w:szCs w:val="22"/>
        </w:rPr>
        <w:t xml:space="preserve">. Il s’y ajoute une proportion de 20,8% </w:t>
      </w:r>
      <w:r w:rsidR="00E16B29">
        <w:rPr>
          <w:rFonts w:ascii="Book Antiqua" w:eastAsiaTheme="minorHAnsi" w:hAnsi="Book Antiqua" w:cstheme="minorBidi"/>
          <w:sz w:val="22"/>
          <w:szCs w:val="22"/>
        </w:rPr>
        <w:t xml:space="preserve">qui disent en déceler </w:t>
      </w:r>
      <w:r w:rsidR="004204AC" w:rsidRPr="00132182">
        <w:rPr>
          <w:rFonts w:ascii="Book Antiqua" w:eastAsiaTheme="minorHAnsi" w:hAnsi="Book Antiqua" w:cstheme="minorBidi"/>
          <w:i/>
          <w:sz w:val="22"/>
          <w:szCs w:val="22"/>
        </w:rPr>
        <w:t>« rarement »</w:t>
      </w:r>
    </w:p>
    <w:p w:rsidR="003714D9" w:rsidRDefault="003714D9" w:rsidP="00840635">
      <w:pPr>
        <w:pStyle w:val="Lgende"/>
        <w:keepNext/>
        <w:spacing w:line="276" w:lineRule="auto"/>
        <w:jc w:val="center"/>
        <w:rPr>
          <w:rFonts w:ascii="Book Antiqua" w:hAnsi="Book Antiqua"/>
          <w:color w:val="auto"/>
          <w:sz w:val="16"/>
        </w:rPr>
      </w:pPr>
      <w:bookmarkStart w:id="72" w:name="_Toc523313717"/>
    </w:p>
    <w:p w:rsidR="000D42A5" w:rsidRPr="00790F30" w:rsidRDefault="000D42A5" w:rsidP="00840635">
      <w:pPr>
        <w:pStyle w:val="Lgende"/>
        <w:keepNext/>
        <w:spacing w:line="276" w:lineRule="auto"/>
        <w:jc w:val="center"/>
        <w:rPr>
          <w:rFonts w:ascii="Book Antiqua" w:hAnsi="Book Antiqua"/>
          <w:color w:val="auto"/>
          <w:sz w:val="16"/>
        </w:rPr>
      </w:pPr>
      <w:r w:rsidRPr="00790F30">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34</w:t>
      </w:r>
      <w:r w:rsidR="000D65F2">
        <w:rPr>
          <w:rFonts w:ascii="Book Antiqua" w:hAnsi="Book Antiqua"/>
          <w:color w:val="auto"/>
          <w:sz w:val="16"/>
        </w:rPr>
        <w:fldChar w:fldCharType="end"/>
      </w:r>
      <w:r w:rsidRPr="00790F30">
        <w:rPr>
          <w:rFonts w:ascii="Book Antiqua" w:hAnsi="Book Antiqua"/>
          <w:color w:val="auto"/>
          <w:sz w:val="16"/>
        </w:rPr>
        <w:t xml:space="preserve">: Appréciation des unités sur les irrégularités </w:t>
      </w:r>
      <w:r w:rsidR="00B74571" w:rsidRPr="00790F30">
        <w:rPr>
          <w:rFonts w:ascii="Book Antiqua" w:hAnsi="Book Antiqua"/>
          <w:color w:val="auto"/>
          <w:sz w:val="16"/>
        </w:rPr>
        <w:t xml:space="preserve">décelées </w:t>
      </w:r>
      <w:r w:rsidRPr="00790F30">
        <w:rPr>
          <w:rFonts w:ascii="Book Antiqua" w:hAnsi="Book Antiqua"/>
          <w:color w:val="auto"/>
          <w:sz w:val="16"/>
        </w:rPr>
        <w:t>dans les relevés</w:t>
      </w:r>
      <w:bookmarkEnd w:id="72"/>
    </w:p>
    <w:p w:rsidR="00132182" w:rsidRDefault="009839AF" w:rsidP="00840635">
      <w:pPr>
        <w:spacing w:before="120" w:line="276" w:lineRule="auto"/>
        <w:jc w:val="center"/>
        <w:rPr>
          <w:rFonts w:ascii="Book Antiqua" w:eastAsiaTheme="minorHAnsi" w:hAnsi="Book Antiqua" w:cstheme="minorBidi"/>
          <w:sz w:val="22"/>
          <w:szCs w:val="22"/>
        </w:rPr>
      </w:pPr>
      <w:r w:rsidRPr="009839AF">
        <w:rPr>
          <w:rFonts w:asciiTheme="minorHAnsi" w:eastAsiaTheme="minorHAnsi" w:hAnsiTheme="minorHAnsi" w:cstheme="minorBidi"/>
          <w:noProof/>
          <w:sz w:val="22"/>
          <w:szCs w:val="22"/>
        </w:rPr>
        <w:drawing>
          <wp:inline distT="0" distB="0" distL="0" distR="0">
            <wp:extent cx="3880378" cy="2286000"/>
            <wp:effectExtent l="19050" t="0" r="24872" b="0"/>
            <wp:docPr id="30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069AA" w:rsidRPr="007F7F8C" w:rsidRDefault="005069AA" w:rsidP="00840635">
      <w:pPr>
        <w:spacing w:before="120" w:line="276" w:lineRule="auto"/>
        <w:jc w:val="both"/>
        <w:rPr>
          <w:rFonts w:ascii="Book Antiqua" w:eastAsiaTheme="minorHAnsi" w:hAnsi="Book Antiqua" w:cstheme="minorBidi"/>
          <w:sz w:val="22"/>
          <w:szCs w:val="22"/>
        </w:rPr>
      </w:pPr>
      <w:r w:rsidRPr="007F7F8C">
        <w:rPr>
          <w:rFonts w:ascii="Book Antiqua" w:eastAsiaTheme="minorHAnsi" w:hAnsi="Book Antiqua" w:cstheme="minorBidi"/>
          <w:sz w:val="22"/>
          <w:szCs w:val="22"/>
        </w:rPr>
        <w:lastRenderedPageBreak/>
        <w:t>Par ailleurs, u</w:t>
      </w:r>
      <w:r w:rsidR="009839AF" w:rsidRPr="007F7F8C">
        <w:rPr>
          <w:rFonts w:ascii="Book Antiqua" w:eastAsiaTheme="minorHAnsi" w:hAnsi="Book Antiqua" w:cstheme="minorBidi"/>
          <w:sz w:val="22"/>
          <w:szCs w:val="22"/>
        </w:rPr>
        <w:t>ne</w:t>
      </w:r>
      <w:r w:rsidR="006A2156">
        <w:rPr>
          <w:rFonts w:ascii="Book Antiqua" w:eastAsiaTheme="minorHAnsi" w:hAnsi="Book Antiqua" w:cstheme="minorBidi"/>
          <w:sz w:val="22"/>
          <w:szCs w:val="22"/>
        </w:rPr>
        <w:t xml:space="preserve"> </w:t>
      </w:r>
      <w:r w:rsidR="009839AF" w:rsidRPr="007F7F8C">
        <w:rPr>
          <w:rFonts w:ascii="Book Antiqua" w:eastAsiaTheme="minorHAnsi" w:hAnsi="Book Antiqua" w:cstheme="minorBidi"/>
          <w:sz w:val="22"/>
          <w:szCs w:val="22"/>
        </w:rPr>
        <w:t xml:space="preserve">analyse </w:t>
      </w:r>
      <w:r w:rsidR="00121599" w:rsidRPr="007F7F8C">
        <w:rPr>
          <w:rFonts w:ascii="Book Antiqua" w:eastAsiaTheme="minorHAnsi" w:hAnsi="Book Antiqua" w:cstheme="minorBidi"/>
          <w:sz w:val="22"/>
          <w:szCs w:val="22"/>
        </w:rPr>
        <w:t xml:space="preserve">de la perception des </w:t>
      </w:r>
      <w:r w:rsidR="004204AC" w:rsidRPr="007F7F8C">
        <w:rPr>
          <w:rFonts w:ascii="Book Antiqua" w:eastAsiaTheme="minorHAnsi" w:hAnsi="Book Antiqua"/>
          <w:sz w:val="22"/>
          <w:szCs w:val="22"/>
        </w:rPr>
        <w:t>unités</w:t>
      </w:r>
      <w:r w:rsidR="006A2156">
        <w:rPr>
          <w:rFonts w:ascii="Book Antiqua" w:eastAsiaTheme="minorHAnsi" w:hAnsi="Book Antiqua"/>
          <w:sz w:val="22"/>
          <w:szCs w:val="22"/>
        </w:rPr>
        <w:t xml:space="preserve"> </w:t>
      </w:r>
      <w:r w:rsidR="00121599" w:rsidRPr="007F7F8C">
        <w:rPr>
          <w:rFonts w:ascii="Book Antiqua" w:eastAsiaTheme="minorHAnsi" w:hAnsi="Book Antiqua"/>
          <w:sz w:val="22"/>
          <w:szCs w:val="22"/>
        </w:rPr>
        <w:t>sur les irrégularité</w:t>
      </w:r>
      <w:r w:rsidRPr="007F7F8C">
        <w:rPr>
          <w:rFonts w:ascii="Book Antiqua" w:eastAsiaTheme="minorHAnsi" w:hAnsi="Book Antiqua"/>
          <w:sz w:val="22"/>
          <w:szCs w:val="22"/>
        </w:rPr>
        <w:t>s décelées</w:t>
      </w:r>
      <w:r w:rsidR="006A2156">
        <w:rPr>
          <w:rFonts w:ascii="Book Antiqua" w:eastAsiaTheme="minorHAnsi" w:hAnsi="Book Antiqua"/>
          <w:sz w:val="22"/>
          <w:szCs w:val="22"/>
        </w:rPr>
        <w:t xml:space="preserve"> </w:t>
      </w:r>
      <w:r w:rsidR="009839AF" w:rsidRPr="007F7F8C">
        <w:rPr>
          <w:rFonts w:ascii="Book Antiqua" w:eastAsiaTheme="minorHAnsi" w:hAnsi="Book Antiqua" w:cstheme="minorBidi"/>
          <w:sz w:val="22"/>
          <w:szCs w:val="22"/>
        </w:rPr>
        <w:t xml:space="preserve">montre </w:t>
      </w:r>
      <w:r w:rsidRPr="007F7F8C">
        <w:rPr>
          <w:rFonts w:ascii="Book Antiqua" w:eastAsiaTheme="minorHAnsi" w:hAnsi="Book Antiqua" w:cstheme="minorBidi"/>
          <w:sz w:val="22"/>
          <w:szCs w:val="22"/>
        </w:rPr>
        <w:t xml:space="preserve">un niveau de </w:t>
      </w:r>
      <w:r w:rsidR="009839AF" w:rsidRPr="007F7F8C">
        <w:rPr>
          <w:rFonts w:ascii="Book Antiqua" w:eastAsiaTheme="minorHAnsi" w:hAnsi="Book Antiqua" w:cstheme="minorBidi"/>
          <w:sz w:val="22"/>
          <w:szCs w:val="22"/>
        </w:rPr>
        <w:t xml:space="preserve">récurrence plus </w:t>
      </w:r>
      <w:r w:rsidRPr="007F7F8C">
        <w:rPr>
          <w:rFonts w:ascii="Book Antiqua" w:eastAsiaTheme="minorHAnsi" w:hAnsi="Book Antiqua" w:cstheme="minorBidi"/>
          <w:sz w:val="22"/>
          <w:szCs w:val="22"/>
        </w:rPr>
        <w:t>élevé chez les unités formelles (</w:t>
      </w:r>
      <w:r w:rsidR="009839AF" w:rsidRPr="007F7F8C">
        <w:rPr>
          <w:rFonts w:ascii="Book Antiqua" w:eastAsiaTheme="minorHAnsi" w:hAnsi="Book Antiqua" w:cstheme="minorBidi"/>
          <w:sz w:val="22"/>
          <w:szCs w:val="22"/>
        </w:rPr>
        <w:t>1</w:t>
      </w:r>
      <w:r w:rsidR="00BA5884" w:rsidRPr="007F7F8C">
        <w:rPr>
          <w:rFonts w:ascii="Book Antiqua" w:eastAsiaTheme="minorHAnsi" w:hAnsi="Book Antiqua" w:cstheme="minorBidi"/>
          <w:sz w:val="22"/>
          <w:szCs w:val="22"/>
        </w:rPr>
        <w:t xml:space="preserve">2,3%) </w:t>
      </w:r>
      <w:r w:rsidRPr="007F7F8C">
        <w:rPr>
          <w:rFonts w:ascii="Book Antiqua" w:eastAsiaTheme="minorHAnsi" w:hAnsi="Book Antiqua" w:cstheme="minorBidi"/>
          <w:sz w:val="22"/>
          <w:szCs w:val="22"/>
        </w:rPr>
        <w:t>que chez celles issues de l’informel (</w:t>
      </w:r>
      <w:r w:rsidR="00790F30">
        <w:rPr>
          <w:rFonts w:ascii="Book Antiqua" w:eastAsiaTheme="minorHAnsi" w:hAnsi="Book Antiqua" w:cstheme="minorBidi"/>
          <w:sz w:val="22"/>
          <w:szCs w:val="22"/>
        </w:rPr>
        <w:t>1</w:t>
      </w:r>
      <w:r w:rsidR="00BA5884" w:rsidRPr="007F7F8C">
        <w:rPr>
          <w:rFonts w:ascii="Book Antiqua" w:eastAsiaTheme="minorHAnsi" w:hAnsi="Book Antiqua" w:cstheme="minorBidi"/>
          <w:sz w:val="22"/>
          <w:szCs w:val="22"/>
        </w:rPr>
        <w:t>,4</w:t>
      </w:r>
      <w:r w:rsidR="009839AF" w:rsidRPr="007F7F8C">
        <w:rPr>
          <w:rFonts w:ascii="Book Antiqua" w:eastAsiaTheme="minorHAnsi" w:hAnsi="Book Antiqua" w:cstheme="minorBidi"/>
          <w:sz w:val="22"/>
          <w:szCs w:val="22"/>
        </w:rPr>
        <w:t>%</w:t>
      </w:r>
      <w:r w:rsidR="00BA5884" w:rsidRPr="007F7F8C">
        <w:rPr>
          <w:rFonts w:ascii="Book Antiqua" w:eastAsiaTheme="minorHAnsi" w:hAnsi="Book Antiqua" w:cstheme="minorBidi"/>
          <w:sz w:val="22"/>
          <w:szCs w:val="22"/>
        </w:rPr>
        <w:t xml:space="preserve">) </w:t>
      </w:r>
      <w:r w:rsidR="009839AF" w:rsidRPr="007F7F8C">
        <w:rPr>
          <w:rFonts w:ascii="Book Antiqua" w:eastAsiaTheme="minorHAnsi" w:hAnsi="Book Antiqua" w:cstheme="minorBidi"/>
          <w:sz w:val="22"/>
          <w:szCs w:val="22"/>
        </w:rPr>
        <w:t xml:space="preserve"> pour le secteur informel. </w:t>
      </w:r>
    </w:p>
    <w:p w:rsidR="00132182" w:rsidRPr="007F7F8C" w:rsidRDefault="009839AF" w:rsidP="00840635">
      <w:pPr>
        <w:spacing w:before="120" w:line="276" w:lineRule="auto"/>
        <w:jc w:val="both"/>
        <w:rPr>
          <w:rFonts w:ascii="Book Antiqua" w:eastAsiaTheme="minorHAnsi" w:hAnsi="Book Antiqua" w:cstheme="minorBidi"/>
          <w:sz w:val="22"/>
          <w:szCs w:val="22"/>
        </w:rPr>
      </w:pPr>
      <w:r w:rsidRPr="007F7F8C">
        <w:rPr>
          <w:rFonts w:ascii="Book Antiqua" w:eastAsiaTheme="minorHAnsi" w:hAnsi="Book Antiqua" w:cstheme="minorBidi"/>
          <w:sz w:val="22"/>
          <w:szCs w:val="22"/>
        </w:rPr>
        <w:t>Des proportions de 2</w:t>
      </w:r>
      <w:r w:rsidR="004C735E" w:rsidRPr="007F7F8C">
        <w:rPr>
          <w:rFonts w:ascii="Book Antiqua" w:eastAsiaTheme="minorHAnsi" w:hAnsi="Book Antiqua" w:cstheme="minorBidi"/>
          <w:sz w:val="22"/>
          <w:szCs w:val="22"/>
        </w:rPr>
        <w:t>6,9 %</w:t>
      </w:r>
      <w:r w:rsidR="005069AA" w:rsidRPr="007F7F8C">
        <w:rPr>
          <w:rFonts w:ascii="Book Antiqua" w:eastAsiaTheme="minorHAnsi" w:hAnsi="Book Antiqua" w:cstheme="minorBidi"/>
          <w:sz w:val="22"/>
          <w:szCs w:val="22"/>
        </w:rPr>
        <w:t xml:space="preserve">pour le secteur moderne et de </w:t>
      </w:r>
      <w:r w:rsidR="004C735E" w:rsidRPr="007F7F8C">
        <w:rPr>
          <w:rFonts w:ascii="Book Antiqua" w:eastAsiaTheme="minorHAnsi" w:hAnsi="Book Antiqua" w:cstheme="minorBidi"/>
          <w:sz w:val="22"/>
          <w:szCs w:val="22"/>
        </w:rPr>
        <w:t>11,8</w:t>
      </w:r>
      <w:r w:rsidR="005069AA" w:rsidRPr="007F7F8C">
        <w:rPr>
          <w:rFonts w:ascii="Book Antiqua" w:eastAsiaTheme="minorHAnsi" w:hAnsi="Book Antiqua" w:cstheme="minorBidi"/>
          <w:sz w:val="22"/>
          <w:szCs w:val="22"/>
        </w:rPr>
        <w:t>% pour le secteur informel</w:t>
      </w:r>
      <w:r w:rsidRPr="007F7F8C">
        <w:rPr>
          <w:rFonts w:ascii="Book Antiqua" w:eastAsiaTheme="minorHAnsi" w:hAnsi="Book Antiqua" w:cstheme="minorBidi"/>
          <w:sz w:val="22"/>
          <w:szCs w:val="22"/>
        </w:rPr>
        <w:t xml:space="preserve"> déclarent en déceler « rarement » contre des taux respectifs de </w:t>
      </w:r>
      <w:r w:rsidR="004C735E" w:rsidRPr="007F7F8C">
        <w:rPr>
          <w:rFonts w:ascii="Book Antiqua" w:eastAsiaTheme="minorHAnsi" w:hAnsi="Book Antiqua" w:cstheme="minorBidi"/>
          <w:sz w:val="22"/>
          <w:szCs w:val="22"/>
        </w:rPr>
        <w:t>60,8</w:t>
      </w:r>
      <w:r w:rsidR="00132182" w:rsidRPr="007F7F8C">
        <w:rPr>
          <w:rFonts w:ascii="Book Antiqua" w:eastAsiaTheme="minorHAnsi" w:hAnsi="Book Antiqua" w:cstheme="minorBidi"/>
          <w:sz w:val="22"/>
          <w:szCs w:val="22"/>
        </w:rPr>
        <w:t>%</w:t>
      </w:r>
      <w:r w:rsidRPr="007F7F8C">
        <w:rPr>
          <w:rFonts w:ascii="Book Antiqua" w:eastAsiaTheme="minorHAnsi" w:hAnsi="Book Antiqua" w:cstheme="minorBidi"/>
          <w:sz w:val="22"/>
          <w:szCs w:val="22"/>
        </w:rPr>
        <w:t xml:space="preserve"> et </w:t>
      </w:r>
      <w:r w:rsidR="004C735E" w:rsidRPr="007F7F8C">
        <w:rPr>
          <w:rFonts w:ascii="Book Antiqua" w:eastAsiaTheme="minorHAnsi" w:hAnsi="Book Antiqua" w:cstheme="minorBidi"/>
          <w:sz w:val="22"/>
          <w:szCs w:val="22"/>
        </w:rPr>
        <w:t xml:space="preserve">80,8% </w:t>
      </w:r>
      <w:r w:rsidR="005069AA" w:rsidRPr="007F7F8C">
        <w:rPr>
          <w:rFonts w:ascii="Book Antiqua" w:eastAsiaTheme="minorHAnsi" w:hAnsi="Book Antiqua" w:cstheme="minorBidi"/>
          <w:sz w:val="22"/>
          <w:szCs w:val="22"/>
        </w:rPr>
        <w:t>qui affirment n’en avoir</w:t>
      </w:r>
      <w:r w:rsidR="006A2156">
        <w:rPr>
          <w:rFonts w:ascii="Book Antiqua" w:eastAsiaTheme="minorHAnsi" w:hAnsi="Book Antiqua" w:cstheme="minorBidi"/>
          <w:sz w:val="22"/>
          <w:szCs w:val="22"/>
        </w:rPr>
        <w:t xml:space="preserve"> </w:t>
      </w:r>
      <w:r w:rsidR="005069AA" w:rsidRPr="007F7F8C">
        <w:rPr>
          <w:rFonts w:ascii="Book Antiqua" w:eastAsiaTheme="minorHAnsi" w:hAnsi="Book Antiqua" w:cstheme="minorBidi"/>
          <w:sz w:val="22"/>
          <w:szCs w:val="22"/>
        </w:rPr>
        <w:t xml:space="preserve">jamais </w:t>
      </w:r>
      <w:r w:rsidR="00D433B9" w:rsidRPr="007F7F8C">
        <w:rPr>
          <w:rFonts w:ascii="Book Antiqua" w:eastAsiaTheme="minorHAnsi" w:hAnsi="Book Antiqua" w:cstheme="minorBidi"/>
          <w:sz w:val="22"/>
          <w:szCs w:val="22"/>
        </w:rPr>
        <w:t>constaté</w:t>
      </w:r>
      <w:r w:rsidR="005069AA" w:rsidRPr="007F7F8C">
        <w:rPr>
          <w:rFonts w:ascii="Book Antiqua" w:eastAsiaTheme="minorHAnsi" w:hAnsi="Book Antiqua" w:cstheme="minorBidi"/>
          <w:sz w:val="22"/>
          <w:szCs w:val="22"/>
        </w:rPr>
        <w:t xml:space="preserve">. </w:t>
      </w:r>
    </w:p>
    <w:p w:rsidR="003714D9" w:rsidRDefault="003714D9" w:rsidP="00840635">
      <w:pPr>
        <w:pStyle w:val="Lgende"/>
        <w:keepNext/>
        <w:spacing w:line="276" w:lineRule="auto"/>
        <w:jc w:val="center"/>
        <w:rPr>
          <w:rFonts w:ascii="Book Antiqua" w:hAnsi="Book Antiqua"/>
          <w:color w:val="auto"/>
          <w:sz w:val="16"/>
        </w:rPr>
      </w:pPr>
      <w:bookmarkStart w:id="73" w:name="_Toc523313718"/>
    </w:p>
    <w:p w:rsidR="009260C9" w:rsidRPr="00790F30" w:rsidRDefault="004A5417" w:rsidP="00840635">
      <w:pPr>
        <w:pStyle w:val="Lgende"/>
        <w:keepNext/>
        <w:spacing w:line="276" w:lineRule="auto"/>
        <w:jc w:val="center"/>
        <w:rPr>
          <w:rFonts w:ascii="Book Antiqua" w:hAnsi="Book Antiqua"/>
          <w:b w:val="0"/>
          <w:sz w:val="16"/>
        </w:rPr>
      </w:pPr>
      <w:r w:rsidRPr="00790F30">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35</w:t>
      </w:r>
      <w:r w:rsidR="000D65F2">
        <w:rPr>
          <w:rFonts w:ascii="Book Antiqua" w:hAnsi="Book Antiqua"/>
          <w:color w:val="auto"/>
          <w:sz w:val="16"/>
        </w:rPr>
        <w:fldChar w:fldCharType="end"/>
      </w:r>
      <w:r w:rsidRPr="00790F30">
        <w:rPr>
          <w:rFonts w:ascii="Book Antiqua" w:hAnsi="Book Antiqua"/>
          <w:color w:val="auto"/>
          <w:sz w:val="16"/>
        </w:rPr>
        <w:t>: Appréciation des unités sur les irrégularités décelées dans les relevés selon la nature de l’activité</w:t>
      </w:r>
      <w:bookmarkEnd w:id="73"/>
    </w:p>
    <w:p w:rsidR="009260C9" w:rsidRDefault="00F44BC9" w:rsidP="00AA59E0">
      <w:pPr>
        <w:tabs>
          <w:tab w:val="left" w:pos="1320"/>
          <w:tab w:val="right" w:leader="dot" w:pos="9572"/>
        </w:tabs>
        <w:spacing w:before="120" w:after="100" w:line="276" w:lineRule="auto"/>
        <w:contextualSpacing/>
        <w:jc w:val="center"/>
        <w:rPr>
          <w:rFonts w:ascii="Book Antiqua" w:hAnsi="Book Antiqua" w:cs="Arial"/>
          <w:b/>
          <w:noProof/>
          <w:sz w:val="22"/>
          <w:szCs w:val="22"/>
        </w:rPr>
      </w:pPr>
      <w:r w:rsidRPr="00132182">
        <w:rPr>
          <w:rFonts w:ascii="Book Antiqua" w:hAnsi="Book Antiqua" w:cs="Arial"/>
          <w:b/>
          <w:noProof/>
          <w:sz w:val="22"/>
          <w:szCs w:val="22"/>
        </w:rPr>
        <w:drawing>
          <wp:inline distT="0" distB="0" distL="0" distR="0">
            <wp:extent cx="4181896" cy="2220685"/>
            <wp:effectExtent l="19050" t="0" r="28154" b="8165"/>
            <wp:docPr id="2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839AF" w:rsidRPr="005715F2" w:rsidRDefault="00286E71" w:rsidP="00531C35">
      <w:pPr>
        <w:pStyle w:val="Paragraphedeliste"/>
        <w:numPr>
          <w:ilvl w:val="2"/>
          <w:numId w:val="25"/>
        </w:numPr>
        <w:tabs>
          <w:tab w:val="left" w:pos="1320"/>
          <w:tab w:val="right" w:leader="dot" w:pos="9572"/>
        </w:tabs>
        <w:spacing w:before="120" w:after="240" w:line="276" w:lineRule="auto"/>
        <w:ind w:left="851" w:hanging="284"/>
        <w:contextualSpacing w:val="0"/>
        <w:jc w:val="both"/>
        <w:outlineLvl w:val="2"/>
        <w:rPr>
          <w:rFonts w:ascii="Book Antiqua" w:hAnsi="Book Antiqua" w:cs="Arial"/>
          <w:b/>
          <w:noProof/>
          <w:sz w:val="22"/>
          <w:szCs w:val="22"/>
        </w:rPr>
      </w:pPr>
      <w:bookmarkStart w:id="74" w:name="_Toc523322043"/>
      <w:r w:rsidRPr="005715F2">
        <w:rPr>
          <w:rFonts w:ascii="Book Antiqua" w:hAnsi="Book Antiqua" w:cs="Arial"/>
          <w:b/>
          <w:noProof/>
          <w:sz w:val="22"/>
          <w:szCs w:val="22"/>
        </w:rPr>
        <w:t>A</w:t>
      </w:r>
      <w:r w:rsidR="009839AF" w:rsidRPr="005715F2">
        <w:rPr>
          <w:rFonts w:ascii="Book Antiqua" w:hAnsi="Book Antiqua" w:cs="Arial"/>
          <w:b/>
          <w:noProof/>
          <w:sz w:val="22"/>
          <w:szCs w:val="22"/>
        </w:rPr>
        <w:t>ppréciations</w:t>
      </w:r>
      <w:r w:rsidR="00261FBC" w:rsidRPr="005715F2">
        <w:rPr>
          <w:rFonts w:ascii="Book Antiqua" w:hAnsi="Book Antiqua" w:cs="Arial"/>
          <w:b/>
          <w:noProof/>
          <w:sz w:val="22"/>
          <w:szCs w:val="22"/>
        </w:rPr>
        <w:t xml:space="preserve"> des unités</w:t>
      </w:r>
      <w:r w:rsidR="009839AF" w:rsidRPr="005715F2">
        <w:rPr>
          <w:rFonts w:ascii="Book Antiqua" w:hAnsi="Book Antiqua" w:cs="Arial"/>
          <w:b/>
          <w:noProof/>
          <w:sz w:val="22"/>
          <w:szCs w:val="22"/>
        </w:rPr>
        <w:t xml:space="preserve"> sur les dates de valeur</w:t>
      </w:r>
      <w:bookmarkEnd w:id="74"/>
    </w:p>
    <w:p w:rsidR="00BA2056" w:rsidRDefault="00BA2056" w:rsidP="00A41BD6">
      <w:pPr>
        <w:spacing w:before="240" w:after="240" w:line="276" w:lineRule="auto"/>
        <w:jc w:val="both"/>
        <w:rPr>
          <w:rFonts w:ascii="Book Antiqua" w:eastAsiaTheme="minorHAnsi" w:hAnsi="Book Antiqua" w:cstheme="minorBidi"/>
          <w:sz w:val="22"/>
          <w:szCs w:val="22"/>
        </w:rPr>
      </w:pPr>
      <w:r>
        <w:rPr>
          <w:rFonts w:ascii="Book Antiqua" w:eastAsiaTheme="minorHAnsi" w:hAnsi="Book Antiqua" w:cstheme="minorBidi"/>
          <w:sz w:val="22"/>
          <w:szCs w:val="22"/>
        </w:rPr>
        <w:t>Les dates de valeur représentent les dates appliquées lors d’opérations bancaires pour le calcul des intérêts créditeurs et débiteurs du compte. L</w:t>
      </w:r>
      <w:r w:rsidR="00A73390">
        <w:rPr>
          <w:rFonts w:ascii="Book Antiqua" w:eastAsiaTheme="minorHAnsi" w:hAnsi="Book Antiqua" w:cstheme="minorBidi"/>
          <w:sz w:val="22"/>
          <w:szCs w:val="22"/>
        </w:rPr>
        <w:t>eur</w:t>
      </w:r>
      <w:r>
        <w:rPr>
          <w:rFonts w:ascii="Book Antiqua" w:eastAsiaTheme="minorHAnsi" w:hAnsi="Book Antiqua" w:cstheme="minorBidi"/>
          <w:sz w:val="22"/>
          <w:szCs w:val="22"/>
        </w:rPr>
        <w:t xml:space="preserve"> gestion constitue</w:t>
      </w:r>
      <w:r w:rsidR="0050408B">
        <w:rPr>
          <w:rFonts w:ascii="Book Antiqua" w:eastAsiaTheme="minorHAnsi" w:hAnsi="Book Antiqua" w:cstheme="minorBidi"/>
          <w:sz w:val="22"/>
          <w:szCs w:val="22"/>
        </w:rPr>
        <w:t>,</w:t>
      </w:r>
      <w:r>
        <w:rPr>
          <w:rFonts w:ascii="Book Antiqua" w:eastAsiaTheme="minorHAnsi" w:hAnsi="Book Antiqua" w:cstheme="minorBidi"/>
          <w:sz w:val="22"/>
          <w:szCs w:val="22"/>
        </w:rPr>
        <w:t xml:space="preserve"> à cet égard</w:t>
      </w:r>
      <w:r w:rsidR="0050408B">
        <w:rPr>
          <w:rFonts w:ascii="Book Antiqua" w:eastAsiaTheme="minorHAnsi" w:hAnsi="Book Antiqua" w:cstheme="minorBidi"/>
          <w:sz w:val="22"/>
          <w:szCs w:val="22"/>
        </w:rPr>
        <w:t>,</w:t>
      </w:r>
      <w:r>
        <w:rPr>
          <w:rFonts w:ascii="Book Antiqua" w:eastAsiaTheme="minorHAnsi" w:hAnsi="Book Antiqua" w:cstheme="minorBidi"/>
          <w:sz w:val="22"/>
          <w:szCs w:val="22"/>
        </w:rPr>
        <w:t xml:space="preserve"> un moyen</w:t>
      </w:r>
      <w:r w:rsidR="006A2156">
        <w:rPr>
          <w:rFonts w:ascii="Book Antiqua" w:eastAsiaTheme="minorHAnsi" w:hAnsi="Book Antiqua" w:cstheme="minorBidi"/>
          <w:sz w:val="22"/>
          <w:szCs w:val="22"/>
        </w:rPr>
        <w:t xml:space="preserve"> </w:t>
      </w:r>
      <w:r>
        <w:rPr>
          <w:rFonts w:ascii="Book Antiqua" w:eastAsiaTheme="minorHAnsi" w:hAnsi="Book Antiqua" w:cstheme="minorBidi"/>
          <w:sz w:val="22"/>
          <w:szCs w:val="22"/>
        </w:rPr>
        <w:t xml:space="preserve">pour les entreprises </w:t>
      </w:r>
      <w:r w:rsidRPr="009839AF">
        <w:rPr>
          <w:rFonts w:ascii="Book Antiqua" w:eastAsiaTheme="minorHAnsi" w:hAnsi="Book Antiqua" w:cstheme="minorBidi"/>
          <w:sz w:val="22"/>
          <w:szCs w:val="22"/>
        </w:rPr>
        <w:t>de suivre leur situation bancaire réelle en termes d’encaissements et de décaissements</w:t>
      </w:r>
      <w:r>
        <w:rPr>
          <w:rFonts w:ascii="Book Antiqua" w:eastAsiaTheme="minorHAnsi" w:hAnsi="Book Antiqua" w:cstheme="minorBidi"/>
          <w:sz w:val="22"/>
          <w:szCs w:val="22"/>
        </w:rPr>
        <w:t xml:space="preserve">. </w:t>
      </w:r>
    </w:p>
    <w:p w:rsidR="009839AF" w:rsidRDefault="0042106F" w:rsidP="00A41BD6">
      <w:pPr>
        <w:spacing w:before="240" w:after="240" w:line="276" w:lineRule="auto"/>
        <w:jc w:val="both"/>
        <w:rPr>
          <w:rFonts w:ascii="Book Antiqua" w:eastAsiaTheme="minorHAnsi" w:hAnsi="Book Antiqua" w:cstheme="minorBidi"/>
          <w:sz w:val="22"/>
          <w:szCs w:val="22"/>
        </w:rPr>
      </w:pPr>
      <w:r>
        <w:rPr>
          <w:rFonts w:ascii="Book Antiqua" w:eastAsiaTheme="minorHAnsi" w:hAnsi="Book Antiqua" w:cstheme="minorBidi"/>
          <w:sz w:val="22"/>
          <w:szCs w:val="22"/>
        </w:rPr>
        <w:t xml:space="preserve">Il ressort de la perception des unités enquêtées qu’une proportion de 40,1% </w:t>
      </w:r>
      <w:r w:rsidR="005B4DAC">
        <w:rPr>
          <w:rFonts w:ascii="Book Antiqua" w:eastAsiaTheme="minorHAnsi" w:hAnsi="Book Antiqua" w:cstheme="minorBidi"/>
          <w:sz w:val="22"/>
          <w:szCs w:val="22"/>
        </w:rPr>
        <w:t xml:space="preserve">déplore </w:t>
      </w:r>
      <w:r w:rsidR="009839AF" w:rsidRPr="009839AF">
        <w:rPr>
          <w:rFonts w:ascii="Book Antiqua" w:eastAsiaTheme="minorHAnsi" w:hAnsi="Book Antiqua" w:cstheme="minorBidi"/>
          <w:sz w:val="22"/>
          <w:szCs w:val="22"/>
        </w:rPr>
        <w:t>les dates appliquées</w:t>
      </w:r>
      <w:r w:rsidR="005B4DAC">
        <w:rPr>
          <w:rFonts w:ascii="Book Antiqua" w:eastAsiaTheme="minorHAnsi" w:hAnsi="Book Antiqua" w:cstheme="minorBidi"/>
          <w:sz w:val="22"/>
          <w:szCs w:val="22"/>
        </w:rPr>
        <w:t xml:space="preserve"> à leurs opérations </w:t>
      </w:r>
      <w:r w:rsidR="009839AF" w:rsidRPr="009839AF">
        <w:rPr>
          <w:rFonts w:ascii="Book Antiqua" w:eastAsiaTheme="minorHAnsi" w:hAnsi="Book Antiqua" w:cstheme="minorBidi"/>
          <w:sz w:val="22"/>
          <w:szCs w:val="22"/>
        </w:rPr>
        <w:t>contre 59,9% dont l’appréciation est satisfaisante.</w:t>
      </w:r>
    </w:p>
    <w:p w:rsidR="00790F30" w:rsidRDefault="00790F30" w:rsidP="00840635">
      <w:pPr>
        <w:spacing w:before="120" w:line="276" w:lineRule="auto"/>
        <w:jc w:val="both"/>
        <w:rPr>
          <w:rFonts w:ascii="Book Antiqua" w:eastAsiaTheme="minorHAnsi" w:hAnsi="Book Antiqua" w:cstheme="minorBidi"/>
          <w:sz w:val="22"/>
          <w:szCs w:val="22"/>
        </w:rPr>
      </w:pPr>
    </w:p>
    <w:p w:rsidR="00AB1AFA" w:rsidRPr="00790F30" w:rsidRDefault="00AB1AFA" w:rsidP="00840635">
      <w:pPr>
        <w:pStyle w:val="Lgende"/>
        <w:keepNext/>
        <w:spacing w:line="276" w:lineRule="auto"/>
        <w:jc w:val="center"/>
        <w:rPr>
          <w:rFonts w:ascii="Book Antiqua" w:hAnsi="Book Antiqua"/>
          <w:color w:val="auto"/>
          <w:sz w:val="16"/>
        </w:rPr>
      </w:pPr>
      <w:bookmarkStart w:id="75" w:name="_Toc523313719"/>
      <w:r w:rsidRPr="00790F30">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36</w:t>
      </w:r>
      <w:r w:rsidR="000D65F2">
        <w:rPr>
          <w:rFonts w:ascii="Book Antiqua" w:hAnsi="Book Antiqua"/>
          <w:color w:val="auto"/>
          <w:sz w:val="16"/>
        </w:rPr>
        <w:fldChar w:fldCharType="end"/>
      </w:r>
      <w:r w:rsidR="00790F30">
        <w:rPr>
          <w:rFonts w:ascii="Book Antiqua" w:hAnsi="Book Antiqua"/>
          <w:color w:val="auto"/>
          <w:sz w:val="16"/>
        </w:rPr>
        <w:t xml:space="preserve"> </w:t>
      </w:r>
      <w:r w:rsidRPr="00790F30">
        <w:rPr>
          <w:rFonts w:ascii="Book Antiqua" w:hAnsi="Book Antiqua"/>
          <w:color w:val="auto"/>
          <w:sz w:val="16"/>
        </w:rPr>
        <w:t>: Appréciation des unités sur les dates de valeur</w:t>
      </w:r>
      <w:bookmarkEnd w:id="75"/>
    </w:p>
    <w:p w:rsidR="006A2156" w:rsidRDefault="009839AF" w:rsidP="00AA59E0">
      <w:pPr>
        <w:spacing w:before="120" w:line="276" w:lineRule="auto"/>
        <w:jc w:val="center"/>
        <w:rPr>
          <w:rFonts w:ascii="Book Antiqua" w:eastAsiaTheme="minorHAnsi" w:hAnsi="Book Antiqua" w:cstheme="minorBidi"/>
          <w:sz w:val="22"/>
          <w:szCs w:val="22"/>
        </w:rPr>
      </w:pPr>
      <w:r w:rsidRPr="009839AF">
        <w:rPr>
          <w:rFonts w:ascii="Book Antiqua" w:eastAsiaTheme="minorHAnsi" w:hAnsi="Book Antiqua" w:cstheme="minorBidi"/>
          <w:noProof/>
          <w:sz w:val="22"/>
          <w:szCs w:val="22"/>
        </w:rPr>
        <w:drawing>
          <wp:inline distT="0" distB="0" distL="0" distR="0">
            <wp:extent cx="3970699" cy="2528856"/>
            <wp:effectExtent l="19050" t="0" r="10751" b="4794"/>
            <wp:docPr id="311"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95F25" w:rsidRDefault="00BF2F00" w:rsidP="00840635">
      <w:pPr>
        <w:spacing w:before="120" w:line="276" w:lineRule="auto"/>
        <w:jc w:val="both"/>
        <w:rPr>
          <w:rFonts w:ascii="Book Antiqua" w:eastAsiaTheme="minorHAnsi" w:hAnsi="Book Antiqua" w:cstheme="minorBidi"/>
          <w:sz w:val="22"/>
          <w:szCs w:val="22"/>
        </w:rPr>
      </w:pPr>
      <w:r>
        <w:rPr>
          <w:rFonts w:ascii="Book Antiqua" w:eastAsiaTheme="minorHAnsi" w:hAnsi="Book Antiqua" w:cstheme="minorBidi"/>
          <w:sz w:val="22"/>
          <w:szCs w:val="22"/>
        </w:rPr>
        <w:lastRenderedPageBreak/>
        <w:t>Selon</w:t>
      </w:r>
      <w:r w:rsidR="006A2156">
        <w:rPr>
          <w:rFonts w:ascii="Book Antiqua" w:eastAsiaTheme="minorHAnsi" w:hAnsi="Book Antiqua" w:cstheme="minorBidi"/>
          <w:sz w:val="22"/>
          <w:szCs w:val="22"/>
        </w:rPr>
        <w:t xml:space="preserve"> </w:t>
      </w:r>
      <w:r w:rsidR="009839AF" w:rsidRPr="009839AF">
        <w:rPr>
          <w:rFonts w:ascii="Book Antiqua" w:eastAsiaTheme="minorHAnsi" w:hAnsi="Book Antiqua" w:cstheme="minorBidi"/>
          <w:sz w:val="22"/>
          <w:szCs w:val="22"/>
        </w:rPr>
        <w:t xml:space="preserve">la nature de l’activité, </w:t>
      </w:r>
      <w:r>
        <w:rPr>
          <w:rFonts w:ascii="Book Antiqua" w:eastAsiaTheme="minorHAnsi" w:hAnsi="Book Antiqua" w:cstheme="minorBidi"/>
          <w:sz w:val="22"/>
          <w:szCs w:val="22"/>
        </w:rPr>
        <w:t xml:space="preserve">l’opinion des unités </w:t>
      </w:r>
      <w:r w:rsidR="009839AF" w:rsidRPr="009839AF">
        <w:rPr>
          <w:rFonts w:ascii="Book Antiqua" w:eastAsiaTheme="minorHAnsi" w:hAnsi="Book Antiqua" w:cstheme="minorBidi"/>
          <w:sz w:val="22"/>
          <w:szCs w:val="22"/>
        </w:rPr>
        <w:t xml:space="preserve">sur les dates de valeur </w:t>
      </w:r>
      <w:r w:rsidR="00A3249F">
        <w:rPr>
          <w:rFonts w:ascii="Book Antiqua" w:eastAsiaTheme="minorHAnsi" w:hAnsi="Book Antiqua" w:cstheme="minorBidi"/>
          <w:sz w:val="22"/>
          <w:szCs w:val="22"/>
        </w:rPr>
        <w:t xml:space="preserve">est </w:t>
      </w:r>
      <w:r w:rsidR="009839AF" w:rsidRPr="009839AF">
        <w:rPr>
          <w:rFonts w:ascii="Book Antiqua" w:eastAsiaTheme="minorHAnsi" w:hAnsi="Book Antiqua" w:cstheme="minorBidi"/>
          <w:sz w:val="22"/>
          <w:szCs w:val="22"/>
        </w:rPr>
        <w:t xml:space="preserve">plus négative </w:t>
      </w:r>
      <w:r>
        <w:rPr>
          <w:rFonts w:ascii="Book Antiqua" w:eastAsiaTheme="minorHAnsi" w:hAnsi="Book Antiqua" w:cstheme="minorBidi"/>
          <w:sz w:val="22"/>
          <w:szCs w:val="22"/>
        </w:rPr>
        <w:t>chez les entités informelles</w:t>
      </w:r>
      <w:r w:rsidR="009839AF" w:rsidRPr="009839AF">
        <w:rPr>
          <w:rFonts w:ascii="Book Antiqua" w:eastAsiaTheme="minorHAnsi" w:hAnsi="Book Antiqua" w:cstheme="minorBidi"/>
          <w:sz w:val="22"/>
          <w:szCs w:val="22"/>
        </w:rPr>
        <w:t xml:space="preserve"> que chez </w:t>
      </w:r>
      <w:r>
        <w:rPr>
          <w:rFonts w:ascii="Book Antiqua" w:eastAsiaTheme="minorHAnsi" w:hAnsi="Book Antiqua" w:cstheme="minorBidi"/>
          <w:sz w:val="22"/>
          <w:szCs w:val="22"/>
        </w:rPr>
        <w:t xml:space="preserve">celles relevant </w:t>
      </w:r>
      <w:r w:rsidR="009839AF" w:rsidRPr="009839AF">
        <w:rPr>
          <w:rFonts w:ascii="Book Antiqua" w:eastAsiaTheme="minorHAnsi" w:hAnsi="Book Antiqua" w:cstheme="minorBidi"/>
          <w:sz w:val="22"/>
          <w:szCs w:val="22"/>
        </w:rPr>
        <w:t xml:space="preserve">du secteur moderne avec des </w:t>
      </w:r>
      <w:r>
        <w:rPr>
          <w:rFonts w:ascii="Book Antiqua" w:eastAsiaTheme="minorHAnsi" w:hAnsi="Book Antiqua" w:cstheme="minorBidi"/>
          <w:sz w:val="22"/>
          <w:szCs w:val="22"/>
        </w:rPr>
        <w:t xml:space="preserve">niveaux </w:t>
      </w:r>
      <w:r w:rsidR="009839AF" w:rsidRPr="009839AF">
        <w:rPr>
          <w:rFonts w:ascii="Book Antiqua" w:eastAsiaTheme="minorHAnsi" w:hAnsi="Book Antiqua" w:cstheme="minorBidi"/>
          <w:sz w:val="22"/>
          <w:szCs w:val="22"/>
        </w:rPr>
        <w:t>d’</w:t>
      </w:r>
      <w:r w:rsidR="00F82559" w:rsidRPr="009839AF">
        <w:rPr>
          <w:rFonts w:ascii="Book Antiqua" w:eastAsiaTheme="minorHAnsi" w:hAnsi="Book Antiqua" w:cstheme="minorBidi"/>
          <w:sz w:val="22"/>
          <w:szCs w:val="22"/>
        </w:rPr>
        <w:t>insatisfaction</w:t>
      </w:r>
      <w:r w:rsidR="006A2156">
        <w:rPr>
          <w:rFonts w:ascii="Book Antiqua" w:eastAsiaTheme="minorHAnsi" w:hAnsi="Book Antiqua" w:cstheme="minorBidi"/>
          <w:sz w:val="22"/>
          <w:szCs w:val="22"/>
        </w:rPr>
        <w:t xml:space="preserve"> </w:t>
      </w:r>
      <w:r w:rsidR="009839AF" w:rsidRPr="009839AF">
        <w:rPr>
          <w:rFonts w:ascii="Book Antiqua" w:eastAsiaTheme="minorHAnsi" w:hAnsi="Book Antiqua" w:cstheme="minorBidi"/>
          <w:sz w:val="22"/>
          <w:szCs w:val="22"/>
        </w:rPr>
        <w:t>respectifs de 42,6% et 39%</w:t>
      </w:r>
      <w:r w:rsidR="00B21ADA">
        <w:rPr>
          <w:rFonts w:ascii="Book Antiqua" w:eastAsiaTheme="minorHAnsi" w:hAnsi="Book Antiqua" w:cstheme="minorBidi"/>
          <w:sz w:val="22"/>
          <w:szCs w:val="22"/>
        </w:rPr>
        <w:t>. En revanche, il est à noter que</w:t>
      </w:r>
      <w:r w:rsidR="00790F30">
        <w:rPr>
          <w:rFonts w:ascii="Book Antiqua" w:eastAsiaTheme="minorHAnsi" w:hAnsi="Book Antiqua" w:cstheme="minorBidi"/>
          <w:sz w:val="22"/>
          <w:szCs w:val="22"/>
        </w:rPr>
        <w:t xml:space="preserve"> </w:t>
      </w:r>
      <w:r w:rsidR="009839AF" w:rsidRPr="009839AF">
        <w:rPr>
          <w:rFonts w:ascii="Book Antiqua" w:eastAsiaTheme="minorHAnsi" w:hAnsi="Book Antiqua" w:cstheme="minorBidi"/>
          <w:sz w:val="22"/>
          <w:szCs w:val="22"/>
        </w:rPr>
        <w:t>61% et 57,4%</w:t>
      </w:r>
      <w:r w:rsidR="00AB3D39">
        <w:rPr>
          <w:rFonts w:ascii="Book Antiqua" w:eastAsiaTheme="minorHAnsi" w:hAnsi="Book Antiqua" w:cstheme="minorBidi"/>
          <w:sz w:val="22"/>
          <w:szCs w:val="22"/>
        </w:rPr>
        <w:t xml:space="preserve"> des unités</w:t>
      </w:r>
      <w:r w:rsidR="006A2156">
        <w:rPr>
          <w:rFonts w:ascii="Book Antiqua" w:eastAsiaTheme="minorHAnsi" w:hAnsi="Book Antiqua" w:cstheme="minorBidi"/>
          <w:sz w:val="22"/>
          <w:szCs w:val="22"/>
        </w:rPr>
        <w:t xml:space="preserve"> </w:t>
      </w:r>
      <w:r w:rsidR="00AB3D39">
        <w:rPr>
          <w:rFonts w:ascii="Book Antiqua" w:eastAsiaTheme="minorHAnsi" w:hAnsi="Book Antiqua" w:cstheme="minorBidi"/>
          <w:sz w:val="22"/>
          <w:szCs w:val="22"/>
        </w:rPr>
        <w:t xml:space="preserve">issues respectivement du secteur formel et informel </w:t>
      </w:r>
      <w:r w:rsidR="009839AF" w:rsidRPr="009839AF">
        <w:rPr>
          <w:rFonts w:ascii="Book Antiqua" w:eastAsiaTheme="minorHAnsi" w:hAnsi="Book Antiqua" w:cstheme="minorBidi"/>
          <w:sz w:val="22"/>
          <w:szCs w:val="22"/>
        </w:rPr>
        <w:t>se disent satisfaites</w:t>
      </w:r>
      <w:r w:rsidR="005D20E9">
        <w:rPr>
          <w:rFonts w:ascii="Book Antiqua" w:eastAsiaTheme="minorHAnsi" w:hAnsi="Book Antiqua" w:cstheme="minorBidi"/>
          <w:sz w:val="22"/>
          <w:szCs w:val="22"/>
        </w:rPr>
        <w:t xml:space="preserve"> de ces dates</w:t>
      </w:r>
      <w:r w:rsidR="009839AF" w:rsidRPr="009839AF">
        <w:rPr>
          <w:rFonts w:ascii="Book Antiqua" w:eastAsiaTheme="minorHAnsi" w:hAnsi="Book Antiqua" w:cstheme="minorBidi"/>
          <w:sz w:val="22"/>
          <w:szCs w:val="22"/>
        </w:rPr>
        <w:t>.</w:t>
      </w:r>
    </w:p>
    <w:p w:rsidR="00E0197C" w:rsidRPr="009839AF" w:rsidRDefault="00E0197C" w:rsidP="00840635">
      <w:pPr>
        <w:spacing w:before="120" w:line="276" w:lineRule="auto"/>
        <w:jc w:val="both"/>
        <w:rPr>
          <w:rFonts w:ascii="Book Antiqua" w:eastAsiaTheme="minorHAnsi" w:hAnsi="Book Antiqua" w:cstheme="minorBidi"/>
          <w:sz w:val="22"/>
          <w:szCs w:val="22"/>
        </w:rPr>
      </w:pPr>
    </w:p>
    <w:p w:rsidR="00D95F25" w:rsidRPr="00790F30" w:rsidRDefault="00D95F25" w:rsidP="00840635">
      <w:pPr>
        <w:pStyle w:val="Lgende"/>
        <w:keepNext/>
        <w:spacing w:line="276" w:lineRule="auto"/>
        <w:jc w:val="center"/>
        <w:rPr>
          <w:rFonts w:ascii="Book Antiqua" w:hAnsi="Book Antiqua"/>
          <w:color w:val="auto"/>
          <w:sz w:val="16"/>
        </w:rPr>
      </w:pPr>
      <w:bookmarkStart w:id="76" w:name="_Toc523313720"/>
      <w:r w:rsidRPr="00790F30">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37</w:t>
      </w:r>
      <w:r w:rsidR="000D65F2">
        <w:rPr>
          <w:rFonts w:ascii="Book Antiqua" w:hAnsi="Book Antiqua"/>
          <w:color w:val="auto"/>
          <w:sz w:val="16"/>
        </w:rPr>
        <w:fldChar w:fldCharType="end"/>
      </w:r>
      <w:r w:rsidRPr="00790F30">
        <w:rPr>
          <w:rFonts w:ascii="Book Antiqua" w:hAnsi="Book Antiqua"/>
          <w:color w:val="auto"/>
          <w:sz w:val="16"/>
        </w:rPr>
        <w:t>: Appréciation des unités sur les dates de valeur selon la nature de l’activité</w:t>
      </w:r>
      <w:bookmarkEnd w:id="76"/>
    </w:p>
    <w:p w:rsidR="009839AF" w:rsidRDefault="009839AF" w:rsidP="00840635">
      <w:pPr>
        <w:spacing w:before="120" w:line="276" w:lineRule="auto"/>
        <w:jc w:val="center"/>
        <w:rPr>
          <w:rFonts w:ascii="Book Antiqua" w:eastAsiaTheme="minorHAnsi" w:hAnsi="Book Antiqua" w:cstheme="minorBidi"/>
          <w:sz w:val="22"/>
          <w:szCs w:val="22"/>
        </w:rPr>
      </w:pPr>
      <w:r w:rsidRPr="002303A4">
        <w:rPr>
          <w:rFonts w:ascii="Book Antiqua" w:eastAsiaTheme="minorHAnsi" w:hAnsi="Book Antiqua" w:cstheme="minorBidi"/>
          <w:noProof/>
          <w:sz w:val="22"/>
          <w:szCs w:val="22"/>
        </w:rPr>
        <w:drawing>
          <wp:inline distT="0" distB="0" distL="0" distR="0">
            <wp:extent cx="3847893" cy="2101932"/>
            <wp:effectExtent l="19050" t="0" r="19257" b="0"/>
            <wp:docPr id="312"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839AF" w:rsidRPr="005715F2" w:rsidRDefault="009839AF" w:rsidP="00531C35">
      <w:pPr>
        <w:pStyle w:val="Paragraphedeliste"/>
        <w:numPr>
          <w:ilvl w:val="2"/>
          <w:numId w:val="25"/>
        </w:numPr>
        <w:tabs>
          <w:tab w:val="left" w:pos="1320"/>
          <w:tab w:val="right" w:leader="dot" w:pos="9572"/>
        </w:tabs>
        <w:spacing w:before="360" w:after="240" w:line="276" w:lineRule="auto"/>
        <w:ind w:left="851" w:hanging="284"/>
        <w:contextualSpacing w:val="0"/>
        <w:jc w:val="both"/>
        <w:outlineLvl w:val="2"/>
        <w:rPr>
          <w:rFonts w:ascii="Book Antiqua" w:hAnsi="Book Antiqua" w:cs="Arial"/>
          <w:b/>
          <w:noProof/>
          <w:sz w:val="22"/>
          <w:szCs w:val="22"/>
        </w:rPr>
      </w:pPr>
      <w:bookmarkStart w:id="77" w:name="_Toc523322044"/>
      <w:r w:rsidRPr="005715F2">
        <w:rPr>
          <w:rFonts w:ascii="Book Antiqua" w:hAnsi="Book Antiqua" w:cs="Arial"/>
          <w:b/>
          <w:noProof/>
          <w:sz w:val="22"/>
          <w:szCs w:val="22"/>
        </w:rPr>
        <w:t>Utilisation et délai de renouvellement du chéquier</w:t>
      </w:r>
      <w:bookmarkEnd w:id="77"/>
    </w:p>
    <w:p w:rsidR="009260C9"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 xml:space="preserve">Le chéquier </w:t>
      </w:r>
      <w:r w:rsidR="004410FA">
        <w:rPr>
          <w:rFonts w:ascii="Book Antiqua" w:eastAsiaTheme="minorHAnsi" w:hAnsi="Book Antiqua" w:cstheme="minorBidi"/>
          <w:sz w:val="22"/>
          <w:szCs w:val="22"/>
        </w:rPr>
        <w:t xml:space="preserve">est </w:t>
      </w:r>
      <w:r w:rsidRPr="009839AF">
        <w:rPr>
          <w:rFonts w:ascii="Book Antiqua" w:eastAsiaTheme="minorHAnsi" w:hAnsi="Book Antiqua" w:cstheme="minorBidi"/>
          <w:sz w:val="22"/>
          <w:szCs w:val="22"/>
        </w:rPr>
        <w:t xml:space="preserve">un moyen de paiement scriptural </w:t>
      </w:r>
      <w:r w:rsidR="00FC268B" w:rsidRPr="009839AF">
        <w:rPr>
          <w:rFonts w:ascii="Book Antiqua" w:eastAsiaTheme="minorHAnsi" w:hAnsi="Book Antiqua" w:cstheme="minorBidi"/>
          <w:sz w:val="22"/>
          <w:szCs w:val="22"/>
        </w:rPr>
        <w:t>très</w:t>
      </w:r>
      <w:r w:rsidRPr="009839AF">
        <w:rPr>
          <w:rFonts w:ascii="Book Antiqua" w:eastAsiaTheme="minorHAnsi" w:hAnsi="Book Antiqua" w:cstheme="minorBidi"/>
          <w:sz w:val="22"/>
          <w:szCs w:val="22"/>
        </w:rPr>
        <w:t xml:space="preserve"> utilisé chez les unités enquêtées avec 79,9% qui déclarent en faire usage. Parmi celles-ci, une proportion de</w:t>
      </w:r>
      <w:r w:rsidR="00790F30">
        <w:rPr>
          <w:rFonts w:ascii="Book Antiqua" w:eastAsiaTheme="minorHAnsi" w:hAnsi="Book Antiqua" w:cstheme="minorBidi"/>
          <w:sz w:val="22"/>
          <w:szCs w:val="22"/>
        </w:rPr>
        <w:t xml:space="preserve"> 93,6%</w:t>
      </w:r>
      <w:r w:rsidR="00742101">
        <w:rPr>
          <w:rFonts w:ascii="Book Antiqua" w:eastAsiaTheme="minorHAnsi" w:hAnsi="Book Antiqua" w:cstheme="minorBidi"/>
          <w:sz w:val="22"/>
          <w:szCs w:val="22"/>
        </w:rPr>
        <w:t xml:space="preserve"> déclare avoir renouvelé leur chéquier. Toutefois, </w:t>
      </w:r>
      <w:r w:rsidR="000D6549">
        <w:rPr>
          <w:rFonts w:ascii="Book Antiqua" w:eastAsiaTheme="minorHAnsi" w:hAnsi="Book Antiqua" w:cstheme="minorBidi"/>
          <w:sz w:val="22"/>
          <w:szCs w:val="22"/>
        </w:rPr>
        <w:t>20,</w:t>
      </w:r>
      <w:r w:rsidR="00EB4A56">
        <w:rPr>
          <w:rFonts w:ascii="Book Antiqua" w:eastAsiaTheme="minorHAnsi" w:hAnsi="Book Antiqua" w:cstheme="minorBidi"/>
          <w:sz w:val="22"/>
          <w:szCs w:val="22"/>
        </w:rPr>
        <w:t>4</w:t>
      </w:r>
      <w:r w:rsidR="000D6549">
        <w:rPr>
          <w:rFonts w:ascii="Book Antiqua" w:eastAsiaTheme="minorHAnsi" w:hAnsi="Book Antiqua" w:cstheme="minorBidi"/>
          <w:sz w:val="22"/>
          <w:szCs w:val="22"/>
        </w:rPr>
        <w:t>%</w:t>
      </w:r>
      <w:r w:rsidR="00742101">
        <w:rPr>
          <w:rFonts w:ascii="Book Antiqua" w:eastAsiaTheme="minorHAnsi" w:hAnsi="Book Antiqua" w:cstheme="minorBidi"/>
          <w:sz w:val="22"/>
          <w:szCs w:val="22"/>
        </w:rPr>
        <w:t xml:space="preserve"> de ces unités</w:t>
      </w:r>
      <w:r w:rsidRPr="009839AF">
        <w:rPr>
          <w:rFonts w:ascii="Book Antiqua" w:eastAsiaTheme="minorHAnsi" w:hAnsi="Book Antiqua" w:cstheme="minorBidi"/>
          <w:sz w:val="22"/>
          <w:szCs w:val="22"/>
        </w:rPr>
        <w:t xml:space="preserve"> déplore</w:t>
      </w:r>
      <w:r w:rsidR="00742101">
        <w:rPr>
          <w:rFonts w:ascii="Book Antiqua" w:eastAsiaTheme="minorHAnsi" w:hAnsi="Book Antiqua" w:cstheme="minorBidi"/>
          <w:sz w:val="22"/>
          <w:szCs w:val="22"/>
        </w:rPr>
        <w:t>nt</w:t>
      </w:r>
      <w:r w:rsidRPr="009839AF">
        <w:rPr>
          <w:rFonts w:ascii="Book Antiqua" w:eastAsiaTheme="minorHAnsi" w:hAnsi="Book Antiqua" w:cstheme="minorBidi"/>
          <w:sz w:val="22"/>
          <w:szCs w:val="22"/>
        </w:rPr>
        <w:t xml:space="preserve"> les lenteurs </w:t>
      </w:r>
      <w:r w:rsidR="00742101">
        <w:rPr>
          <w:rFonts w:ascii="Book Antiqua" w:eastAsiaTheme="minorHAnsi" w:hAnsi="Book Antiqua" w:cstheme="minorBidi"/>
          <w:sz w:val="22"/>
          <w:szCs w:val="22"/>
        </w:rPr>
        <w:t xml:space="preserve">liées au </w:t>
      </w:r>
      <w:r w:rsidRPr="009839AF">
        <w:rPr>
          <w:rFonts w:ascii="Book Antiqua" w:eastAsiaTheme="minorHAnsi" w:hAnsi="Book Antiqua" w:cstheme="minorBidi"/>
          <w:sz w:val="22"/>
          <w:szCs w:val="22"/>
        </w:rPr>
        <w:t xml:space="preserve">délai de </w:t>
      </w:r>
      <w:r w:rsidR="00742101">
        <w:rPr>
          <w:rFonts w:ascii="Book Antiqua" w:eastAsiaTheme="minorHAnsi" w:hAnsi="Book Antiqua" w:cstheme="minorBidi"/>
          <w:sz w:val="22"/>
          <w:szCs w:val="22"/>
        </w:rPr>
        <w:t xml:space="preserve">leur </w:t>
      </w:r>
      <w:r w:rsidRPr="009839AF">
        <w:rPr>
          <w:rFonts w:ascii="Book Antiqua" w:eastAsiaTheme="minorHAnsi" w:hAnsi="Book Antiqua" w:cstheme="minorBidi"/>
          <w:sz w:val="22"/>
          <w:szCs w:val="22"/>
        </w:rPr>
        <w:t>renouvellement</w:t>
      </w:r>
      <w:r w:rsidR="00EB4A56">
        <w:rPr>
          <w:rFonts w:ascii="Book Antiqua" w:eastAsiaTheme="minorHAnsi" w:hAnsi="Book Antiqua" w:cstheme="minorBidi"/>
          <w:sz w:val="22"/>
          <w:szCs w:val="22"/>
        </w:rPr>
        <w:t xml:space="preserve">. </w:t>
      </w:r>
    </w:p>
    <w:p w:rsidR="006C5242" w:rsidRDefault="006C5242" w:rsidP="00840635">
      <w:pPr>
        <w:pStyle w:val="Lgende"/>
        <w:keepNext/>
        <w:spacing w:line="276" w:lineRule="auto"/>
        <w:jc w:val="center"/>
        <w:rPr>
          <w:rFonts w:ascii="Book Antiqua" w:hAnsi="Book Antiqua"/>
          <w:color w:val="auto"/>
          <w:sz w:val="16"/>
        </w:rPr>
      </w:pPr>
      <w:bookmarkStart w:id="78" w:name="_Toc523313721"/>
    </w:p>
    <w:p w:rsidR="001124C7" w:rsidRPr="00790F30" w:rsidRDefault="001124C7" w:rsidP="00840635">
      <w:pPr>
        <w:pStyle w:val="Lgende"/>
        <w:keepNext/>
        <w:spacing w:line="276" w:lineRule="auto"/>
        <w:jc w:val="center"/>
        <w:rPr>
          <w:rFonts w:ascii="Book Antiqua" w:hAnsi="Book Antiqua"/>
          <w:color w:val="auto"/>
          <w:sz w:val="16"/>
        </w:rPr>
      </w:pPr>
      <w:r w:rsidRPr="00790F30">
        <w:rPr>
          <w:rFonts w:ascii="Book Antiqua" w:hAnsi="Book Antiqua"/>
          <w:color w:val="auto"/>
          <w:sz w:val="16"/>
        </w:rPr>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38</w:t>
      </w:r>
      <w:r w:rsidR="000D65F2">
        <w:rPr>
          <w:rFonts w:ascii="Book Antiqua" w:hAnsi="Book Antiqua"/>
          <w:color w:val="auto"/>
          <w:sz w:val="16"/>
        </w:rPr>
        <w:fldChar w:fldCharType="end"/>
      </w:r>
      <w:r w:rsidRPr="00790F30">
        <w:rPr>
          <w:rFonts w:ascii="Book Antiqua" w:hAnsi="Book Antiqua"/>
          <w:color w:val="auto"/>
          <w:sz w:val="16"/>
        </w:rPr>
        <w:t xml:space="preserve">: </w:t>
      </w:r>
      <w:r w:rsidR="00C41C55" w:rsidRPr="00790F30">
        <w:rPr>
          <w:rFonts w:ascii="Book Antiqua" w:hAnsi="Book Antiqua"/>
          <w:color w:val="auto"/>
          <w:sz w:val="16"/>
        </w:rPr>
        <w:t>Proportion des unités utilisant le chéquier</w:t>
      </w:r>
      <w:bookmarkEnd w:id="78"/>
    </w:p>
    <w:p w:rsidR="009839AF" w:rsidRPr="009839AF" w:rsidRDefault="009839AF" w:rsidP="00840635">
      <w:pPr>
        <w:spacing w:before="120" w:line="276" w:lineRule="auto"/>
        <w:jc w:val="center"/>
        <w:rPr>
          <w:rFonts w:asciiTheme="minorHAnsi" w:eastAsiaTheme="minorHAnsi" w:hAnsiTheme="minorHAnsi" w:cstheme="minorBidi"/>
          <w:sz w:val="22"/>
          <w:szCs w:val="22"/>
        </w:rPr>
      </w:pPr>
      <w:r w:rsidRPr="009839AF">
        <w:rPr>
          <w:rFonts w:asciiTheme="minorHAnsi" w:eastAsiaTheme="minorHAnsi" w:hAnsiTheme="minorHAnsi" w:cstheme="minorBidi"/>
          <w:noProof/>
          <w:sz w:val="22"/>
          <w:szCs w:val="22"/>
        </w:rPr>
        <w:drawing>
          <wp:inline distT="0" distB="0" distL="0" distR="0">
            <wp:extent cx="3912763" cy="2036618"/>
            <wp:effectExtent l="19050" t="0" r="11537" b="1732"/>
            <wp:docPr id="313"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F45BA" w:rsidRDefault="00AF45BA" w:rsidP="00840635">
      <w:pPr>
        <w:spacing w:line="276" w:lineRule="auto"/>
        <w:jc w:val="both"/>
        <w:rPr>
          <w:rFonts w:ascii="Book Antiqua" w:eastAsiaTheme="minorHAnsi" w:hAnsi="Book Antiqua" w:cstheme="minorBidi"/>
          <w:sz w:val="22"/>
          <w:szCs w:val="22"/>
        </w:rPr>
      </w:pPr>
    </w:p>
    <w:p w:rsidR="009839AF" w:rsidRDefault="009839AF" w:rsidP="00A41BD6">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Le caractère informel des unités influe sur l’usage</w:t>
      </w:r>
      <w:r w:rsidR="006A2156">
        <w:rPr>
          <w:rFonts w:ascii="Book Antiqua" w:eastAsiaTheme="minorHAnsi" w:hAnsi="Book Antiqua" w:cstheme="minorBidi"/>
          <w:sz w:val="22"/>
          <w:szCs w:val="22"/>
        </w:rPr>
        <w:t xml:space="preserve"> </w:t>
      </w:r>
      <w:r w:rsidR="00EB4A56">
        <w:rPr>
          <w:rFonts w:ascii="Book Antiqua" w:eastAsiaTheme="minorHAnsi" w:hAnsi="Book Antiqua" w:cstheme="minorBidi"/>
          <w:sz w:val="22"/>
          <w:szCs w:val="22"/>
        </w:rPr>
        <w:t>du chéquier</w:t>
      </w:r>
      <w:r w:rsidRPr="009839AF">
        <w:rPr>
          <w:rFonts w:ascii="Book Antiqua" w:eastAsiaTheme="minorHAnsi" w:hAnsi="Book Antiqua" w:cstheme="minorBidi"/>
          <w:sz w:val="22"/>
          <w:szCs w:val="22"/>
        </w:rPr>
        <w:t xml:space="preserve">. En effet, le taux d’utilisation du chéquier </w:t>
      </w:r>
      <w:r w:rsidR="00EB4A56">
        <w:rPr>
          <w:rFonts w:ascii="Book Antiqua" w:eastAsiaTheme="minorHAnsi" w:hAnsi="Book Antiqua" w:cstheme="minorBidi"/>
          <w:sz w:val="22"/>
          <w:szCs w:val="22"/>
        </w:rPr>
        <w:t>est</w:t>
      </w:r>
      <w:r w:rsidR="006A2156">
        <w:rPr>
          <w:rFonts w:ascii="Book Antiqua" w:eastAsiaTheme="minorHAnsi" w:hAnsi="Book Antiqua" w:cstheme="minorBidi"/>
          <w:sz w:val="22"/>
          <w:szCs w:val="22"/>
        </w:rPr>
        <w:t xml:space="preserve"> </w:t>
      </w:r>
      <w:r w:rsidRPr="009839AF">
        <w:rPr>
          <w:rFonts w:ascii="Book Antiqua" w:eastAsiaTheme="minorHAnsi" w:hAnsi="Book Antiqua" w:cstheme="minorBidi"/>
          <w:sz w:val="22"/>
          <w:szCs w:val="22"/>
        </w:rPr>
        <w:t xml:space="preserve">plus faible chez les unités informelles (65,1%) </w:t>
      </w:r>
      <w:r w:rsidR="00EB4A56">
        <w:rPr>
          <w:rFonts w:ascii="Book Antiqua" w:eastAsiaTheme="minorHAnsi" w:hAnsi="Book Antiqua" w:cstheme="minorBidi"/>
          <w:sz w:val="22"/>
          <w:szCs w:val="22"/>
        </w:rPr>
        <w:t xml:space="preserve">comparativement au </w:t>
      </w:r>
      <w:r w:rsidRPr="009839AF">
        <w:rPr>
          <w:rFonts w:ascii="Book Antiqua" w:eastAsiaTheme="minorHAnsi" w:hAnsi="Book Antiqua" w:cstheme="minorBidi"/>
          <w:sz w:val="22"/>
          <w:szCs w:val="22"/>
        </w:rPr>
        <w:t xml:space="preserve">secteur moderne (86,0%). En outre, le délai de renouvellement du chéquier </w:t>
      </w:r>
      <w:r w:rsidR="00EB4A56">
        <w:rPr>
          <w:rFonts w:ascii="Book Antiqua" w:eastAsiaTheme="minorHAnsi" w:hAnsi="Book Antiqua" w:cstheme="minorBidi"/>
          <w:sz w:val="22"/>
          <w:szCs w:val="22"/>
        </w:rPr>
        <w:t xml:space="preserve">est diversement apprécié par les enquêtés avec </w:t>
      </w:r>
      <w:r w:rsidRPr="009839AF">
        <w:rPr>
          <w:rFonts w:ascii="Book Antiqua" w:eastAsiaTheme="minorHAnsi" w:hAnsi="Book Antiqua" w:cstheme="minorBidi"/>
          <w:sz w:val="22"/>
          <w:szCs w:val="22"/>
        </w:rPr>
        <w:t>des taux d’</w:t>
      </w:r>
      <w:r w:rsidR="00FC268B" w:rsidRPr="009839AF">
        <w:rPr>
          <w:rFonts w:ascii="Book Antiqua" w:eastAsiaTheme="minorHAnsi" w:hAnsi="Book Antiqua" w:cstheme="minorBidi"/>
          <w:sz w:val="22"/>
          <w:szCs w:val="22"/>
        </w:rPr>
        <w:t>insatisfaction</w:t>
      </w:r>
      <w:r w:rsidR="006A2156">
        <w:rPr>
          <w:rFonts w:ascii="Book Antiqua" w:eastAsiaTheme="minorHAnsi" w:hAnsi="Book Antiqua" w:cstheme="minorBidi"/>
          <w:sz w:val="22"/>
          <w:szCs w:val="22"/>
        </w:rPr>
        <w:t xml:space="preserve"> </w:t>
      </w:r>
      <w:r w:rsidR="00EB4A56">
        <w:rPr>
          <w:rFonts w:ascii="Book Antiqua" w:eastAsiaTheme="minorHAnsi" w:hAnsi="Book Antiqua" w:cstheme="minorBidi"/>
          <w:sz w:val="22"/>
          <w:szCs w:val="22"/>
        </w:rPr>
        <w:t xml:space="preserve">qui ressortent </w:t>
      </w:r>
      <w:r w:rsidR="00EB4A56" w:rsidRPr="00132182">
        <w:rPr>
          <w:rFonts w:ascii="Book Antiqua" w:eastAsiaTheme="minorHAnsi" w:hAnsi="Book Antiqua" w:cstheme="minorBidi"/>
          <w:sz w:val="22"/>
          <w:szCs w:val="22"/>
        </w:rPr>
        <w:t>à 22,7% pour l’informel</w:t>
      </w:r>
      <w:r w:rsidRPr="00132182">
        <w:rPr>
          <w:rFonts w:ascii="Book Antiqua" w:eastAsiaTheme="minorHAnsi" w:hAnsi="Book Antiqua" w:cstheme="minorBidi"/>
          <w:sz w:val="22"/>
          <w:szCs w:val="22"/>
        </w:rPr>
        <w:t xml:space="preserve"> et </w:t>
      </w:r>
      <w:r w:rsidR="00EB4A56" w:rsidRPr="00132182">
        <w:rPr>
          <w:rFonts w:ascii="Book Antiqua" w:eastAsiaTheme="minorHAnsi" w:hAnsi="Book Antiqua" w:cstheme="minorBidi"/>
          <w:sz w:val="22"/>
          <w:szCs w:val="22"/>
        </w:rPr>
        <w:t>19,7% pour le secteur formel</w:t>
      </w:r>
      <w:r w:rsidRPr="00132182">
        <w:rPr>
          <w:rFonts w:ascii="Book Antiqua" w:eastAsiaTheme="minorHAnsi" w:hAnsi="Book Antiqua" w:cstheme="minorBidi"/>
          <w:sz w:val="22"/>
          <w:szCs w:val="22"/>
        </w:rPr>
        <w:t>.</w:t>
      </w:r>
    </w:p>
    <w:p w:rsidR="000A11FA" w:rsidRPr="009839AF" w:rsidRDefault="000A11FA" w:rsidP="00840635">
      <w:pPr>
        <w:spacing w:before="120" w:line="276" w:lineRule="auto"/>
        <w:jc w:val="both"/>
        <w:rPr>
          <w:rFonts w:ascii="Book Antiqua" w:eastAsiaTheme="minorHAnsi" w:hAnsi="Book Antiqua" w:cstheme="minorBidi"/>
          <w:sz w:val="22"/>
          <w:szCs w:val="22"/>
        </w:rPr>
      </w:pPr>
    </w:p>
    <w:p w:rsidR="00BF7138" w:rsidRPr="00790F30" w:rsidRDefault="00BF7138" w:rsidP="00840635">
      <w:pPr>
        <w:pStyle w:val="Lgende"/>
        <w:keepNext/>
        <w:spacing w:line="276" w:lineRule="auto"/>
        <w:jc w:val="center"/>
        <w:rPr>
          <w:rFonts w:ascii="Book Antiqua" w:hAnsi="Book Antiqua"/>
          <w:color w:val="auto"/>
          <w:sz w:val="16"/>
        </w:rPr>
      </w:pPr>
      <w:bookmarkStart w:id="79" w:name="_Toc523313722"/>
      <w:r w:rsidRPr="00790F30">
        <w:rPr>
          <w:rFonts w:ascii="Book Antiqua" w:hAnsi="Book Antiqua"/>
          <w:color w:val="auto"/>
          <w:sz w:val="16"/>
        </w:rPr>
        <w:lastRenderedPageBreak/>
        <w:t xml:space="preserve">Figure </w:t>
      </w:r>
      <w:r w:rsidR="000D65F2">
        <w:rPr>
          <w:rFonts w:ascii="Book Antiqua" w:hAnsi="Book Antiqua"/>
          <w:color w:val="auto"/>
          <w:sz w:val="16"/>
        </w:rPr>
        <w:fldChar w:fldCharType="begin"/>
      </w:r>
      <w:r w:rsidR="002708B0">
        <w:rPr>
          <w:rFonts w:ascii="Book Antiqua" w:hAnsi="Book Antiqua"/>
          <w:color w:val="auto"/>
          <w:sz w:val="16"/>
        </w:rPr>
        <w:instrText xml:space="preserve"> SEQ Figure \* ARABIC </w:instrText>
      </w:r>
      <w:r w:rsidR="000D65F2">
        <w:rPr>
          <w:rFonts w:ascii="Book Antiqua" w:hAnsi="Book Antiqua"/>
          <w:color w:val="auto"/>
          <w:sz w:val="16"/>
        </w:rPr>
        <w:fldChar w:fldCharType="separate"/>
      </w:r>
      <w:r w:rsidR="000F780F">
        <w:rPr>
          <w:rFonts w:ascii="Book Antiqua" w:hAnsi="Book Antiqua"/>
          <w:noProof/>
          <w:color w:val="auto"/>
          <w:sz w:val="16"/>
        </w:rPr>
        <w:t>39</w:t>
      </w:r>
      <w:r w:rsidR="000D65F2">
        <w:rPr>
          <w:rFonts w:ascii="Book Antiqua" w:hAnsi="Book Antiqua"/>
          <w:color w:val="auto"/>
          <w:sz w:val="16"/>
        </w:rPr>
        <w:fldChar w:fldCharType="end"/>
      </w:r>
      <w:r w:rsidRPr="00790F30">
        <w:rPr>
          <w:rFonts w:ascii="Book Antiqua" w:hAnsi="Book Antiqua"/>
          <w:color w:val="auto"/>
          <w:sz w:val="16"/>
        </w:rPr>
        <w:t xml:space="preserve">: </w:t>
      </w:r>
      <w:r w:rsidR="00DE72E1" w:rsidRPr="00790F30">
        <w:rPr>
          <w:rFonts w:ascii="Book Antiqua" w:hAnsi="Book Antiqua"/>
          <w:color w:val="auto"/>
          <w:sz w:val="16"/>
        </w:rPr>
        <w:t>U</w:t>
      </w:r>
      <w:r w:rsidRPr="00790F30">
        <w:rPr>
          <w:rFonts w:ascii="Book Antiqua" w:hAnsi="Book Antiqua"/>
          <w:color w:val="auto"/>
          <w:sz w:val="16"/>
        </w:rPr>
        <w:t>tilisation du chéquier selon la nature de l’activité</w:t>
      </w:r>
      <w:r w:rsidR="00DE72E1" w:rsidRPr="00790F30">
        <w:rPr>
          <w:rFonts w:ascii="Book Antiqua" w:hAnsi="Book Antiqua"/>
          <w:color w:val="auto"/>
          <w:sz w:val="16"/>
        </w:rPr>
        <w:t xml:space="preserve"> des unités</w:t>
      </w:r>
      <w:bookmarkEnd w:id="79"/>
    </w:p>
    <w:p w:rsidR="009839AF" w:rsidRDefault="009839AF" w:rsidP="00840635">
      <w:pPr>
        <w:spacing w:before="120" w:line="276" w:lineRule="auto"/>
        <w:jc w:val="center"/>
        <w:rPr>
          <w:rFonts w:asciiTheme="minorHAnsi" w:eastAsiaTheme="minorHAnsi" w:hAnsiTheme="minorHAnsi" w:cstheme="minorBidi"/>
          <w:sz w:val="22"/>
          <w:szCs w:val="22"/>
        </w:rPr>
      </w:pPr>
      <w:r w:rsidRPr="009839AF">
        <w:rPr>
          <w:rFonts w:asciiTheme="minorHAnsi" w:eastAsiaTheme="minorHAnsi" w:hAnsiTheme="minorHAnsi" w:cstheme="minorBidi"/>
          <w:noProof/>
          <w:sz w:val="22"/>
          <w:szCs w:val="22"/>
        </w:rPr>
        <w:drawing>
          <wp:inline distT="0" distB="0" distL="0" distR="0">
            <wp:extent cx="4226635" cy="2208810"/>
            <wp:effectExtent l="19050" t="0" r="21515" b="990"/>
            <wp:docPr id="314"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C5242" w:rsidRDefault="006C5242" w:rsidP="00840635">
      <w:pPr>
        <w:spacing w:after="200" w:line="276" w:lineRule="auto"/>
        <w:rPr>
          <w:rFonts w:ascii="Book Antiqua" w:hAnsi="Book Antiqua" w:cs="Tahoma"/>
          <w:b/>
          <w:sz w:val="22"/>
          <w:szCs w:val="22"/>
        </w:rPr>
      </w:pPr>
      <w:bookmarkStart w:id="80" w:name="_Toc523322045"/>
    </w:p>
    <w:p w:rsidR="009839AF" w:rsidRPr="00594C8D" w:rsidRDefault="002174C4" w:rsidP="00531C35">
      <w:pPr>
        <w:tabs>
          <w:tab w:val="left" w:pos="-720"/>
        </w:tabs>
        <w:suppressAutoHyphens/>
        <w:spacing w:after="240" w:line="276" w:lineRule="auto"/>
        <w:ind w:left="567" w:hanging="283"/>
        <w:jc w:val="both"/>
        <w:outlineLvl w:val="1"/>
        <w:rPr>
          <w:rFonts w:ascii="Book Antiqua" w:hAnsi="Book Antiqua" w:cs="Tahoma"/>
          <w:b/>
          <w:sz w:val="22"/>
          <w:szCs w:val="22"/>
        </w:rPr>
      </w:pPr>
      <w:r w:rsidRPr="00594C8D">
        <w:rPr>
          <w:rFonts w:ascii="Book Antiqua" w:hAnsi="Book Antiqua" w:cs="Tahoma"/>
          <w:b/>
          <w:sz w:val="22"/>
          <w:szCs w:val="22"/>
        </w:rPr>
        <w:t>II.5</w:t>
      </w:r>
      <w:r w:rsidR="009B67A5">
        <w:rPr>
          <w:rFonts w:ascii="Book Antiqua" w:hAnsi="Book Antiqua" w:cs="Tahoma"/>
          <w:b/>
          <w:sz w:val="22"/>
          <w:szCs w:val="22"/>
        </w:rPr>
        <w:t>.</w:t>
      </w:r>
      <w:r w:rsidR="009B67A5">
        <w:rPr>
          <w:rFonts w:ascii="Book Antiqua" w:hAnsi="Book Antiqua" w:cs="Tahoma"/>
          <w:b/>
          <w:sz w:val="22"/>
          <w:szCs w:val="22"/>
        </w:rPr>
        <w:tab/>
      </w:r>
      <w:r w:rsidR="002F0284" w:rsidRPr="00594C8D">
        <w:rPr>
          <w:rFonts w:ascii="Book Antiqua" w:hAnsi="Book Antiqua" w:cs="Tahoma"/>
          <w:b/>
          <w:sz w:val="22"/>
          <w:szCs w:val="22"/>
        </w:rPr>
        <w:t>Satisfaction sur les produits offerts par les banques</w:t>
      </w:r>
      <w:bookmarkEnd w:id="80"/>
    </w:p>
    <w:p w:rsidR="009839AF" w:rsidRDefault="009839AF"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La perception des unités sur les produits bancaires est analysée à travers</w:t>
      </w:r>
      <w:r w:rsidR="00AF45BA">
        <w:rPr>
          <w:rFonts w:ascii="Book Antiqua" w:eastAsiaTheme="minorHAnsi" w:hAnsi="Book Antiqua" w:cstheme="minorBidi"/>
          <w:sz w:val="22"/>
          <w:szCs w:val="22"/>
        </w:rPr>
        <w:t xml:space="preserve"> </w:t>
      </w:r>
      <w:r w:rsidRPr="009839AF">
        <w:rPr>
          <w:rFonts w:ascii="Book Antiqua" w:eastAsiaTheme="minorHAnsi" w:hAnsi="Book Antiqua" w:cstheme="minorBidi"/>
          <w:sz w:val="22"/>
          <w:szCs w:val="22"/>
        </w:rPr>
        <w:t>l’adéquation entre les produits et le</w:t>
      </w:r>
      <w:r w:rsidR="0021236D">
        <w:rPr>
          <w:rFonts w:ascii="Book Antiqua" w:eastAsiaTheme="minorHAnsi" w:hAnsi="Book Antiqua" w:cstheme="minorBidi"/>
          <w:sz w:val="22"/>
          <w:szCs w:val="22"/>
        </w:rPr>
        <w:t>ur</w:t>
      </w:r>
      <w:r w:rsidRPr="009839AF">
        <w:rPr>
          <w:rFonts w:ascii="Book Antiqua" w:eastAsiaTheme="minorHAnsi" w:hAnsi="Book Antiqua" w:cstheme="minorBidi"/>
          <w:sz w:val="22"/>
          <w:szCs w:val="22"/>
        </w:rPr>
        <w:t>s projets d’investissements</w:t>
      </w:r>
      <w:r w:rsidR="00A44F20">
        <w:rPr>
          <w:rFonts w:ascii="Book Antiqua" w:eastAsiaTheme="minorHAnsi" w:hAnsi="Book Antiqua" w:cstheme="minorBidi"/>
          <w:sz w:val="22"/>
          <w:szCs w:val="22"/>
        </w:rPr>
        <w:t>,</w:t>
      </w:r>
      <w:r w:rsidR="0021236D">
        <w:rPr>
          <w:rFonts w:ascii="Book Antiqua" w:eastAsiaTheme="minorHAnsi" w:hAnsi="Book Antiqua" w:cstheme="minorBidi"/>
          <w:sz w:val="22"/>
          <w:szCs w:val="22"/>
        </w:rPr>
        <w:t xml:space="preserve"> d’une part,</w:t>
      </w:r>
      <w:r w:rsidR="00AF45BA">
        <w:rPr>
          <w:rFonts w:ascii="Book Antiqua" w:eastAsiaTheme="minorHAnsi" w:hAnsi="Book Antiqua" w:cstheme="minorBidi"/>
          <w:sz w:val="22"/>
          <w:szCs w:val="22"/>
        </w:rPr>
        <w:t xml:space="preserve"> </w:t>
      </w:r>
      <w:r w:rsidRPr="009839AF">
        <w:rPr>
          <w:rFonts w:ascii="Book Antiqua" w:eastAsiaTheme="minorHAnsi" w:hAnsi="Book Antiqua" w:cstheme="minorBidi"/>
          <w:sz w:val="22"/>
          <w:szCs w:val="22"/>
        </w:rPr>
        <w:t>et leurs besoins en fonds de roulement</w:t>
      </w:r>
      <w:r w:rsidR="00A44F20">
        <w:rPr>
          <w:rFonts w:ascii="Book Antiqua" w:eastAsiaTheme="minorHAnsi" w:hAnsi="Book Antiqua" w:cstheme="minorBidi"/>
          <w:sz w:val="22"/>
          <w:szCs w:val="22"/>
        </w:rPr>
        <w:t>,</w:t>
      </w:r>
      <w:r w:rsidR="0021236D">
        <w:rPr>
          <w:rFonts w:ascii="Book Antiqua" w:eastAsiaTheme="minorHAnsi" w:hAnsi="Book Antiqua" w:cstheme="minorBidi"/>
          <w:sz w:val="22"/>
          <w:szCs w:val="22"/>
        </w:rPr>
        <w:t xml:space="preserve"> d’autre part</w:t>
      </w:r>
    </w:p>
    <w:p w:rsidR="009260C9" w:rsidRPr="005715F2" w:rsidRDefault="00567ED9" w:rsidP="00531C35">
      <w:pPr>
        <w:tabs>
          <w:tab w:val="left" w:pos="1320"/>
          <w:tab w:val="right" w:leader="dot" w:pos="9572"/>
        </w:tabs>
        <w:spacing w:before="240" w:after="240" w:line="276" w:lineRule="auto"/>
        <w:ind w:firstLine="567"/>
        <w:jc w:val="both"/>
        <w:outlineLvl w:val="2"/>
        <w:rPr>
          <w:rFonts w:ascii="Book Antiqua" w:hAnsi="Book Antiqua" w:cs="Arial"/>
          <w:b/>
          <w:noProof/>
          <w:sz w:val="22"/>
          <w:szCs w:val="22"/>
        </w:rPr>
      </w:pPr>
      <w:bookmarkStart w:id="81" w:name="_Toc523322046"/>
      <w:r w:rsidRPr="005715F2">
        <w:rPr>
          <w:rFonts w:ascii="Book Antiqua" w:hAnsi="Book Antiqua" w:cs="Arial"/>
          <w:b/>
          <w:noProof/>
          <w:sz w:val="22"/>
          <w:szCs w:val="22"/>
        </w:rPr>
        <w:t xml:space="preserve">II.5.1. </w:t>
      </w:r>
      <w:r w:rsidR="004204AC" w:rsidRPr="005715F2">
        <w:rPr>
          <w:rFonts w:ascii="Book Antiqua" w:hAnsi="Book Antiqua" w:cs="Arial"/>
          <w:b/>
          <w:noProof/>
          <w:sz w:val="22"/>
          <w:szCs w:val="22"/>
        </w:rPr>
        <w:t>Adéquation entre les produits bancaires et les projets d’investissements</w:t>
      </w:r>
      <w:bookmarkEnd w:id="81"/>
    </w:p>
    <w:p w:rsidR="00900429" w:rsidRDefault="00900429" w:rsidP="00840635">
      <w:pPr>
        <w:spacing w:before="240" w:after="24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 xml:space="preserve">Une proportion de </w:t>
      </w:r>
      <w:r>
        <w:rPr>
          <w:rFonts w:ascii="Book Antiqua" w:eastAsiaTheme="minorHAnsi" w:hAnsi="Book Antiqua" w:cstheme="minorBidi"/>
          <w:sz w:val="22"/>
          <w:szCs w:val="22"/>
        </w:rPr>
        <w:t>27,5</w:t>
      </w:r>
      <w:r w:rsidRPr="009839AF">
        <w:rPr>
          <w:rFonts w:ascii="Book Antiqua" w:eastAsiaTheme="minorHAnsi" w:hAnsi="Book Antiqua" w:cstheme="minorBidi"/>
          <w:sz w:val="22"/>
          <w:szCs w:val="22"/>
        </w:rPr>
        <w:t xml:space="preserve">% </w:t>
      </w:r>
      <w:r>
        <w:rPr>
          <w:rFonts w:ascii="Book Antiqua" w:eastAsiaTheme="minorHAnsi" w:hAnsi="Book Antiqua" w:cstheme="minorBidi"/>
          <w:sz w:val="22"/>
          <w:szCs w:val="22"/>
        </w:rPr>
        <w:t xml:space="preserve">déclare n’avoir jamais </w:t>
      </w:r>
      <w:r w:rsidRPr="009839AF">
        <w:rPr>
          <w:rFonts w:ascii="Book Antiqua" w:eastAsiaTheme="minorHAnsi" w:hAnsi="Book Antiqua" w:cstheme="minorBidi"/>
          <w:sz w:val="22"/>
          <w:szCs w:val="22"/>
        </w:rPr>
        <w:t xml:space="preserve">sollicité </w:t>
      </w:r>
      <w:r>
        <w:rPr>
          <w:rFonts w:ascii="Book Antiqua" w:eastAsiaTheme="minorHAnsi" w:hAnsi="Book Antiqua" w:cstheme="minorBidi"/>
          <w:sz w:val="22"/>
          <w:szCs w:val="22"/>
        </w:rPr>
        <w:t xml:space="preserve">un </w:t>
      </w:r>
      <w:r w:rsidRPr="009839AF">
        <w:rPr>
          <w:rFonts w:ascii="Book Antiqua" w:eastAsiaTheme="minorHAnsi" w:hAnsi="Book Antiqua" w:cstheme="minorBidi"/>
          <w:sz w:val="22"/>
          <w:szCs w:val="22"/>
        </w:rPr>
        <w:t>crédit</w:t>
      </w:r>
      <w:r>
        <w:rPr>
          <w:rFonts w:ascii="Book Antiqua" w:eastAsiaTheme="minorHAnsi" w:hAnsi="Book Antiqua" w:cstheme="minorBidi"/>
          <w:sz w:val="22"/>
          <w:szCs w:val="22"/>
        </w:rPr>
        <w:t xml:space="preserve"> d’investissement</w:t>
      </w:r>
      <w:r w:rsidRPr="009839AF">
        <w:rPr>
          <w:rFonts w:ascii="Book Antiqua" w:eastAsiaTheme="minorHAnsi" w:hAnsi="Book Antiqua" w:cstheme="minorBidi"/>
          <w:sz w:val="22"/>
          <w:szCs w:val="22"/>
        </w:rPr>
        <w:t xml:space="preserve"> auprès de leur banque</w:t>
      </w:r>
      <w:r>
        <w:rPr>
          <w:rFonts w:ascii="Book Antiqua" w:eastAsiaTheme="minorHAnsi" w:hAnsi="Book Antiqua" w:cstheme="minorBidi"/>
          <w:sz w:val="22"/>
          <w:szCs w:val="22"/>
        </w:rPr>
        <w:t xml:space="preserve"> principale</w:t>
      </w:r>
      <w:r w:rsidRPr="009839AF">
        <w:rPr>
          <w:rFonts w:ascii="Book Antiqua" w:eastAsiaTheme="minorHAnsi" w:hAnsi="Book Antiqua" w:cstheme="minorBidi"/>
          <w:sz w:val="22"/>
          <w:szCs w:val="22"/>
        </w:rPr>
        <w:t>.</w:t>
      </w:r>
    </w:p>
    <w:p w:rsidR="00D21C73" w:rsidRDefault="009839AF" w:rsidP="00840635">
      <w:pPr>
        <w:spacing w:before="240" w:after="24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Une proportion de</w:t>
      </w:r>
      <w:r w:rsidR="00AA1286">
        <w:rPr>
          <w:rFonts w:ascii="Book Antiqua" w:eastAsiaTheme="minorHAnsi" w:hAnsi="Book Antiqua" w:cstheme="minorBidi"/>
          <w:sz w:val="22"/>
          <w:szCs w:val="22"/>
        </w:rPr>
        <w:t xml:space="preserve"> </w:t>
      </w:r>
      <w:r w:rsidR="002E7231">
        <w:rPr>
          <w:rFonts w:ascii="Book Antiqua" w:eastAsiaTheme="minorHAnsi" w:hAnsi="Book Antiqua" w:cstheme="minorBidi"/>
          <w:sz w:val="22"/>
          <w:szCs w:val="22"/>
        </w:rPr>
        <w:t>44,0</w:t>
      </w:r>
      <w:r w:rsidRPr="009839AF">
        <w:rPr>
          <w:rFonts w:ascii="Book Antiqua" w:eastAsiaTheme="minorHAnsi" w:hAnsi="Book Antiqua" w:cstheme="minorBidi"/>
          <w:sz w:val="22"/>
          <w:szCs w:val="22"/>
        </w:rPr>
        <w:t xml:space="preserve">% des unités interrogées considère les produits de leur banque </w:t>
      </w:r>
      <w:r w:rsidR="004204AC" w:rsidRPr="00A44F20">
        <w:rPr>
          <w:rFonts w:ascii="Book Antiqua" w:eastAsiaTheme="minorHAnsi" w:hAnsi="Book Antiqua" w:cstheme="minorBidi"/>
          <w:i/>
          <w:sz w:val="22"/>
          <w:szCs w:val="22"/>
        </w:rPr>
        <w:t>« non adaptés »</w:t>
      </w:r>
      <w:r w:rsidR="009C3339">
        <w:rPr>
          <w:rFonts w:ascii="Book Antiqua" w:eastAsiaTheme="minorHAnsi" w:hAnsi="Book Antiqua" w:cstheme="minorBidi"/>
          <w:sz w:val="22"/>
          <w:szCs w:val="22"/>
        </w:rPr>
        <w:t xml:space="preserve"> ou </w:t>
      </w:r>
      <w:r w:rsidR="004204AC" w:rsidRPr="00A44F20">
        <w:rPr>
          <w:rFonts w:ascii="Book Antiqua" w:eastAsiaTheme="minorHAnsi" w:hAnsi="Book Antiqua" w:cstheme="minorBidi"/>
          <w:i/>
          <w:sz w:val="22"/>
          <w:szCs w:val="22"/>
        </w:rPr>
        <w:t>« pas du tout adaptés »</w:t>
      </w:r>
      <w:r w:rsidRPr="009839AF">
        <w:rPr>
          <w:rFonts w:ascii="Book Antiqua" w:eastAsiaTheme="minorHAnsi" w:hAnsi="Book Antiqua" w:cstheme="minorBidi"/>
          <w:sz w:val="22"/>
          <w:szCs w:val="22"/>
        </w:rPr>
        <w:t xml:space="preserve"> à leurs projets d’investissements contre </w:t>
      </w:r>
      <w:r w:rsidR="002E7231">
        <w:rPr>
          <w:rFonts w:ascii="Book Antiqua" w:eastAsiaTheme="minorHAnsi" w:hAnsi="Book Antiqua" w:cstheme="minorBidi"/>
          <w:sz w:val="22"/>
          <w:szCs w:val="22"/>
        </w:rPr>
        <w:t xml:space="preserve">56,0% qui les juge </w:t>
      </w:r>
      <w:r w:rsidR="004204AC" w:rsidRPr="00A44F20">
        <w:rPr>
          <w:rFonts w:ascii="Book Antiqua" w:eastAsiaTheme="minorHAnsi" w:hAnsi="Book Antiqua" w:cstheme="minorBidi"/>
          <w:i/>
          <w:sz w:val="22"/>
          <w:szCs w:val="22"/>
        </w:rPr>
        <w:t>« adaptés »</w:t>
      </w:r>
      <w:r w:rsidR="002E7231">
        <w:rPr>
          <w:rFonts w:ascii="Book Antiqua" w:eastAsiaTheme="minorHAnsi" w:hAnsi="Book Antiqua" w:cstheme="minorBidi"/>
          <w:sz w:val="22"/>
          <w:szCs w:val="22"/>
        </w:rPr>
        <w:t xml:space="preserve"> voire </w:t>
      </w:r>
      <w:r w:rsidR="004204AC" w:rsidRPr="00A44F20">
        <w:rPr>
          <w:rFonts w:ascii="Book Antiqua" w:eastAsiaTheme="minorHAnsi" w:hAnsi="Book Antiqua" w:cstheme="minorBidi"/>
          <w:i/>
          <w:sz w:val="22"/>
          <w:szCs w:val="22"/>
        </w:rPr>
        <w:t>« très adaptés »</w:t>
      </w:r>
      <w:r w:rsidRPr="009839AF">
        <w:rPr>
          <w:rFonts w:ascii="Book Antiqua" w:eastAsiaTheme="minorHAnsi" w:hAnsi="Book Antiqua" w:cstheme="minorBidi"/>
          <w:sz w:val="22"/>
          <w:szCs w:val="22"/>
        </w:rPr>
        <w:t xml:space="preserve">. </w:t>
      </w:r>
    </w:p>
    <w:p w:rsidR="000720BB" w:rsidRPr="000720BB" w:rsidRDefault="000720BB" w:rsidP="00840635">
      <w:pPr>
        <w:pStyle w:val="Lgende"/>
        <w:keepNext/>
        <w:spacing w:line="276" w:lineRule="auto"/>
        <w:jc w:val="center"/>
        <w:rPr>
          <w:rFonts w:ascii="Book Antiqua" w:hAnsi="Book Antiqua"/>
          <w:color w:val="auto"/>
        </w:rPr>
      </w:pPr>
      <w:bookmarkStart w:id="82" w:name="_Toc523313723"/>
      <w:r w:rsidRPr="000720BB">
        <w:rPr>
          <w:rFonts w:ascii="Book Antiqua" w:hAnsi="Book Antiqua"/>
          <w:color w:val="auto"/>
        </w:rPr>
        <w:t xml:space="preserve">Figure </w:t>
      </w:r>
      <w:r w:rsidR="000D65F2">
        <w:rPr>
          <w:rFonts w:ascii="Book Antiqua" w:hAnsi="Book Antiqua"/>
          <w:color w:val="auto"/>
        </w:rPr>
        <w:fldChar w:fldCharType="begin"/>
      </w:r>
      <w:r w:rsidR="002708B0">
        <w:rPr>
          <w:rFonts w:ascii="Book Antiqua" w:hAnsi="Book Antiqua"/>
          <w:color w:val="auto"/>
        </w:rPr>
        <w:instrText xml:space="preserve"> SEQ Figure \* ARABIC </w:instrText>
      </w:r>
      <w:r w:rsidR="000D65F2">
        <w:rPr>
          <w:rFonts w:ascii="Book Antiqua" w:hAnsi="Book Antiqua"/>
          <w:color w:val="auto"/>
        </w:rPr>
        <w:fldChar w:fldCharType="separate"/>
      </w:r>
      <w:r w:rsidR="000F780F">
        <w:rPr>
          <w:rFonts w:ascii="Book Antiqua" w:hAnsi="Book Antiqua"/>
          <w:noProof/>
          <w:color w:val="auto"/>
        </w:rPr>
        <w:t>40</w:t>
      </w:r>
      <w:r w:rsidR="000D65F2">
        <w:rPr>
          <w:rFonts w:ascii="Book Antiqua" w:hAnsi="Book Antiqua"/>
          <w:color w:val="auto"/>
        </w:rPr>
        <w:fldChar w:fldCharType="end"/>
      </w:r>
      <w:r w:rsidRPr="000720BB">
        <w:rPr>
          <w:rFonts w:ascii="Book Antiqua" w:hAnsi="Book Antiqua"/>
          <w:color w:val="auto"/>
        </w:rPr>
        <w:t xml:space="preserve"> : Adéquation entre les produits bancaires et les projets d'investissements des unités</w:t>
      </w:r>
      <w:bookmarkEnd w:id="82"/>
    </w:p>
    <w:p w:rsidR="000720BB" w:rsidRDefault="00F44BC9" w:rsidP="00840635">
      <w:pPr>
        <w:keepNext/>
        <w:tabs>
          <w:tab w:val="left" w:pos="1320"/>
          <w:tab w:val="right" w:leader="dot" w:pos="9572"/>
        </w:tabs>
        <w:spacing w:before="120" w:after="100" w:line="276" w:lineRule="auto"/>
        <w:contextualSpacing/>
        <w:jc w:val="center"/>
      </w:pPr>
      <w:r w:rsidRPr="00A44F20">
        <w:rPr>
          <w:rFonts w:ascii="Book Antiqua" w:hAnsi="Book Antiqua" w:cs="Arial"/>
          <w:noProof/>
          <w:sz w:val="22"/>
          <w:szCs w:val="22"/>
        </w:rPr>
        <w:drawing>
          <wp:inline distT="0" distB="0" distL="0" distR="0">
            <wp:extent cx="4385310" cy="2447925"/>
            <wp:effectExtent l="19050" t="0" r="15240" b="0"/>
            <wp:docPr id="2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C60FE" w:rsidRDefault="007C60FE" w:rsidP="00840635">
      <w:pPr>
        <w:tabs>
          <w:tab w:val="left" w:pos="1320"/>
          <w:tab w:val="right" w:leader="dot" w:pos="9572"/>
        </w:tabs>
        <w:spacing w:before="120" w:after="100" w:line="276" w:lineRule="auto"/>
        <w:contextualSpacing/>
        <w:jc w:val="both"/>
        <w:rPr>
          <w:rFonts w:ascii="Book Antiqua" w:hAnsi="Book Antiqua" w:cs="Arial"/>
          <w:noProof/>
          <w:sz w:val="22"/>
          <w:szCs w:val="22"/>
        </w:rPr>
      </w:pPr>
    </w:p>
    <w:p w:rsidR="0085044C" w:rsidRDefault="009E24A5" w:rsidP="00840635">
      <w:pPr>
        <w:tabs>
          <w:tab w:val="left" w:pos="1320"/>
          <w:tab w:val="right" w:leader="dot" w:pos="9572"/>
        </w:tabs>
        <w:spacing w:before="240" w:after="240" w:line="276" w:lineRule="auto"/>
        <w:jc w:val="both"/>
        <w:rPr>
          <w:rFonts w:ascii="Book Antiqua" w:hAnsi="Book Antiqua" w:cs="Arial"/>
          <w:noProof/>
          <w:sz w:val="22"/>
          <w:szCs w:val="22"/>
        </w:rPr>
      </w:pPr>
      <w:r>
        <w:rPr>
          <w:rFonts w:ascii="Book Antiqua" w:hAnsi="Book Antiqua" w:cs="Arial"/>
          <w:noProof/>
          <w:sz w:val="22"/>
          <w:szCs w:val="22"/>
        </w:rPr>
        <w:lastRenderedPageBreak/>
        <w:t>L’analyse des résultats de l’ESUB</w:t>
      </w:r>
      <w:r w:rsidR="00AA1286">
        <w:rPr>
          <w:rFonts w:ascii="Book Antiqua" w:hAnsi="Book Antiqua" w:cs="Arial"/>
          <w:noProof/>
          <w:sz w:val="22"/>
          <w:szCs w:val="22"/>
        </w:rPr>
        <w:t xml:space="preserve"> </w:t>
      </w:r>
      <w:r>
        <w:rPr>
          <w:rFonts w:ascii="Book Antiqua" w:hAnsi="Book Antiqua" w:cs="Arial"/>
          <w:noProof/>
          <w:sz w:val="22"/>
          <w:szCs w:val="22"/>
        </w:rPr>
        <w:t xml:space="preserve">fait apparaitre que </w:t>
      </w:r>
      <w:r w:rsidR="0085044C" w:rsidRPr="009839AF">
        <w:rPr>
          <w:rFonts w:ascii="Book Antiqua" w:hAnsi="Book Antiqua" w:cs="Arial"/>
          <w:noProof/>
          <w:sz w:val="22"/>
          <w:szCs w:val="22"/>
        </w:rPr>
        <w:t xml:space="preserve"> 25,7%</w:t>
      </w:r>
      <w:r w:rsidR="0085044C">
        <w:rPr>
          <w:rFonts w:ascii="Book Antiqua" w:hAnsi="Book Antiqua" w:cs="Arial"/>
          <w:noProof/>
          <w:sz w:val="22"/>
          <w:szCs w:val="22"/>
        </w:rPr>
        <w:t xml:space="preserve"> des unités exercant dans le formel</w:t>
      </w:r>
      <w:r w:rsidR="00790F30">
        <w:rPr>
          <w:rFonts w:ascii="Book Antiqua" w:hAnsi="Book Antiqua" w:cs="Arial"/>
          <w:noProof/>
          <w:sz w:val="22"/>
          <w:szCs w:val="22"/>
        </w:rPr>
        <w:t xml:space="preserve"> </w:t>
      </w:r>
      <w:r w:rsidR="0085044C" w:rsidRPr="009839AF">
        <w:rPr>
          <w:rFonts w:ascii="Book Antiqua" w:hAnsi="Book Antiqua" w:cs="Arial"/>
          <w:noProof/>
          <w:sz w:val="22"/>
          <w:szCs w:val="22"/>
        </w:rPr>
        <w:t xml:space="preserve">et 32,1% </w:t>
      </w:r>
      <w:r w:rsidR="0085044C">
        <w:rPr>
          <w:rFonts w:ascii="Book Antiqua" w:hAnsi="Book Antiqua" w:cs="Arial"/>
          <w:noProof/>
          <w:sz w:val="22"/>
          <w:szCs w:val="22"/>
        </w:rPr>
        <w:t>issues de l’informel</w:t>
      </w:r>
      <w:r w:rsidR="00790F30">
        <w:rPr>
          <w:rFonts w:ascii="Book Antiqua" w:hAnsi="Book Antiqua" w:cs="Arial"/>
          <w:noProof/>
          <w:sz w:val="22"/>
          <w:szCs w:val="22"/>
        </w:rPr>
        <w:t xml:space="preserve"> </w:t>
      </w:r>
      <w:r w:rsidR="0085044C">
        <w:rPr>
          <w:rFonts w:ascii="Book Antiqua" w:hAnsi="Book Antiqua" w:cs="Arial"/>
          <w:noProof/>
          <w:sz w:val="22"/>
          <w:szCs w:val="22"/>
        </w:rPr>
        <w:t xml:space="preserve">déclarent n’avoir pas formulé </w:t>
      </w:r>
      <w:r w:rsidR="0085044C" w:rsidRPr="009839AF">
        <w:rPr>
          <w:rFonts w:ascii="Book Antiqua" w:hAnsi="Book Antiqua" w:cs="Arial"/>
          <w:noProof/>
          <w:sz w:val="22"/>
          <w:szCs w:val="22"/>
        </w:rPr>
        <w:t>une demande de financement</w:t>
      </w:r>
      <w:r w:rsidR="0085044C">
        <w:rPr>
          <w:rFonts w:ascii="Book Antiqua" w:hAnsi="Book Antiqua" w:cs="Arial"/>
          <w:noProof/>
          <w:sz w:val="22"/>
          <w:szCs w:val="22"/>
        </w:rPr>
        <w:t xml:space="preserve"> de leur projet</w:t>
      </w:r>
      <w:r w:rsidR="0085044C" w:rsidRPr="009839AF">
        <w:rPr>
          <w:rFonts w:ascii="Book Antiqua" w:hAnsi="Book Antiqua" w:cs="Arial"/>
          <w:noProof/>
          <w:sz w:val="22"/>
          <w:szCs w:val="22"/>
        </w:rPr>
        <w:t xml:space="preserve">. </w:t>
      </w:r>
    </w:p>
    <w:p w:rsidR="00322DD5" w:rsidRDefault="009839AF" w:rsidP="00AA59E0">
      <w:pPr>
        <w:tabs>
          <w:tab w:val="left" w:pos="1320"/>
          <w:tab w:val="right" w:leader="dot" w:pos="9572"/>
        </w:tabs>
        <w:spacing w:before="240" w:after="240" w:line="276" w:lineRule="auto"/>
        <w:jc w:val="both"/>
        <w:rPr>
          <w:rFonts w:ascii="Book Antiqua" w:hAnsi="Book Antiqua" w:cs="Arial"/>
          <w:noProof/>
          <w:sz w:val="22"/>
          <w:szCs w:val="22"/>
        </w:rPr>
      </w:pPr>
      <w:r w:rsidRPr="009839AF">
        <w:rPr>
          <w:rFonts w:ascii="Book Antiqua" w:hAnsi="Book Antiqua" w:cs="Arial"/>
          <w:noProof/>
          <w:sz w:val="22"/>
          <w:szCs w:val="22"/>
        </w:rPr>
        <w:t>L’appréciation</w:t>
      </w:r>
      <w:r w:rsidR="007C60FE">
        <w:rPr>
          <w:rFonts w:ascii="Book Antiqua" w:hAnsi="Book Antiqua" w:cs="Arial"/>
          <w:noProof/>
          <w:sz w:val="22"/>
          <w:szCs w:val="22"/>
        </w:rPr>
        <w:t xml:space="preserve"> des unités demanderesses de crédits d’investissement</w:t>
      </w:r>
      <w:r w:rsidRPr="009839AF">
        <w:rPr>
          <w:rFonts w:ascii="Book Antiqua" w:hAnsi="Book Antiqua" w:cs="Arial"/>
          <w:noProof/>
          <w:sz w:val="22"/>
          <w:szCs w:val="22"/>
        </w:rPr>
        <w:t xml:space="preserve"> selon la nature de l’activité fait ressortir des taux de </w:t>
      </w:r>
      <w:r w:rsidR="009671B2">
        <w:rPr>
          <w:rFonts w:ascii="Book Antiqua" w:hAnsi="Book Antiqua" w:cs="Arial"/>
          <w:noProof/>
          <w:sz w:val="22"/>
          <w:szCs w:val="22"/>
        </w:rPr>
        <w:t>43,4%</w:t>
      </w:r>
      <w:r w:rsidRPr="009839AF">
        <w:rPr>
          <w:rFonts w:ascii="Book Antiqua" w:hAnsi="Book Antiqua" w:cs="Arial"/>
          <w:noProof/>
          <w:sz w:val="22"/>
          <w:szCs w:val="22"/>
        </w:rPr>
        <w:t xml:space="preserve">pour </w:t>
      </w:r>
      <w:r w:rsidR="007C60FE">
        <w:rPr>
          <w:rFonts w:ascii="Book Antiqua" w:hAnsi="Book Antiqua" w:cs="Arial"/>
          <w:noProof/>
          <w:sz w:val="22"/>
          <w:szCs w:val="22"/>
        </w:rPr>
        <w:t xml:space="preserve">le </w:t>
      </w:r>
      <w:r w:rsidRPr="009839AF">
        <w:rPr>
          <w:rFonts w:ascii="Book Antiqua" w:hAnsi="Book Antiqua" w:cs="Arial"/>
          <w:noProof/>
          <w:sz w:val="22"/>
          <w:szCs w:val="22"/>
        </w:rPr>
        <w:t xml:space="preserve">secteur formel et </w:t>
      </w:r>
      <w:r w:rsidR="0085044C">
        <w:rPr>
          <w:rFonts w:ascii="Book Antiqua" w:hAnsi="Book Antiqua" w:cs="Arial"/>
          <w:noProof/>
          <w:sz w:val="22"/>
          <w:szCs w:val="22"/>
        </w:rPr>
        <w:t>45,6</w:t>
      </w:r>
      <w:r w:rsidR="009671B2">
        <w:rPr>
          <w:rFonts w:ascii="Book Antiqua" w:hAnsi="Book Antiqua" w:cs="Arial"/>
          <w:noProof/>
          <w:sz w:val="22"/>
          <w:szCs w:val="22"/>
        </w:rPr>
        <w:t xml:space="preserve">% </w:t>
      </w:r>
      <w:r w:rsidRPr="009839AF">
        <w:rPr>
          <w:rFonts w:ascii="Book Antiqua" w:hAnsi="Book Antiqua" w:cs="Arial"/>
          <w:noProof/>
          <w:sz w:val="22"/>
          <w:szCs w:val="22"/>
        </w:rPr>
        <w:t xml:space="preserve"> pour </w:t>
      </w:r>
      <w:r w:rsidR="007C60FE">
        <w:rPr>
          <w:rFonts w:ascii="Book Antiqua" w:hAnsi="Book Antiqua" w:cs="Arial"/>
          <w:noProof/>
          <w:sz w:val="22"/>
          <w:szCs w:val="22"/>
        </w:rPr>
        <w:t>le secteur informel</w:t>
      </w:r>
      <w:r w:rsidR="0041215D">
        <w:rPr>
          <w:rFonts w:ascii="Book Antiqua" w:hAnsi="Book Antiqua" w:cs="Arial"/>
          <w:noProof/>
          <w:sz w:val="22"/>
          <w:szCs w:val="22"/>
        </w:rPr>
        <w:t xml:space="preserve"> </w:t>
      </w:r>
      <w:r w:rsidR="009671B2">
        <w:rPr>
          <w:rFonts w:ascii="Book Antiqua" w:hAnsi="Book Antiqua" w:cs="Arial"/>
          <w:noProof/>
          <w:sz w:val="22"/>
          <w:szCs w:val="22"/>
        </w:rPr>
        <w:t xml:space="preserve">déplorant </w:t>
      </w:r>
      <w:r w:rsidRPr="009839AF">
        <w:rPr>
          <w:rFonts w:ascii="Book Antiqua" w:hAnsi="Book Antiqua" w:cs="Arial"/>
          <w:noProof/>
          <w:sz w:val="22"/>
          <w:szCs w:val="22"/>
        </w:rPr>
        <w:t xml:space="preserve">l’inadéquation des produits </w:t>
      </w:r>
      <w:r w:rsidR="004F4214">
        <w:rPr>
          <w:rFonts w:ascii="Book Antiqua" w:hAnsi="Book Antiqua" w:cs="Arial"/>
          <w:noProof/>
          <w:sz w:val="22"/>
          <w:szCs w:val="22"/>
        </w:rPr>
        <w:t xml:space="preserve">bancaires </w:t>
      </w:r>
      <w:r w:rsidRPr="009839AF">
        <w:rPr>
          <w:rFonts w:ascii="Book Antiqua" w:hAnsi="Book Antiqua" w:cs="Arial"/>
          <w:noProof/>
          <w:sz w:val="22"/>
          <w:szCs w:val="22"/>
        </w:rPr>
        <w:t xml:space="preserve">par rapport à leurs projets d’investissements. Les proportions d’unités qui se disent satisfaites </w:t>
      </w:r>
      <w:r w:rsidR="009671B2">
        <w:rPr>
          <w:rFonts w:ascii="Book Antiqua" w:hAnsi="Book Antiqua" w:cs="Arial"/>
          <w:noProof/>
          <w:sz w:val="22"/>
          <w:szCs w:val="22"/>
        </w:rPr>
        <w:t xml:space="preserve">des </w:t>
      </w:r>
      <w:r w:rsidRPr="009839AF">
        <w:rPr>
          <w:rFonts w:ascii="Book Antiqua" w:hAnsi="Book Antiqua" w:cs="Arial"/>
          <w:noProof/>
          <w:sz w:val="22"/>
          <w:szCs w:val="22"/>
        </w:rPr>
        <w:t xml:space="preserve">offres bancaires ressortent respectivement à </w:t>
      </w:r>
      <w:r w:rsidR="009671B2">
        <w:rPr>
          <w:rFonts w:ascii="Book Antiqua" w:hAnsi="Book Antiqua" w:cs="Arial"/>
          <w:noProof/>
          <w:sz w:val="22"/>
          <w:szCs w:val="22"/>
        </w:rPr>
        <w:t>56,</w:t>
      </w:r>
      <w:r w:rsidR="0085044C">
        <w:rPr>
          <w:rFonts w:ascii="Book Antiqua" w:hAnsi="Book Antiqua" w:cs="Arial"/>
          <w:noProof/>
          <w:sz w:val="22"/>
          <w:szCs w:val="22"/>
        </w:rPr>
        <w:t>5</w:t>
      </w:r>
      <w:r w:rsidRPr="009839AF">
        <w:rPr>
          <w:rFonts w:ascii="Book Antiqua" w:hAnsi="Book Antiqua" w:cs="Arial"/>
          <w:noProof/>
          <w:sz w:val="22"/>
          <w:szCs w:val="22"/>
        </w:rPr>
        <w:t xml:space="preserve">% et </w:t>
      </w:r>
      <w:r w:rsidR="009671B2">
        <w:rPr>
          <w:rFonts w:ascii="Book Antiqua" w:hAnsi="Book Antiqua" w:cs="Arial"/>
          <w:noProof/>
          <w:sz w:val="22"/>
          <w:szCs w:val="22"/>
        </w:rPr>
        <w:t>54,</w:t>
      </w:r>
      <w:r w:rsidR="0085044C">
        <w:rPr>
          <w:rFonts w:ascii="Book Antiqua" w:hAnsi="Book Antiqua" w:cs="Arial"/>
          <w:noProof/>
          <w:sz w:val="22"/>
          <w:szCs w:val="22"/>
        </w:rPr>
        <w:t>4</w:t>
      </w:r>
      <w:r w:rsidRPr="009839AF">
        <w:rPr>
          <w:rFonts w:ascii="Book Antiqua" w:hAnsi="Book Antiqua" w:cs="Arial"/>
          <w:noProof/>
          <w:sz w:val="22"/>
          <w:szCs w:val="22"/>
        </w:rPr>
        <w:t xml:space="preserve">%.  </w:t>
      </w:r>
    </w:p>
    <w:p w:rsidR="000720BB" w:rsidRPr="000720BB" w:rsidRDefault="000720BB" w:rsidP="00840635">
      <w:pPr>
        <w:pStyle w:val="Lgende"/>
        <w:keepNext/>
        <w:spacing w:line="276" w:lineRule="auto"/>
        <w:jc w:val="center"/>
        <w:rPr>
          <w:rFonts w:ascii="Book Antiqua" w:hAnsi="Book Antiqua"/>
          <w:color w:val="auto"/>
          <w:sz w:val="16"/>
          <w:szCs w:val="16"/>
        </w:rPr>
      </w:pPr>
      <w:bookmarkStart w:id="83" w:name="_Toc523313724"/>
      <w:r w:rsidRPr="000720BB">
        <w:rPr>
          <w:rFonts w:ascii="Book Antiqua" w:hAnsi="Book Antiqua"/>
          <w:color w:val="auto"/>
          <w:sz w:val="16"/>
          <w:szCs w:val="16"/>
        </w:rPr>
        <w:t xml:space="preserve">Figure </w:t>
      </w:r>
      <w:r w:rsidR="000D65F2">
        <w:rPr>
          <w:rFonts w:ascii="Book Antiqua" w:hAnsi="Book Antiqua"/>
          <w:color w:val="auto"/>
          <w:sz w:val="16"/>
          <w:szCs w:val="16"/>
        </w:rPr>
        <w:fldChar w:fldCharType="begin"/>
      </w:r>
      <w:r w:rsidR="002708B0">
        <w:rPr>
          <w:rFonts w:ascii="Book Antiqua" w:hAnsi="Book Antiqua"/>
          <w:color w:val="auto"/>
          <w:sz w:val="16"/>
          <w:szCs w:val="16"/>
        </w:rPr>
        <w:instrText xml:space="preserve"> SEQ Figure \* ARABIC </w:instrText>
      </w:r>
      <w:r w:rsidR="000D65F2">
        <w:rPr>
          <w:rFonts w:ascii="Book Antiqua" w:hAnsi="Book Antiqua"/>
          <w:color w:val="auto"/>
          <w:sz w:val="16"/>
          <w:szCs w:val="16"/>
        </w:rPr>
        <w:fldChar w:fldCharType="separate"/>
      </w:r>
      <w:r w:rsidR="000F780F">
        <w:rPr>
          <w:rFonts w:ascii="Book Antiqua" w:hAnsi="Book Antiqua"/>
          <w:noProof/>
          <w:color w:val="auto"/>
          <w:sz w:val="16"/>
          <w:szCs w:val="16"/>
        </w:rPr>
        <w:t>41</w:t>
      </w:r>
      <w:r w:rsidR="000D65F2">
        <w:rPr>
          <w:rFonts w:ascii="Book Antiqua" w:hAnsi="Book Antiqua"/>
          <w:color w:val="auto"/>
          <w:sz w:val="16"/>
          <w:szCs w:val="16"/>
        </w:rPr>
        <w:fldChar w:fldCharType="end"/>
      </w:r>
      <w:r w:rsidRPr="000720BB">
        <w:rPr>
          <w:rFonts w:ascii="Book Antiqua" w:hAnsi="Book Antiqua"/>
          <w:color w:val="auto"/>
          <w:sz w:val="16"/>
          <w:szCs w:val="16"/>
        </w:rPr>
        <w:t xml:space="preserve"> : Adéquation entre les produits bancaires et les projets d'investissements selon la nature d'activité des unités</w:t>
      </w:r>
      <w:bookmarkEnd w:id="83"/>
    </w:p>
    <w:p w:rsidR="00AA1286" w:rsidRPr="00AA59E0" w:rsidRDefault="00900429" w:rsidP="00AA59E0">
      <w:pPr>
        <w:spacing w:before="120" w:line="276" w:lineRule="auto"/>
        <w:jc w:val="center"/>
        <w:rPr>
          <w:rFonts w:asciiTheme="minorHAnsi" w:eastAsiaTheme="minorHAnsi" w:hAnsiTheme="minorHAnsi" w:cstheme="minorBidi"/>
          <w:sz w:val="22"/>
          <w:szCs w:val="22"/>
        </w:rPr>
      </w:pPr>
      <w:r w:rsidRPr="00900429">
        <w:rPr>
          <w:rFonts w:asciiTheme="minorHAnsi" w:eastAsiaTheme="minorHAnsi" w:hAnsiTheme="minorHAnsi" w:cstheme="minorBidi"/>
          <w:noProof/>
          <w:sz w:val="22"/>
          <w:szCs w:val="22"/>
        </w:rPr>
        <w:drawing>
          <wp:inline distT="0" distB="0" distL="0" distR="0">
            <wp:extent cx="4401820" cy="2286000"/>
            <wp:effectExtent l="19050" t="0" r="17780" b="0"/>
            <wp:docPr id="2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31C35" w:rsidRDefault="00AA1286" w:rsidP="00AA59E0">
      <w:pPr>
        <w:pStyle w:val="Paragraphedeliste"/>
        <w:numPr>
          <w:ilvl w:val="2"/>
          <w:numId w:val="26"/>
        </w:numPr>
        <w:tabs>
          <w:tab w:val="left" w:pos="1320"/>
          <w:tab w:val="right" w:leader="dot" w:pos="9572"/>
        </w:tabs>
        <w:spacing w:before="120" w:line="276" w:lineRule="auto"/>
        <w:ind w:left="851" w:hanging="284"/>
        <w:contextualSpacing w:val="0"/>
        <w:jc w:val="both"/>
        <w:outlineLvl w:val="2"/>
        <w:rPr>
          <w:rFonts w:ascii="Book Antiqua" w:hAnsi="Book Antiqua" w:cs="Arial"/>
          <w:b/>
          <w:noProof/>
          <w:sz w:val="22"/>
          <w:szCs w:val="22"/>
        </w:rPr>
      </w:pPr>
      <w:bookmarkStart w:id="84" w:name="_Toc523322047"/>
      <w:r w:rsidRPr="005715F2">
        <w:rPr>
          <w:rFonts w:ascii="Book Antiqua" w:hAnsi="Book Antiqua" w:cs="Arial"/>
          <w:b/>
          <w:noProof/>
          <w:sz w:val="22"/>
          <w:szCs w:val="22"/>
        </w:rPr>
        <w:t xml:space="preserve">Adéquation entre les produits bancaires et les besoins en fonds de roulement des </w:t>
      </w:r>
      <w:r w:rsidR="00531C35">
        <w:rPr>
          <w:rFonts w:ascii="Book Antiqua" w:hAnsi="Book Antiqua" w:cs="Arial"/>
          <w:b/>
          <w:noProof/>
          <w:sz w:val="22"/>
          <w:szCs w:val="22"/>
        </w:rPr>
        <w:t xml:space="preserve"> </w:t>
      </w:r>
    </w:p>
    <w:p w:rsidR="00AA1286" w:rsidRPr="005715F2" w:rsidRDefault="00AA1286" w:rsidP="00531C35">
      <w:pPr>
        <w:pStyle w:val="Paragraphedeliste"/>
        <w:tabs>
          <w:tab w:val="right" w:leader="dot" w:pos="9572"/>
        </w:tabs>
        <w:spacing w:line="276" w:lineRule="auto"/>
        <w:ind w:left="1276"/>
        <w:contextualSpacing w:val="0"/>
        <w:jc w:val="both"/>
        <w:outlineLvl w:val="2"/>
        <w:rPr>
          <w:rFonts w:ascii="Book Antiqua" w:hAnsi="Book Antiqua" w:cs="Arial"/>
          <w:b/>
          <w:noProof/>
          <w:sz w:val="22"/>
          <w:szCs w:val="22"/>
        </w:rPr>
      </w:pPr>
      <w:r w:rsidRPr="005715F2">
        <w:rPr>
          <w:rFonts w:ascii="Book Antiqua" w:hAnsi="Book Antiqua" w:cs="Arial"/>
          <w:b/>
          <w:noProof/>
          <w:sz w:val="22"/>
          <w:szCs w:val="22"/>
        </w:rPr>
        <w:t>unités</w:t>
      </w:r>
      <w:bookmarkEnd w:id="84"/>
    </w:p>
    <w:p w:rsidR="00AA1286" w:rsidRDefault="00AA1286" w:rsidP="00840635">
      <w:pPr>
        <w:spacing w:before="120" w:line="276" w:lineRule="auto"/>
        <w:jc w:val="both"/>
        <w:rPr>
          <w:rFonts w:ascii="Book Antiqua" w:eastAsiaTheme="minorHAnsi" w:hAnsi="Book Antiqua" w:cstheme="minorBidi"/>
          <w:sz w:val="22"/>
          <w:szCs w:val="22"/>
        </w:rPr>
      </w:pPr>
      <w:r w:rsidRPr="009839AF">
        <w:rPr>
          <w:rFonts w:ascii="Book Antiqua" w:eastAsiaTheme="minorHAnsi" w:hAnsi="Book Antiqua" w:cstheme="minorBidi"/>
          <w:sz w:val="22"/>
          <w:szCs w:val="22"/>
        </w:rPr>
        <w:t>Les statistiques recueillies montrent</w:t>
      </w:r>
      <w:r>
        <w:rPr>
          <w:rFonts w:ascii="Book Antiqua" w:eastAsiaTheme="minorHAnsi" w:hAnsi="Book Antiqua" w:cstheme="minorBidi"/>
          <w:sz w:val="22"/>
          <w:szCs w:val="22"/>
        </w:rPr>
        <w:t xml:space="preserve"> qu’une proportion de 30,0% des unités interrogées déclare n’avoir jamais sollicité un crédit pour le financement de leurs besoins en fonds de roulement. </w:t>
      </w:r>
    </w:p>
    <w:p w:rsidR="00AA59E0" w:rsidRPr="00AA59E0" w:rsidRDefault="00AA1286" w:rsidP="00AA59E0">
      <w:pPr>
        <w:spacing w:before="120" w:line="276" w:lineRule="auto"/>
        <w:jc w:val="both"/>
        <w:rPr>
          <w:rFonts w:ascii="Book Antiqua" w:eastAsiaTheme="minorHAnsi" w:hAnsi="Book Antiqua" w:cstheme="minorBidi"/>
          <w:sz w:val="22"/>
          <w:szCs w:val="22"/>
        </w:rPr>
      </w:pPr>
      <w:r>
        <w:rPr>
          <w:rFonts w:ascii="Book Antiqua" w:eastAsiaTheme="minorHAnsi" w:hAnsi="Book Antiqua" w:cstheme="minorBidi"/>
          <w:sz w:val="22"/>
          <w:szCs w:val="22"/>
        </w:rPr>
        <w:t xml:space="preserve">Parmi les entités ayant demandé un crédit d’exploitation, une proportion de 44,2% </w:t>
      </w:r>
      <w:r w:rsidRPr="009839AF">
        <w:rPr>
          <w:rFonts w:ascii="Book Antiqua" w:eastAsiaTheme="minorHAnsi" w:hAnsi="Book Antiqua" w:cstheme="minorBidi"/>
          <w:sz w:val="22"/>
          <w:szCs w:val="22"/>
        </w:rPr>
        <w:t>considère les produits de leur banque</w:t>
      </w:r>
      <w:r>
        <w:rPr>
          <w:rFonts w:ascii="Book Antiqua" w:eastAsiaTheme="minorHAnsi" w:hAnsi="Book Antiqua" w:cstheme="minorBidi"/>
          <w:sz w:val="22"/>
          <w:szCs w:val="22"/>
        </w:rPr>
        <w:t xml:space="preserve"> </w:t>
      </w:r>
      <w:r w:rsidRPr="009839AF">
        <w:rPr>
          <w:rFonts w:ascii="Book Antiqua" w:eastAsiaTheme="minorHAnsi" w:hAnsi="Book Antiqua" w:cstheme="minorBidi"/>
          <w:sz w:val="22"/>
          <w:szCs w:val="22"/>
        </w:rPr>
        <w:t>à leurs besoins en fonds de roulement contre</w:t>
      </w:r>
      <w:r>
        <w:rPr>
          <w:rFonts w:ascii="Book Antiqua" w:eastAsiaTheme="minorHAnsi" w:hAnsi="Book Antiqua" w:cstheme="minorBidi"/>
          <w:sz w:val="22"/>
          <w:szCs w:val="22"/>
        </w:rPr>
        <w:t xml:space="preserve"> 55,8%</w:t>
      </w:r>
      <w:r w:rsidRPr="009839AF">
        <w:rPr>
          <w:rFonts w:ascii="Book Antiqua" w:eastAsiaTheme="minorHAnsi" w:hAnsi="Book Antiqua" w:cstheme="minorBidi"/>
          <w:sz w:val="22"/>
          <w:szCs w:val="22"/>
        </w:rPr>
        <w:t xml:space="preserve"> qui </w:t>
      </w:r>
      <w:r>
        <w:rPr>
          <w:rFonts w:ascii="Book Antiqua" w:eastAsiaTheme="minorHAnsi" w:hAnsi="Book Antiqua" w:cstheme="minorBidi"/>
          <w:sz w:val="22"/>
          <w:szCs w:val="22"/>
        </w:rPr>
        <w:t>sont d’avis contraire.</w:t>
      </w:r>
      <w:bookmarkStart w:id="85" w:name="_Toc523313725"/>
    </w:p>
    <w:p w:rsidR="000720BB" w:rsidRDefault="000720BB" w:rsidP="00AA59E0">
      <w:pPr>
        <w:pStyle w:val="Lgende"/>
        <w:keepNext/>
        <w:spacing w:before="240" w:line="276" w:lineRule="auto"/>
        <w:jc w:val="center"/>
        <w:rPr>
          <w:rFonts w:ascii="Book Antiqua" w:hAnsi="Book Antiqua"/>
          <w:color w:val="auto"/>
        </w:rPr>
      </w:pPr>
      <w:r w:rsidRPr="000720BB">
        <w:rPr>
          <w:rFonts w:ascii="Book Antiqua" w:hAnsi="Book Antiqua"/>
          <w:color w:val="auto"/>
        </w:rPr>
        <w:t xml:space="preserve">Figure </w:t>
      </w:r>
      <w:r w:rsidR="000D65F2">
        <w:rPr>
          <w:rFonts w:ascii="Book Antiqua" w:hAnsi="Book Antiqua"/>
          <w:color w:val="auto"/>
        </w:rPr>
        <w:fldChar w:fldCharType="begin"/>
      </w:r>
      <w:r w:rsidR="002708B0">
        <w:rPr>
          <w:rFonts w:ascii="Book Antiqua" w:hAnsi="Book Antiqua"/>
          <w:color w:val="auto"/>
        </w:rPr>
        <w:instrText xml:space="preserve"> SEQ Figure \* ARABIC </w:instrText>
      </w:r>
      <w:r w:rsidR="000D65F2">
        <w:rPr>
          <w:rFonts w:ascii="Book Antiqua" w:hAnsi="Book Antiqua"/>
          <w:color w:val="auto"/>
        </w:rPr>
        <w:fldChar w:fldCharType="separate"/>
      </w:r>
      <w:r w:rsidR="000F780F">
        <w:rPr>
          <w:rFonts w:ascii="Book Antiqua" w:hAnsi="Book Antiqua"/>
          <w:noProof/>
          <w:color w:val="auto"/>
        </w:rPr>
        <w:t>42</w:t>
      </w:r>
      <w:r w:rsidR="000D65F2">
        <w:rPr>
          <w:rFonts w:ascii="Book Antiqua" w:hAnsi="Book Antiqua"/>
          <w:color w:val="auto"/>
        </w:rPr>
        <w:fldChar w:fldCharType="end"/>
      </w:r>
      <w:r w:rsidRPr="000720BB">
        <w:rPr>
          <w:rFonts w:ascii="Book Antiqua" w:hAnsi="Book Antiqua"/>
          <w:color w:val="auto"/>
        </w:rPr>
        <w:t xml:space="preserve"> : Adéquation entre les produits bancaires et les besoins en fonds de roulement des unités</w:t>
      </w:r>
      <w:bookmarkEnd w:id="85"/>
    </w:p>
    <w:p w:rsidR="009839AF" w:rsidRPr="009839AF" w:rsidRDefault="00F44BC9" w:rsidP="00840635">
      <w:pPr>
        <w:spacing w:before="120" w:line="276" w:lineRule="auto"/>
        <w:jc w:val="center"/>
        <w:rPr>
          <w:rFonts w:asciiTheme="minorHAnsi" w:eastAsiaTheme="minorHAnsi" w:hAnsiTheme="minorHAnsi" w:cstheme="minorBidi"/>
          <w:sz w:val="22"/>
          <w:szCs w:val="22"/>
        </w:rPr>
      </w:pPr>
      <w:r w:rsidRPr="00AE3DF1">
        <w:rPr>
          <w:rFonts w:asciiTheme="minorHAnsi" w:eastAsiaTheme="minorHAnsi" w:hAnsiTheme="minorHAnsi" w:cstheme="minorBidi"/>
          <w:noProof/>
          <w:sz w:val="22"/>
          <w:szCs w:val="22"/>
        </w:rPr>
        <w:drawing>
          <wp:inline distT="0" distB="0" distL="0" distR="0">
            <wp:extent cx="4834180" cy="2369127"/>
            <wp:effectExtent l="19050" t="0" r="23570" b="0"/>
            <wp:docPr id="2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260C9" w:rsidRDefault="00322DD5" w:rsidP="00840635">
      <w:pPr>
        <w:spacing w:before="120" w:line="276" w:lineRule="auto"/>
        <w:jc w:val="both"/>
        <w:rPr>
          <w:rFonts w:ascii="Book Antiqua" w:eastAsiaTheme="minorHAnsi" w:hAnsi="Book Antiqua" w:cstheme="minorBidi"/>
          <w:sz w:val="22"/>
          <w:szCs w:val="22"/>
          <w:lang w:eastAsia="en-US"/>
        </w:rPr>
      </w:pPr>
      <w:r>
        <w:rPr>
          <w:rFonts w:ascii="Book Antiqua" w:eastAsiaTheme="minorHAnsi" w:hAnsi="Book Antiqua" w:cstheme="minorBidi"/>
          <w:sz w:val="22"/>
          <w:szCs w:val="22"/>
          <w:lang w:eastAsia="en-US"/>
        </w:rPr>
        <w:lastRenderedPageBreak/>
        <w:t>L’analyse de la perception des unités sur les pr</w:t>
      </w:r>
      <w:r w:rsidR="0027700D">
        <w:rPr>
          <w:rFonts w:ascii="Book Antiqua" w:eastAsiaTheme="minorHAnsi" w:hAnsi="Book Antiqua" w:cstheme="minorBidi"/>
          <w:sz w:val="22"/>
          <w:szCs w:val="22"/>
          <w:lang w:eastAsia="en-US"/>
        </w:rPr>
        <w:t>oduits bancaires fait ressortir</w:t>
      </w:r>
      <w:r w:rsidR="00AA1286">
        <w:rPr>
          <w:rFonts w:ascii="Book Antiqua" w:eastAsiaTheme="minorHAnsi" w:hAnsi="Book Antiqua" w:cstheme="minorBidi"/>
          <w:sz w:val="22"/>
          <w:szCs w:val="22"/>
          <w:lang w:eastAsia="en-US"/>
        </w:rPr>
        <w:t xml:space="preserve"> </w:t>
      </w:r>
      <w:r>
        <w:rPr>
          <w:rFonts w:ascii="Book Antiqua" w:eastAsiaTheme="minorHAnsi" w:hAnsi="Book Antiqua" w:cstheme="minorBidi"/>
          <w:sz w:val="22"/>
          <w:szCs w:val="22"/>
          <w:lang w:eastAsia="en-US"/>
        </w:rPr>
        <w:t xml:space="preserve">des </w:t>
      </w:r>
      <w:r w:rsidR="00DD2569">
        <w:rPr>
          <w:rFonts w:ascii="Book Antiqua" w:eastAsiaTheme="minorHAnsi" w:hAnsi="Book Antiqua" w:cstheme="minorBidi"/>
          <w:sz w:val="22"/>
          <w:szCs w:val="22"/>
          <w:lang w:eastAsia="en-US"/>
        </w:rPr>
        <w:t xml:space="preserve">niveaux </w:t>
      </w:r>
      <w:r w:rsidR="009839AF" w:rsidRPr="009839AF">
        <w:rPr>
          <w:rFonts w:ascii="Book Antiqua" w:eastAsiaTheme="minorHAnsi" w:hAnsi="Book Antiqua" w:cstheme="minorBidi"/>
          <w:sz w:val="22"/>
          <w:szCs w:val="22"/>
          <w:lang w:eastAsia="en-US"/>
        </w:rPr>
        <w:t xml:space="preserve">d’insatisfaction </w:t>
      </w:r>
      <w:r w:rsidR="001C2965">
        <w:rPr>
          <w:rFonts w:ascii="Book Antiqua" w:eastAsiaTheme="minorHAnsi" w:hAnsi="Book Antiqua" w:cstheme="minorBidi"/>
          <w:sz w:val="22"/>
          <w:szCs w:val="22"/>
          <w:lang w:eastAsia="en-US"/>
        </w:rPr>
        <w:t xml:space="preserve">quasiment similaires </w:t>
      </w:r>
      <w:r>
        <w:rPr>
          <w:rFonts w:ascii="Book Antiqua" w:eastAsiaTheme="minorHAnsi" w:hAnsi="Book Antiqua" w:cstheme="minorBidi"/>
          <w:sz w:val="22"/>
          <w:szCs w:val="22"/>
          <w:lang w:eastAsia="en-US"/>
        </w:rPr>
        <w:t xml:space="preserve">pour le </w:t>
      </w:r>
      <w:r w:rsidR="009839AF" w:rsidRPr="009839AF">
        <w:rPr>
          <w:rFonts w:ascii="Book Antiqua" w:eastAsiaTheme="minorHAnsi" w:hAnsi="Book Antiqua" w:cstheme="minorBidi"/>
          <w:sz w:val="22"/>
          <w:szCs w:val="22"/>
          <w:lang w:eastAsia="en-US"/>
        </w:rPr>
        <w:t>secteur moderne</w:t>
      </w:r>
      <w:r w:rsidR="00AA1286">
        <w:rPr>
          <w:rFonts w:ascii="Book Antiqua" w:eastAsiaTheme="minorHAnsi" w:hAnsi="Book Antiqua" w:cstheme="minorBidi"/>
          <w:sz w:val="22"/>
          <w:szCs w:val="22"/>
          <w:lang w:eastAsia="en-US"/>
        </w:rPr>
        <w:t xml:space="preserve"> </w:t>
      </w:r>
      <w:r w:rsidR="001C2965">
        <w:rPr>
          <w:rFonts w:ascii="Book Antiqua" w:eastAsiaTheme="minorHAnsi" w:hAnsi="Book Antiqua" w:cstheme="minorBidi"/>
          <w:sz w:val="22"/>
          <w:szCs w:val="22"/>
          <w:lang w:eastAsia="en-US"/>
        </w:rPr>
        <w:t>(44,</w:t>
      </w:r>
      <w:r w:rsidR="0027700D">
        <w:rPr>
          <w:rFonts w:ascii="Book Antiqua" w:eastAsiaTheme="minorHAnsi" w:hAnsi="Book Antiqua" w:cstheme="minorBidi"/>
          <w:sz w:val="22"/>
          <w:szCs w:val="22"/>
          <w:lang w:eastAsia="en-US"/>
        </w:rPr>
        <w:t>2</w:t>
      </w:r>
      <w:r w:rsidR="001C2965">
        <w:rPr>
          <w:rFonts w:ascii="Book Antiqua" w:eastAsiaTheme="minorHAnsi" w:hAnsi="Book Antiqua" w:cstheme="minorBidi"/>
          <w:sz w:val="22"/>
          <w:szCs w:val="22"/>
          <w:lang w:eastAsia="en-US"/>
        </w:rPr>
        <w:t>%) et</w:t>
      </w:r>
      <w:r w:rsidR="00AA1286">
        <w:rPr>
          <w:rFonts w:ascii="Book Antiqua" w:eastAsiaTheme="minorHAnsi" w:hAnsi="Book Antiqua" w:cstheme="minorBidi"/>
          <w:sz w:val="22"/>
          <w:szCs w:val="22"/>
          <w:lang w:eastAsia="en-US"/>
        </w:rPr>
        <w:t xml:space="preserve"> </w:t>
      </w:r>
      <w:r>
        <w:rPr>
          <w:rFonts w:ascii="Book Antiqua" w:eastAsiaTheme="minorHAnsi" w:hAnsi="Book Antiqua" w:cstheme="minorBidi"/>
          <w:sz w:val="22"/>
          <w:szCs w:val="22"/>
          <w:lang w:eastAsia="en-US"/>
        </w:rPr>
        <w:t xml:space="preserve">le </w:t>
      </w:r>
      <w:r w:rsidR="009839AF" w:rsidRPr="009839AF">
        <w:rPr>
          <w:rFonts w:ascii="Book Antiqua" w:eastAsiaTheme="minorHAnsi" w:hAnsi="Book Antiqua" w:cstheme="minorBidi"/>
          <w:sz w:val="22"/>
          <w:szCs w:val="22"/>
          <w:lang w:eastAsia="en-US"/>
        </w:rPr>
        <w:t>secteur informel</w:t>
      </w:r>
      <w:r w:rsidR="001C2965">
        <w:rPr>
          <w:rFonts w:ascii="Book Antiqua" w:eastAsiaTheme="minorHAnsi" w:hAnsi="Book Antiqua" w:cstheme="minorBidi"/>
          <w:sz w:val="22"/>
          <w:szCs w:val="22"/>
          <w:lang w:eastAsia="en-US"/>
        </w:rPr>
        <w:t xml:space="preserve"> (44,4%)</w:t>
      </w:r>
      <w:r>
        <w:rPr>
          <w:rFonts w:ascii="Book Antiqua" w:eastAsiaTheme="minorHAnsi" w:hAnsi="Book Antiqua" w:cstheme="minorBidi"/>
          <w:sz w:val="22"/>
          <w:szCs w:val="22"/>
          <w:lang w:eastAsia="en-US"/>
        </w:rPr>
        <w:t>.</w:t>
      </w:r>
      <w:r w:rsidR="0041215D">
        <w:rPr>
          <w:rFonts w:ascii="Book Antiqua" w:eastAsiaTheme="minorHAnsi" w:hAnsi="Book Antiqua" w:cstheme="minorBidi"/>
          <w:sz w:val="22"/>
          <w:szCs w:val="22"/>
          <w:lang w:eastAsia="en-US"/>
        </w:rPr>
        <w:t xml:space="preserve"> </w:t>
      </w:r>
      <w:r>
        <w:rPr>
          <w:rFonts w:ascii="Book Antiqua" w:eastAsiaTheme="minorHAnsi" w:hAnsi="Book Antiqua" w:cstheme="minorBidi"/>
          <w:sz w:val="22"/>
          <w:szCs w:val="22"/>
          <w:lang w:eastAsia="en-US"/>
        </w:rPr>
        <w:t xml:space="preserve">A l’inverse, </w:t>
      </w:r>
      <w:r w:rsidR="00AA1286">
        <w:rPr>
          <w:rFonts w:ascii="Book Antiqua" w:eastAsiaTheme="minorHAnsi" w:hAnsi="Book Antiqua" w:cstheme="minorBidi"/>
          <w:sz w:val="22"/>
          <w:szCs w:val="22"/>
          <w:lang w:eastAsia="en-US"/>
        </w:rPr>
        <w:t xml:space="preserve">des proportions de </w:t>
      </w:r>
      <w:r w:rsidR="001C2965">
        <w:rPr>
          <w:rFonts w:ascii="Book Antiqua" w:eastAsiaTheme="minorHAnsi" w:hAnsi="Book Antiqua" w:cstheme="minorBidi"/>
          <w:sz w:val="22"/>
          <w:szCs w:val="22"/>
          <w:lang w:eastAsia="en-US"/>
        </w:rPr>
        <w:t>55,</w:t>
      </w:r>
      <w:r w:rsidR="0027700D">
        <w:rPr>
          <w:rFonts w:ascii="Book Antiqua" w:eastAsiaTheme="minorHAnsi" w:hAnsi="Book Antiqua" w:cstheme="minorBidi"/>
          <w:sz w:val="22"/>
          <w:szCs w:val="22"/>
          <w:lang w:eastAsia="en-US"/>
        </w:rPr>
        <w:t>8</w:t>
      </w:r>
      <w:r w:rsidR="001C2965">
        <w:rPr>
          <w:rFonts w:ascii="Book Antiqua" w:eastAsiaTheme="minorHAnsi" w:hAnsi="Book Antiqua" w:cstheme="minorBidi"/>
          <w:sz w:val="22"/>
          <w:szCs w:val="22"/>
          <w:lang w:eastAsia="en-US"/>
        </w:rPr>
        <w:t>% et 55,6% d</w:t>
      </w:r>
      <w:r w:rsidR="0027700D">
        <w:rPr>
          <w:rFonts w:ascii="Book Antiqua" w:eastAsiaTheme="minorHAnsi" w:hAnsi="Book Antiqua" w:cstheme="minorBidi"/>
          <w:sz w:val="22"/>
          <w:szCs w:val="22"/>
          <w:lang w:eastAsia="en-US"/>
        </w:rPr>
        <w:t xml:space="preserve">es </w:t>
      </w:r>
      <w:r w:rsidR="001C2965">
        <w:rPr>
          <w:rFonts w:ascii="Book Antiqua" w:eastAsiaTheme="minorHAnsi" w:hAnsi="Book Antiqua" w:cstheme="minorBidi"/>
          <w:sz w:val="22"/>
          <w:szCs w:val="22"/>
          <w:lang w:eastAsia="en-US"/>
        </w:rPr>
        <w:t>unités exerçant respectivement dans les secteurs formel et informel jugent</w:t>
      </w:r>
      <w:r w:rsidR="00AA1286">
        <w:rPr>
          <w:rFonts w:ascii="Book Antiqua" w:eastAsiaTheme="minorHAnsi" w:hAnsi="Book Antiqua" w:cstheme="minorBidi"/>
          <w:sz w:val="22"/>
          <w:szCs w:val="22"/>
          <w:lang w:eastAsia="en-US"/>
        </w:rPr>
        <w:t xml:space="preserve"> </w:t>
      </w:r>
      <w:r w:rsidR="001C2965">
        <w:rPr>
          <w:rFonts w:ascii="Book Antiqua" w:eastAsiaTheme="minorHAnsi" w:hAnsi="Book Antiqua" w:cstheme="minorBidi"/>
          <w:sz w:val="22"/>
          <w:szCs w:val="22"/>
          <w:lang w:eastAsia="en-US"/>
        </w:rPr>
        <w:t>les produits bancaires</w:t>
      </w:r>
      <w:r w:rsidR="0041215D">
        <w:rPr>
          <w:rFonts w:ascii="Book Antiqua" w:eastAsiaTheme="minorHAnsi" w:hAnsi="Book Antiqua" w:cstheme="minorBidi"/>
          <w:sz w:val="22"/>
          <w:szCs w:val="22"/>
          <w:lang w:eastAsia="en-US"/>
        </w:rPr>
        <w:t xml:space="preserve"> </w:t>
      </w:r>
      <w:r w:rsidR="004204AC" w:rsidRPr="00A44F20">
        <w:rPr>
          <w:rFonts w:ascii="Book Antiqua" w:eastAsiaTheme="minorHAnsi" w:hAnsi="Book Antiqua" w:cstheme="minorBidi"/>
          <w:i/>
          <w:sz w:val="22"/>
          <w:szCs w:val="22"/>
          <w:lang w:eastAsia="en-US"/>
        </w:rPr>
        <w:t>« adaptés »</w:t>
      </w:r>
      <w:r w:rsidR="001C2965">
        <w:rPr>
          <w:rFonts w:ascii="Book Antiqua" w:eastAsiaTheme="minorHAnsi" w:hAnsi="Book Antiqua" w:cstheme="minorBidi"/>
          <w:sz w:val="22"/>
          <w:szCs w:val="22"/>
          <w:lang w:eastAsia="en-US"/>
        </w:rPr>
        <w:t xml:space="preserve"> voire </w:t>
      </w:r>
      <w:r w:rsidR="004204AC" w:rsidRPr="00A44F20">
        <w:rPr>
          <w:rFonts w:ascii="Book Antiqua" w:eastAsiaTheme="minorHAnsi" w:hAnsi="Book Antiqua" w:cstheme="minorBidi"/>
          <w:i/>
          <w:sz w:val="22"/>
          <w:szCs w:val="22"/>
          <w:lang w:eastAsia="en-US"/>
        </w:rPr>
        <w:t>« </w:t>
      </w:r>
      <w:r w:rsidR="001C2965" w:rsidRPr="001C2965">
        <w:rPr>
          <w:rFonts w:ascii="Book Antiqua" w:eastAsiaTheme="minorHAnsi" w:hAnsi="Book Antiqua" w:cstheme="minorBidi"/>
          <w:i/>
          <w:sz w:val="22"/>
          <w:szCs w:val="22"/>
          <w:lang w:eastAsia="en-US"/>
        </w:rPr>
        <w:t xml:space="preserve">très </w:t>
      </w:r>
      <w:r w:rsidR="004204AC" w:rsidRPr="00A44F20">
        <w:rPr>
          <w:rFonts w:ascii="Book Antiqua" w:eastAsiaTheme="minorHAnsi" w:hAnsi="Book Antiqua" w:cstheme="minorBidi"/>
          <w:i/>
          <w:sz w:val="22"/>
          <w:szCs w:val="22"/>
          <w:lang w:eastAsia="en-US"/>
        </w:rPr>
        <w:t>adaptés </w:t>
      </w:r>
      <w:r w:rsidR="001C2965">
        <w:rPr>
          <w:rFonts w:ascii="Book Antiqua" w:eastAsiaTheme="minorHAnsi" w:hAnsi="Book Antiqua" w:cstheme="minorBidi"/>
          <w:sz w:val="22"/>
          <w:szCs w:val="22"/>
          <w:lang w:eastAsia="en-US"/>
        </w:rPr>
        <w:t>»</w:t>
      </w:r>
      <w:r w:rsidR="00AA1286">
        <w:rPr>
          <w:rFonts w:ascii="Book Antiqua" w:eastAsiaTheme="minorHAnsi" w:hAnsi="Book Antiqua" w:cstheme="minorBidi"/>
          <w:sz w:val="22"/>
          <w:szCs w:val="22"/>
          <w:lang w:eastAsia="en-US"/>
        </w:rPr>
        <w:t xml:space="preserve"> </w:t>
      </w:r>
      <w:r w:rsidR="001C2965">
        <w:rPr>
          <w:rFonts w:ascii="Book Antiqua" w:eastAsiaTheme="minorHAnsi" w:hAnsi="Book Antiqua" w:cstheme="minorBidi"/>
          <w:sz w:val="22"/>
          <w:szCs w:val="22"/>
          <w:lang w:eastAsia="en-US"/>
        </w:rPr>
        <w:t>à</w:t>
      </w:r>
      <w:r w:rsidR="00AA1286">
        <w:rPr>
          <w:rFonts w:ascii="Book Antiqua" w:eastAsiaTheme="minorHAnsi" w:hAnsi="Book Antiqua" w:cstheme="minorBidi"/>
          <w:sz w:val="22"/>
          <w:szCs w:val="22"/>
          <w:lang w:eastAsia="en-US"/>
        </w:rPr>
        <w:t xml:space="preserve"> </w:t>
      </w:r>
      <w:r w:rsidR="009839AF" w:rsidRPr="009839AF">
        <w:rPr>
          <w:rFonts w:ascii="Book Antiqua" w:eastAsiaTheme="minorHAnsi" w:hAnsi="Book Antiqua" w:cstheme="minorBidi"/>
          <w:sz w:val="22"/>
          <w:szCs w:val="22"/>
          <w:lang w:eastAsia="en-US"/>
        </w:rPr>
        <w:t>le</w:t>
      </w:r>
      <w:r w:rsidR="001C2965">
        <w:rPr>
          <w:rFonts w:ascii="Book Antiqua" w:eastAsiaTheme="minorHAnsi" w:hAnsi="Book Antiqua" w:cstheme="minorBidi"/>
          <w:sz w:val="22"/>
          <w:szCs w:val="22"/>
          <w:lang w:eastAsia="en-US"/>
        </w:rPr>
        <w:t>ur</w:t>
      </w:r>
      <w:r w:rsidR="009839AF" w:rsidRPr="009839AF">
        <w:rPr>
          <w:rFonts w:ascii="Book Antiqua" w:eastAsiaTheme="minorHAnsi" w:hAnsi="Book Antiqua" w:cstheme="minorBidi"/>
          <w:sz w:val="22"/>
          <w:szCs w:val="22"/>
          <w:lang w:eastAsia="en-US"/>
        </w:rPr>
        <w:t>s besoins en fonds de roulement</w:t>
      </w:r>
      <w:r w:rsidR="001C2965">
        <w:rPr>
          <w:rFonts w:ascii="Book Antiqua" w:eastAsiaTheme="minorHAnsi" w:hAnsi="Book Antiqua" w:cstheme="minorBidi"/>
          <w:sz w:val="22"/>
          <w:szCs w:val="22"/>
          <w:lang w:eastAsia="en-US"/>
        </w:rPr>
        <w:t xml:space="preserve">. </w:t>
      </w:r>
    </w:p>
    <w:p w:rsidR="000720BB" w:rsidRPr="000720BB" w:rsidRDefault="000720BB" w:rsidP="00840635">
      <w:pPr>
        <w:pStyle w:val="Lgende"/>
        <w:keepNext/>
        <w:spacing w:line="276" w:lineRule="auto"/>
        <w:jc w:val="center"/>
        <w:rPr>
          <w:rFonts w:ascii="Book Antiqua" w:hAnsi="Book Antiqua"/>
          <w:color w:val="auto"/>
        </w:rPr>
      </w:pPr>
      <w:bookmarkStart w:id="86" w:name="_Toc523313726"/>
      <w:r w:rsidRPr="000720BB">
        <w:rPr>
          <w:rFonts w:ascii="Book Antiqua" w:hAnsi="Book Antiqua"/>
          <w:color w:val="auto"/>
        </w:rPr>
        <w:t xml:space="preserve">Figure </w:t>
      </w:r>
      <w:r w:rsidR="000D65F2">
        <w:rPr>
          <w:rFonts w:ascii="Book Antiqua" w:hAnsi="Book Antiqua"/>
          <w:color w:val="auto"/>
        </w:rPr>
        <w:fldChar w:fldCharType="begin"/>
      </w:r>
      <w:r w:rsidR="002708B0">
        <w:rPr>
          <w:rFonts w:ascii="Book Antiqua" w:hAnsi="Book Antiqua"/>
          <w:color w:val="auto"/>
        </w:rPr>
        <w:instrText xml:space="preserve"> SEQ Figure \* ARABIC </w:instrText>
      </w:r>
      <w:r w:rsidR="000D65F2">
        <w:rPr>
          <w:rFonts w:ascii="Book Antiqua" w:hAnsi="Book Antiqua"/>
          <w:color w:val="auto"/>
        </w:rPr>
        <w:fldChar w:fldCharType="separate"/>
      </w:r>
      <w:r w:rsidR="000F780F">
        <w:rPr>
          <w:rFonts w:ascii="Book Antiqua" w:hAnsi="Book Antiqua"/>
          <w:noProof/>
          <w:color w:val="auto"/>
        </w:rPr>
        <w:t>43</w:t>
      </w:r>
      <w:r w:rsidR="000D65F2">
        <w:rPr>
          <w:rFonts w:ascii="Book Antiqua" w:hAnsi="Book Antiqua"/>
          <w:color w:val="auto"/>
        </w:rPr>
        <w:fldChar w:fldCharType="end"/>
      </w:r>
      <w:r w:rsidRPr="000720BB">
        <w:rPr>
          <w:rFonts w:ascii="Book Antiqua" w:hAnsi="Book Antiqua"/>
          <w:color w:val="auto"/>
        </w:rPr>
        <w:t xml:space="preserve"> : Adéquation entre les produits et les besoins en fonds de roulement selon la nature d'activité des unités</w:t>
      </w:r>
      <w:bookmarkEnd w:id="86"/>
    </w:p>
    <w:p w:rsidR="009839AF" w:rsidRDefault="00F44BC9" w:rsidP="00840635">
      <w:pPr>
        <w:spacing w:before="120" w:line="276" w:lineRule="auto"/>
        <w:jc w:val="center"/>
        <w:rPr>
          <w:rFonts w:ascii="Book Antiqua" w:eastAsiaTheme="minorHAnsi" w:hAnsi="Book Antiqua" w:cstheme="minorBidi"/>
          <w:sz w:val="22"/>
          <w:szCs w:val="22"/>
          <w:lang w:eastAsia="en-US"/>
        </w:rPr>
      </w:pPr>
      <w:r w:rsidRPr="00A44F20">
        <w:rPr>
          <w:rFonts w:ascii="Book Antiqua" w:eastAsiaTheme="minorHAnsi" w:hAnsi="Book Antiqua" w:cstheme="minorBidi"/>
          <w:noProof/>
          <w:sz w:val="22"/>
          <w:szCs w:val="22"/>
        </w:rPr>
        <w:drawing>
          <wp:inline distT="0" distB="0" distL="0" distR="0">
            <wp:extent cx="4572000" cy="2390775"/>
            <wp:effectExtent l="19050" t="0" r="19050" b="0"/>
            <wp:docPr id="3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21F70" w:rsidRPr="00AA1286" w:rsidRDefault="00EC155D" w:rsidP="00531C35">
      <w:pPr>
        <w:numPr>
          <w:ilvl w:val="0"/>
          <w:numId w:val="4"/>
        </w:numPr>
        <w:tabs>
          <w:tab w:val="clear" w:pos="587"/>
        </w:tabs>
        <w:suppressAutoHyphens/>
        <w:spacing w:before="240" w:after="240" w:line="276" w:lineRule="auto"/>
        <w:ind w:left="284"/>
        <w:jc w:val="both"/>
        <w:outlineLvl w:val="0"/>
        <w:rPr>
          <w:rFonts w:ascii="Book Antiqua" w:hAnsi="Book Antiqua" w:cs="Arial"/>
          <w:b/>
          <w:sz w:val="22"/>
          <w:szCs w:val="22"/>
        </w:rPr>
      </w:pPr>
      <w:bookmarkStart w:id="87" w:name="_Toc523322048"/>
      <w:r w:rsidRPr="00AA1286">
        <w:rPr>
          <w:rFonts w:ascii="Book Antiqua" w:hAnsi="Book Antiqua" w:cs="Arial"/>
          <w:b/>
          <w:sz w:val="22"/>
          <w:szCs w:val="22"/>
        </w:rPr>
        <w:t>Satisfaction sur les coûts</w:t>
      </w:r>
      <w:bookmarkEnd w:id="87"/>
    </w:p>
    <w:p w:rsidR="009260C9" w:rsidRDefault="00691FA0" w:rsidP="00840635">
      <w:pPr>
        <w:spacing w:before="240" w:after="200" w:line="276" w:lineRule="auto"/>
        <w:jc w:val="both"/>
        <w:rPr>
          <w:rFonts w:ascii="Book Antiqua" w:eastAsia="Calibri" w:hAnsi="Book Antiqua"/>
          <w:sz w:val="22"/>
          <w:szCs w:val="22"/>
          <w:lang w:eastAsia="en-US"/>
        </w:rPr>
      </w:pPr>
      <w:r w:rsidRPr="00AA1286">
        <w:rPr>
          <w:rFonts w:ascii="Book Antiqua" w:eastAsia="Calibri" w:hAnsi="Book Antiqua"/>
          <w:sz w:val="22"/>
          <w:szCs w:val="22"/>
          <w:lang w:eastAsia="en-US"/>
        </w:rPr>
        <w:t>La satisfaction</w:t>
      </w:r>
      <w:r w:rsidR="00AA1286" w:rsidRPr="00AA1286">
        <w:rPr>
          <w:rFonts w:ascii="Book Antiqua" w:eastAsia="Calibri" w:hAnsi="Book Antiqua"/>
          <w:sz w:val="22"/>
          <w:szCs w:val="22"/>
          <w:lang w:eastAsia="en-US"/>
        </w:rPr>
        <w:t xml:space="preserve"> </w:t>
      </w:r>
      <w:r w:rsidRPr="00AA1286">
        <w:rPr>
          <w:rFonts w:ascii="Book Antiqua" w:eastAsia="Calibri" w:hAnsi="Book Antiqua"/>
          <w:sz w:val="22"/>
          <w:szCs w:val="22"/>
          <w:lang w:eastAsia="en-US"/>
        </w:rPr>
        <w:t xml:space="preserve">sur les </w:t>
      </w:r>
      <w:r w:rsidR="00980925" w:rsidRPr="00AA1286">
        <w:rPr>
          <w:rFonts w:ascii="Book Antiqua" w:eastAsia="Calibri" w:hAnsi="Book Antiqua"/>
          <w:sz w:val="22"/>
          <w:szCs w:val="22"/>
          <w:lang w:eastAsia="en-US"/>
        </w:rPr>
        <w:t xml:space="preserve">coûts </w:t>
      </w:r>
      <w:r w:rsidRPr="00AA1286">
        <w:rPr>
          <w:rFonts w:ascii="Book Antiqua" w:eastAsia="Calibri" w:hAnsi="Book Antiqua"/>
          <w:sz w:val="22"/>
          <w:szCs w:val="22"/>
          <w:lang w:eastAsia="en-US"/>
        </w:rPr>
        <w:t xml:space="preserve">est notamment appréciée à partir de </w:t>
      </w:r>
      <w:r w:rsidR="00980925" w:rsidRPr="00AA1286">
        <w:rPr>
          <w:rFonts w:ascii="Book Antiqua" w:eastAsia="Calibri" w:hAnsi="Book Antiqua"/>
          <w:sz w:val="22"/>
          <w:szCs w:val="22"/>
          <w:lang w:eastAsia="en-US"/>
        </w:rPr>
        <w:t xml:space="preserve">l’avis des </w:t>
      </w:r>
      <w:r w:rsidR="00F569E9" w:rsidRPr="00AA1286">
        <w:rPr>
          <w:rFonts w:ascii="Book Antiqua" w:eastAsia="Calibri" w:hAnsi="Book Antiqua"/>
          <w:sz w:val="22"/>
          <w:szCs w:val="22"/>
          <w:lang w:eastAsia="en-US"/>
        </w:rPr>
        <w:t xml:space="preserve">unités </w:t>
      </w:r>
      <w:r w:rsidR="00980925" w:rsidRPr="00AA1286">
        <w:rPr>
          <w:rFonts w:ascii="Book Antiqua" w:eastAsia="Calibri" w:hAnsi="Book Antiqua"/>
          <w:sz w:val="22"/>
          <w:szCs w:val="22"/>
          <w:lang w:eastAsia="en-US"/>
        </w:rPr>
        <w:t xml:space="preserve">sur </w:t>
      </w:r>
      <w:r w:rsidRPr="00AA1286">
        <w:rPr>
          <w:rFonts w:ascii="Book Antiqua" w:eastAsia="Calibri" w:hAnsi="Book Antiqua"/>
          <w:sz w:val="22"/>
          <w:szCs w:val="22"/>
          <w:lang w:eastAsia="en-US"/>
        </w:rPr>
        <w:t xml:space="preserve">le crédit, </w:t>
      </w:r>
      <w:r w:rsidR="00980925" w:rsidRPr="00AA1286">
        <w:rPr>
          <w:rFonts w:ascii="Book Antiqua" w:eastAsia="Calibri" w:hAnsi="Book Antiqua"/>
          <w:sz w:val="22"/>
          <w:szCs w:val="22"/>
          <w:lang w:eastAsia="en-US"/>
        </w:rPr>
        <w:t xml:space="preserve">les frais </w:t>
      </w:r>
      <w:r w:rsidRPr="00AA1286">
        <w:rPr>
          <w:rFonts w:ascii="Book Antiqua" w:eastAsia="Calibri" w:hAnsi="Book Antiqua"/>
          <w:sz w:val="22"/>
          <w:szCs w:val="22"/>
          <w:lang w:eastAsia="en-US"/>
        </w:rPr>
        <w:t xml:space="preserve">liés à la tenue de compte </w:t>
      </w:r>
      <w:r w:rsidR="00980925" w:rsidRPr="00AA1286">
        <w:rPr>
          <w:rFonts w:ascii="Book Antiqua" w:eastAsia="Calibri" w:hAnsi="Book Antiqua"/>
          <w:sz w:val="22"/>
          <w:szCs w:val="22"/>
          <w:lang w:eastAsia="en-US"/>
        </w:rPr>
        <w:t>ainsi que</w:t>
      </w:r>
      <w:r w:rsidRPr="00AA1286">
        <w:rPr>
          <w:rFonts w:ascii="Book Antiqua" w:eastAsia="Calibri" w:hAnsi="Book Antiqua"/>
          <w:sz w:val="22"/>
          <w:szCs w:val="22"/>
          <w:lang w:eastAsia="en-US"/>
        </w:rPr>
        <w:t xml:space="preserve"> les services liés à la consultation à distance. </w:t>
      </w:r>
    </w:p>
    <w:p w:rsidR="009260C9" w:rsidRPr="00AA1286" w:rsidRDefault="00980925" w:rsidP="00531C35">
      <w:pPr>
        <w:tabs>
          <w:tab w:val="left" w:pos="880"/>
          <w:tab w:val="right" w:leader="dot" w:pos="9572"/>
        </w:tabs>
        <w:spacing w:before="240" w:after="240" w:line="276" w:lineRule="auto"/>
        <w:ind w:left="567" w:hanging="283"/>
        <w:jc w:val="both"/>
        <w:outlineLvl w:val="1"/>
        <w:rPr>
          <w:rFonts w:ascii="Book Antiqua" w:hAnsi="Book Antiqua" w:cs="Arial"/>
          <w:b/>
          <w:noProof/>
          <w:sz w:val="22"/>
          <w:szCs w:val="22"/>
        </w:rPr>
      </w:pPr>
      <w:bookmarkStart w:id="88" w:name="_Toc433234328"/>
      <w:bookmarkStart w:id="89" w:name="_Toc523322049"/>
      <w:r w:rsidRPr="00AA1286">
        <w:rPr>
          <w:rFonts w:ascii="Book Antiqua" w:hAnsi="Book Antiqua" w:cs="Arial"/>
          <w:b/>
          <w:noProof/>
          <w:sz w:val="22"/>
          <w:szCs w:val="22"/>
        </w:rPr>
        <w:t>III.1. Satisfaction sur le coût du crédit</w:t>
      </w:r>
      <w:bookmarkEnd w:id="88"/>
      <w:bookmarkEnd w:id="89"/>
    </w:p>
    <w:p w:rsidR="009260C9" w:rsidRPr="005715F2" w:rsidRDefault="00980925" w:rsidP="00531C35">
      <w:pPr>
        <w:tabs>
          <w:tab w:val="left" w:pos="1320"/>
          <w:tab w:val="right" w:leader="dot" w:pos="9572"/>
        </w:tabs>
        <w:spacing w:before="240" w:after="240" w:line="276" w:lineRule="auto"/>
        <w:ind w:firstLine="567"/>
        <w:jc w:val="both"/>
        <w:outlineLvl w:val="2"/>
        <w:rPr>
          <w:rFonts w:ascii="Book Antiqua" w:hAnsi="Book Antiqua"/>
          <w:b/>
          <w:sz w:val="22"/>
          <w:szCs w:val="22"/>
        </w:rPr>
      </w:pPr>
      <w:bookmarkStart w:id="90" w:name="_Toc433234329"/>
      <w:bookmarkStart w:id="91" w:name="_Toc523322050"/>
      <w:r w:rsidRPr="005715F2">
        <w:rPr>
          <w:rFonts w:ascii="Book Antiqua" w:hAnsi="Book Antiqua"/>
          <w:b/>
          <w:sz w:val="22"/>
          <w:szCs w:val="22"/>
        </w:rPr>
        <w:t xml:space="preserve">III.1.1. </w:t>
      </w:r>
      <w:r w:rsidR="00F569E9" w:rsidRPr="005715F2">
        <w:rPr>
          <w:rFonts w:ascii="Book Antiqua" w:hAnsi="Book Antiqua"/>
          <w:b/>
          <w:sz w:val="22"/>
          <w:szCs w:val="22"/>
        </w:rPr>
        <w:t xml:space="preserve">Unités </w:t>
      </w:r>
      <w:r w:rsidRPr="005715F2">
        <w:rPr>
          <w:rFonts w:ascii="Book Antiqua" w:hAnsi="Book Antiqua"/>
          <w:b/>
          <w:sz w:val="22"/>
          <w:szCs w:val="22"/>
        </w:rPr>
        <w:t>ayant bénéficié d’un crédit et nature des crédits octroyés</w:t>
      </w:r>
      <w:bookmarkEnd w:id="90"/>
      <w:bookmarkEnd w:id="91"/>
    </w:p>
    <w:p w:rsidR="009260C9" w:rsidRPr="00AA1286" w:rsidRDefault="00AA1286" w:rsidP="00840635">
      <w:pPr>
        <w:spacing w:after="20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Les résultats de l’ESUB</w:t>
      </w:r>
      <w:r w:rsidR="001F7F14" w:rsidRPr="00AA1286">
        <w:rPr>
          <w:rFonts w:ascii="Book Antiqua" w:eastAsia="Calibri" w:hAnsi="Book Antiqua"/>
          <w:sz w:val="22"/>
          <w:szCs w:val="22"/>
          <w:lang w:eastAsia="en-US"/>
        </w:rPr>
        <w:t xml:space="preserve"> révèlent </w:t>
      </w:r>
      <w:r w:rsidR="00342C44" w:rsidRPr="00AA1286">
        <w:rPr>
          <w:rFonts w:ascii="Book Antiqua" w:eastAsia="Calibri" w:hAnsi="Book Antiqua"/>
          <w:sz w:val="22"/>
          <w:szCs w:val="22"/>
          <w:lang w:eastAsia="en-US"/>
        </w:rPr>
        <w:t xml:space="preserve">qu’une proportion de </w:t>
      </w:r>
      <w:r w:rsidR="00602DA7" w:rsidRPr="00AA1286">
        <w:rPr>
          <w:rFonts w:ascii="Book Antiqua" w:eastAsia="Calibri" w:hAnsi="Book Antiqua"/>
          <w:sz w:val="22"/>
          <w:szCs w:val="22"/>
          <w:lang w:eastAsia="en-US"/>
        </w:rPr>
        <w:t xml:space="preserve">27,7% des unités </w:t>
      </w:r>
      <w:r w:rsidR="00342C44" w:rsidRPr="00AA1286">
        <w:rPr>
          <w:rFonts w:ascii="Book Antiqua" w:eastAsia="Calibri" w:hAnsi="Book Antiqua"/>
          <w:sz w:val="22"/>
          <w:szCs w:val="22"/>
          <w:lang w:eastAsia="en-US"/>
        </w:rPr>
        <w:t>déclare</w:t>
      </w:r>
      <w:r w:rsidR="00602DA7" w:rsidRPr="00AA1286">
        <w:rPr>
          <w:rFonts w:ascii="Book Antiqua" w:eastAsia="Calibri" w:hAnsi="Book Antiqua"/>
          <w:sz w:val="22"/>
          <w:szCs w:val="22"/>
          <w:lang w:eastAsia="en-US"/>
        </w:rPr>
        <w:t xml:space="preserve"> avoir bénéficié d’un prêt</w:t>
      </w:r>
      <w:r>
        <w:rPr>
          <w:rFonts w:ascii="Book Antiqua" w:eastAsia="Calibri" w:hAnsi="Book Antiqua"/>
          <w:sz w:val="22"/>
          <w:szCs w:val="22"/>
          <w:lang w:eastAsia="en-US"/>
        </w:rPr>
        <w:t xml:space="preserve"> </w:t>
      </w:r>
      <w:r w:rsidR="00342C44" w:rsidRPr="00AA1286">
        <w:rPr>
          <w:rFonts w:ascii="Book Antiqua" w:eastAsia="Calibri" w:hAnsi="Book Antiqua"/>
          <w:sz w:val="22"/>
          <w:szCs w:val="22"/>
          <w:lang w:eastAsia="en-US"/>
        </w:rPr>
        <w:t>auprès de leur banque principale au cours des trois</w:t>
      </w:r>
      <w:r w:rsidR="0041215D">
        <w:rPr>
          <w:rFonts w:ascii="Book Antiqua" w:eastAsia="Calibri" w:hAnsi="Book Antiqua"/>
          <w:sz w:val="22"/>
          <w:szCs w:val="22"/>
          <w:lang w:eastAsia="en-US"/>
        </w:rPr>
        <w:t xml:space="preserve"> (03)</w:t>
      </w:r>
      <w:r w:rsidR="00342C44" w:rsidRPr="00AA1286">
        <w:rPr>
          <w:rFonts w:ascii="Book Antiqua" w:eastAsia="Calibri" w:hAnsi="Book Antiqua"/>
          <w:sz w:val="22"/>
          <w:szCs w:val="22"/>
          <w:lang w:eastAsia="en-US"/>
        </w:rPr>
        <w:t xml:space="preserve"> dernières années contre 72,3% qui soutiennent le contraire.</w:t>
      </w:r>
    </w:p>
    <w:p w:rsidR="00FE54DF" w:rsidRPr="00FE54DF" w:rsidRDefault="00FE54DF" w:rsidP="00840635">
      <w:pPr>
        <w:pStyle w:val="Lgende"/>
        <w:keepNext/>
        <w:spacing w:line="276" w:lineRule="auto"/>
        <w:jc w:val="center"/>
        <w:rPr>
          <w:color w:val="auto"/>
        </w:rPr>
      </w:pPr>
      <w:bookmarkStart w:id="92" w:name="_Toc523313727"/>
      <w:r w:rsidRPr="00FE54DF">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44</w:t>
      </w:r>
      <w:r w:rsidR="000D65F2">
        <w:rPr>
          <w:color w:val="auto"/>
        </w:rPr>
        <w:fldChar w:fldCharType="end"/>
      </w:r>
      <w:r w:rsidRPr="00FE54DF">
        <w:rPr>
          <w:color w:val="auto"/>
        </w:rPr>
        <w:t xml:space="preserve"> : Appréciation des unités sur l'accès au crédit</w:t>
      </w:r>
      <w:bookmarkEnd w:id="92"/>
    </w:p>
    <w:p w:rsidR="009260C9" w:rsidRDefault="00F44BC9" w:rsidP="00840635">
      <w:pPr>
        <w:spacing w:after="200" w:line="276" w:lineRule="auto"/>
        <w:jc w:val="center"/>
        <w:rPr>
          <w:rFonts w:ascii="Book Antiqua" w:eastAsia="Calibri" w:hAnsi="Book Antiqua"/>
          <w:sz w:val="22"/>
          <w:szCs w:val="22"/>
          <w:lang w:eastAsia="en-US"/>
        </w:rPr>
      </w:pPr>
      <w:r w:rsidRPr="00A44F20">
        <w:rPr>
          <w:rFonts w:ascii="Book Antiqua" w:eastAsia="Calibri" w:hAnsi="Book Antiqua"/>
          <w:noProof/>
          <w:sz w:val="22"/>
          <w:szCs w:val="22"/>
        </w:rPr>
        <w:drawing>
          <wp:inline distT="0" distB="0" distL="0" distR="0">
            <wp:extent cx="4572000" cy="2366963"/>
            <wp:effectExtent l="19050" t="0" r="19050" b="0"/>
            <wp:docPr id="2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B4FC0" w:rsidRDefault="00183874" w:rsidP="00840635">
      <w:pPr>
        <w:spacing w:after="200" w:line="276" w:lineRule="auto"/>
        <w:contextualSpacing/>
        <w:jc w:val="both"/>
        <w:rPr>
          <w:rFonts w:ascii="Book Antiqua" w:eastAsia="Calibri" w:hAnsi="Book Antiqua"/>
          <w:sz w:val="22"/>
          <w:szCs w:val="22"/>
          <w:lang w:eastAsia="en-US"/>
        </w:rPr>
      </w:pPr>
      <w:r>
        <w:rPr>
          <w:rFonts w:ascii="Book Antiqua" w:eastAsia="Calibri" w:hAnsi="Book Antiqua"/>
          <w:sz w:val="22"/>
          <w:szCs w:val="22"/>
          <w:lang w:eastAsia="en-US"/>
        </w:rPr>
        <w:lastRenderedPageBreak/>
        <w:t>L</w:t>
      </w:r>
      <w:r w:rsidR="00511426">
        <w:rPr>
          <w:rFonts w:ascii="Book Antiqua" w:eastAsia="Calibri" w:hAnsi="Book Antiqua"/>
          <w:sz w:val="22"/>
          <w:szCs w:val="22"/>
          <w:lang w:eastAsia="en-US"/>
        </w:rPr>
        <w:t>’</w:t>
      </w:r>
      <w:r>
        <w:rPr>
          <w:rFonts w:ascii="Book Antiqua" w:eastAsia="Calibri" w:hAnsi="Book Antiqua"/>
          <w:sz w:val="22"/>
          <w:szCs w:val="22"/>
          <w:lang w:eastAsia="en-US"/>
        </w:rPr>
        <w:t xml:space="preserve">analyse </w:t>
      </w:r>
      <w:r w:rsidR="00511426">
        <w:rPr>
          <w:rFonts w:ascii="Book Antiqua" w:eastAsia="Calibri" w:hAnsi="Book Antiqua"/>
          <w:sz w:val="22"/>
          <w:szCs w:val="22"/>
          <w:lang w:eastAsia="en-US"/>
        </w:rPr>
        <w:t xml:space="preserve"> des données croisées avec le chiffre d’affaires fait ressortir un</w:t>
      </w:r>
      <w:r w:rsidR="00C62EF5">
        <w:rPr>
          <w:rFonts w:ascii="Book Antiqua" w:eastAsia="Calibri" w:hAnsi="Book Antiqua"/>
          <w:sz w:val="22"/>
          <w:szCs w:val="22"/>
          <w:lang w:eastAsia="en-US"/>
        </w:rPr>
        <w:t xml:space="preserve"> taux d’</w:t>
      </w:r>
      <w:r w:rsidR="00CB349C">
        <w:rPr>
          <w:rFonts w:ascii="Book Antiqua" w:eastAsia="Calibri" w:hAnsi="Book Antiqua"/>
          <w:sz w:val="22"/>
          <w:szCs w:val="22"/>
          <w:lang w:eastAsia="en-US"/>
        </w:rPr>
        <w:t xml:space="preserve">allocation du crédit </w:t>
      </w:r>
      <w:r w:rsidR="00511426">
        <w:rPr>
          <w:rFonts w:ascii="Book Antiqua" w:eastAsia="Calibri" w:hAnsi="Book Antiqua"/>
          <w:sz w:val="22"/>
          <w:szCs w:val="22"/>
          <w:lang w:eastAsia="en-US"/>
        </w:rPr>
        <w:t>qui croî</w:t>
      </w:r>
      <w:r w:rsidR="00BB4FC0">
        <w:rPr>
          <w:rFonts w:ascii="Book Antiqua" w:eastAsia="Calibri" w:hAnsi="Book Antiqua"/>
          <w:sz w:val="22"/>
          <w:szCs w:val="22"/>
          <w:lang w:eastAsia="en-US"/>
        </w:rPr>
        <w:t>t</w:t>
      </w:r>
      <w:r w:rsidR="00C62EF5">
        <w:rPr>
          <w:rFonts w:ascii="Book Antiqua" w:eastAsia="Calibri" w:hAnsi="Book Antiqua"/>
          <w:sz w:val="22"/>
          <w:szCs w:val="22"/>
          <w:lang w:eastAsia="en-US"/>
        </w:rPr>
        <w:t xml:space="preserve"> avec</w:t>
      </w:r>
      <w:r w:rsidR="00CB349C">
        <w:rPr>
          <w:rFonts w:ascii="Book Antiqua" w:eastAsia="Calibri" w:hAnsi="Book Antiqua"/>
          <w:sz w:val="22"/>
          <w:szCs w:val="22"/>
          <w:lang w:eastAsia="en-US"/>
        </w:rPr>
        <w:t xml:space="preserve"> la taille des unités</w:t>
      </w:r>
      <w:r w:rsidR="00BB4FC0">
        <w:rPr>
          <w:rFonts w:ascii="Book Antiqua" w:eastAsia="Calibri" w:hAnsi="Book Antiqua"/>
          <w:sz w:val="22"/>
          <w:szCs w:val="22"/>
          <w:lang w:eastAsia="en-US"/>
        </w:rPr>
        <w:t xml:space="preserve"> bénéficiaires : </w:t>
      </w:r>
    </w:p>
    <w:p w:rsidR="00C62EF5" w:rsidRPr="00BB4FC0" w:rsidRDefault="00511426" w:rsidP="00202A44">
      <w:pPr>
        <w:pStyle w:val="Paragraphedeliste"/>
        <w:numPr>
          <w:ilvl w:val="0"/>
          <w:numId w:val="48"/>
        </w:numPr>
        <w:spacing w:before="80" w:after="80" w:line="276" w:lineRule="auto"/>
        <w:ind w:left="714" w:hanging="357"/>
        <w:contextualSpacing w:val="0"/>
        <w:jc w:val="both"/>
        <w:rPr>
          <w:rFonts w:ascii="Book Antiqua" w:eastAsia="Calibri" w:hAnsi="Book Antiqua"/>
          <w:sz w:val="22"/>
          <w:szCs w:val="22"/>
          <w:lang w:eastAsia="en-US"/>
        </w:rPr>
      </w:pPr>
      <w:r>
        <w:rPr>
          <w:rFonts w:ascii="Book Antiqua" w:eastAsia="Calibri" w:hAnsi="Book Antiqua"/>
          <w:sz w:val="22"/>
          <w:szCs w:val="22"/>
          <w:lang w:eastAsia="en-US"/>
        </w:rPr>
        <w:t>22,6%</w:t>
      </w:r>
      <w:r w:rsidR="00AA1286">
        <w:rPr>
          <w:rFonts w:ascii="Book Antiqua" w:eastAsia="Calibri" w:hAnsi="Book Antiqua"/>
          <w:sz w:val="22"/>
          <w:szCs w:val="22"/>
          <w:lang w:eastAsia="en-US"/>
        </w:rPr>
        <w:t xml:space="preserve"> </w:t>
      </w:r>
      <w:r w:rsidR="00BB4FC0">
        <w:rPr>
          <w:rFonts w:ascii="Book Antiqua" w:eastAsia="Calibri" w:hAnsi="Book Antiqua"/>
          <w:sz w:val="22"/>
          <w:szCs w:val="22"/>
          <w:lang w:eastAsia="en-US"/>
        </w:rPr>
        <w:t xml:space="preserve">pour les unités </w:t>
      </w:r>
      <w:r w:rsidR="00C62EF5" w:rsidRPr="00BB4FC0">
        <w:rPr>
          <w:rFonts w:ascii="Book Antiqua" w:eastAsia="Calibri" w:hAnsi="Book Antiqua"/>
          <w:sz w:val="22"/>
          <w:szCs w:val="22"/>
          <w:lang w:eastAsia="en-US"/>
        </w:rPr>
        <w:t>dont le chiffre d’affaires est inférieur à 10 millions</w:t>
      </w:r>
      <w:r w:rsidR="00BB4FC0">
        <w:rPr>
          <w:rFonts w:ascii="Book Antiqua" w:eastAsia="Calibri" w:hAnsi="Book Antiqua"/>
          <w:sz w:val="22"/>
          <w:szCs w:val="22"/>
          <w:lang w:eastAsia="en-US"/>
        </w:rPr>
        <w:t xml:space="preserve"> FCFA</w:t>
      </w:r>
      <w:r w:rsidR="00C62EF5" w:rsidRPr="00BB4FC0">
        <w:rPr>
          <w:rFonts w:ascii="Book Antiqua" w:eastAsia="Calibri" w:hAnsi="Book Antiqua"/>
          <w:sz w:val="22"/>
          <w:szCs w:val="22"/>
          <w:lang w:eastAsia="en-US"/>
        </w:rPr>
        <w:t xml:space="preserve"> ; </w:t>
      </w:r>
    </w:p>
    <w:p w:rsidR="00C62EF5" w:rsidRDefault="00511426" w:rsidP="00202A44">
      <w:pPr>
        <w:pStyle w:val="Paragraphedeliste"/>
        <w:numPr>
          <w:ilvl w:val="0"/>
          <w:numId w:val="48"/>
        </w:numPr>
        <w:spacing w:before="80" w:after="80" w:line="276" w:lineRule="auto"/>
        <w:ind w:left="714" w:hanging="357"/>
        <w:contextualSpacing w:val="0"/>
        <w:jc w:val="both"/>
        <w:rPr>
          <w:rFonts w:ascii="Book Antiqua" w:eastAsia="Calibri" w:hAnsi="Book Antiqua"/>
          <w:sz w:val="22"/>
          <w:szCs w:val="22"/>
          <w:lang w:eastAsia="en-US"/>
        </w:rPr>
      </w:pPr>
      <w:r>
        <w:rPr>
          <w:rFonts w:ascii="Book Antiqua" w:eastAsia="Calibri" w:hAnsi="Book Antiqua"/>
          <w:sz w:val="22"/>
          <w:szCs w:val="22"/>
          <w:lang w:eastAsia="en-US"/>
        </w:rPr>
        <w:t>28,6%,</w:t>
      </w:r>
      <w:r w:rsidR="00C62EF5">
        <w:rPr>
          <w:rFonts w:ascii="Book Antiqua" w:eastAsia="Calibri" w:hAnsi="Book Antiqua"/>
          <w:sz w:val="22"/>
          <w:szCs w:val="22"/>
          <w:lang w:eastAsia="en-US"/>
        </w:rPr>
        <w:t xml:space="preserve"> entre 10 millions et 50 millions FCFA</w:t>
      </w:r>
      <w:r w:rsidR="00BB4FC0">
        <w:rPr>
          <w:rFonts w:ascii="Book Antiqua" w:eastAsia="Calibri" w:hAnsi="Book Antiqua"/>
          <w:sz w:val="22"/>
          <w:szCs w:val="22"/>
          <w:lang w:eastAsia="en-US"/>
        </w:rPr>
        <w:t> ;</w:t>
      </w:r>
    </w:p>
    <w:p w:rsidR="00511426" w:rsidRDefault="00511426" w:rsidP="00202A44">
      <w:pPr>
        <w:pStyle w:val="Paragraphedeliste"/>
        <w:numPr>
          <w:ilvl w:val="0"/>
          <w:numId w:val="48"/>
        </w:numPr>
        <w:spacing w:before="80" w:after="80" w:line="276" w:lineRule="auto"/>
        <w:ind w:left="714" w:hanging="357"/>
        <w:contextualSpacing w:val="0"/>
        <w:jc w:val="both"/>
        <w:rPr>
          <w:rFonts w:ascii="Book Antiqua" w:eastAsia="Calibri" w:hAnsi="Book Antiqua"/>
          <w:sz w:val="22"/>
          <w:szCs w:val="22"/>
          <w:lang w:eastAsia="en-US"/>
        </w:rPr>
      </w:pPr>
      <w:r>
        <w:rPr>
          <w:rFonts w:ascii="Book Antiqua" w:eastAsia="Calibri" w:hAnsi="Book Antiqua"/>
          <w:sz w:val="22"/>
          <w:szCs w:val="22"/>
          <w:lang w:eastAsia="en-US"/>
        </w:rPr>
        <w:t>29,7% entre 50 et 100 millions FCFA</w:t>
      </w:r>
      <w:r w:rsidR="00460041">
        <w:rPr>
          <w:rFonts w:ascii="Book Antiqua" w:eastAsia="Calibri" w:hAnsi="Book Antiqua"/>
          <w:sz w:val="22"/>
          <w:szCs w:val="22"/>
          <w:lang w:eastAsia="en-US"/>
        </w:rPr>
        <w:t> ;</w:t>
      </w:r>
    </w:p>
    <w:p w:rsidR="00C62EF5" w:rsidRDefault="00511426" w:rsidP="00202A44">
      <w:pPr>
        <w:pStyle w:val="Paragraphedeliste"/>
        <w:numPr>
          <w:ilvl w:val="0"/>
          <w:numId w:val="48"/>
        </w:numPr>
        <w:spacing w:before="80" w:after="80" w:line="276" w:lineRule="auto"/>
        <w:ind w:left="714" w:hanging="357"/>
        <w:contextualSpacing w:val="0"/>
        <w:jc w:val="both"/>
        <w:rPr>
          <w:rFonts w:ascii="Book Antiqua" w:eastAsia="Calibri" w:hAnsi="Book Antiqua"/>
          <w:sz w:val="22"/>
          <w:szCs w:val="22"/>
          <w:lang w:eastAsia="en-US"/>
        </w:rPr>
      </w:pPr>
      <w:r>
        <w:rPr>
          <w:rFonts w:ascii="Book Antiqua" w:eastAsia="Calibri" w:hAnsi="Book Antiqua"/>
          <w:sz w:val="22"/>
          <w:szCs w:val="22"/>
          <w:lang w:eastAsia="en-US"/>
        </w:rPr>
        <w:t>42,7</w:t>
      </w:r>
      <w:r w:rsidR="00C62EF5">
        <w:rPr>
          <w:rFonts w:ascii="Book Antiqua" w:eastAsia="Calibri" w:hAnsi="Book Antiqua"/>
          <w:sz w:val="22"/>
          <w:szCs w:val="22"/>
          <w:lang w:eastAsia="en-US"/>
        </w:rPr>
        <w:t>%</w:t>
      </w:r>
      <w:r w:rsidR="00BB4FC0">
        <w:rPr>
          <w:rFonts w:ascii="Book Antiqua" w:eastAsia="Calibri" w:hAnsi="Book Antiqua"/>
          <w:sz w:val="22"/>
          <w:szCs w:val="22"/>
          <w:lang w:eastAsia="en-US"/>
        </w:rPr>
        <w:t>,</w:t>
      </w:r>
      <w:r w:rsidR="00C62EF5">
        <w:rPr>
          <w:rFonts w:ascii="Book Antiqua" w:eastAsia="Calibri" w:hAnsi="Book Antiqua"/>
          <w:sz w:val="22"/>
          <w:szCs w:val="22"/>
          <w:lang w:eastAsia="en-US"/>
        </w:rPr>
        <w:t xml:space="preserve"> entre 100 et 500 millions FCFA</w:t>
      </w:r>
      <w:r w:rsidR="00BB4FC0">
        <w:rPr>
          <w:rFonts w:ascii="Book Antiqua" w:eastAsia="Calibri" w:hAnsi="Book Antiqua"/>
          <w:sz w:val="22"/>
          <w:szCs w:val="22"/>
          <w:lang w:eastAsia="en-US"/>
        </w:rPr>
        <w:t> ;</w:t>
      </w:r>
    </w:p>
    <w:p w:rsidR="00C62EF5" w:rsidRDefault="00511426" w:rsidP="00202A44">
      <w:pPr>
        <w:pStyle w:val="Paragraphedeliste"/>
        <w:numPr>
          <w:ilvl w:val="0"/>
          <w:numId w:val="48"/>
        </w:numPr>
        <w:spacing w:before="80" w:after="80" w:line="276" w:lineRule="auto"/>
        <w:ind w:left="714" w:hanging="357"/>
        <w:contextualSpacing w:val="0"/>
        <w:jc w:val="both"/>
        <w:rPr>
          <w:rFonts w:ascii="Book Antiqua" w:eastAsia="Calibri" w:hAnsi="Book Antiqua"/>
          <w:sz w:val="22"/>
          <w:szCs w:val="22"/>
          <w:lang w:eastAsia="en-US"/>
        </w:rPr>
      </w:pPr>
      <w:r>
        <w:rPr>
          <w:rFonts w:ascii="Book Antiqua" w:eastAsia="Calibri" w:hAnsi="Book Antiqua"/>
          <w:sz w:val="22"/>
          <w:szCs w:val="22"/>
          <w:lang w:eastAsia="en-US"/>
        </w:rPr>
        <w:t>50,0</w:t>
      </w:r>
      <w:r w:rsidR="00C62EF5">
        <w:rPr>
          <w:rFonts w:ascii="Book Antiqua" w:eastAsia="Calibri" w:hAnsi="Book Antiqua"/>
          <w:sz w:val="22"/>
          <w:szCs w:val="22"/>
          <w:lang w:eastAsia="en-US"/>
        </w:rPr>
        <w:t>%</w:t>
      </w:r>
      <w:r w:rsidR="00BB4FC0">
        <w:rPr>
          <w:rFonts w:ascii="Book Antiqua" w:eastAsia="Calibri" w:hAnsi="Book Antiqua"/>
          <w:sz w:val="22"/>
          <w:szCs w:val="22"/>
          <w:lang w:eastAsia="en-US"/>
        </w:rPr>
        <w:t>,</w:t>
      </w:r>
      <w:r w:rsidR="00C62EF5">
        <w:rPr>
          <w:rFonts w:ascii="Book Antiqua" w:eastAsia="Calibri" w:hAnsi="Book Antiqua"/>
          <w:sz w:val="22"/>
          <w:szCs w:val="22"/>
          <w:lang w:eastAsia="en-US"/>
        </w:rPr>
        <w:t xml:space="preserve"> entre 500 millions et 1 milliard</w:t>
      </w:r>
      <w:r w:rsidR="00BB4FC0">
        <w:rPr>
          <w:rFonts w:ascii="Book Antiqua" w:eastAsia="Calibri" w:hAnsi="Book Antiqua"/>
          <w:sz w:val="22"/>
          <w:szCs w:val="22"/>
          <w:lang w:eastAsia="en-US"/>
        </w:rPr>
        <w:t xml:space="preserve"> FCFA ;</w:t>
      </w:r>
    </w:p>
    <w:p w:rsidR="00C35FB9" w:rsidRDefault="00511426" w:rsidP="00202A44">
      <w:pPr>
        <w:pStyle w:val="Paragraphedeliste"/>
        <w:numPr>
          <w:ilvl w:val="0"/>
          <w:numId w:val="48"/>
        </w:numPr>
        <w:spacing w:before="80" w:after="80" w:line="276" w:lineRule="auto"/>
        <w:ind w:left="714" w:hanging="357"/>
        <w:contextualSpacing w:val="0"/>
        <w:jc w:val="both"/>
        <w:rPr>
          <w:rFonts w:ascii="Book Antiqua" w:eastAsia="Calibri" w:hAnsi="Book Antiqua"/>
          <w:sz w:val="22"/>
          <w:szCs w:val="22"/>
          <w:lang w:eastAsia="en-US"/>
        </w:rPr>
      </w:pPr>
      <w:r>
        <w:rPr>
          <w:rFonts w:ascii="Book Antiqua" w:eastAsia="Calibri" w:hAnsi="Book Antiqua"/>
          <w:sz w:val="22"/>
          <w:szCs w:val="22"/>
          <w:lang w:eastAsia="en-US"/>
        </w:rPr>
        <w:t>56,3</w:t>
      </w:r>
      <w:r w:rsidR="00C62EF5">
        <w:rPr>
          <w:rFonts w:ascii="Book Antiqua" w:eastAsia="Calibri" w:hAnsi="Book Antiqua"/>
          <w:sz w:val="22"/>
          <w:szCs w:val="22"/>
          <w:lang w:eastAsia="en-US"/>
        </w:rPr>
        <w:t>%</w:t>
      </w:r>
      <w:r w:rsidR="00BB4FC0">
        <w:rPr>
          <w:rFonts w:ascii="Book Antiqua" w:eastAsia="Calibri" w:hAnsi="Book Antiqua"/>
          <w:sz w:val="22"/>
          <w:szCs w:val="22"/>
          <w:lang w:eastAsia="en-US"/>
        </w:rPr>
        <w:t>,</w:t>
      </w:r>
      <w:r w:rsidR="00A44F20">
        <w:rPr>
          <w:rFonts w:ascii="Book Antiqua" w:eastAsia="Calibri" w:hAnsi="Book Antiqua"/>
          <w:sz w:val="22"/>
          <w:szCs w:val="22"/>
          <w:lang w:eastAsia="en-US"/>
        </w:rPr>
        <w:t xml:space="preserve"> au-delà</w:t>
      </w:r>
      <w:r w:rsidR="00C62EF5">
        <w:rPr>
          <w:rFonts w:ascii="Book Antiqua" w:eastAsia="Calibri" w:hAnsi="Book Antiqua"/>
          <w:sz w:val="22"/>
          <w:szCs w:val="22"/>
          <w:lang w:eastAsia="en-US"/>
        </w:rPr>
        <w:t xml:space="preserve"> d’un milliard FCFA</w:t>
      </w:r>
      <w:r w:rsidR="00BB4FC0">
        <w:rPr>
          <w:rFonts w:ascii="Book Antiqua" w:eastAsia="Calibri" w:hAnsi="Book Antiqua"/>
          <w:sz w:val="22"/>
          <w:szCs w:val="22"/>
          <w:lang w:eastAsia="en-US"/>
        </w:rPr>
        <w:t>.</w:t>
      </w:r>
    </w:p>
    <w:p w:rsidR="0030590B" w:rsidRPr="0030590B" w:rsidRDefault="0030590B" w:rsidP="00840635">
      <w:pPr>
        <w:pStyle w:val="Lgende"/>
        <w:keepNext/>
        <w:spacing w:line="276" w:lineRule="auto"/>
        <w:jc w:val="center"/>
        <w:rPr>
          <w:rFonts w:ascii="Book Antiqua" w:hAnsi="Book Antiqua"/>
          <w:color w:val="auto"/>
        </w:rPr>
      </w:pPr>
      <w:bookmarkStart w:id="93" w:name="_Toc523313728"/>
      <w:r w:rsidRPr="0030590B">
        <w:rPr>
          <w:rFonts w:ascii="Book Antiqua" w:hAnsi="Book Antiqua"/>
          <w:color w:val="auto"/>
        </w:rPr>
        <w:t xml:space="preserve">Figure </w:t>
      </w:r>
      <w:r w:rsidR="000D65F2">
        <w:rPr>
          <w:rFonts w:ascii="Book Antiqua" w:hAnsi="Book Antiqua"/>
          <w:color w:val="auto"/>
        </w:rPr>
        <w:fldChar w:fldCharType="begin"/>
      </w:r>
      <w:r w:rsidR="002708B0">
        <w:rPr>
          <w:rFonts w:ascii="Book Antiqua" w:hAnsi="Book Antiqua"/>
          <w:color w:val="auto"/>
        </w:rPr>
        <w:instrText xml:space="preserve"> SEQ Figure \* ARABIC </w:instrText>
      </w:r>
      <w:r w:rsidR="000D65F2">
        <w:rPr>
          <w:rFonts w:ascii="Book Antiqua" w:hAnsi="Book Antiqua"/>
          <w:color w:val="auto"/>
        </w:rPr>
        <w:fldChar w:fldCharType="separate"/>
      </w:r>
      <w:r w:rsidR="000F780F">
        <w:rPr>
          <w:rFonts w:ascii="Book Antiqua" w:hAnsi="Book Antiqua"/>
          <w:noProof/>
          <w:color w:val="auto"/>
        </w:rPr>
        <w:t>45</w:t>
      </w:r>
      <w:r w:rsidR="000D65F2">
        <w:rPr>
          <w:rFonts w:ascii="Book Antiqua" w:hAnsi="Book Antiqua"/>
          <w:color w:val="auto"/>
        </w:rPr>
        <w:fldChar w:fldCharType="end"/>
      </w:r>
      <w:r w:rsidRPr="0030590B">
        <w:rPr>
          <w:rFonts w:ascii="Book Antiqua" w:hAnsi="Book Antiqua"/>
          <w:color w:val="auto"/>
        </w:rPr>
        <w:t xml:space="preserve"> : Taux d'accès au crédit selon le chiffre d'affaires des unités</w:t>
      </w:r>
      <w:bookmarkEnd w:id="93"/>
    </w:p>
    <w:p w:rsidR="00D21C73" w:rsidRDefault="0036779B" w:rsidP="00840635">
      <w:pPr>
        <w:spacing w:after="200" w:line="276" w:lineRule="auto"/>
        <w:jc w:val="center"/>
        <w:rPr>
          <w:rFonts w:ascii="Book Antiqua" w:eastAsia="Calibri" w:hAnsi="Book Antiqua"/>
          <w:sz w:val="22"/>
          <w:szCs w:val="22"/>
          <w:lang w:eastAsia="en-US"/>
        </w:rPr>
      </w:pPr>
      <w:r w:rsidRPr="0036779B">
        <w:rPr>
          <w:rFonts w:ascii="Book Antiqua" w:eastAsia="Calibri" w:hAnsi="Book Antiqua"/>
          <w:noProof/>
          <w:sz w:val="22"/>
          <w:szCs w:val="22"/>
        </w:rPr>
        <w:drawing>
          <wp:inline distT="0" distB="0" distL="0" distR="0">
            <wp:extent cx="4904464" cy="2562046"/>
            <wp:effectExtent l="19050" t="0" r="10436" b="0"/>
            <wp:docPr id="4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A1286" w:rsidRDefault="00C35FB9" w:rsidP="00840635">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Selon la nature de l’activité, les statistiques recueillies font ressortir des </w:t>
      </w:r>
      <w:r w:rsidR="00661069">
        <w:rPr>
          <w:rFonts w:ascii="Book Antiqua" w:eastAsia="Calibri" w:hAnsi="Book Antiqua"/>
          <w:sz w:val="22"/>
          <w:szCs w:val="22"/>
          <w:lang w:eastAsia="en-US"/>
        </w:rPr>
        <w:t>taux d’</w:t>
      </w:r>
      <w:r w:rsidR="006523DD">
        <w:rPr>
          <w:rFonts w:ascii="Book Antiqua" w:eastAsia="Calibri" w:hAnsi="Book Antiqua"/>
          <w:sz w:val="22"/>
          <w:szCs w:val="22"/>
          <w:lang w:eastAsia="en-US"/>
        </w:rPr>
        <w:t>accès au crédit</w:t>
      </w:r>
      <w:r w:rsidR="00661069">
        <w:rPr>
          <w:rFonts w:ascii="Book Antiqua" w:eastAsia="Calibri" w:hAnsi="Book Antiqua"/>
          <w:sz w:val="22"/>
          <w:szCs w:val="22"/>
          <w:lang w:eastAsia="en-US"/>
        </w:rPr>
        <w:t xml:space="preserve"> sensiblement similaires </w:t>
      </w:r>
      <w:r w:rsidR="006523DD">
        <w:rPr>
          <w:rFonts w:ascii="Book Antiqua" w:eastAsia="Calibri" w:hAnsi="Book Antiqua"/>
          <w:sz w:val="22"/>
          <w:szCs w:val="22"/>
          <w:lang w:eastAsia="en-US"/>
        </w:rPr>
        <w:t>pour le secteur formel</w:t>
      </w:r>
      <w:r w:rsidR="00AA1286">
        <w:rPr>
          <w:rFonts w:ascii="Book Antiqua" w:eastAsia="Calibri" w:hAnsi="Book Antiqua"/>
          <w:sz w:val="22"/>
          <w:szCs w:val="22"/>
          <w:lang w:eastAsia="en-US"/>
        </w:rPr>
        <w:t xml:space="preserve"> </w:t>
      </w:r>
      <w:r w:rsidR="006523DD">
        <w:rPr>
          <w:rFonts w:ascii="Book Antiqua" w:eastAsia="Calibri" w:hAnsi="Book Antiqua"/>
          <w:sz w:val="22"/>
          <w:szCs w:val="22"/>
          <w:lang w:eastAsia="en-US"/>
        </w:rPr>
        <w:t>(</w:t>
      </w:r>
      <w:r>
        <w:rPr>
          <w:rFonts w:ascii="Book Antiqua" w:eastAsia="Calibri" w:hAnsi="Book Antiqua"/>
          <w:sz w:val="22"/>
          <w:szCs w:val="22"/>
          <w:lang w:eastAsia="en-US"/>
        </w:rPr>
        <w:t>27 ,</w:t>
      </w:r>
      <w:r w:rsidR="006523DD">
        <w:rPr>
          <w:rFonts w:ascii="Book Antiqua" w:eastAsia="Calibri" w:hAnsi="Book Antiqua"/>
          <w:sz w:val="22"/>
          <w:szCs w:val="22"/>
          <w:lang w:eastAsia="en-US"/>
        </w:rPr>
        <w:t>9</w:t>
      </w:r>
      <w:r>
        <w:rPr>
          <w:rFonts w:ascii="Book Antiqua" w:eastAsia="Calibri" w:hAnsi="Book Antiqua"/>
          <w:sz w:val="22"/>
          <w:szCs w:val="22"/>
          <w:lang w:eastAsia="en-US"/>
        </w:rPr>
        <w:t>%</w:t>
      </w:r>
      <w:r w:rsidR="006523DD">
        <w:rPr>
          <w:rFonts w:ascii="Book Antiqua" w:eastAsia="Calibri" w:hAnsi="Book Antiqua"/>
          <w:sz w:val="22"/>
          <w:szCs w:val="22"/>
          <w:lang w:eastAsia="en-US"/>
        </w:rPr>
        <w:t xml:space="preserve">) et le secteur informel (27,5%). </w:t>
      </w:r>
    </w:p>
    <w:p w:rsidR="009260C9" w:rsidRDefault="00953D49" w:rsidP="00840635">
      <w:pPr>
        <w:spacing w:before="240" w:after="240" w:line="276" w:lineRule="auto"/>
        <w:jc w:val="both"/>
        <w:rPr>
          <w:rFonts w:ascii="Book Antiqua" w:eastAsia="Calibri" w:hAnsi="Book Antiqua"/>
          <w:sz w:val="22"/>
          <w:szCs w:val="22"/>
          <w:lang w:eastAsia="en-US"/>
        </w:rPr>
      </w:pPr>
      <w:r w:rsidRPr="00564943">
        <w:rPr>
          <w:rFonts w:ascii="Book Antiqua" w:eastAsia="Calibri" w:hAnsi="Book Antiqua"/>
          <w:sz w:val="22"/>
          <w:szCs w:val="22"/>
          <w:lang w:eastAsia="en-US"/>
        </w:rPr>
        <w:t xml:space="preserve">L’analyse basée sur les secteurs </w:t>
      </w:r>
      <w:r w:rsidR="004204AC" w:rsidRPr="00A44F20">
        <w:rPr>
          <w:rFonts w:ascii="Book Antiqua" w:eastAsia="Calibri" w:hAnsi="Book Antiqua"/>
          <w:sz w:val="22"/>
          <w:szCs w:val="22"/>
        </w:rPr>
        <w:t xml:space="preserve">d’activité </w:t>
      </w:r>
      <w:r w:rsidR="00C9196F">
        <w:rPr>
          <w:rFonts w:ascii="Book Antiqua" w:eastAsia="Calibri" w:hAnsi="Book Antiqua"/>
          <w:sz w:val="22"/>
          <w:szCs w:val="22"/>
        </w:rPr>
        <w:t>met en exergue</w:t>
      </w:r>
      <w:r w:rsidR="00AA1286">
        <w:rPr>
          <w:rFonts w:ascii="Book Antiqua" w:eastAsia="Calibri" w:hAnsi="Book Antiqua"/>
          <w:sz w:val="22"/>
          <w:szCs w:val="22"/>
        </w:rPr>
        <w:t xml:space="preserve"> </w:t>
      </w:r>
      <w:r w:rsidR="00C9196F">
        <w:rPr>
          <w:rFonts w:ascii="Book Antiqua" w:eastAsia="Calibri" w:hAnsi="Book Antiqua"/>
          <w:sz w:val="22"/>
          <w:szCs w:val="22"/>
        </w:rPr>
        <w:t>des taux d’accès</w:t>
      </w:r>
      <w:r w:rsidR="004204AC" w:rsidRPr="00A44F20">
        <w:rPr>
          <w:rFonts w:ascii="Book Antiqua" w:eastAsia="Calibri" w:hAnsi="Book Antiqua"/>
        </w:rPr>
        <w:t xml:space="preserve"> au crédit plus élevés</w:t>
      </w:r>
      <w:r w:rsidR="002B77BD" w:rsidRPr="00564943">
        <w:rPr>
          <w:rFonts w:ascii="Book Antiqua" w:eastAsia="Calibri" w:hAnsi="Book Antiqua"/>
          <w:sz w:val="22"/>
          <w:szCs w:val="22"/>
          <w:lang w:eastAsia="en-US"/>
        </w:rPr>
        <w:t xml:space="preserve"> dans </w:t>
      </w:r>
      <w:r w:rsidRPr="00564943">
        <w:rPr>
          <w:rFonts w:ascii="Book Antiqua" w:eastAsia="Calibri" w:hAnsi="Book Antiqua"/>
          <w:sz w:val="22"/>
          <w:szCs w:val="22"/>
          <w:lang w:eastAsia="en-US"/>
        </w:rPr>
        <w:t>les</w:t>
      </w:r>
      <w:r w:rsidR="002B77BD" w:rsidRPr="00564943">
        <w:rPr>
          <w:rFonts w:ascii="Book Antiqua" w:eastAsia="Calibri" w:hAnsi="Book Antiqua"/>
          <w:sz w:val="22"/>
          <w:szCs w:val="22"/>
          <w:lang w:eastAsia="en-US"/>
        </w:rPr>
        <w:t xml:space="preserve"> secteurs du</w:t>
      </w:r>
      <w:r w:rsidR="0030590B">
        <w:rPr>
          <w:rFonts w:ascii="Book Antiqua" w:eastAsia="Calibri" w:hAnsi="Book Antiqua"/>
          <w:sz w:val="22"/>
          <w:szCs w:val="22"/>
          <w:lang w:eastAsia="en-US"/>
        </w:rPr>
        <w:t xml:space="preserve"> BTP (47,3%), </w:t>
      </w:r>
      <w:r w:rsidR="00D51636">
        <w:rPr>
          <w:rFonts w:ascii="Book Antiqua" w:eastAsia="Calibri" w:hAnsi="Book Antiqua"/>
          <w:sz w:val="22"/>
          <w:szCs w:val="22"/>
          <w:lang w:eastAsia="en-US"/>
        </w:rPr>
        <w:t xml:space="preserve">de l’Agriculture (46,7%) </w:t>
      </w:r>
      <w:r w:rsidR="00C9196F">
        <w:rPr>
          <w:rFonts w:ascii="Book Antiqua" w:eastAsia="Calibri" w:hAnsi="Book Antiqua"/>
          <w:sz w:val="22"/>
          <w:szCs w:val="22"/>
          <w:lang w:eastAsia="en-US"/>
        </w:rPr>
        <w:t>et de l’Industrie (43,4%) comparativement au Commerce (26,3%),</w:t>
      </w:r>
      <w:r w:rsidR="00D51636">
        <w:rPr>
          <w:rFonts w:ascii="Book Antiqua" w:eastAsia="Calibri" w:hAnsi="Book Antiqua"/>
          <w:sz w:val="22"/>
          <w:szCs w:val="22"/>
          <w:lang w:eastAsia="en-US"/>
        </w:rPr>
        <w:t xml:space="preserve"> </w:t>
      </w:r>
      <w:r w:rsidR="00C9196F">
        <w:rPr>
          <w:rFonts w:ascii="Book Antiqua" w:eastAsia="Calibri" w:hAnsi="Book Antiqua"/>
          <w:sz w:val="22"/>
          <w:szCs w:val="22"/>
          <w:lang w:eastAsia="en-US"/>
        </w:rPr>
        <w:t>aux</w:t>
      </w:r>
      <w:r w:rsidR="00AA1286">
        <w:rPr>
          <w:rFonts w:ascii="Book Antiqua" w:eastAsia="Calibri" w:hAnsi="Book Antiqua"/>
          <w:sz w:val="22"/>
          <w:szCs w:val="22"/>
          <w:lang w:eastAsia="en-US"/>
        </w:rPr>
        <w:t xml:space="preserve"> </w:t>
      </w:r>
      <w:r w:rsidR="00C9196F">
        <w:rPr>
          <w:rFonts w:ascii="Book Antiqua" w:eastAsia="Calibri" w:hAnsi="Book Antiqua"/>
          <w:sz w:val="22"/>
          <w:szCs w:val="22"/>
          <w:lang w:eastAsia="en-US"/>
        </w:rPr>
        <w:t xml:space="preserve">Services (23,7%) et à l’Artisanat (16,9%). </w:t>
      </w:r>
    </w:p>
    <w:p w:rsidR="0030590B" w:rsidRPr="00202A44" w:rsidRDefault="0030590B" w:rsidP="00840635">
      <w:pPr>
        <w:pStyle w:val="Lgende"/>
        <w:keepNext/>
        <w:spacing w:line="276" w:lineRule="auto"/>
        <w:jc w:val="center"/>
        <w:rPr>
          <w:rFonts w:ascii="Book Antiqua" w:hAnsi="Book Antiqua"/>
          <w:color w:val="auto"/>
        </w:rPr>
      </w:pPr>
      <w:bookmarkStart w:id="94" w:name="_Toc523313729"/>
      <w:r w:rsidRPr="00202A44">
        <w:rPr>
          <w:rFonts w:ascii="Book Antiqua" w:hAnsi="Book Antiqua"/>
          <w:color w:val="auto"/>
        </w:rPr>
        <w:t xml:space="preserve">Figure </w:t>
      </w:r>
      <w:r w:rsidR="000D65F2" w:rsidRPr="00202A44">
        <w:rPr>
          <w:rFonts w:ascii="Book Antiqua" w:hAnsi="Book Antiqua"/>
          <w:color w:val="auto"/>
        </w:rPr>
        <w:fldChar w:fldCharType="begin"/>
      </w:r>
      <w:r w:rsidR="000C0AC2" w:rsidRPr="00202A44">
        <w:rPr>
          <w:rFonts w:ascii="Book Antiqua" w:hAnsi="Book Antiqua"/>
          <w:color w:val="auto"/>
        </w:rPr>
        <w:instrText xml:space="preserve"> SEQ Figure \* ARABIC </w:instrText>
      </w:r>
      <w:r w:rsidR="000D65F2" w:rsidRPr="00202A44">
        <w:rPr>
          <w:rFonts w:ascii="Book Antiqua" w:hAnsi="Book Antiqua"/>
          <w:color w:val="auto"/>
        </w:rPr>
        <w:fldChar w:fldCharType="separate"/>
      </w:r>
      <w:r w:rsidR="000F780F" w:rsidRPr="00202A44">
        <w:rPr>
          <w:rFonts w:ascii="Book Antiqua" w:hAnsi="Book Antiqua"/>
          <w:color w:val="auto"/>
        </w:rPr>
        <w:t>46</w:t>
      </w:r>
      <w:r w:rsidR="000D65F2" w:rsidRPr="00202A44">
        <w:rPr>
          <w:rFonts w:ascii="Book Antiqua" w:hAnsi="Book Antiqua"/>
          <w:color w:val="auto"/>
        </w:rPr>
        <w:fldChar w:fldCharType="end"/>
      </w:r>
      <w:r w:rsidRPr="00202A44">
        <w:rPr>
          <w:rFonts w:ascii="Book Antiqua" w:hAnsi="Book Antiqua"/>
          <w:color w:val="auto"/>
        </w:rPr>
        <w:t xml:space="preserve"> : Taux d'accès au crédit selon le secteur d'activités des unités</w:t>
      </w:r>
      <w:bookmarkEnd w:id="94"/>
    </w:p>
    <w:p w:rsidR="009260C9" w:rsidRDefault="00F44BC9" w:rsidP="00AA59E0">
      <w:pPr>
        <w:spacing w:after="200" w:line="276" w:lineRule="auto"/>
        <w:contextualSpacing/>
        <w:jc w:val="center"/>
        <w:rPr>
          <w:rFonts w:ascii="Book Antiqua" w:eastAsia="Calibri" w:hAnsi="Book Antiqua"/>
          <w:sz w:val="22"/>
          <w:szCs w:val="22"/>
          <w:lang w:eastAsia="en-US"/>
        </w:rPr>
      </w:pPr>
      <w:r w:rsidRPr="00A44F20">
        <w:rPr>
          <w:rFonts w:ascii="Book Antiqua" w:eastAsia="Calibri" w:hAnsi="Book Antiqua"/>
          <w:noProof/>
          <w:sz w:val="22"/>
          <w:szCs w:val="22"/>
        </w:rPr>
        <w:drawing>
          <wp:inline distT="0" distB="0" distL="0" distR="0">
            <wp:extent cx="4568405" cy="2355011"/>
            <wp:effectExtent l="19050" t="0" r="22645" b="7189"/>
            <wp:docPr id="4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A4930" w:rsidRDefault="00D458B4" w:rsidP="00840635">
      <w:pPr>
        <w:spacing w:after="200" w:line="276" w:lineRule="auto"/>
        <w:contextualSpacing/>
        <w:jc w:val="both"/>
        <w:rPr>
          <w:rFonts w:ascii="Book Antiqua" w:eastAsia="Calibri" w:hAnsi="Book Antiqua"/>
          <w:sz w:val="22"/>
          <w:szCs w:val="22"/>
          <w:lang w:eastAsia="en-US"/>
        </w:rPr>
      </w:pPr>
      <w:r>
        <w:rPr>
          <w:rFonts w:ascii="Book Antiqua" w:eastAsia="Calibri" w:hAnsi="Book Antiqua"/>
          <w:sz w:val="22"/>
          <w:szCs w:val="22"/>
          <w:lang w:eastAsia="en-US"/>
        </w:rPr>
        <w:lastRenderedPageBreak/>
        <w:t>Le croisement des</w:t>
      </w:r>
      <w:r w:rsidR="00527D14">
        <w:rPr>
          <w:rFonts w:ascii="Book Antiqua" w:eastAsia="Calibri" w:hAnsi="Book Antiqua"/>
          <w:sz w:val="22"/>
          <w:szCs w:val="22"/>
          <w:lang w:eastAsia="en-US"/>
        </w:rPr>
        <w:t xml:space="preserve"> données relatives aux</w:t>
      </w:r>
      <w:r w:rsidR="00A7207B">
        <w:rPr>
          <w:rFonts w:ascii="Book Antiqua" w:eastAsia="Calibri" w:hAnsi="Book Antiqua"/>
          <w:sz w:val="22"/>
          <w:szCs w:val="22"/>
          <w:lang w:eastAsia="en-US"/>
        </w:rPr>
        <w:t xml:space="preserve"> </w:t>
      </w:r>
      <w:r>
        <w:rPr>
          <w:rFonts w:ascii="Book Antiqua" w:eastAsia="Calibri" w:hAnsi="Book Antiqua"/>
          <w:sz w:val="22"/>
          <w:szCs w:val="22"/>
          <w:lang w:eastAsia="en-US"/>
        </w:rPr>
        <w:t>allocations de crédit avec la</w:t>
      </w:r>
      <w:r w:rsidR="004937EF">
        <w:rPr>
          <w:rFonts w:ascii="Book Antiqua" w:eastAsia="Calibri" w:hAnsi="Book Antiqua"/>
          <w:sz w:val="22"/>
          <w:szCs w:val="22"/>
          <w:lang w:eastAsia="en-US"/>
        </w:rPr>
        <w:t xml:space="preserve"> répartition géographique des unités enquêtées</w:t>
      </w:r>
      <w:r w:rsidR="00A7207B">
        <w:rPr>
          <w:rFonts w:ascii="Book Antiqua" w:eastAsia="Calibri" w:hAnsi="Book Antiqua"/>
          <w:sz w:val="22"/>
          <w:szCs w:val="22"/>
          <w:lang w:eastAsia="en-US"/>
        </w:rPr>
        <w:t xml:space="preserve"> </w:t>
      </w:r>
      <w:r w:rsidR="00045539">
        <w:rPr>
          <w:rFonts w:ascii="Book Antiqua" w:eastAsia="Calibri" w:hAnsi="Book Antiqua"/>
          <w:sz w:val="22"/>
          <w:szCs w:val="22"/>
          <w:lang w:eastAsia="en-US"/>
        </w:rPr>
        <w:t>laisse transparaitre</w:t>
      </w:r>
      <w:r w:rsidR="00A7207B">
        <w:rPr>
          <w:rFonts w:ascii="Book Antiqua" w:eastAsia="Calibri" w:hAnsi="Book Antiqua"/>
          <w:sz w:val="22"/>
          <w:szCs w:val="22"/>
          <w:lang w:eastAsia="en-US"/>
        </w:rPr>
        <w:t xml:space="preserve"> </w:t>
      </w:r>
      <w:r w:rsidR="009B5712">
        <w:rPr>
          <w:rFonts w:ascii="Book Antiqua" w:eastAsia="Calibri" w:hAnsi="Book Antiqua"/>
          <w:sz w:val="22"/>
          <w:szCs w:val="22"/>
          <w:lang w:eastAsia="en-US"/>
        </w:rPr>
        <w:t>des taux</w:t>
      </w:r>
      <w:r w:rsidR="00564943">
        <w:rPr>
          <w:rFonts w:ascii="Book Antiqua" w:eastAsia="Calibri" w:hAnsi="Book Antiqua"/>
          <w:sz w:val="22"/>
          <w:szCs w:val="22"/>
          <w:lang w:eastAsia="en-US"/>
        </w:rPr>
        <w:t xml:space="preserve"> d’accès</w:t>
      </w:r>
      <w:r w:rsidR="009B5712">
        <w:rPr>
          <w:rFonts w:ascii="Book Antiqua" w:eastAsia="Calibri" w:hAnsi="Book Antiqua"/>
          <w:sz w:val="22"/>
          <w:szCs w:val="22"/>
          <w:lang w:eastAsia="en-US"/>
        </w:rPr>
        <w:t xml:space="preserve"> élevés</w:t>
      </w:r>
      <w:r w:rsidR="004F14AE">
        <w:rPr>
          <w:rFonts w:ascii="Book Antiqua" w:eastAsia="Calibri" w:hAnsi="Book Antiqua"/>
          <w:sz w:val="22"/>
          <w:szCs w:val="22"/>
          <w:lang w:eastAsia="en-US"/>
        </w:rPr>
        <w:t xml:space="preserve"> pour les unités </w:t>
      </w:r>
      <w:r w:rsidR="00564943">
        <w:rPr>
          <w:rFonts w:ascii="Book Antiqua" w:eastAsia="Calibri" w:hAnsi="Book Antiqua"/>
          <w:sz w:val="22"/>
          <w:szCs w:val="22"/>
          <w:lang w:eastAsia="en-US"/>
        </w:rPr>
        <w:t>implantées</w:t>
      </w:r>
      <w:r w:rsidR="004F14AE">
        <w:rPr>
          <w:rFonts w:ascii="Book Antiqua" w:eastAsia="Calibri" w:hAnsi="Book Antiqua"/>
          <w:sz w:val="22"/>
          <w:szCs w:val="22"/>
          <w:lang w:eastAsia="en-US"/>
        </w:rPr>
        <w:t xml:space="preserve"> à</w:t>
      </w:r>
      <w:r w:rsidR="00A7207B">
        <w:rPr>
          <w:rFonts w:ascii="Book Antiqua" w:eastAsia="Calibri" w:hAnsi="Book Antiqua"/>
          <w:sz w:val="22"/>
          <w:szCs w:val="22"/>
          <w:lang w:eastAsia="en-US"/>
        </w:rPr>
        <w:t xml:space="preserve"> </w:t>
      </w:r>
      <w:proofErr w:type="spellStart"/>
      <w:r w:rsidR="00564943">
        <w:rPr>
          <w:rFonts w:ascii="Book Antiqua" w:eastAsia="Calibri" w:hAnsi="Book Antiqua"/>
          <w:sz w:val="22"/>
          <w:szCs w:val="22"/>
          <w:lang w:eastAsia="en-US"/>
        </w:rPr>
        <w:t>Kaffrine</w:t>
      </w:r>
      <w:proofErr w:type="spellEnd"/>
      <w:r w:rsidR="00A7207B">
        <w:rPr>
          <w:rFonts w:ascii="Book Antiqua" w:eastAsia="Calibri" w:hAnsi="Book Antiqua"/>
          <w:sz w:val="22"/>
          <w:szCs w:val="22"/>
          <w:lang w:eastAsia="en-US"/>
        </w:rPr>
        <w:t xml:space="preserve"> </w:t>
      </w:r>
      <w:r w:rsidR="00564943">
        <w:rPr>
          <w:rFonts w:ascii="Book Antiqua" w:eastAsia="Calibri" w:hAnsi="Book Antiqua"/>
          <w:sz w:val="22"/>
          <w:szCs w:val="22"/>
          <w:lang w:eastAsia="en-US"/>
        </w:rPr>
        <w:t>(52,9%), Kaolack (4</w:t>
      </w:r>
      <w:r>
        <w:rPr>
          <w:rFonts w:ascii="Book Antiqua" w:eastAsia="Calibri" w:hAnsi="Book Antiqua"/>
          <w:sz w:val="22"/>
          <w:szCs w:val="22"/>
          <w:lang w:eastAsia="en-US"/>
        </w:rPr>
        <w:t>3</w:t>
      </w:r>
      <w:r w:rsidR="00564943">
        <w:rPr>
          <w:rFonts w:ascii="Book Antiqua" w:eastAsia="Calibri" w:hAnsi="Book Antiqua"/>
          <w:sz w:val="22"/>
          <w:szCs w:val="22"/>
          <w:lang w:eastAsia="en-US"/>
        </w:rPr>
        <w:t>,5</w:t>
      </w:r>
      <w:r>
        <w:rPr>
          <w:rFonts w:ascii="Book Antiqua" w:eastAsia="Calibri" w:hAnsi="Book Antiqua"/>
          <w:sz w:val="22"/>
          <w:szCs w:val="22"/>
          <w:lang w:eastAsia="en-US"/>
        </w:rPr>
        <w:t xml:space="preserve">%), </w:t>
      </w:r>
      <w:r w:rsidR="00564943">
        <w:rPr>
          <w:rFonts w:ascii="Book Antiqua" w:eastAsia="Calibri" w:hAnsi="Book Antiqua"/>
          <w:sz w:val="22"/>
          <w:szCs w:val="22"/>
          <w:lang w:eastAsia="en-US"/>
        </w:rPr>
        <w:t>Kédougou (</w:t>
      </w:r>
      <w:r w:rsidR="000C5169">
        <w:rPr>
          <w:rFonts w:ascii="Book Antiqua" w:eastAsia="Calibri" w:hAnsi="Book Antiqua"/>
          <w:sz w:val="22"/>
          <w:szCs w:val="22"/>
          <w:lang w:eastAsia="en-US"/>
        </w:rPr>
        <w:t xml:space="preserve">42,9%), Tambacounda (40,3%) </w:t>
      </w:r>
      <w:r>
        <w:rPr>
          <w:rFonts w:ascii="Book Antiqua" w:eastAsia="Calibri" w:hAnsi="Book Antiqua"/>
          <w:sz w:val="22"/>
          <w:szCs w:val="22"/>
          <w:lang w:eastAsia="en-US"/>
        </w:rPr>
        <w:t>comparativement aux localités</w:t>
      </w:r>
      <w:r w:rsidR="00A7207B">
        <w:rPr>
          <w:rFonts w:ascii="Book Antiqua" w:eastAsia="Calibri" w:hAnsi="Book Antiqua"/>
          <w:sz w:val="22"/>
          <w:szCs w:val="22"/>
          <w:lang w:eastAsia="en-US"/>
        </w:rPr>
        <w:t xml:space="preserve"> </w:t>
      </w:r>
      <w:r>
        <w:rPr>
          <w:rFonts w:ascii="Book Antiqua" w:eastAsia="Calibri" w:hAnsi="Book Antiqua"/>
          <w:sz w:val="22"/>
          <w:szCs w:val="22"/>
          <w:lang w:eastAsia="en-US"/>
        </w:rPr>
        <w:t xml:space="preserve">de </w:t>
      </w:r>
      <w:proofErr w:type="spellStart"/>
      <w:r w:rsidR="000C5169">
        <w:rPr>
          <w:rFonts w:ascii="Book Antiqua" w:eastAsia="Calibri" w:hAnsi="Book Antiqua"/>
          <w:sz w:val="22"/>
          <w:szCs w:val="22"/>
          <w:lang w:eastAsia="en-US"/>
        </w:rPr>
        <w:t>Sédhiou</w:t>
      </w:r>
      <w:proofErr w:type="spellEnd"/>
      <w:r w:rsidR="000C5169">
        <w:rPr>
          <w:rFonts w:ascii="Book Antiqua" w:eastAsia="Calibri" w:hAnsi="Book Antiqua"/>
          <w:sz w:val="22"/>
          <w:szCs w:val="22"/>
          <w:lang w:eastAsia="en-US"/>
        </w:rPr>
        <w:t xml:space="preserve"> (14</w:t>
      </w:r>
      <w:r>
        <w:rPr>
          <w:rFonts w:ascii="Book Antiqua" w:eastAsia="Calibri" w:hAnsi="Book Antiqua"/>
          <w:sz w:val="22"/>
          <w:szCs w:val="22"/>
          <w:lang w:eastAsia="en-US"/>
        </w:rPr>
        <w:t>,9%)</w:t>
      </w:r>
      <w:r w:rsidR="000C5169">
        <w:rPr>
          <w:rFonts w:ascii="Book Antiqua" w:eastAsia="Calibri" w:hAnsi="Book Antiqua"/>
          <w:sz w:val="22"/>
          <w:szCs w:val="22"/>
          <w:lang w:eastAsia="en-US"/>
        </w:rPr>
        <w:t>, Matam</w:t>
      </w:r>
      <w:r w:rsidR="00A7207B">
        <w:rPr>
          <w:rFonts w:ascii="Book Antiqua" w:eastAsia="Calibri" w:hAnsi="Book Antiqua"/>
          <w:sz w:val="22"/>
          <w:szCs w:val="22"/>
          <w:lang w:eastAsia="en-US"/>
        </w:rPr>
        <w:t xml:space="preserve"> </w:t>
      </w:r>
      <w:r w:rsidR="000C5169">
        <w:rPr>
          <w:rFonts w:ascii="Book Antiqua" w:eastAsia="Calibri" w:hAnsi="Book Antiqua"/>
          <w:sz w:val="22"/>
          <w:szCs w:val="22"/>
          <w:lang w:eastAsia="en-US"/>
        </w:rPr>
        <w:t>(14,6%) et</w:t>
      </w:r>
      <w:r w:rsidR="00A7207B">
        <w:rPr>
          <w:rFonts w:ascii="Book Antiqua" w:eastAsia="Calibri" w:hAnsi="Book Antiqua"/>
          <w:sz w:val="22"/>
          <w:szCs w:val="22"/>
          <w:lang w:eastAsia="en-US"/>
        </w:rPr>
        <w:t xml:space="preserve"> </w:t>
      </w:r>
      <w:r w:rsidR="000C5169">
        <w:rPr>
          <w:rFonts w:ascii="Book Antiqua" w:eastAsia="Calibri" w:hAnsi="Book Antiqua"/>
          <w:sz w:val="22"/>
          <w:szCs w:val="22"/>
          <w:lang w:eastAsia="en-US"/>
        </w:rPr>
        <w:t>Saint Louis (13,6%).</w:t>
      </w:r>
    </w:p>
    <w:p w:rsidR="0030590B" w:rsidRPr="00202A44" w:rsidRDefault="0030590B" w:rsidP="00840635">
      <w:pPr>
        <w:pStyle w:val="Lgende"/>
        <w:keepNext/>
        <w:spacing w:line="276" w:lineRule="auto"/>
        <w:jc w:val="center"/>
        <w:rPr>
          <w:rFonts w:ascii="Book Antiqua" w:hAnsi="Book Antiqua"/>
          <w:color w:val="auto"/>
        </w:rPr>
      </w:pPr>
      <w:bookmarkStart w:id="95" w:name="_Toc523313730"/>
      <w:r w:rsidRPr="00202A44">
        <w:rPr>
          <w:rFonts w:ascii="Book Antiqua" w:hAnsi="Book Antiqua"/>
          <w:color w:val="auto"/>
        </w:rPr>
        <w:t xml:space="preserve">Figure </w:t>
      </w:r>
      <w:r w:rsidR="000D65F2" w:rsidRPr="00202A44">
        <w:rPr>
          <w:rFonts w:ascii="Book Antiqua" w:hAnsi="Book Antiqua"/>
          <w:color w:val="auto"/>
        </w:rPr>
        <w:fldChar w:fldCharType="begin"/>
      </w:r>
      <w:r w:rsidR="000C0AC2" w:rsidRPr="00202A44">
        <w:rPr>
          <w:rFonts w:ascii="Book Antiqua" w:hAnsi="Book Antiqua"/>
          <w:color w:val="auto"/>
        </w:rPr>
        <w:instrText xml:space="preserve"> SEQ Figure \* ARABIC </w:instrText>
      </w:r>
      <w:r w:rsidR="000D65F2" w:rsidRPr="00202A44">
        <w:rPr>
          <w:rFonts w:ascii="Book Antiqua" w:hAnsi="Book Antiqua"/>
          <w:color w:val="auto"/>
        </w:rPr>
        <w:fldChar w:fldCharType="separate"/>
      </w:r>
      <w:r w:rsidR="000F780F" w:rsidRPr="00202A44">
        <w:rPr>
          <w:rFonts w:ascii="Book Antiqua" w:hAnsi="Book Antiqua"/>
          <w:color w:val="auto"/>
        </w:rPr>
        <w:t>47</w:t>
      </w:r>
      <w:r w:rsidR="000D65F2" w:rsidRPr="00202A44">
        <w:rPr>
          <w:rFonts w:ascii="Book Antiqua" w:hAnsi="Book Antiqua"/>
          <w:color w:val="auto"/>
        </w:rPr>
        <w:fldChar w:fldCharType="end"/>
      </w:r>
      <w:r w:rsidRPr="00202A44">
        <w:rPr>
          <w:rFonts w:ascii="Book Antiqua" w:hAnsi="Book Antiqua"/>
          <w:color w:val="auto"/>
        </w:rPr>
        <w:t xml:space="preserve"> : Taux d'accès au crédit des unités selon les régions</w:t>
      </w:r>
      <w:bookmarkEnd w:id="95"/>
    </w:p>
    <w:p w:rsidR="006F3CB2" w:rsidRPr="007F7F8C" w:rsidRDefault="00F44BC9" w:rsidP="00840635">
      <w:pPr>
        <w:pStyle w:val="Lgende"/>
        <w:keepNext/>
        <w:spacing w:line="276" w:lineRule="auto"/>
        <w:jc w:val="center"/>
      </w:pPr>
      <w:r w:rsidRPr="00A44F20">
        <w:rPr>
          <w:noProof/>
          <w:color w:val="auto"/>
          <w:sz w:val="16"/>
        </w:rPr>
        <w:drawing>
          <wp:inline distT="0" distB="0" distL="0" distR="0">
            <wp:extent cx="5210175" cy="3290887"/>
            <wp:effectExtent l="19050" t="0" r="9525" b="4763"/>
            <wp:docPr id="3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86CEB" w:rsidRPr="00A44F20" w:rsidRDefault="006F3CB2" w:rsidP="00202A44">
      <w:pPr>
        <w:spacing w:after="200" w:line="276" w:lineRule="auto"/>
        <w:jc w:val="both"/>
        <w:rPr>
          <w:rFonts w:ascii="Book Antiqua" w:eastAsia="Calibri" w:hAnsi="Book Antiqua"/>
          <w:sz w:val="22"/>
          <w:szCs w:val="22"/>
        </w:rPr>
      </w:pPr>
      <w:r w:rsidRPr="000C1290">
        <w:rPr>
          <w:rFonts w:ascii="Book Antiqua" w:eastAsia="Calibri" w:hAnsi="Book Antiqua"/>
          <w:sz w:val="22"/>
          <w:szCs w:val="22"/>
          <w:lang w:eastAsia="en-US"/>
        </w:rPr>
        <w:t>L’exploitation des données de l’ESUB</w:t>
      </w:r>
      <w:r w:rsidR="00A7207B">
        <w:rPr>
          <w:rFonts w:ascii="Book Antiqua" w:eastAsia="Calibri" w:hAnsi="Book Antiqua"/>
          <w:sz w:val="22"/>
          <w:szCs w:val="22"/>
          <w:lang w:eastAsia="en-US"/>
        </w:rPr>
        <w:t xml:space="preserve"> </w:t>
      </w:r>
      <w:r w:rsidR="000C5169" w:rsidRPr="000C1290">
        <w:rPr>
          <w:rFonts w:ascii="Book Antiqua" w:eastAsia="Calibri" w:hAnsi="Book Antiqua"/>
          <w:sz w:val="22"/>
          <w:szCs w:val="22"/>
          <w:lang w:eastAsia="en-US"/>
        </w:rPr>
        <w:t>selon la nature des crédits</w:t>
      </w:r>
      <w:r w:rsidR="00A7207B">
        <w:rPr>
          <w:rFonts w:ascii="Book Antiqua" w:eastAsia="Calibri" w:hAnsi="Book Antiqua"/>
          <w:sz w:val="22"/>
          <w:szCs w:val="22"/>
          <w:lang w:eastAsia="en-US"/>
        </w:rPr>
        <w:t xml:space="preserve"> </w:t>
      </w:r>
      <w:r w:rsidR="000C5169" w:rsidRPr="000C1290">
        <w:rPr>
          <w:rFonts w:ascii="Book Antiqua" w:eastAsia="Calibri" w:hAnsi="Book Antiqua"/>
          <w:sz w:val="22"/>
          <w:szCs w:val="22"/>
          <w:lang w:eastAsia="en-US"/>
        </w:rPr>
        <w:t xml:space="preserve">fait apparaitre </w:t>
      </w:r>
      <w:r w:rsidR="00E23600" w:rsidRPr="000C1290">
        <w:rPr>
          <w:rFonts w:ascii="Book Antiqua" w:eastAsia="Calibri" w:hAnsi="Book Antiqua"/>
          <w:sz w:val="22"/>
          <w:szCs w:val="22"/>
          <w:lang w:eastAsia="en-US"/>
        </w:rPr>
        <w:t>que les</w:t>
      </w:r>
      <w:r w:rsidR="00561860" w:rsidRPr="000C1290">
        <w:rPr>
          <w:rFonts w:ascii="Book Antiqua" w:eastAsia="Calibri" w:hAnsi="Book Antiqua"/>
          <w:sz w:val="22"/>
          <w:szCs w:val="22"/>
          <w:lang w:eastAsia="en-US"/>
        </w:rPr>
        <w:t xml:space="preserve"> crédits de</w:t>
      </w:r>
      <w:r w:rsidR="00A7207B">
        <w:rPr>
          <w:rFonts w:ascii="Book Antiqua" w:eastAsia="Calibri" w:hAnsi="Book Antiqua"/>
          <w:sz w:val="22"/>
          <w:szCs w:val="22"/>
          <w:lang w:eastAsia="en-US"/>
        </w:rPr>
        <w:t xml:space="preserve"> </w:t>
      </w:r>
      <w:r w:rsidR="00C9196F">
        <w:rPr>
          <w:rFonts w:ascii="Book Antiqua" w:eastAsia="Calibri" w:hAnsi="Book Antiqua"/>
          <w:sz w:val="22"/>
          <w:szCs w:val="22"/>
          <w:lang w:eastAsia="en-US"/>
        </w:rPr>
        <w:t>fonctionnement sont les plus utilisés par les unités enquêtées avec  un taux d’allocation de 47,6% suivis des crédits d’investissement  (38,0%). Le crédit documentaire (4,6%), le crédit-bail (3,3%) et l’escompte (2,8%) restent les leviers de financement les moins sollicités par les unité</w:t>
      </w:r>
      <w:r w:rsidR="004204AC" w:rsidRPr="00A44F20">
        <w:rPr>
          <w:rFonts w:ascii="Book Antiqua" w:eastAsia="Calibri" w:hAnsi="Book Antiqua"/>
          <w:sz w:val="22"/>
          <w:szCs w:val="22"/>
        </w:rPr>
        <w:t>s suivis de loin par les crédits campagne (</w:t>
      </w:r>
      <w:r w:rsidR="000C1290">
        <w:rPr>
          <w:rFonts w:ascii="Book Antiqua" w:eastAsia="Calibri" w:hAnsi="Book Antiqua"/>
          <w:sz w:val="22"/>
          <w:szCs w:val="22"/>
        </w:rPr>
        <w:t xml:space="preserve">1%). </w:t>
      </w:r>
    </w:p>
    <w:p w:rsidR="0030590B" w:rsidRPr="00202A44" w:rsidRDefault="0030590B" w:rsidP="00840635">
      <w:pPr>
        <w:pStyle w:val="Lgende"/>
        <w:keepNext/>
        <w:spacing w:line="276" w:lineRule="auto"/>
        <w:jc w:val="center"/>
        <w:rPr>
          <w:rFonts w:ascii="Book Antiqua" w:hAnsi="Book Antiqua"/>
          <w:color w:val="auto"/>
        </w:rPr>
      </w:pPr>
      <w:bookmarkStart w:id="96" w:name="_Toc523313731"/>
      <w:r w:rsidRPr="00202A44">
        <w:rPr>
          <w:rFonts w:ascii="Book Antiqua" w:hAnsi="Book Antiqua"/>
          <w:color w:val="auto"/>
        </w:rPr>
        <w:t xml:space="preserve">Figure </w:t>
      </w:r>
      <w:r w:rsidR="000D65F2" w:rsidRPr="00202A44">
        <w:rPr>
          <w:rFonts w:ascii="Book Antiqua" w:hAnsi="Book Antiqua"/>
          <w:color w:val="auto"/>
        </w:rPr>
        <w:fldChar w:fldCharType="begin"/>
      </w:r>
      <w:r w:rsidR="000C0AC2" w:rsidRPr="00202A44">
        <w:rPr>
          <w:rFonts w:ascii="Book Antiqua" w:hAnsi="Book Antiqua"/>
          <w:color w:val="auto"/>
        </w:rPr>
        <w:instrText xml:space="preserve"> SEQ Figure \* ARABIC </w:instrText>
      </w:r>
      <w:r w:rsidR="000D65F2" w:rsidRPr="00202A44">
        <w:rPr>
          <w:rFonts w:ascii="Book Antiqua" w:hAnsi="Book Antiqua"/>
          <w:color w:val="auto"/>
        </w:rPr>
        <w:fldChar w:fldCharType="separate"/>
      </w:r>
      <w:r w:rsidR="000F780F" w:rsidRPr="00202A44">
        <w:rPr>
          <w:rFonts w:ascii="Book Antiqua" w:hAnsi="Book Antiqua"/>
          <w:color w:val="auto"/>
        </w:rPr>
        <w:t>48</w:t>
      </w:r>
      <w:r w:rsidR="000D65F2" w:rsidRPr="00202A44">
        <w:rPr>
          <w:rFonts w:ascii="Book Antiqua" w:hAnsi="Book Antiqua"/>
          <w:color w:val="auto"/>
        </w:rPr>
        <w:fldChar w:fldCharType="end"/>
      </w:r>
      <w:r w:rsidRPr="00202A44">
        <w:rPr>
          <w:rFonts w:ascii="Book Antiqua" w:hAnsi="Book Antiqua"/>
          <w:color w:val="auto"/>
        </w:rPr>
        <w:t xml:space="preserve"> : Nature des crédits octroyés aux unités</w:t>
      </w:r>
      <w:bookmarkEnd w:id="96"/>
    </w:p>
    <w:p w:rsidR="009260C9" w:rsidRPr="00B40EE4" w:rsidRDefault="00F44BC9" w:rsidP="00840635">
      <w:pPr>
        <w:spacing w:line="276" w:lineRule="auto"/>
        <w:jc w:val="center"/>
      </w:pPr>
      <w:r w:rsidRPr="00A6388D">
        <w:rPr>
          <w:noProof/>
        </w:rPr>
        <w:drawing>
          <wp:inline distT="0" distB="0" distL="0" distR="0">
            <wp:extent cx="5055216" cy="2572603"/>
            <wp:effectExtent l="19050" t="0" r="12084" b="0"/>
            <wp:docPr id="4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260C9" w:rsidRDefault="009260C9" w:rsidP="00840635">
      <w:pPr>
        <w:spacing w:after="200" w:line="276" w:lineRule="auto"/>
        <w:contextualSpacing/>
        <w:rPr>
          <w:rFonts w:ascii="Book Antiqua" w:eastAsia="Calibri" w:hAnsi="Book Antiqua"/>
          <w:sz w:val="22"/>
          <w:szCs w:val="22"/>
          <w:highlight w:val="yellow"/>
          <w:lang w:eastAsia="en-US"/>
        </w:rPr>
      </w:pPr>
    </w:p>
    <w:p w:rsidR="00CE36BF" w:rsidRDefault="00CE36BF" w:rsidP="00840635">
      <w:pPr>
        <w:spacing w:after="200" w:line="276" w:lineRule="auto"/>
        <w:rPr>
          <w:rFonts w:ascii="Book Antiqua" w:eastAsia="Calibri" w:hAnsi="Book Antiqua"/>
          <w:sz w:val="22"/>
          <w:szCs w:val="22"/>
        </w:rPr>
      </w:pPr>
      <w:bookmarkStart w:id="97" w:name="_Toc433234330"/>
      <w:r>
        <w:rPr>
          <w:rFonts w:ascii="Book Antiqua" w:eastAsia="Calibri" w:hAnsi="Book Antiqua"/>
          <w:sz w:val="22"/>
          <w:szCs w:val="22"/>
        </w:rPr>
        <w:br w:type="page"/>
      </w:r>
    </w:p>
    <w:p w:rsidR="000C1290" w:rsidRPr="00CE36BF" w:rsidRDefault="004204AC" w:rsidP="00840635">
      <w:pPr>
        <w:spacing w:after="200" w:line="276" w:lineRule="auto"/>
        <w:jc w:val="both"/>
        <w:rPr>
          <w:rFonts w:ascii="Book Antiqua" w:eastAsia="Calibri" w:hAnsi="Book Antiqua"/>
          <w:sz w:val="22"/>
          <w:szCs w:val="22"/>
        </w:rPr>
      </w:pPr>
      <w:r w:rsidRPr="00CE36BF">
        <w:rPr>
          <w:rFonts w:ascii="Book Antiqua" w:eastAsia="Calibri" w:hAnsi="Book Antiqua"/>
          <w:sz w:val="22"/>
          <w:szCs w:val="22"/>
        </w:rPr>
        <w:lastRenderedPageBreak/>
        <w:t>Une analyse croisée de la répartition de la nature des crédits alloués selon la taille des unités enquêtées fait ressortir les caractéristiques ci-après</w:t>
      </w:r>
      <w:r w:rsidR="003C6676">
        <w:rPr>
          <w:rFonts w:ascii="Book Antiqua" w:eastAsia="Calibri" w:hAnsi="Book Antiqua"/>
          <w:sz w:val="22"/>
          <w:szCs w:val="22"/>
        </w:rPr>
        <w:t> :</w:t>
      </w:r>
    </w:p>
    <w:p w:rsidR="009260C9" w:rsidRPr="00CE36BF" w:rsidRDefault="00352807" w:rsidP="00840635">
      <w:pPr>
        <w:pStyle w:val="Paragraphedeliste"/>
        <w:numPr>
          <w:ilvl w:val="0"/>
          <w:numId w:val="30"/>
        </w:numPr>
        <w:spacing w:before="80" w:after="80" w:line="276" w:lineRule="auto"/>
        <w:ind w:left="567" w:hanging="283"/>
        <w:contextualSpacing w:val="0"/>
        <w:jc w:val="both"/>
        <w:rPr>
          <w:rFonts w:ascii="Book Antiqua" w:eastAsia="Calibri" w:hAnsi="Book Antiqua"/>
          <w:sz w:val="22"/>
          <w:szCs w:val="22"/>
          <w:lang w:eastAsia="en-US"/>
        </w:rPr>
      </w:pPr>
      <w:r w:rsidRPr="00CE36BF">
        <w:rPr>
          <w:rFonts w:ascii="Book Antiqua" w:eastAsia="Calibri" w:hAnsi="Book Antiqua"/>
          <w:sz w:val="22"/>
          <w:szCs w:val="22"/>
          <w:lang w:eastAsia="en-US"/>
        </w:rPr>
        <w:t>Pour les unités dont le chiffre d’affaires est inférieur</w:t>
      </w:r>
      <w:r w:rsidR="00A7207B">
        <w:rPr>
          <w:rFonts w:ascii="Book Antiqua" w:eastAsia="Calibri" w:hAnsi="Book Antiqua"/>
          <w:sz w:val="22"/>
          <w:szCs w:val="22"/>
          <w:lang w:eastAsia="en-US"/>
        </w:rPr>
        <w:t xml:space="preserve"> </w:t>
      </w:r>
      <w:r w:rsidR="008879D3" w:rsidRPr="00CE36BF">
        <w:rPr>
          <w:rFonts w:ascii="Book Antiqua" w:eastAsia="Calibri" w:hAnsi="Book Antiqua"/>
          <w:sz w:val="22"/>
          <w:szCs w:val="22"/>
          <w:lang w:eastAsia="en-US"/>
        </w:rPr>
        <w:t>ou égal</w:t>
      </w:r>
      <w:r w:rsidRPr="00CE36BF">
        <w:rPr>
          <w:rFonts w:ascii="Book Antiqua" w:eastAsia="Calibri" w:hAnsi="Book Antiqua"/>
          <w:sz w:val="22"/>
          <w:szCs w:val="22"/>
          <w:lang w:eastAsia="en-US"/>
        </w:rPr>
        <w:t xml:space="preserve"> à 500 millions FCFA, les </w:t>
      </w:r>
      <w:r w:rsidR="00C9196F" w:rsidRPr="00CE36BF">
        <w:rPr>
          <w:rFonts w:ascii="Book Antiqua" w:eastAsia="Calibri" w:hAnsi="Book Antiqua"/>
          <w:sz w:val="22"/>
          <w:szCs w:val="22"/>
          <w:lang w:eastAsia="en-US"/>
        </w:rPr>
        <w:t>crédits de fonctionnement sont les plus usités avec des taux de</w:t>
      </w:r>
      <w:r w:rsidR="008879D3" w:rsidRPr="00CE36BF">
        <w:rPr>
          <w:rFonts w:ascii="Book Antiqua" w:eastAsia="Calibri" w:hAnsi="Book Antiqua"/>
          <w:sz w:val="22"/>
          <w:szCs w:val="22"/>
          <w:lang w:eastAsia="en-US"/>
        </w:rPr>
        <w:t> :</w:t>
      </w:r>
    </w:p>
    <w:p w:rsidR="009260C9" w:rsidRPr="00CE36BF" w:rsidRDefault="00352807" w:rsidP="00840635">
      <w:pPr>
        <w:pStyle w:val="Paragraphedeliste"/>
        <w:numPr>
          <w:ilvl w:val="0"/>
          <w:numId w:val="54"/>
        </w:numPr>
        <w:spacing w:before="80" w:after="80" w:line="276" w:lineRule="auto"/>
        <w:ind w:left="851" w:hanging="284"/>
        <w:contextualSpacing w:val="0"/>
        <w:jc w:val="both"/>
        <w:rPr>
          <w:rFonts w:ascii="Book Antiqua" w:eastAsia="Calibri" w:hAnsi="Book Antiqua"/>
          <w:sz w:val="22"/>
          <w:szCs w:val="22"/>
          <w:lang w:eastAsia="en-US"/>
        </w:rPr>
      </w:pPr>
      <w:r w:rsidRPr="00CE36BF">
        <w:rPr>
          <w:rFonts w:ascii="Book Antiqua" w:eastAsia="Calibri" w:hAnsi="Book Antiqua"/>
          <w:sz w:val="22"/>
          <w:szCs w:val="22"/>
          <w:lang w:eastAsia="en-US"/>
        </w:rPr>
        <w:t>55,6% pour les moins de 10 millions</w:t>
      </w:r>
      <w:r w:rsidR="008879D3" w:rsidRPr="00CE36BF">
        <w:rPr>
          <w:rFonts w:ascii="Book Antiqua" w:eastAsia="Calibri" w:hAnsi="Book Antiqua"/>
          <w:sz w:val="22"/>
          <w:szCs w:val="22"/>
          <w:lang w:eastAsia="en-US"/>
        </w:rPr>
        <w:t xml:space="preserve"> FCFA</w:t>
      </w:r>
      <w:r w:rsidR="00D51636">
        <w:rPr>
          <w:rFonts w:ascii="Book Antiqua" w:eastAsia="Calibri" w:hAnsi="Book Antiqua"/>
          <w:sz w:val="22"/>
          <w:szCs w:val="22"/>
          <w:lang w:eastAsia="en-US"/>
        </w:rPr>
        <w:t> ;</w:t>
      </w:r>
      <w:r w:rsidRPr="00CE36BF">
        <w:rPr>
          <w:rFonts w:ascii="Book Antiqua" w:eastAsia="Calibri" w:hAnsi="Book Antiqua"/>
          <w:sz w:val="22"/>
          <w:szCs w:val="22"/>
          <w:lang w:eastAsia="en-US"/>
        </w:rPr>
        <w:t xml:space="preserve"> </w:t>
      </w:r>
    </w:p>
    <w:p w:rsidR="009260C9" w:rsidRPr="00CE36BF" w:rsidRDefault="00352807" w:rsidP="00840635">
      <w:pPr>
        <w:pStyle w:val="Paragraphedeliste"/>
        <w:numPr>
          <w:ilvl w:val="0"/>
          <w:numId w:val="54"/>
        </w:numPr>
        <w:spacing w:before="80" w:after="80" w:line="276" w:lineRule="auto"/>
        <w:ind w:left="851" w:hanging="284"/>
        <w:contextualSpacing w:val="0"/>
        <w:jc w:val="both"/>
        <w:rPr>
          <w:rFonts w:ascii="Book Antiqua" w:eastAsia="Calibri" w:hAnsi="Book Antiqua"/>
          <w:sz w:val="22"/>
          <w:szCs w:val="22"/>
          <w:lang w:eastAsia="en-US"/>
        </w:rPr>
      </w:pPr>
      <w:r w:rsidRPr="00CE36BF">
        <w:rPr>
          <w:rFonts w:ascii="Book Antiqua" w:eastAsia="Calibri" w:hAnsi="Book Antiqua"/>
          <w:sz w:val="22"/>
          <w:szCs w:val="22"/>
          <w:lang w:eastAsia="en-US"/>
        </w:rPr>
        <w:t xml:space="preserve">55,4% </w:t>
      </w:r>
      <w:r w:rsidR="004204AC" w:rsidRPr="00CE36BF">
        <w:rPr>
          <w:rFonts w:ascii="Book Antiqua" w:eastAsia="Calibri" w:hAnsi="Book Antiqua"/>
          <w:sz w:val="22"/>
          <w:szCs w:val="22"/>
          <w:lang w:eastAsia="en-US"/>
        </w:rPr>
        <w:t>entre 100 et 500 millions FCFA</w:t>
      </w:r>
      <w:r w:rsidR="00D51636">
        <w:rPr>
          <w:rFonts w:ascii="Book Antiqua" w:eastAsia="Calibri" w:hAnsi="Book Antiqua"/>
          <w:sz w:val="22"/>
          <w:szCs w:val="22"/>
          <w:lang w:eastAsia="en-US"/>
        </w:rPr>
        <w:t> ;</w:t>
      </w:r>
    </w:p>
    <w:p w:rsidR="009260C9" w:rsidRPr="00CE36BF" w:rsidRDefault="00352807" w:rsidP="00840635">
      <w:pPr>
        <w:pStyle w:val="Paragraphedeliste"/>
        <w:numPr>
          <w:ilvl w:val="0"/>
          <w:numId w:val="54"/>
        </w:numPr>
        <w:spacing w:before="80" w:after="80" w:line="276" w:lineRule="auto"/>
        <w:ind w:left="851" w:hanging="284"/>
        <w:contextualSpacing w:val="0"/>
        <w:jc w:val="both"/>
        <w:rPr>
          <w:rFonts w:ascii="Book Antiqua" w:eastAsia="Calibri" w:hAnsi="Book Antiqua"/>
          <w:sz w:val="22"/>
          <w:szCs w:val="22"/>
          <w:lang w:eastAsia="en-US"/>
        </w:rPr>
      </w:pPr>
      <w:r w:rsidRPr="00CE36BF">
        <w:rPr>
          <w:rFonts w:ascii="Book Antiqua" w:eastAsia="Calibri" w:hAnsi="Book Antiqua"/>
          <w:sz w:val="22"/>
          <w:szCs w:val="22"/>
          <w:lang w:eastAsia="en-US"/>
        </w:rPr>
        <w:t>46,0% entre 10 millions et 50 millions FCFA</w:t>
      </w:r>
      <w:r w:rsidR="00D51636">
        <w:rPr>
          <w:rFonts w:ascii="Book Antiqua" w:eastAsia="Calibri" w:hAnsi="Book Antiqua"/>
          <w:sz w:val="22"/>
          <w:szCs w:val="22"/>
          <w:lang w:eastAsia="en-US"/>
        </w:rPr>
        <w:t> ;</w:t>
      </w:r>
      <w:r w:rsidRPr="00CE36BF">
        <w:rPr>
          <w:rFonts w:ascii="Book Antiqua" w:eastAsia="Calibri" w:hAnsi="Book Antiqua"/>
          <w:sz w:val="22"/>
          <w:szCs w:val="22"/>
          <w:lang w:eastAsia="en-US"/>
        </w:rPr>
        <w:t xml:space="preserve"> </w:t>
      </w:r>
    </w:p>
    <w:p w:rsidR="009260C9" w:rsidRDefault="00352807" w:rsidP="00840635">
      <w:pPr>
        <w:pStyle w:val="Paragraphedeliste"/>
        <w:numPr>
          <w:ilvl w:val="0"/>
          <w:numId w:val="54"/>
        </w:numPr>
        <w:spacing w:before="80" w:after="80" w:line="276" w:lineRule="auto"/>
        <w:ind w:left="851" w:hanging="284"/>
        <w:contextualSpacing w:val="0"/>
        <w:jc w:val="both"/>
        <w:rPr>
          <w:rFonts w:ascii="Book Antiqua" w:eastAsia="Calibri" w:hAnsi="Book Antiqua"/>
          <w:sz w:val="22"/>
          <w:szCs w:val="22"/>
          <w:lang w:eastAsia="en-US"/>
        </w:rPr>
      </w:pPr>
      <w:r w:rsidRPr="00CE36BF">
        <w:rPr>
          <w:rFonts w:ascii="Book Antiqua" w:eastAsia="Calibri" w:hAnsi="Book Antiqua"/>
          <w:sz w:val="22"/>
          <w:szCs w:val="22"/>
          <w:lang w:eastAsia="en-US"/>
        </w:rPr>
        <w:t>44,9% pour les unités ayant un chiffre d’affaire compris entre 50 millions et 100 millions FCFA.</w:t>
      </w:r>
      <w:r w:rsidR="008879D3" w:rsidRPr="00CE36BF">
        <w:rPr>
          <w:rFonts w:ascii="Book Antiqua" w:eastAsia="Calibri" w:hAnsi="Book Antiqua"/>
          <w:sz w:val="22"/>
          <w:szCs w:val="22"/>
          <w:lang w:eastAsia="en-US"/>
        </w:rPr>
        <w:t> </w:t>
      </w:r>
    </w:p>
    <w:p w:rsidR="008879D3" w:rsidRDefault="00352807" w:rsidP="00840635">
      <w:pPr>
        <w:pStyle w:val="Paragraphedeliste"/>
        <w:numPr>
          <w:ilvl w:val="0"/>
          <w:numId w:val="3"/>
        </w:numPr>
        <w:spacing w:before="240" w:after="240" w:line="276" w:lineRule="auto"/>
        <w:ind w:left="567" w:hanging="283"/>
        <w:contextualSpacing w:val="0"/>
        <w:jc w:val="both"/>
        <w:rPr>
          <w:rFonts w:ascii="Book Antiqua" w:eastAsia="Calibri" w:hAnsi="Book Antiqua"/>
          <w:sz w:val="22"/>
          <w:szCs w:val="22"/>
          <w:lang w:eastAsia="en-US"/>
        </w:rPr>
      </w:pPr>
      <w:r w:rsidRPr="008879D3">
        <w:rPr>
          <w:rFonts w:ascii="Book Antiqua" w:eastAsia="Calibri" w:hAnsi="Book Antiqua"/>
          <w:sz w:val="22"/>
          <w:szCs w:val="22"/>
          <w:lang w:eastAsia="en-US"/>
        </w:rPr>
        <w:t>Pour les</w:t>
      </w:r>
      <w:r w:rsidR="00413534" w:rsidRPr="008879D3">
        <w:rPr>
          <w:rFonts w:ascii="Book Antiqua" w:eastAsia="Calibri" w:hAnsi="Book Antiqua"/>
          <w:sz w:val="22"/>
          <w:szCs w:val="22"/>
          <w:lang w:eastAsia="en-US"/>
        </w:rPr>
        <w:t xml:space="preserve"> entités dont le chiffre d’affaires est supérieur</w:t>
      </w:r>
      <w:r w:rsidR="00A7207B">
        <w:rPr>
          <w:rFonts w:ascii="Book Antiqua" w:eastAsia="Calibri" w:hAnsi="Book Antiqua"/>
          <w:sz w:val="22"/>
          <w:szCs w:val="22"/>
          <w:lang w:eastAsia="en-US"/>
        </w:rPr>
        <w:t xml:space="preserve"> </w:t>
      </w:r>
      <w:r w:rsidR="00413534" w:rsidRPr="008879D3">
        <w:rPr>
          <w:rFonts w:ascii="Book Antiqua" w:eastAsia="Calibri" w:hAnsi="Book Antiqua"/>
          <w:sz w:val="22"/>
          <w:szCs w:val="22"/>
          <w:lang w:eastAsia="en-US"/>
        </w:rPr>
        <w:t xml:space="preserve">à 500 millions FCFA, </w:t>
      </w:r>
      <w:r w:rsidR="001E2F59" w:rsidRPr="008879D3">
        <w:rPr>
          <w:rFonts w:ascii="Book Antiqua" w:eastAsia="Calibri" w:hAnsi="Book Antiqua"/>
          <w:sz w:val="22"/>
          <w:szCs w:val="22"/>
          <w:lang w:eastAsia="en-US"/>
        </w:rPr>
        <w:t>les crédits d’investissement arrivent au premier plan avec des taux d</w:t>
      </w:r>
      <w:r w:rsidR="00C9196F">
        <w:rPr>
          <w:rFonts w:ascii="Book Antiqua" w:eastAsia="Calibri" w:hAnsi="Book Antiqua"/>
          <w:sz w:val="22"/>
          <w:szCs w:val="22"/>
          <w:lang w:eastAsia="en-US"/>
        </w:rPr>
        <w:t>’utilisation de</w:t>
      </w:r>
      <w:r w:rsidR="008879D3">
        <w:rPr>
          <w:rFonts w:ascii="Book Antiqua" w:eastAsia="Calibri" w:hAnsi="Book Antiqua"/>
          <w:sz w:val="22"/>
          <w:szCs w:val="22"/>
          <w:lang w:eastAsia="en-US"/>
        </w:rPr>
        <w:t> :</w:t>
      </w:r>
    </w:p>
    <w:p w:rsidR="009260C9" w:rsidRDefault="004204AC" w:rsidP="00840635">
      <w:pPr>
        <w:pStyle w:val="Paragraphedeliste"/>
        <w:numPr>
          <w:ilvl w:val="0"/>
          <w:numId w:val="31"/>
        </w:numPr>
        <w:spacing w:before="80" w:after="80" w:line="276" w:lineRule="auto"/>
        <w:ind w:left="851" w:hanging="284"/>
        <w:contextualSpacing w:val="0"/>
        <w:jc w:val="both"/>
        <w:rPr>
          <w:rFonts w:ascii="Book Antiqua" w:eastAsia="Calibri" w:hAnsi="Book Antiqua"/>
          <w:sz w:val="22"/>
          <w:szCs w:val="22"/>
          <w:lang w:eastAsia="en-US"/>
        </w:rPr>
      </w:pPr>
      <w:r w:rsidRPr="00B40EE4">
        <w:rPr>
          <w:rFonts w:ascii="Book Antiqua" w:eastAsia="Calibri" w:hAnsi="Book Antiqua"/>
          <w:sz w:val="22"/>
          <w:szCs w:val="22"/>
          <w:lang w:eastAsia="en-US"/>
        </w:rPr>
        <w:t>44,7% pour l</w:t>
      </w:r>
      <w:r w:rsidR="001E2F59" w:rsidRPr="008879D3">
        <w:rPr>
          <w:rFonts w:ascii="Book Antiqua" w:eastAsia="Calibri" w:hAnsi="Book Antiqua"/>
          <w:sz w:val="22"/>
          <w:szCs w:val="22"/>
          <w:lang w:eastAsia="en-US"/>
        </w:rPr>
        <w:t>es unité</w:t>
      </w:r>
      <w:r w:rsidRPr="00B40EE4">
        <w:rPr>
          <w:rFonts w:ascii="Book Antiqua" w:eastAsia="Calibri" w:hAnsi="Book Antiqua"/>
          <w:sz w:val="22"/>
          <w:szCs w:val="22"/>
        </w:rPr>
        <w:t>s dont le chiffre d’affaires est compris entre 500 millions et 1</w:t>
      </w:r>
      <w:r w:rsidRPr="00B40EE4">
        <w:rPr>
          <w:rFonts w:ascii="Book Antiqua" w:eastAsia="Calibri" w:hAnsi="Book Antiqua"/>
          <w:sz w:val="22"/>
          <w:szCs w:val="22"/>
          <w:lang w:eastAsia="en-US"/>
        </w:rPr>
        <w:t xml:space="preserve"> milliard FCFA</w:t>
      </w:r>
      <w:r w:rsidR="00D51636">
        <w:rPr>
          <w:rFonts w:ascii="Book Antiqua" w:eastAsia="Calibri" w:hAnsi="Book Antiqua"/>
          <w:sz w:val="22"/>
          <w:szCs w:val="22"/>
          <w:lang w:eastAsia="en-US"/>
        </w:rPr>
        <w:t> ;</w:t>
      </w:r>
    </w:p>
    <w:p w:rsidR="009260C9" w:rsidRDefault="004204AC" w:rsidP="00840635">
      <w:pPr>
        <w:pStyle w:val="Paragraphedeliste"/>
        <w:numPr>
          <w:ilvl w:val="0"/>
          <w:numId w:val="31"/>
        </w:numPr>
        <w:spacing w:before="80" w:after="80" w:line="276" w:lineRule="auto"/>
        <w:ind w:left="851" w:hanging="284"/>
        <w:contextualSpacing w:val="0"/>
        <w:jc w:val="both"/>
        <w:rPr>
          <w:rFonts w:ascii="Book Antiqua" w:eastAsia="Calibri" w:hAnsi="Book Antiqua"/>
          <w:sz w:val="22"/>
          <w:szCs w:val="22"/>
          <w:lang w:eastAsia="en-US"/>
        </w:rPr>
      </w:pPr>
      <w:r w:rsidRPr="00B40EE4">
        <w:rPr>
          <w:rFonts w:ascii="Book Antiqua" w:eastAsia="Calibri" w:hAnsi="Book Antiqua"/>
          <w:sz w:val="22"/>
          <w:szCs w:val="22"/>
          <w:lang w:eastAsia="en-US"/>
        </w:rPr>
        <w:t xml:space="preserve">33,3% pour celles dont </w:t>
      </w:r>
      <w:r w:rsidR="008879D3">
        <w:rPr>
          <w:rFonts w:ascii="Book Antiqua" w:eastAsia="Calibri" w:hAnsi="Book Antiqua"/>
          <w:sz w:val="22"/>
          <w:szCs w:val="22"/>
          <w:lang w:eastAsia="en-US"/>
        </w:rPr>
        <w:t>la taille</w:t>
      </w:r>
      <w:r w:rsidR="008879D3" w:rsidRPr="008879D3">
        <w:rPr>
          <w:rFonts w:ascii="Book Antiqua" w:eastAsia="Calibri" w:hAnsi="Book Antiqua"/>
          <w:sz w:val="22"/>
          <w:szCs w:val="22"/>
          <w:lang w:eastAsia="en-US"/>
        </w:rPr>
        <w:t xml:space="preserve"> se situe au delà de 1 milliard FCFA. </w:t>
      </w:r>
    </w:p>
    <w:p w:rsidR="00D163CD" w:rsidRDefault="00D163CD" w:rsidP="00840635">
      <w:pPr>
        <w:pStyle w:val="Lgende"/>
        <w:keepNext/>
        <w:spacing w:line="276" w:lineRule="auto"/>
        <w:jc w:val="center"/>
        <w:rPr>
          <w:rFonts w:ascii="Book Antiqua" w:hAnsi="Book Antiqua"/>
          <w:color w:val="auto"/>
        </w:rPr>
      </w:pPr>
      <w:bookmarkStart w:id="98" w:name="_Toc523313732"/>
    </w:p>
    <w:p w:rsidR="0030590B" w:rsidRPr="0030590B" w:rsidRDefault="0030590B" w:rsidP="00840635">
      <w:pPr>
        <w:pStyle w:val="Lgende"/>
        <w:keepNext/>
        <w:spacing w:line="276" w:lineRule="auto"/>
        <w:jc w:val="center"/>
        <w:rPr>
          <w:rFonts w:ascii="Book Antiqua" w:hAnsi="Book Antiqua"/>
          <w:color w:val="auto"/>
        </w:rPr>
      </w:pPr>
      <w:r w:rsidRPr="0030590B">
        <w:rPr>
          <w:rFonts w:ascii="Book Antiqua" w:hAnsi="Book Antiqua"/>
          <w:color w:val="auto"/>
        </w:rPr>
        <w:t xml:space="preserve">Figure </w:t>
      </w:r>
      <w:r w:rsidR="000D65F2">
        <w:rPr>
          <w:rFonts w:ascii="Book Antiqua" w:hAnsi="Book Antiqua"/>
          <w:color w:val="auto"/>
        </w:rPr>
        <w:fldChar w:fldCharType="begin"/>
      </w:r>
      <w:r w:rsidR="002708B0">
        <w:rPr>
          <w:rFonts w:ascii="Book Antiqua" w:hAnsi="Book Antiqua"/>
          <w:color w:val="auto"/>
        </w:rPr>
        <w:instrText xml:space="preserve"> SEQ Figure \* ARABIC </w:instrText>
      </w:r>
      <w:r w:rsidR="000D65F2">
        <w:rPr>
          <w:rFonts w:ascii="Book Antiqua" w:hAnsi="Book Antiqua"/>
          <w:color w:val="auto"/>
        </w:rPr>
        <w:fldChar w:fldCharType="separate"/>
      </w:r>
      <w:r w:rsidR="000F780F">
        <w:rPr>
          <w:rFonts w:ascii="Book Antiqua" w:hAnsi="Book Antiqua"/>
          <w:noProof/>
          <w:color w:val="auto"/>
        </w:rPr>
        <w:t>49</w:t>
      </w:r>
      <w:r w:rsidR="000D65F2">
        <w:rPr>
          <w:rFonts w:ascii="Book Antiqua" w:hAnsi="Book Antiqua"/>
          <w:color w:val="auto"/>
        </w:rPr>
        <w:fldChar w:fldCharType="end"/>
      </w:r>
      <w:r w:rsidRPr="0030590B">
        <w:rPr>
          <w:rFonts w:ascii="Book Antiqua" w:hAnsi="Book Antiqua"/>
          <w:color w:val="auto"/>
        </w:rPr>
        <w:t xml:space="preserve"> : Nature des crédits en fonction du chiffre d'affaires des unités</w:t>
      </w:r>
      <w:bookmarkEnd w:id="98"/>
    </w:p>
    <w:p w:rsidR="005204C2" w:rsidRDefault="00F44BC9" w:rsidP="00840635">
      <w:pPr>
        <w:spacing w:after="200" w:line="276" w:lineRule="auto"/>
        <w:jc w:val="both"/>
        <w:rPr>
          <w:rFonts w:eastAsia="Calibri"/>
          <w:highlight w:val="yellow"/>
        </w:rPr>
      </w:pPr>
      <w:r w:rsidRPr="00B40EE4">
        <w:rPr>
          <w:rFonts w:eastAsia="Calibri"/>
          <w:noProof/>
        </w:rPr>
        <w:drawing>
          <wp:inline distT="0" distB="0" distL="0" distR="0">
            <wp:extent cx="5972810" cy="3249295"/>
            <wp:effectExtent l="19050" t="0" r="27940" b="8255"/>
            <wp:docPr id="48"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A5C4F" w:rsidRPr="00B40EE4" w:rsidRDefault="004204AC" w:rsidP="00840635">
      <w:pPr>
        <w:spacing w:before="240" w:after="240" w:line="276" w:lineRule="auto"/>
        <w:jc w:val="both"/>
        <w:rPr>
          <w:rFonts w:ascii="Book Antiqua" w:eastAsia="Calibri" w:hAnsi="Book Antiqua"/>
          <w:sz w:val="22"/>
          <w:szCs w:val="22"/>
        </w:rPr>
      </w:pPr>
      <w:r w:rsidRPr="00B40EE4">
        <w:rPr>
          <w:rFonts w:ascii="Book Antiqua" w:eastAsia="Calibri" w:hAnsi="Book Antiqua"/>
          <w:sz w:val="22"/>
          <w:szCs w:val="22"/>
        </w:rPr>
        <w:t xml:space="preserve">Selon la nature de l’activité, il ressort que les crédits de fonctionnement sont les plus demandés par les unités enquêtées avec des proportions de 55,2% et 44,8% respectivement pour les secteurs informel et formel. Viennent ensuite les crédits d’investissement qui ressortent à des taux d’utilisation de 34,5% pour les unités informelles et 39,2% pour celles du secteur moderne. </w:t>
      </w:r>
    </w:p>
    <w:p w:rsidR="006C60AC" w:rsidRPr="0030590B" w:rsidRDefault="004204AC" w:rsidP="00AA59E0">
      <w:pPr>
        <w:spacing w:line="276" w:lineRule="auto"/>
        <w:jc w:val="both"/>
        <w:rPr>
          <w:rFonts w:ascii="Book Antiqua" w:eastAsia="Calibri" w:hAnsi="Book Antiqua"/>
          <w:sz w:val="22"/>
          <w:szCs w:val="22"/>
        </w:rPr>
      </w:pPr>
      <w:r w:rsidRPr="00B40EE4">
        <w:rPr>
          <w:rFonts w:ascii="Book Antiqua" w:eastAsia="Calibri" w:hAnsi="Book Antiqua"/>
          <w:sz w:val="22"/>
          <w:szCs w:val="22"/>
        </w:rPr>
        <w:t xml:space="preserve">Le crédit documentaire, le </w:t>
      </w:r>
      <w:r w:rsidR="00B97AB4" w:rsidRPr="00B40EE4">
        <w:rPr>
          <w:rFonts w:ascii="Book Antiqua" w:eastAsia="Calibri" w:hAnsi="Book Antiqua"/>
          <w:sz w:val="22"/>
          <w:szCs w:val="22"/>
        </w:rPr>
        <w:t>crédit-bail</w:t>
      </w:r>
      <w:r w:rsidRPr="00B40EE4">
        <w:rPr>
          <w:rFonts w:ascii="Book Antiqua" w:eastAsia="Calibri" w:hAnsi="Book Antiqua"/>
          <w:sz w:val="22"/>
          <w:szCs w:val="22"/>
        </w:rPr>
        <w:t xml:space="preserve"> et l’escompte constituent des moyens de financement plus courants chez les unités du secteur formel avec des</w:t>
      </w:r>
      <w:r w:rsidR="00A7207B">
        <w:rPr>
          <w:rFonts w:ascii="Book Antiqua" w:eastAsia="Calibri" w:hAnsi="Book Antiqua"/>
          <w:sz w:val="22"/>
          <w:szCs w:val="22"/>
        </w:rPr>
        <w:t xml:space="preserve"> </w:t>
      </w:r>
      <w:r w:rsidR="00D16DE6" w:rsidRPr="004A5C4F">
        <w:rPr>
          <w:rFonts w:ascii="Book Antiqua" w:eastAsia="Calibri" w:hAnsi="Book Antiqua"/>
          <w:sz w:val="22"/>
          <w:szCs w:val="22"/>
        </w:rPr>
        <w:t>proportions</w:t>
      </w:r>
      <w:r w:rsidRPr="00B40EE4">
        <w:rPr>
          <w:rFonts w:ascii="Book Antiqua" w:eastAsia="Calibri" w:hAnsi="Book Antiqua"/>
          <w:sz w:val="22"/>
          <w:szCs w:val="22"/>
        </w:rPr>
        <w:t xml:space="preserve"> respect</w:t>
      </w:r>
      <w:r w:rsidR="00D16DE6">
        <w:rPr>
          <w:rFonts w:ascii="Book Antiqua" w:eastAsia="Calibri" w:hAnsi="Book Antiqua"/>
          <w:sz w:val="22"/>
          <w:szCs w:val="22"/>
        </w:rPr>
        <w:t>ives</w:t>
      </w:r>
      <w:r w:rsidRPr="00B40EE4">
        <w:rPr>
          <w:rFonts w:ascii="Book Antiqua" w:eastAsia="Calibri" w:hAnsi="Book Antiqua"/>
          <w:sz w:val="22"/>
          <w:szCs w:val="22"/>
        </w:rPr>
        <w:t xml:space="preserve"> de 5,4%, 4,3% et 3,6% </w:t>
      </w:r>
      <w:r w:rsidRPr="00B40EE4">
        <w:rPr>
          <w:rFonts w:ascii="Book Antiqua" w:eastAsia="Calibri" w:hAnsi="Book Antiqua"/>
          <w:sz w:val="22"/>
          <w:szCs w:val="22"/>
        </w:rPr>
        <w:lastRenderedPageBreak/>
        <w:t>que chez les unités issues de l’informel qui affichent respectivement des</w:t>
      </w:r>
      <w:r w:rsidR="00A7207B">
        <w:rPr>
          <w:rFonts w:ascii="Book Antiqua" w:eastAsia="Calibri" w:hAnsi="Book Antiqua"/>
          <w:sz w:val="22"/>
          <w:szCs w:val="22"/>
        </w:rPr>
        <w:t xml:space="preserve"> </w:t>
      </w:r>
      <w:r w:rsidR="00D16DE6" w:rsidRPr="004A5C4F">
        <w:rPr>
          <w:rFonts w:ascii="Book Antiqua" w:eastAsia="Calibri" w:hAnsi="Book Antiqua"/>
          <w:sz w:val="22"/>
          <w:szCs w:val="22"/>
        </w:rPr>
        <w:t>taux</w:t>
      </w:r>
      <w:r w:rsidR="00D16DE6">
        <w:rPr>
          <w:rFonts w:ascii="Book Antiqua" w:eastAsia="Calibri" w:hAnsi="Book Antiqua"/>
          <w:sz w:val="22"/>
          <w:szCs w:val="22"/>
        </w:rPr>
        <w:t xml:space="preserve"> d’utilisation</w:t>
      </w:r>
      <w:r w:rsidRPr="00B40EE4">
        <w:rPr>
          <w:rFonts w:ascii="Book Antiqua" w:eastAsia="Calibri" w:hAnsi="Book Antiqua"/>
          <w:sz w:val="22"/>
          <w:szCs w:val="22"/>
        </w:rPr>
        <w:t xml:space="preserve"> de 2,4%, 0,6% et 0,</w:t>
      </w:r>
      <w:r w:rsidR="00D16DE6">
        <w:rPr>
          <w:rFonts w:ascii="Book Antiqua" w:eastAsia="Calibri" w:hAnsi="Book Antiqua"/>
          <w:sz w:val="22"/>
          <w:szCs w:val="22"/>
        </w:rPr>
        <w:t>6</w:t>
      </w:r>
      <w:r w:rsidRPr="00B40EE4">
        <w:rPr>
          <w:rFonts w:ascii="Book Antiqua" w:eastAsia="Calibri" w:hAnsi="Book Antiqua"/>
          <w:sz w:val="22"/>
          <w:szCs w:val="22"/>
        </w:rPr>
        <w:t>%</w:t>
      </w:r>
      <w:r w:rsidR="00CE36BF">
        <w:rPr>
          <w:rFonts w:ascii="Book Antiqua" w:eastAsia="Calibri" w:hAnsi="Book Antiqua"/>
          <w:sz w:val="22"/>
          <w:szCs w:val="22"/>
        </w:rPr>
        <w:t xml:space="preserve">. </w:t>
      </w:r>
    </w:p>
    <w:p w:rsidR="0030590B" w:rsidRPr="00EC1089" w:rsidRDefault="0030590B" w:rsidP="00AA59E0">
      <w:pPr>
        <w:pStyle w:val="Lgende"/>
        <w:keepNext/>
        <w:spacing w:before="120" w:line="276" w:lineRule="auto"/>
        <w:jc w:val="center"/>
        <w:rPr>
          <w:color w:val="auto"/>
        </w:rPr>
      </w:pPr>
      <w:bookmarkStart w:id="99" w:name="_Toc523313733"/>
      <w:r w:rsidRPr="00EC1089">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50</w:t>
      </w:r>
      <w:r w:rsidR="000D65F2">
        <w:rPr>
          <w:color w:val="auto"/>
        </w:rPr>
        <w:fldChar w:fldCharType="end"/>
      </w:r>
      <w:r w:rsidRPr="00EC1089">
        <w:rPr>
          <w:color w:val="auto"/>
        </w:rPr>
        <w:t xml:space="preserve"> : Nature des crédits selon le type d'activité des unités</w:t>
      </w:r>
      <w:bookmarkEnd w:id="99"/>
    </w:p>
    <w:p w:rsidR="00F7087D" w:rsidRDefault="00F44BC9" w:rsidP="00840635">
      <w:pPr>
        <w:spacing w:after="200" w:line="276" w:lineRule="auto"/>
        <w:jc w:val="center"/>
        <w:rPr>
          <w:rFonts w:eastAsia="Calibri"/>
          <w:highlight w:val="yellow"/>
        </w:rPr>
      </w:pPr>
      <w:r w:rsidRPr="00B40EE4">
        <w:rPr>
          <w:rFonts w:eastAsia="Calibri"/>
          <w:noProof/>
        </w:rPr>
        <w:drawing>
          <wp:inline distT="0" distB="0" distL="0" distR="0">
            <wp:extent cx="5132980" cy="2777319"/>
            <wp:effectExtent l="19050" t="0" r="10520" b="3981"/>
            <wp:docPr id="49"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80925" w:rsidRPr="00BB4852" w:rsidRDefault="00980925" w:rsidP="00AA59E0">
      <w:pPr>
        <w:tabs>
          <w:tab w:val="left" w:pos="1320"/>
          <w:tab w:val="right" w:leader="dot" w:pos="9572"/>
        </w:tabs>
        <w:spacing w:before="160" w:after="160" w:line="276" w:lineRule="auto"/>
        <w:ind w:left="709" w:hanging="142"/>
        <w:jc w:val="both"/>
        <w:outlineLvl w:val="2"/>
        <w:rPr>
          <w:rFonts w:ascii="Book Antiqua" w:hAnsi="Book Antiqua"/>
          <w:b/>
          <w:sz w:val="22"/>
          <w:szCs w:val="22"/>
        </w:rPr>
      </w:pPr>
      <w:bookmarkStart w:id="100" w:name="_Toc523322051"/>
      <w:r w:rsidRPr="00BB4852">
        <w:rPr>
          <w:rFonts w:ascii="Book Antiqua" w:hAnsi="Book Antiqua"/>
          <w:b/>
          <w:sz w:val="22"/>
          <w:szCs w:val="22"/>
        </w:rPr>
        <w:t>III.1.2. Appréciation du niveau des taux d’intérêt</w:t>
      </w:r>
      <w:bookmarkEnd w:id="97"/>
      <w:bookmarkEnd w:id="100"/>
    </w:p>
    <w:p w:rsidR="00980925" w:rsidRDefault="009916F5" w:rsidP="00AA59E0">
      <w:pPr>
        <w:spacing w:before="160" w:after="16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L</w:t>
      </w:r>
      <w:r w:rsidR="00980925" w:rsidRPr="00980925">
        <w:rPr>
          <w:rFonts w:ascii="Book Antiqua" w:eastAsia="Calibri" w:hAnsi="Book Antiqua"/>
          <w:sz w:val="22"/>
          <w:szCs w:val="22"/>
          <w:lang w:eastAsia="en-US"/>
        </w:rPr>
        <w:t xml:space="preserve">’enquête </w:t>
      </w:r>
      <w:r w:rsidR="00B40EE4">
        <w:rPr>
          <w:rFonts w:ascii="Book Antiqua" w:eastAsia="Calibri" w:hAnsi="Book Antiqua"/>
          <w:sz w:val="22"/>
          <w:szCs w:val="22"/>
          <w:lang w:eastAsia="en-US"/>
        </w:rPr>
        <w:t>met en exergue</w:t>
      </w:r>
      <w:r>
        <w:rPr>
          <w:rFonts w:ascii="Book Antiqua" w:eastAsia="Calibri" w:hAnsi="Book Antiqua"/>
          <w:sz w:val="22"/>
          <w:szCs w:val="22"/>
          <w:lang w:eastAsia="en-US"/>
        </w:rPr>
        <w:t xml:space="preserve"> la problématique des taux d’intérêts appliqués aux unités économiques</w:t>
      </w:r>
      <w:r w:rsidR="006C60AC">
        <w:rPr>
          <w:rFonts w:ascii="Book Antiqua" w:eastAsia="Calibri" w:hAnsi="Book Antiqua"/>
          <w:sz w:val="22"/>
          <w:szCs w:val="22"/>
          <w:lang w:eastAsia="en-US"/>
        </w:rPr>
        <w:t xml:space="preserve"> </w:t>
      </w:r>
      <w:r>
        <w:rPr>
          <w:rFonts w:ascii="Book Antiqua" w:eastAsia="Calibri" w:hAnsi="Book Antiqua"/>
          <w:sz w:val="22"/>
          <w:szCs w:val="22"/>
          <w:lang w:eastAsia="en-US"/>
        </w:rPr>
        <w:t xml:space="preserve">et particulièrement leur </w:t>
      </w:r>
      <w:r w:rsidR="00980925" w:rsidRPr="00980925">
        <w:rPr>
          <w:rFonts w:ascii="Book Antiqua" w:eastAsia="Calibri" w:hAnsi="Book Antiqua"/>
          <w:sz w:val="22"/>
          <w:szCs w:val="22"/>
          <w:lang w:eastAsia="en-US"/>
        </w:rPr>
        <w:t xml:space="preserve">perception </w:t>
      </w:r>
      <w:r w:rsidR="004D2B4F">
        <w:rPr>
          <w:rFonts w:ascii="Book Antiqua" w:eastAsia="Calibri" w:hAnsi="Book Antiqua"/>
          <w:sz w:val="22"/>
          <w:szCs w:val="22"/>
          <w:lang w:eastAsia="en-US"/>
        </w:rPr>
        <w:t>concernant les</w:t>
      </w:r>
      <w:r w:rsidR="006C60AC">
        <w:rPr>
          <w:rFonts w:ascii="Book Antiqua" w:eastAsia="Calibri" w:hAnsi="Book Antiqua"/>
          <w:sz w:val="22"/>
          <w:szCs w:val="22"/>
          <w:lang w:eastAsia="en-US"/>
        </w:rPr>
        <w:t xml:space="preserve"> </w:t>
      </w:r>
      <w:r>
        <w:rPr>
          <w:rFonts w:ascii="Book Antiqua" w:eastAsia="Calibri" w:hAnsi="Book Antiqua"/>
          <w:sz w:val="22"/>
          <w:szCs w:val="22"/>
          <w:lang w:eastAsia="en-US"/>
        </w:rPr>
        <w:t>niveau</w:t>
      </w:r>
      <w:r w:rsidR="004D2B4F">
        <w:rPr>
          <w:rFonts w:ascii="Book Antiqua" w:eastAsia="Calibri" w:hAnsi="Book Antiqua"/>
          <w:sz w:val="22"/>
          <w:szCs w:val="22"/>
          <w:lang w:eastAsia="en-US"/>
        </w:rPr>
        <w:t>x</w:t>
      </w:r>
      <w:r w:rsidR="006C60AC">
        <w:rPr>
          <w:rFonts w:ascii="Book Antiqua" w:eastAsia="Calibri" w:hAnsi="Book Antiqua"/>
          <w:sz w:val="22"/>
          <w:szCs w:val="22"/>
          <w:lang w:eastAsia="en-US"/>
        </w:rPr>
        <w:t xml:space="preserve"> </w:t>
      </w:r>
      <w:r>
        <w:rPr>
          <w:rFonts w:ascii="Book Antiqua" w:eastAsia="Calibri" w:hAnsi="Book Antiqua"/>
          <w:sz w:val="22"/>
          <w:szCs w:val="22"/>
          <w:lang w:eastAsia="en-US"/>
        </w:rPr>
        <w:t xml:space="preserve">des taux débiteurs et créditeurs. </w:t>
      </w:r>
    </w:p>
    <w:p w:rsidR="00DB74D0" w:rsidRPr="00980925" w:rsidRDefault="00DB74D0" w:rsidP="00AA59E0">
      <w:pPr>
        <w:pStyle w:val="Titre4"/>
        <w:spacing w:before="160" w:after="160" w:line="276" w:lineRule="auto"/>
        <w:ind w:firstLine="136"/>
        <w:contextualSpacing w:val="0"/>
        <w:rPr>
          <w:rFonts w:eastAsia="Calibri"/>
          <w:lang w:eastAsia="en-US"/>
        </w:rPr>
      </w:pPr>
      <w:r>
        <w:rPr>
          <w:rFonts w:eastAsia="Calibri"/>
          <w:lang w:eastAsia="en-US"/>
        </w:rPr>
        <w:t>III.1.2.1. Appréciation du niveau des taux d’intérêt débiteurs</w:t>
      </w:r>
    </w:p>
    <w:p w:rsidR="00E2412F" w:rsidRPr="00B97AB4" w:rsidRDefault="00A14C62" w:rsidP="00AA59E0">
      <w:pPr>
        <w:spacing w:before="160" w:after="160" w:line="276" w:lineRule="auto"/>
        <w:jc w:val="both"/>
        <w:rPr>
          <w:rFonts w:ascii="Book Antiqua" w:eastAsia="Calibri" w:hAnsi="Book Antiqua"/>
          <w:sz w:val="22"/>
          <w:szCs w:val="22"/>
          <w:lang w:eastAsia="en-US"/>
        </w:rPr>
      </w:pPr>
      <w:r w:rsidRPr="00B97AB4">
        <w:rPr>
          <w:rFonts w:ascii="Book Antiqua" w:eastAsia="Calibri" w:hAnsi="Book Antiqua"/>
          <w:sz w:val="22"/>
          <w:szCs w:val="22"/>
          <w:lang w:eastAsia="en-US"/>
        </w:rPr>
        <w:t xml:space="preserve">L’analyse des opinions </w:t>
      </w:r>
      <w:r w:rsidR="00E2412F" w:rsidRPr="00B97AB4">
        <w:rPr>
          <w:rFonts w:ascii="Book Antiqua" w:eastAsia="Calibri" w:hAnsi="Book Antiqua"/>
          <w:sz w:val="22"/>
          <w:szCs w:val="22"/>
          <w:lang w:eastAsia="en-US"/>
        </w:rPr>
        <w:t>sur les taux d’intérêts débiteurs</w:t>
      </w:r>
      <w:r w:rsidR="006C60AC">
        <w:rPr>
          <w:rFonts w:ascii="Book Antiqua" w:eastAsia="Calibri" w:hAnsi="Book Antiqua"/>
          <w:sz w:val="22"/>
          <w:szCs w:val="22"/>
          <w:lang w:eastAsia="en-US"/>
        </w:rPr>
        <w:t xml:space="preserve"> </w:t>
      </w:r>
      <w:r w:rsidR="00321C4B" w:rsidRPr="00B97AB4">
        <w:rPr>
          <w:rFonts w:ascii="Book Antiqua" w:eastAsia="Calibri" w:hAnsi="Book Antiqua"/>
          <w:sz w:val="22"/>
          <w:szCs w:val="22"/>
          <w:lang w:eastAsia="en-US"/>
        </w:rPr>
        <w:t>fait apparaitre</w:t>
      </w:r>
      <w:r w:rsidR="00B97AB4">
        <w:rPr>
          <w:rFonts w:ascii="Book Antiqua" w:eastAsia="Calibri" w:hAnsi="Book Antiqua"/>
          <w:sz w:val="22"/>
          <w:szCs w:val="22"/>
          <w:lang w:eastAsia="en-US"/>
        </w:rPr>
        <w:t xml:space="preserve"> que </w:t>
      </w:r>
      <w:r w:rsidR="00E2412F" w:rsidRPr="00B97AB4">
        <w:rPr>
          <w:rFonts w:ascii="Book Antiqua" w:eastAsia="Calibri" w:hAnsi="Book Antiqua"/>
          <w:sz w:val="22"/>
          <w:szCs w:val="22"/>
          <w:lang w:eastAsia="en-US"/>
        </w:rPr>
        <w:t>45,9% des unités enquêtées</w:t>
      </w:r>
      <w:r w:rsidR="006C60AC">
        <w:rPr>
          <w:rFonts w:ascii="Book Antiqua" w:eastAsia="Calibri" w:hAnsi="Book Antiqua"/>
          <w:sz w:val="22"/>
          <w:szCs w:val="22"/>
          <w:lang w:eastAsia="en-US"/>
        </w:rPr>
        <w:t xml:space="preserve"> </w:t>
      </w:r>
      <w:r w:rsidR="00E2412F" w:rsidRPr="00B97AB4">
        <w:rPr>
          <w:rFonts w:ascii="Book Antiqua" w:eastAsia="Calibri" w:hAnsi="Book Antiqua"/>
          <w:sz w:val="22"/>
          <w:szCs w:val="22"/>
          <w:lang w:eastAsia="en-US"/>
        </w:rPr>
        <w:t>déclarent</w:t>
      </w:r>
      <w:r w:rsidR="006C60AC">
        <w:rPr>
          <w:rFonts w:ascii="Book Antiqua" w:eastAsia="Calibri" w:hAnsi="Book Antiqua"/>
          <w:sz w:val="22"/>
          <w:szCs w:val="22"/>
          <w:lang w:eastAsia="en-US"/>
        </w:rPr>
        <w:t xml:space="preserve"> </w:t>
      </w:r>
      <w:r w:rsidR="00E2412F" w:rsidRPr="00B97AB4">
        <w:rPr>
          <w:rFonts w:ascii="Book Antiqua" w:eastAsia="Calibri" w:hAnsi="Book Antiqua"/>
          <w:sz w:val="22"/>
          <w:szCs w:val="22"/>
          <w:lang w:eastAsia="en-US"/>
        </w:rPr>
        <w:t xml:space="preserve">n’avoir aucune connaissance </w:t>
      </w:r>
      <w:r w:rsidR="00956926" w:rsidRPr="00B97AB4">
        <w:rPr>
          <w:rFonts w:ascii="Book Antiqua" w:eastAsia="Calibri" w:hAnsi="Book Antiqua"/>
          <w:sz w:val="22"/>
          <w:szCs w:val="22"/>
          <w:lang w:eastAsia="en-US"/>
        </w:rPr>
        <w:t>du</w:t>
      </w:r>
      <w:r w:rsidR="00E2412F" w:rsidRPr="00B97AB4">
        <w:rPr>
          <w:rFonts w:ascii="Book Antiqua" w:eastAsia="Calibri" w:hAnsi="Book Antiqua"/>
          <w:sz w:val="22"/>
          <w:szCs w:val="22"/>
          <w:lang w:eastAsia="en-US"/>
        </w:rPr>
        <w:t xml:space="preserve"> niveau des taux appliqués sur les crédits d’investissement. Ce taux ressort à 41,0% pour les crédits de fonctionnement.  </w:t>
      </w:r>
    </w:p>
    <w:p w:rsidR="00980925" w:rsidRPr="00980925" w:rsidRDefault="00956926" w:rsidP="00AA59E0">
      <w:pPr>
        <w:spacing w:before="160" w:after="16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Parmi les unités bénéficiaires de crédits d’investissement, il est relevé une proportion de 85,4%  qui estime </w:t>
      </w:r>
      <w:r w:rsidR="004204AC" w:rsidRPr="00B97AB4">
        <w:rPr>
          <w:rFonts w:ascii="Book Antiqua" w:eastAsia="Calibri" w:hAnsi="Book Antiqua"/>
          <w:i/>
          <w:sz w:val="22"/>
          <w:szCs w:val="22"/>
          <w:lang w:eastAsia="en-US"/>
        </w:rPr>
        <w:t>« élevés »</w:t>
      </w:r>
      <w:r>
        <w:rPr>
          <w:rFonts w:ascii="Book Antiqua" w:eastAsia="Calibri" w:hAnsi="Book Antiqua"/>
          <w:sz w:val="22"/>
          <w:szCs w:val="22"/>
          <w:lang w:eastAsia="en-US"/>
        </w:rPr>
        <w:t xml:space="preserve"> voire </w:t>
      </w:r>
      <w:r w:rsidR="004204AC" w:rsidRPr="00B97AB4">
        <w:rPr>
          <w:rFonts w:ascii="Book Antiqua" w:eastAsia="Calibri" w:hAnsi="Book Antiqua"/>
          <w:i/>
          <w:sz w:val="22"/>
          <w:szCs w:val="22"/>
          <w:lang w:eastAsia="en-US"/>
        </w:rPr>
        <w:t>« très élevés »</w:t>
      </w:r>
      <w:r>
        <w:rPr>
          <w:rFonts w:ascii="Book Antiqua" w:eastAsia="Calibri" w:hAnsi="Book Antiqua"/>
          <w:sz w:val="22"/>
          <w:szCs w:val="22"/>
          <w:lang w:eastAsia="en-US"/>
        </w:rPr>
        <w:t xml:space="preserve"> les taux</w:t>
      </w:r>
      <w:r w:rsidR="007F4589">
        <w:rPr>
          <w:rFonts w:ascii="Book Antiqua" w:eastAsia="Calibri" w:hAnsi="Book Antiqua"/>
          <w:sz w:val="22"/>
          <w:szCs w:val="22"/>
          <w:lang w:eastAsia="en-US"/>
        </w:rPr>
        <w:t xml:space="preserve"> débiteurs contre 14,6% qui les </w:t>
      </w:r>
      <w:proofErr w:type="gramStart"/>
      <w:r w:rsidR="007F4589">
        <w:rPr>
          <w:rFonts w:ascii="Book Antiqua" w:eastAsia="Calibri" w:hAnsi="Book Antiqua"/>
          <w:sz w:val="22"/>
          <w:szCs w:val="22"/>
          <w:lang w:eastAsia="en-US"/>
        </w:rPr>
        <w:t>juge</w:t>
      </w:r>
      <w:proofErr w:type="gramEnd"/>
      <w:r w:rsidR="00F7496A">
        <w:rPr>
          <w:rFonts w:ascii="Book Antiqua" w:eastAsia="Calibri" w:hAnsi="Book Antiqua"/>
          <w:sz w:val="22"/>
          <w:szCs w:val="22"/>
          <w:lang w:eastAsia="en-US"/>
        </w:rPr>
        <w:t xml:space="preserve"> </w:t>
      </w:r>
      <w:r w:rsidR="004204AC" w:rsidRPr="00B97AB4">
        <w:rPr>
          <w:rFonts w:ascii="Book Antiqua" w:eastAsia="Calibri" w:hAnsi="Book Antiqua"/>
          <w:i/>
          <w:sz w:val="22"/>
          <w:szCs w:val="22"/>
          <w:lang w:eastAsia="en-US"/>
        </w:rPr>
        <w:t>« corrects »</w:t>
      </w:r>
      <w:r w:rsidR="007F4589">
        <w:rPr>
          <w:rFonts w:ascii="Book Antiqua" w:eastAsia="Calibri" w:hAnsi="Book Antiqua"/>
          <w:sz w:val="22"/>
          <w:szCs w:val="22"/>
          <w:lang w:eastAsia="en-US"/>
        </w:rPr>
        <w:t xml:space="preserve"> ou </w:t>
      </w:r>
      <w:r w:rsidR="004204AC" w:rsidRPr="00B97AB4">
        <w:rPr>
          <w:rFonts w:ascii="Book Antiqua" w:eastAsia="Calibri" w:hAnsi="Book Antiqua"/>
          <w:i/>
          <w:sz w:val="22"/>
          <w:szCs w:val="22"/>
          <w:lang w:eastAsia="en-US"/>
        </w:rPr>
        <w:t>« très corrects ».</w:t>
      </w:r>
    </w:p>
    <w:p w:rsidR="00EC1089" w:rsidRPr="00EC1089" w:rsidRDefault="00EC1089" w:rsidP="00840635">
      <w:pPr>
        <w:pStyle w:val="Lgende"/>
        <w:keepNext/>
        <w:spacing w:line="276" w:lineRule="auto"/>
        <w:jc w:val="center"/>
        <w:rPr>
          <w:color w:val="auto"/>
        </w:rPr>
      </w:pPr>
      <w:bookmarkStart w:id="101" w:name="_Toc523313734"/>
      <w:r w:rsidRPr="00EC1089">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51</w:t>
      </w:r>
      <w:r w:rsidR="000D65F2">
        <w:rPr>
          <w:color w:val="auto"/>
        </w:rPr>
        <w:fldChar w:fldCharType="end"/>
      </w:r>
      <w:r w:rsidRPr="00EC1089">
        <w:rPr>
          <w:color w:val="auto"/>
        </w:rPr>
        <w:t xml:space="preserve"> : Appréciation du niveau de taux d'intérêt sur les crédits d'investissement</w:t>
      </w:r>
      <w:bookmarkEnd w:id="101"/>
    </w:p>
    <w:p w:rsidR="007F4589" w:rsidRDefault="00F44BC9" w:rsidP="00840635">
      <w:pPr>
        <w:spacing w:after="200" w:line="276" w:lineRule="auto"/>
        <w:jc w:val="center"/>
        <w:rPr>
          <w:rFonts w:ascii="Book Antiqua" w:eastAsia="Calibri" w:hAnsi="Book Antiqua"/>
          <w:sz w:val="22"/>
          <w:szCs w:val="22"/>
          <w:lang w:eastAsia="en-US"/>
        </w:rPr>
      </w:pPr>
      <w:r w:rsidRPr="00B97AB4">
        <w:rPr>
          <w:rFonts w:ascii="Book Antiqua" w:eastAsia="Calibri" w:hAnsi="Book Antiqua"/>
          <w:noProof/>
          <w:sz w:val="22"/>
          <w:szCs w:val="22"/>
        </w:rPr>
        <w:drawing>
          <wp:inline distT="0" distB="0" distL="0" distR="0">
            <wp:extent cx="4863513" cy="2511188"/>
            <wp:effectExtent l="19050" t="0" r="13287" b="3412"/>
            <wp:docPr id="46"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80925" w:rsidRPr="00980925" w:rsidRDefault="007F4589" w:rsidP="00840635">
      <w:pPr>
        <w:spacing w:after="20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lastRenderedPageBreak/>
        <w:t xml:space="preserve">La même tendance est observée en ce qui concerne les </w:t>
      </w:r>
      <w:r w:rsidR="00980925" w:rsidRPr="00980925">
        <w:rPr>
          <w:rFonts w:ascii="Book Antiqua" w:eastAsia="Calibri" w:hAnsi="Book Antiqua"/>
          <w:sz w:val="22"/>
          <w:szCs w:val="22"/>
          <w:lang w:eastAsia="en-US"/>
        </w:rPr>
        <w:t>crédits de fonctionnement</w:t>
      </w:r>
      <w:r>
        <w:rPr>
          <w:rFonts w:ascii="Book Antiqua" w:eastAsia="Calibri" w:hAnsi="Book Antiqua"/>
          <w:sz w:val="22"/>
          <w:szCs w:val="22"/>
          <w:lang w:eastAsia="en-US"/>
        </w:rPr>
        <w:t xml:space="preserve"> avec des opinions défavorables de l’ordre de 85,4% des unités qui jugent les niveaux des taux </w:t>
      </w:r>
      <w:r w:rsidR="004204AC" w:rsidRPr="00B97AB4">
        <w:rPr>
          <w:rFonts w:ascii="Book Antiqua" w:eastAsia="Calibri" w:hAnsi="Book Antiqua"/>
          <w:i/>
          <w:sz w:val="22"/>
          <w:szCs w:val="22"/>
          <w:lang w:eastAsia="en-US"/>
        </w:rPr>
        <w:t>« élevés »</w:t>
      </w:r>
      <w:r>
        <w:rPr>
          <w:rFonts w:ascii="Book Antiqua" w:eastAsia="Calibri" w:hAnsi="Book Antiqua"/>
          <w:sz w:val="22"/>
          <w:szCs w:val="22"/>
          <w:lang w:eastAsia="en-US"/>
        </w:rPr>
        <w:t xml:space="preserve"> voire </w:t>
      </w:r>
      <w:r w:rsidR="004204AC" w:rsidRPr="00B97AB4">
        <w:rPr>
          <w:rFonts w:ascii="Book Antiqua" w:eastAsia="Calibri" w:hAnsi="Book Antiqua"/>
          <w:i/>
          <w:sz w:val="22"/>
          <w:szCs w:val="22"/>
          <w:lang w:eastAsia="en-US"/>
        </w:rPr>
        <w:t xml:space="preserve">« très élevés ». </w:t>
      </w:r>
    </w:p>
    <w:p w:rsidR="00EC1089" w:rsidRPr="00EC1089" w:rsidRDefault="00EC1089" w:rsidP="00840635">
      <w:pPr>
        <w:pStyle w:val="Lgende"/>
        <w:keepNext/>
        <w:spacing w:line="276" w:lineRule="auto"/>
        <w:jc w:val="center"/>
        <w:rPr>
          <w:rFonts w:ascii="Book Antiqua" w:hAnsi="Book Antiqua"/>
          <w:color w:val="auto"/>
        </w:rPr>
      </w:pPr>
      <w:bookmarkStart w:id="102" w:name="_Toc523313735"/>
      <w:r w:rsidRPr="00EC1089">
        <w:rPr>
          <w:rFonts w:ascii="Book Antiqua" w:hAnsi="Book Antiqua"/>
          <w:color w:val="auto"/>
        </w:rPr>
        <w:t xml:space="preserve">Figure </w:t>
      </w:r>
      <w:r w:rsidR="000D65F2">
        <w:rPr>
          <w:rFonts w:ascii="Book Antiqua" w:hAnsi="Book Antiqua"/>
          <w:color w:val="auto"/>
        </w:rPr>
        <w:fldChar w:fldCharType="begin"/>
      </w:r>
      <w:r w:rsidR="002708B0">
        <w:rPr>
          <w:rFonts w:ascii="Book Antiqua" w:hAnsi="Book Antiqua"/>
          <w:color w:val="auto"/>
        </w:rPr>
        <w:instrText xml:space="preserve"> SEQ Figure \* ARABIC </w:instrText>
      </w:r>
      <w:r w:rsidR="000D65F2">
        <w:rPr>
          <w:rFonts w:ascii="Book Antiqua" w:hAnsi="Book Antiqua"/>
          <w:color w:val="auto"/>
        </w:rPr>
        <w:fldChar w:fldCharType="separate"/>
      </w:r>
      <w:r w:rsidR="000F780F">
        <w:rPr>
          <w:rFonts w:ascii="Book Antiqua" w:hAnsi="Book Antiqua"/>
          <w:noProof/>
          <w:color w:val="auto"/>
        </w:rPr>
        <w:t>52</w:t>
      </w:r>
      <w:r w:rsidR="000D65F2">
        <w:rPr>
          <w:rFonts w:ascii="Book Antiqua" w:hAnsi="Book Antiqua"/>
          <w:color w:val="auto"/>
        </w:rPr>
        <w:fldChar w:fldCharType="end"/>
      </w:r>
      <w:r w:rsidRPr="00EC1089">
        <w:rPr>
          <w:rFonts w:ascii="Book Antiqua" w:hAnsi="Book Antiqua"/>
          <w:color w:val="auto"/>
        </w:rPr>
        <w:t xml:space="preserve"> : Appréciation des unités sur les taux d'intérêt appliqués aux crédits d'investissement</w:t>
      </w:r>
      <w:bookmarkEnd w:id="102"/>
    </w:p>
    <w:p w:rsidR="00980925" w:rsidRPr="00980925" w:rsidRDefault="00F44BC9" w:rsidP="00840635">
      <w:pPr>
        <w:spacing w:after="200" w:line="276" w:lineRule="auto"/>
        <w:ind w:left="720"/>
        <w:contextualSpacing/>
        <w:jc w:val="center"/>
        <w:rPr>
          <w:rFonts w:ascii="Book Antiqua" w:eastAsia="Calibri" w:hAnsi="Book Antiqua"/>
          <w:sz w:val="22"/>
          <w:szCs w:val="22"/>
          <w:lang w:eastAsia="en-US"/>
        </w:rPr>
      </w:pPr>
      <w:r w:rsidRPr="00B97AB4">
        <w:rPr>
          <w:rFonts w:ascii="Book Antiqua" w:eastAsia="Calibri" w:hAnsi="Book Antiqua"/>
          <w:noProof/>
          <w:sz w:val="22"/>
          <w:szCs w:val="22"/>
        </w:rPr>
        <w:drawing>
          <wp:inline distT="0" distB="0" distL="0" distR="0">
            <wp:extent cx="4958080" cy="2424112"/>
            <wp:effectExtent l="19050" t="0" r="13970" b="0"/>
            <wp:docPr id="51"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564EA" w:rsidRDefault="00D564EA" w:rsidP="00840635">
      <w:pPr>
        <w:spacing w:after="200" w:line="276" w:lineRule="auto"/>
        <w:ind w:left="720"/>
        <w:contextualSpacing/>
        <w:jc w:val="both"/>
        <w:rPr>
          <w:rFonts w:ascii="Book Antiqua" w:eastAsia="Calibri" w:hAnsi="Book Antiqua"/>
          <w:sz w:val="22"/>
          <w:szCs w:val="22"/>
          <w:lang w:eastAsia="en-US"/>
        </w:rPr>
      </w:pPr>
    </w:p>
    <w:p w:rsidR="00980925" w:rsidRDefault="00D564EA" w:rsidP="00840635">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L’analyse du niveau de connaissance des taux débiteurs par les unités enquêtées suivant les régions fait apparaitre des proportions élevées d’unités qui déclarent ne pas connaitre les taux appliqués aux crédits d’investissement notamment</w:t>
      </w:r>
      <w:r w:rsidR="00F7496A">
        <w:rPr>
          <w:rFonts w:ascii="Book Antiqua" w:eastAsia="Calibri" w:hAnsi="Book Antiqua"/>
          <w:sz w:val="22"/>
          <w:szCs w:val="22"/>
          <w:lang w:eastAsia="en-US"/>
        </w:rPr>
        <w:t xml:space="preserve"> </w:t>
      </w:r>
      <w:r>
        <w:rPr>
          <w:rFonts w:ascii="Book Antiqua" w:eastAsia="Calibri" w:hAnsi="Book Antiqua"/>
          <w:sz w:val="22"/>
          <w:szCs w:val="22"/>
          <w:lang w:eastAsia="en-US"/>
        </w:rPr>
        <w:t>pour les localités de</w:t>
      </w:r>
      <w:r w:rsidR="00F7496A">
        <w:rPr>
          <w:rFonts w:ascii="Book Antiqua" w:eastAsia="Calibri" w:hAnsi="Book Antiqua"/>
          <w:sz w:val="22"/>
          <w:szCs w:val="22"/>
          <w:lang w:eastAsia="en-US"/>
        </w:rPr>
        <w:t xml:space="preserve"> </w:t>
      </w:r>
      <w:r>
        <w:rPr>
          <w:rFonts w:ascii="Book Antiqua" w:eastAsia="Calibri" w:hAnsi="Book Antiqua"/>
          <w:sz w:val="22"/>
          <w:szCs w:val="22"/>
          <w:lang w:eastAsia="en-US"/>
        </w:rPr>
        <w:t xml:space="preserve">Kédougou (65,1%), </w:t>
      </w:r>
      <w:proofErr w:type="spellStart"/>
      <w:r>
        <w:rPr>
          <w:rFonts w:ascii="Book Antiqua" w:eastAsia="Calibri" w:hAnsi="Book Antiqua"/>
          <w:sz w:val="22"/>
          <w:szCs w:val="22"/>
          <w:lang w:eastAsia="en-US"/>
        </w:rPr>
        <w:t>Fatick</w:t>
      </w:r>
      <w:proofErr w:type="spellEnd"/>
      <w:r>
        <w:rPr>
          <w:rFonts w:ascii="Book Antiqua" w:eastAsia="Calibri" w:hAnsi="Book Antiqua"/>
          <w:sz w:val="22"/>
          <w:szCs w:val="22"/>
          <w:lang w:eastAsia="en-US"/>
        </w:rPr>
        <w:t xml:space="preserve"> (65%), Ziguinchor (64,9%), Matam (63,4%) et Diourbel (63,2%).</w:t>
      </w:r>
    </w:p>
    <w:p w:rsidR="00D564EA" w:rsidRDefault="00D564EA" w:rsidP="00840635">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La même tendance est notée dans une moindre mesu</w:t>
      </w:r>
      <w:r w:rsidR="001D29AF">
        <w:rPr>
          <w:rFonts w:ascii="Book Antiqua" w:eastAsia="Calibri" w:hAnsi="Book Antiqua"/>
          <w:sz w:val="22"/>
          <w:szCs w:val="22"/>
          <w:lang w:eastAsia="en-US"/>
        </w:rPr>
        <w:t xml:space="preserve">re dans les localités susvisées pour les crédits de fonctionnement avec des taux respectifs 61,0%, 58,7%, 56,6%, 50,5% et 50%. </w:t>
      </w:r>
    </w:p>
    <w:p w:rsidR="00EC1089" w:rsidRPr="00EC1089" w:rsidRDefault="00EC1089" w:rsidP="00840635">
      <w:pPr>
        <w:pStyle w:val="Lgende"/>
        <w:keepNext/>
        <w:spacing w:line="276" w:lineRule="auto"/>
        <w:jc w:val="center"/>
        <w:rPr>
          <w:color w:val="auto"/>
        </w:rPr>
      </w:pPr>
      <w:bookmarkStart w:id="103" w:name="_Toc523313736"/>
      <w:r w:rsidRPr="00EC1089">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53</w:t>
      </w:r>
      <w:r w:rsidR="000D65F2">
        <w:rPr>
          <w:color w:val="auto"/>
        </w:rPr>
        <w:fldChar w:fldCharType="end"/>
      </w:r>
      <w:r w:rsidRPr="00EC1089">
        <w:rPr>
          <w:color w:val="auto"/>
        </w:rPr>
        <w:t xml:space="preserve"> : Connaissance des taux d'intérêt débiteurs par les unités selon les régions</w:t>
      </w:r>
      <w:bookmarkEnd w:id="103"/>
    </w:p>
    <w:p w:rsidR="00D24219" w:rsidRDefault="00F44BC9" w:rsidP="00840635">
      <w:pPr>
        <w:spacing w:after="200" w:line="276" w:lineRule="auto"/>
        <w:jc w:val="both"/>
        <w:rPr>
          <w:rFonts w:ascii="Book Antiqua" w:eastAsia="Calibri" w:hAnsi="Book Antiqua"/>
          <w:sz w:val="22"/>
          <w:szCs w:val="22"/>
          <w:lang w:eastAsia="en-US"/>
        </w:rPr>
      </w:pPr>
      <w:r w:rsidRPr="00B97AB4">
        <w:rPr>
          <w:rFonts w:ascii="Book Antiqua" w:eastAsia="Calibri" w:hAnsi="Book Antiqua"/>
          <w:noProof/>
          <w:sz w:val="22"/>
          <w:szCs w:val="22"/>
        </w:rPr>
        <w:drawing>
          <wp:inline distT="0" distB="0" distL="0" distR="0">
            <wp:extent cx="5549900" cy="3105150"/>
            <wp:effectExtent l="19050" t="0" r="12700" b="0"/>
            <wp:docPr id="53"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260C9" w:rsidRDefault="009260C9" w:rsidP="00840635">
      <w:pPr>
        <w:spacing w:after="200" w:line="276" w:lineRule="auto"/>
        <w:ind w:left="720"/>
        <w:contextualSpacing/>
        <w:jc w:val="both"/>
        <w:rPr>
          <w:sz w:val="16"/>
        </w:rPr>
      </w:pPr>
    </w:p>
    <w:p w:rsidR="009260C9" w:rsidRDefault="00174003" w:rsidP="00840635">
      <w:pPr>
        <w:spacing w:before="240" w:after="240" w:line="276" w:lineRule="auto"/>
        <w:rPr>
          <w:rFonts w:ascii="Book Antiqua" w:hAnsi="Book Antiqua"/>
          <w:sz w:val="22"/>
          <w:szCs w:val="22"/>
        </w:rPr>
      </w:pPr>
      <w:r>
        <w:rPr>
          <w:rFonts w:ascii="Book Antiqua" w:hAnsi="Book Antiqua"/>
          <w:sz w:val="22"/>
          <w:szCs w:val="22"/>
        </w:rPr>
        <w:lastRenderedPageBreak/>
        <w:t xml:space="preserve">L’analyse suivant le secteur d’activité laisse transparaitre </w:t>
      </w:r>
      <w:r w:rsidR="008E5ECD">
        <w:rPr>
          <w:rFonts w:ascii="Book Antiqua" w:hAnsi="Book Antiqua"/>
          <w:sz w:val="22"/>
          <w:szCs w:val="22"/>
        </w:rPr>
        <w:t xml:space="preserve">une diversité </w:t>
      </w:r>
      <w:r w:rsidR="00381812">
        <w:rPr>
          <w:rFonts w:ascii="Book Antiqua" w:hAnsi="Book Antiqua"/>
          <w:sz w:val="22"/>
          <w:szCs w:val="22"/>
        </w:rPr>
        <w:t>d’</w:t>
      </w:r>
      <w:r w:rsidR="008E5ECD">
        <w:rPr>
          <w:rFonts w:ascii="Book Antiqua" w:hAnsi="Book Antiqua"/>
          <w:sz w:val="22"/>
          <w:szCs w:val="22"/>
        </w:rPr>
        <w:t>opinions</w:t>
      </w:r>
      <w:r w:rsidR="00553AD5">
        <w:rPr>
          <w:rFonts w:ascii="Book Antiqua" w:hAnsi="Book Antiqua"/>
          <w:sz w:val="22"/>
          <w:szCs w:val="22"/>
        </w:rPr>
        <w:t xml:space="preserve"> </w:t>
      </w:r>
      <w:r w:rsidR="008E5ECD">
        <w:rPr>
          <w:rFonts w:ascii="Book Antiqua" w:hAnsi="Book Antiqua"/>
          <w:sz w:val="22"/>
          <w:szCs w:val="22"/>
        </w:rPr>
        <w:t>des</w:t>
      </w:r>
      <w:r w:rsidR="00553AD5">
        <w:rPr>
          <w:rFonts w:ascii="Book Antiqua" w:hAnsi="Book Antiqua"/>
          <w:sz w:val="22"/>
          <w:szCs w:val="22"/>
        </w:rPr>
        <w:t xml:space="preserve"> </w:t>
      </w:r>
      <w:r>
        <w:rPr>
          <w:rFonts w:ascii="Book Antiqua" w:hAnsi="Book Antiqua"/>
          <w:sz w:val="22"/>
          <w:szCs w:val="22"/>
        </w:rPr>
        <w:t xml:space="preserve">unités </w:t>
      </w:r>
      <w:r w:rsidR="008E5ECD">
        <w:rPr>
          <w:rFonts w:ascii="Book Antiqua" w:hAnsi="Book Antiqua"/>
          <w:sz w:val="22"/>
          <w:szCs w:val="22"/>
        </w:rPr>
        <w:t>déclarant n’avoir aucune idée sur les niveaux des taux d’intérêt adossés aux crédits. En effet, pour les crédits d’investissement, il est observé des niveaux de connaissance faibles chez les unités des secteurs de l’Administration (75,0%), de l’Artisanat (60,7%), des Services (47,1%), du Commerce (47,0%) et de l’Agriculture (42,4%).</w:t>
      </w:r>
    </w:p>
    <w:p w:rsidR="009260C9" w:rsidRPr="00B97AB4" w:rsidRDefault="008E5ECD" w:rsidP="00840635">
      <w:pPr>
        <w:spacing w:before="240" w:after="240" w:line="276" w:lineRule="auto"/>
        <w:jc w:val="both"/>
        <w:rPr>
          <w:rFonts w:ascii="Book Antiqua" w:hAnsi="Book Antiqua"/>
          <w:sz w:val="22"/>
          <w:szCs w:val="22"/>
        </w:rPr>
      </w:pPr>
      <w:r>
        <w:rPr>
          <w:rFonts w:ascii="Book Antiqua" w:hAnsi="Book Antiqua"/>
          <w:sz w:val="22"/>
          <w:szCs w:val="22"/>
        </w:rPr>
        <w:t>Pour ce qui est des crédits de fonctionnement, l’Artisanat (53,9%), l’Administration (50,0%), le Commerce (43,3%) et les BTP (30,5%) sont les secteurs plus concernés.</w:t>
      </w:r>
    </w:p>
    <w:p w:rsidR="00EF1BEC" w:rsidRPr="00EF1BEC" w:rsidRDefault="00EF1BEC" w:rsidP="00840635">
      <w:pPr>
        <w:pStyle w:val="Lgende"/>
        <w:keepNext/>
        <w:spacing w:line="276" w:lineRule="auto"/>
        <w:jc w:val="center"/>
        <w:rPr>
          <w:rFonts w:ascii="Book Antiqua" w:hAnsi="Book Antiqua"/>
          <w:color w:val="auto"/>
        </w:rPr>
      </w:pPr>
      <w:bookmarkStart w:id="104" w:name="_Toc523313737"/>
      <w:r w:rsidRPr="00EF1BEC">
        <w:rPr>
          <w:rFonts w:ascii="Book Antiqua" w:hAnsi="Book Antiqua"/>
          <w:color w:val="auto"/>
        </w:rPr>
        <w:t xml:space="preserve">Figure </w:t>
      </w:r>
      <w:r w:rsidR="000D65F2">
        <w:rPr>
          <w:rFonts w:ascii="Book Antiqua" w:hAnsi="Book Antiqua"/>
          <w:color w:val="auto"/>
        </w:rPr>
        <w:fldChar w:fldCharType="begin"/>
      </w:r>
      <w:r w:rsidR="002708B0">
        <w:rPr>
          <w:rFonts w:ascii="Book Antiqua" w:hAnsi="Book Antiqua"/>
          <w:color w:val="auto"/>
        </w:rPr>
        <w:instrText xml:space="preserve"> SEQ Figure \* ARABIC </w:instrText>
      </w:r>
      <w:r w:rsidR="000D65F2">
        <w:rPr>
          <w:rFonts w:ascii="Book Antiqua" w:hAnsi="Book Antiqua"/>
          <w:color w:val="auto"/>
        </w:rPr>
        <w:fldChar w:fldCharType="separate"/>
      </w:r>
      <w:r w:rsidR="000F780F">
        <w:rPr>
          <w:rFonts w:ascii="Book Antiqua" w:hAnsi="Book Antiqua"/>
          <w:noProof/>
          <w:color w:val="auto"/>
        </w:rPr>
        <w:t>54</w:t>
      </w:r>
      <w:r w:rsidR="000D65F2">
        <w:rPr>
          <w:rFonts w:ascii="Book Antiqua" w:hAnsi="Book Antiqua"/>
          <w:color w:val="auto"/>
        </w:rPr>
        <w:fldChar w:fldCharType="end"/>
      </w:r>
      <w:r w:rsidRPr="00EF1BEC">
        <w:rPr>
          <w:rFonts w:ascii="Book Antiqua" w:hAnsi="Book Antiqua"/>
          <w:color w:val="auto"/>
        </w:rPr>
        <w:t xml:space="preserve"> : Connaissance des taux d'intérêt débiteurs par les unités selon les secteurs d'activités</w:t>
      </w:r>
      <w:bookmarkEnd w:id="104"/>
    </w:p>
    <w:p w:rsidR="009260C9" w:rsidRDefault="00F44BC9" w:rsidP="00840635">
      <w:pPr>
        <w:spacing w:after="200" w:line="276" w:lineRule="auto"/>
        <w:jc w:val="center"/>
        <w:rPr>
          <w:rFonts w:ascii="Book Antiqua" w:eastAsia="Calibri" w:hAnsi="Book Antiqua"/>
          <w:sz w:val="22"/>
          <w:szCs w:val="22"/>
          <w:lang w:eastAsia="en-US"/>
        </w:rPr>
      </w:pPr>
      <w:r w:rsidRPr="00B97AB4">
        <w:rPr>
          <w:rFonts w:ascii="Book Antiqua" w:eastAsia="Calibri" w:hAnsi="Book Antiqua"/>
          <w:noProof/>
          <w:sz w:val="22"/>
          <w:szCs w:val="22"/>
        </w:rPr>
        <w:drawing>
          <wp:inline distT="0" distB="0" distL="0" distR="0">
            <wp:extent cx="4569526" cy="2404753"/>
            <wp:effectExtent l="19050" t="0" r="21524" b="0"/>
            <wp:docPr id="54"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81812" w:rsidRDefault="00381812" w:rsidP="00840635">
      <w:pPr>
        <w:spacing w:after="200" w:line="276" w:lineRule="auto"/>
        <w:ind w:left="720"/>
        <w:contextualSpacing/>
        <w:jc w:val="both"/>
        <w:rPr>
          <w:sz w:val="16"/>
        </w:rPr>
      </w:pPr>
    </w:p>
    <w:p w:rsidR="009260C9" w:rsidRDefault="00AC6060" w:rsidP="00840635">
      <w:pPr>
        <w:spacing w:after="200" w:line="276" w:lineRule="auto"/>
        <w:contextualSpacing/>
        <w:jc w:val="both"/>
        <w:rPr>
          <w:rFonts w:ascii="Book Antiqua" w:hAnsi="Book Antiqua"/>
          <w:sz w:val="22"/>
          <w:szCs w:val="22"/>
        </w:rPr>
      </w:pPr>
      <w:r>
        <w:rPr>
          <w:rFonts w:ascii="Book Antiqua" w:hAnsi="Book Antiqua"/>
          <w:sz w:val="22"/>
          <w:szCs w:val="22"/>
        </w:rPr>
        <w:t>L’ignorance des</w:t>
      </w:r>
      <w:r w:rsidR="00F7496A">
        <w:rPr>
          <w:rFonts w:ascii="Book Antiqua" w:hAnsi="Book Antiqua"/>
          <w:sz w:val="22"/>
          <w:szCs w:val="22"/>
        </w:rPr>
        <w:t xml:space="preserve"> </w:t>
      </w:r>
      <w:r>
        <w:rPr>
          <w:rFonts w:ascii="Book Antiqua" w:hAnsi="Book Antiqua"/>
          <w:sz w:val="22"/>
          <w:szCs w:val="22"/>
        </w:rPr>
        <w:t xml:space="preserve">taux d’intérêt par les unités est plus prononcée chez les unités </w:t>
      </w:r>
      <w:r w:rsidR="003303A2">
        <w:rPr>
          <w:rFonts w:ascii="Book Antiqua" w:hAnsi="Book Antiqua"/>
          <w:sz w:val="22"/>
          <w:szCs w:val="22"/>
        </w:rPr>
        <w:t xml:space="preserve">relevant de l’informel </w:t>
      </w:r>
      <w:r>
        <w:rPr>
          <w:rFonts w:ascii="Book Antiqua" w:hAnsi="Book Antiqua"/>
          <w:sz w:val="22"/>
          <w:szCs w:val="22"/>
        </w:rPr>
        <w:t>qui affichent</w:t>
      </w:r>
      <w:r w:rsidR="00F7496A">
        <w:rPr>
          <w:rFonts w:ascii="Book Antiqua" w:hAnsi="Book Antiqua"/>
          <w:sz w:val="22"/>
          <w:szCs w:val="22"/>
        </w:rPr>
        <w:t xml:space="preserve"> </w:t>
      </w:r>
      <w:r>
        <w:rPr>
          <w:rFonts w:ascii="Book Antiqua" w:hAnsi="Book Antiqua"/>
          <w:sz w:val="22"/>
          <w:szCs w:val="22"/>
        </w:rPr>
        <w:t>une proportion de 53,0%</w:t>
      </w:r>
      <w:r w:rsidR="00784AF0">
        <w:rPr>
          <w:rFonts w:ascii="Book Antiqua" w:hAnsi="Book Antiqua"/>
          <w:sz w:val="22"/>
          <w:szCs w:val="22"/>
        </w:rPr>
        <w:t xml:space="preserve"> </w:t>
      </w:r>
      <w:r>
        <w:rPr>
          <w:rFonts w:ascii="Book Antiqua" w:hAnsi="Book Antiqua"/>
          <w:sz w:val="22"/>
          <w:szCs w:val="22"/>
        </w:rPr>
        <w:t>pour les crédits d’investissement et 49,1% pour les crédits de fonctionnement ;</w:t>
      </w:r>
      <w:r w:rsidR="00F7496A">
        <w:rPr>
          <w:rFonts w:ascii="Book Antiqua" w:hAnsi="Book Antiqua"/>
          <w:sz w:val="22"/>
          <w:szCs w:val="22"/>
        </w:rPr>
        <w:t xml:space="preserve"> </w:t>
      </w:r>
      <w:r>
        <w:rPr>
          <w:rFonts w:ascii="Book Antiqua" w:hAnsi="Book Antiqua"/>
          <w:sz w:val="22"/>
          <w:szCs w:val="22"/>
        </w:rPr>
        <w:t xml:space="preserve">les unités issues du secteur moderne enregistrant respectivement des taux de 43,0% et 37,8 %. </w:t>
      </w:r>
    </w:p>
    <w:p w:rsidR="00EF1BEC" w:rsidRPr="00D76382" w:rsidRDefault="00EF1BEC" w:rsidP="00840635">
      <w:pPr>
        <w:pStyle w:val="Lgende"/>
        <w:keepNext/>
        <w:spacing w:line="276" w:lineRule="auto"/>
        <w:jc w:val="center"/>
        <w:rPr>
          <w:color w:val="auto"/>
        </w:rPr>
      </w:pPr>
      <w:bookmarkStart w:id="105" w:name="_Toc523313738"/>
      <w:r w:rsidRPr="00D76382">
        <w:rPr>
          <w:color w:val="auto"/>
        </w:rPr>
        <w:t xml:space="preserve">Figure </w:t>
      </w:r>
      <w:r w:rsidR="000D65F2" w:rsidRPr="00D76382">
        <w:rPr>
          <w:color w:val="auto"/>
        </w:rPr>
        <w:fldChar w:fldCharType="begin"/>
      </w:r>
      <w:r w:rsidR="002708B0" w:rsidRPr="00D76382">
        <w:rPr>
          <w:color w:val="auto"/>
        </w:rPr>
        <w:instrText xml:space="preserve"> SEQ Figure \* ARABIC </w:instrText>
      </w:r>
      <w:r w:rsidR="000D65F2" w:rsidRPr="00D76382">
        <w:rPr>
          <w:color w:val="auto"/>
        </w:rPr>
        <w:fldChar w:fldCharType="separate"/>
      </w:r>
      <w:r w:rsidR="000F780F" w:rsidRPr="00D76382">
        <w:rPr>
          <w:noProof/>
          <w:color w:val="auto"/>
        </w:rPr>
        <w:t>55</w:t>
      </w:r>
      <w:r w:rsidR="000D65F2" w:rsidRPr="00D76382">
        <w:rPr>
          <w:color w:val="auto"/>
        </w:rPr>
        <w:fldChar w:fldCharType="end"/>
      </w:r>
      <w:r w:rsidRPr="00D76382">
        <w:rPr>
          <w:color w:val="auto"/>
        </w:rPr>
        <w:t xml:space="preserve"> : Proportion des unités ne connaissant pas les taux débiteurs selon la nature de l'activité</w:t>
      </w:r>
      <w:bookmarkEnd w:id="105"/>
    </w:p>
    <w:p w:rsidR="00381812" w:rsidRDefault="00F44BC9" w:rsidP="00840635">
      <w:pPr>
        <w:spacing w:after="200" w:line="276" w:lineRule="auto"/>
        <w:jc w:val="center"/>
        <w:rPr>
          <w:rFonts w:ascii="Book Antiqua" w:eastAsia="Calibri" w:hAnsi="Book Antiqua"/>
          <w:sz w:val="22"/>
          <w:szCs w:val="22"/>
          <w:lang w:eastAsia="en-US"/>
        </w:rPr>
      </w:pPr>
      <w:r w:rsidRPr="00B97AB4">
        <w:rPr>
          <w:rFonts w:ascii="Book Antiqua" w:eastAsia="Calibri" w:hAnsi="Book Antiqua"/>
          <w:noProof/>
          <w:sz w:val="22"/>
          <w:szCs w:val="22"/>
        </w:rPr>
        <w:drawing>
          <wp:inline distT="0" distB="0" distL="0" distR="0">
            <wp:extent cx="4574843" cy="2565779"/>
            <wp:effectExtent l="19050" t="0" r="16207" b="5971"/>
            <wp:docPr id="55"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A59E0" w:rsidRDefault="00AA59E0">
      <w:pPr>
        <w:spacing w:after="200" w:line="276" w:lineRule="auto"/>
        <w:rPr>
          <w:rFonts w:ascii="Book Antiqua" w:hAnsi="Book Antiqua"/>
          <w:sz w:val="22"/>
          <w:szCs w:val="22"/>
        </w:rPr>
      </w:pPr>
      <w:r>
        <w:rPr>
          <w:rFonts w:ascii="Book Antiqua" w:hAnsi="Book Antiqua"/>
          <w:sz w:val="22"/>
          <w:szCs w:val="22"/>
        </w:rPr>
        <w:br w:type="page"/>
      </w:r>
    </w:p>
    <w:p w:rsidR="009D1404" w:rsidRPr="00D163CD" w:rsidRDefault="00C55F2B" w:rsidP="00840635">
      <w:pPr>
        <w:spacing w:before="240" w:after="240" w:line="276" w:lineRule="auto"/>
        <w:rPr>
          <w:sz w:val="16"/>
        </w:rPr>
      </w:pPr>
      <w:r w:rsidRPr="00B97AB4">
        <w:rPr>
          <w:rFonts w:ascii="Book Antiqua" w:hAnsi="Book Antiqua"/>
          <w:sz w:val="22"/>
          <w:szCs w:val="22"/>
        </w:rPr>
        <w:lastRenderedPageBreak/>
        <w:t>L’appréciation sur les taux d’intérêts</w:t>
      </w:r>
      <w:r w:rsidR="00F7496A">
        <w:rPr>
          <w:rFonts w:ascii="Book Antiqua" w:hAnsi="Book Antiqua"/>
          <w:sz w:val="22"/>
          <w:szCs w:val="22"/>
        </w:rPr>
        <w:t xml:space="preserve"> </w:t>
      </w:r>
      <w:r w:rsidR="00DF475D" w:rsidRPr="00B97AB4">
        <w:rPr>
          <w:rFonts w:ascii="Book Antiqua" w:hAnsi="Book Antiqua"/>
          <w:sz w:val="22"/>
          <w:szCs w:val="22"/>
        </w:rPr>
        <w:t xml:space="preserve">appliqués aux crédits d’investissement </w:t>
      </w:r>
      <w:r w:rsidRPr="00B97AB4">
        <w:rPr>
          <w:rFonts w:ascii="Book Antiqua" w:hAnsi="Book Antiqua"/>
          <w:sz w:val="22"/>
          <w:szCs w:val="22"/>
        </w:rPr>
        <w:t xml:space="preserve">est globalement négative pour l’ensemble des régions avec des pics observés dans les régions de </w:t>
      </w:r>
      <w:proofErr w:type="spellStart"/>
      <w:r w:rsidRPr="00B97AB4">
        <w:rPr>
          <w:rFonts w:ascii="Book Antiqua" w:hAnsi="Book Antiqua"/>
          <w:sz w:val="22"/>
          <w:szCs w:val="22"/>
        </w:rPr>
        <w:t>Sédhiou</w:t>
      </w:r>
      <w:proofErr w:type="spellEnd"/>
      <w:r w:rsidRPr="00B97AB4">
        <w:rPr>
          <w:rFonts w:ascii="Book Antiqua" w:hAnsi="Book Antiqua"/>
          <w:sz w:val="22"/>
          <w:szCs w:val="22"/>
        </w:rPr>
        <w:t xml:space="preserve"> (93,3%), Tambacounda (93,1</w:t>
      </w:r>
      <w:r w:rsidR="00923187" w:rsidRPr="00B97AB4">
        <w:rPr>
          <w:rFonts w:ascii="Book Antiqua" w:hAnsi="Book Antiqua"/>
          <w:sz w:val="22"/>
          <w:szCs w:val="22"/>
        </w:rPr>
        <w:t>%)</w:t>
      </w:r>
      <w:r w:rsidRPr="00B97AB4">
        <w:rPr>
          <w:rFonts w:ascii="Book Antiqua" w:hAnsi="Book Antiqua"/>
          <w:sz w:val="22"/>
          <w:szCs w:val="22"/>
        </w:rPr>
        <w:t xml:space="preserve"> et Dakar (89,0%) où les unités enquêtes jugent le niveau de ces taux élevé voire très élevé. </w:t>
      </w:r>
      <w:r w:rsidR="00086A63" w:rsidRPr="00B97AB4">
        <w:rPr>
          <w:rFonts w:ascii="Book Antiqua" w:hAnsi="Book Antiqua"/>
          <w:sz w:val="22"/>
          <w:szCs w:val="22"/>
        </w:rPr>
        <w:t>L</w:t>
      </w:r>
      <w:r w:rsidR="009D1404" w:rsidRPr="00B97AB4">
        <w:rPr>
          <w:rFonts w:ascii="Book Antiqua" w:hAnsi="Book Antiqua"/>
          <w:sz w:val="22"/>
          <w:szCs w:val="22"/>
        </w:rPr>
        <w:t>es régio</w:t>
      </w:r>
      <w:r w:rsidR="00D76382">
        <w:rPr>
          <w:rFonts w:ascii="Book Antiqua" w:hAnsi="Book Antiqua"/>
          <w:sz w:val="22"/>
          <w:szCs w:val="22"/>
        </w:rPr>
        <w:t xml:space="preserve">ns de Kaolack, Kédougou, Kolda </w:t>
      </w:r>
      <w:r w:rsidR="009D1404" w:rsidRPr="00B97AB4">
        <w:rPr>
          <w:rFonts w:ascii="Book Antiqua" w:hAnsi="Book Antiqua"/>
          <w:sz w:val="22"/>
          <w:szCs w:val="22"/>
        </w:rPr>
        <w:t xml:space="preserve">et </w:t>
      </w:r>
      <w:proofErr w:type="spellStart"/>
      <w:r w:rsidR="009D1404" w:rsidRPr="00B97AB4">
        <w:rPr>
          <w:rFonts w:ascii="Book Antiqua" w:hAnsi="Book Antiqua"/>
          <w:sz w:val="22"/>
          <w:szCs w:val="22"/>
        </w:rPr>
        <w:t>Fatick</w:t>
      </w:r>
      <w:proofErr w:type="spellEnd"/>
      <w:r w:rsidR="009D1404" w:rsidRPr="00B97AB4">
        <w:rPr>
          <w:rFonts w:ascii="Book Antiqua" w:hAnsi="Book Antiqua"/>
          <w:sz w:val="22"/>
          <w:szCs w:val="22"/>
        </w:rPr>
        <w:t xml:space="preserve">, affichent </w:t>
      </w:r>
      <w:r w:rsidR="00086A63" w:rsidRPr="00B97AB4">
        <w:rPr>
          <w:rFonts w:ascii="Book Antiqua" w:hAnsi="Book Antiqua"/>
          <w:sz w:val="22"/>
          <w:szCs w:val="22"/>
        </w:rPr>
        <w:t xml:space="preserve">respectivement </w:t>
      </w:r>
      <w:r w:rsidR="009D1404" w:rsidRPr="00B97AB4">
        <w:rPr>
          <w:rFonts w:ascii="Book Antiqua" w:hAnsi="Book Antiqua"/>
          <w:sz w:val="22"/>
          <w:szCs w:val="22"/>
        </w:rPr>
        <w:t xml:space="preserve">des taux </w:t>
      </w:r>
      <w:r w:rsidR="00086A63" w:rsidRPr="00B97AB4">
        <w:rPr>
          <w:rFonts w:ascii="Book Antiqua" w:hAnsi="Book Antiqua"/>
          <w:sz w:val="22"/>
          <w:szCs w:val="22"/>
        </w:rPr>
        <w:t xml:space="preserve">de </w:t>
      </w:r>
      <w:r w:rsidR="009D1404" w:rsidRPr="00B97AB4">
        <w:rPr>
          <w:rFonts w:ascii="Book Antiqua" w:hAnsi="Book Antiqua"/>
          <w:sz w:val="22"/>
          <w:szCs w:val="22"/>
        </w:rPr>
        <w:t>86,7%</w:t>
      </w:r>
      <w:r w:rsidR="00086A63" w:rsidRPr="00B97AB4">
        <w:rPr>
          <w:rFonts w:ascii="Book Antiqua" w:hAnsi="Book Antiqua"/>
          <w:sz w:val="22"/>
          <w:szCs w:val="22"/>
        </w:rPr>
        <w:t>, 86,4%, 86,1%</w:t>
      </w:r>
      <w:r w:rsidR="009D1404" w:rsidRPr="00B97AB4">
        <w:rPr>
          <w:rFonts w:ascii="Book Antiqua" w:hAnsi="Book Antiqua"/>
          <w:sz w:val="22"/>
          <w:szCs w:val="22"/>
        </w:rPr>
        <w:t xml:space="preserve"> et 85,7%.</w:t>
      </w:r>
    </w:p>
    <w:p w:rsidR="00B97AB4" w:rsidRPr="00EF1BEC" w:rsidRDefault="00086A63" w:rsidP="00840635">
      <w:pPr>
        <w:spacing w:before="240" w:after="240" w:line="276" w:lineRule="auto"/>
        <w:contextualSpacing/>
        <w:jc w:val="both"/>
        <w:rPr>
          <w:rFonts w:ascii="Book Antiqua" w:hAnsi="Book Antiqua"/>
          <w:sz w:val="22"/>
          <w:szCs w:val="22"/>
        </w:rPr>
      </w:pPr>
      <w:r w:rsidRPr="00B97AB4">
        <w:rPr>
          <w:rFonts w:ascii="Book Antiqua" w:hAnsi="Book Antiqua"/>
          <w:sz w:val="22"/>
          <w:szCs w:val="22"/>
        </w:rPr>
        <w:t>L</w:t>
      </w:r>
      <w:r w:rsidR="009D1404" w:rsidRPr="00B97AB4">
        <w:rPr>
          <w:rFonts w:ascii="Book Antiqua" w:hAnsi="Book Antiqua"/>
          <w:sz w:val="22"/>
          <w:szCs w:val="22"/>
        </w:rPr>
        <w:t xml:space="preserve">es régions de Matam (66,7%), Thiès (71,6%), Ziguinchor (73,5%) et Saint-Louis (73,9%) </w:t>
      </w:r>
      <w:r w:rsidR="00C55F2B" w:rsidRPr="00B97AB4">
        <w:rPr>
          <w:rFonts w:ascii="Book Antiqua" w:hAnsi="Book Antiqua"/>
          <w:sz w:val="22"/>
          <w:szCs w:val="22"/>
        </w:rPr>
        <w:t>enregistrent les taux négatifs les moins élevés.</w:t>
      </w:r>
    </w:p>
    <w:p w:rsidR="00EF1BEC" w:rsidRPr="002A668C" w:rsidRDefault="00EF1BEC" w:rsidP="00840635">
      <w:pPr>
        <w:pStyle w:val="Lgende"/>
        <w:keepNext/>
        <w:spacing w:line="276" w:lineRule="auto"/>
        <w:jc w:val="center"/>
        <w:rPr>
          <w:rFonts w:ascii="Book Antiqua" w:hAnsi="Book Antiqua"/>
          <w:color w:val="auto"/>
        </w:rPr>
      </w:pPr>
      <w:bookmarkStart w:id="106" w:name="_Toc523313739"/>
      <w:r w:rsidRPr="002A668C">
        <w:rPr>
          <w:rFonts w:ascii="Book Antiqua" w:hAnsi="Book Antiqua"/>
          <w:color w:val="auto"/>
        </w:rPr>
        <w:t xml:space="preserve">Figure </w:t>
      </w:r>
      <w:r w:rsidR="000D65F2">
        <w:rPr>
          <w:rFonts w:ascii="Book Antiqua" w:hAnsi="Book Antiqua"/>
          <w:color w:val="auto"/>
        </w:rPr>
        <w:fldChar w:fldCharType="begin"/>
      </w:r>
      <w:r w:rsidR="002708B0">
        <w:rPr>
          <w:rFonts w:ascii="Book Antiqua" w:hAnsi="Book Antiqua"/>
          <w:color w:val="auto"/>
        </w:rPr>
        <w:instrText xml:space="preserve"> SEQ Figure \* ARABIC </w:instrText>
      </w:r>
      <w:r w:rsidR="000D65F2">
        <w:rPr>
          <w:rFonts w:ascii="Book Antiqua" w:hAnsi="Book Antiqua"/>
          <w:color w:val="auto"/>
        </w:rPr>
        <w:fldChar w:fldCharType="separate"/>
      </w:r>
      <w:r w:rsidR="000F780F">
        <w:rPr>
          <w:rFonts w:ascii="Book Antiqua" w:hAnsi="Book Antiqua"/>
          <w:noProof/>
          <w:color w:val="auto"/>
        </w:rPr>
        <w:t>56</w:t>
      </w:r>
      <w:r w:rsidR="000D65F2">
        <w:rPr>
          <w:rFonts w:ascii="Book Antiqua" w:hAnsi="Book Antiqua"/>
          <w:color w:val="auto"/>
        </w:rPr>
        <w:fldChar w:fldCharType="end"/>
      </w:r>
      <w:r w:rsidRPr="002A668C">
        <w:rPr>
          <w:rFonts w:ascii="Book Antiqua" w:hAnsi="Book Antiqua"/>
          <w:color w:val="auto"/>
        </w:rPr>
        <w:t xml:space="preserve"> : Appréciation des unités sur les taux débiteurs appliqués aux crédits d'investissement selon les régions</w:t>
      </w:r>
      <w:bookmarkEnd w:id="106"/>
    </w:p>
    <w:p w:rsidR="009D2AB2" w:rsidRDefault="00F44BC9" w:rsidP="00840635">
      <w:pPr>
        <w:spacing w:after="200" w:line="276" w:lineRule="auto"/>
        <w:jc w:val="both"/>
        <w:rPr>
          <w:rFonts w:ascii="Book Antiqua" w:eastAsia="Calibri" w:hAnsi="Book Antiqua"/>
          <w:sz w:val="22"/>
          <w:szCs w:val="22"/>
          <w:lang w:eastAsia="en-US"/>
        </w:rPr>
      </w:pPr>
      <w:r w:rsidRPr="00B97AB4">
        <w:rPr>
          <w:rFonts w:ascii="Book Antiqua" w:eastAsia="Calibri" w:hAnsi="Book Antiqua"/>
          <w:noProof/>
          <w:sz w:val="22"/>
          <w:szCs w:val="22"/>
        </w:rPr>
        <w:drawing>
          <wp:inline distT="0" distB="0" distL="0" distR="0">
            <wp:extent cx="5972810" cy="3804920"/>
            <wp:effectExtent l="19050" t="0" r="27940" b="5080"/>
            <wp:docPr id="56"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7496A" w:rsidRDefault="00F7496A" w:rsidP="00840635">
      <w:pPr>
        <w:spacing w:after="200" w:line="276" w:lineRule="auto"/>
        <w:contextualSpacing/>
        <w:jc w:val="both"/>
        <w:rPr>
          <w:rFonts w:ascii="Book Antiqua" w:hAnsi="Book Antiqua"/>
          <w:sz w:val="22"/>
          <w:szCs w:val="22"/>
        </w:rPr>
      </w:pPr>
    </w:p>
    <w:p w:rsidR="00267EFB" w:rsidRPr="000225B3" w:rsidRDefault="00267EFB" w:rsidP="00840635">
      <w:pPr>
        <w:spacing w:after="200" w:line="276" w:lineRule="auto"/>
        <w:contextualSpacing/>
        <w:jc w:val="both"/>
        <w:rPr>
          <w:rFonts w:ascii="Book Antiqua" w:hAnsi="Book Antiqua"/>
          <w:sz w:val="22"/>
          <w:szCs w:val="22"/>
        </w:rPr>
      </w:pPr>
      <w:r w:rsidRPr="000225B3">
        <w:rPr>
          <w:rFonts w:ascii="Book Antiqua" w:hAnsi="Book Antiqua"/>
          <w:sz w:val="22"/>
          <w:szCs w:val="22"/>
        </w:rPr>
        <w:t xml:space="preserve">Concernant les crédits de fonctionnement, la même tendance sur le niveau d’appréciation négatif est observée avec toutefois des différences entre les localités. En effet, les régions de Tambacounda, Kédougou et </w:t>
      </w:r>
      <w:proofErr w:type="spellStart"/>
      <w:r w:rsidRPr="000225B3">
        <w:rPr>
          <w:rFonts w:ascii="Book Antiqua" w:hAnsi="Book Antiqua"/>
          <w:sz w:val="22"/>
          <w:szCs w:val="22"/>
        </w:rPr>
        <w:t>Fatick</w:t>
      </w:r>
      <w:proofErr w:type="spellEnd"/>
      <w:r w:rsidRPr="000225B3">
        <w:rPr>
          <w:rFonts w:ascii="Book Antiqua" w:hAnsi="Book Antiqua"/>
          <w:sz w:val="22"/>
          <w:szCs w:val="22"/>
        </w:rPr>
        <w:t xml:space="preserve"> enregistrent les taux d’insatisfaction les plus élevés avec respectivement 96,8% de 92,3% et 90,5%. Les taux d’insatisfaction les moins élevés sont notés au niveau de Thiès (71,1%), Ziguinchor et Matam (75,0%) Saint-Louis (75,5%) et Diourbel (78,8%). </w:t>
      </w:r>
    </w:p>
    <w:p w:rsidR="002A668C" w:rsidRPr="002A668C" w:rsidRDefault="002A668C" w:rsidP="00840635">
      <w:pPr>
        <w:pStyle w:val="Lgende"/>
        <w:keepNext/>
        <w:spacing w:line="276" w:lineRule="auto"/>
        <w:jc w:val="center"/>
        <w:rPr>
          <w:rFonts w:ascii="Book Antiqua" w:hAnsi="Book Antiqua"/>
          <w:color w:val="auto"/>
        </w:rPr>
      </w:pPr>
      <w:bookmarkStart w:id="107" w:name="_Toc523313740"/>
      <w:r w:rsidRPr="002A668C">
        <w:rPr>
          <w:rFonts w:ascii="Book Antiqua" w:hAnsi="Book Antiqua"/>
          <w:color w:val="auto"/>
        </w:rPr>
        <w:lastRenderedPageBreak/>
        <w:t xml:space="preserve">Figure </w:t>
      </w:r>
      <w:r w:rsidR="000D65F2">
        <w:rPr>
          <w:rFonts w:ascii="Book Antiqua" w:hAnsi="Book Antiqua"/>
          <w:color w:val="auto"/>
        </w:rPr>
        <w:fldChar w:fldCharType="begin"/>
      </w:r>
      <w:r w:rsidR="002708B0">
        <w:rPr>
          <w:rFonts w:ascii="Book Antiqua" w:hAnsi="Book Antiqua"/>
          <w:color w:val="auto"/>
        </w:rPr>
        <w:instrText xml:space="preserve"> SEQ Figure \* ARABIC </w:instrText>
      </w:r>
      <w:r w:rsidR="000D65F2">
        <w:rPr>
          <w:rFonts w:ascii="Book Antiqua" w:hAnsi="Book Antiqua"/>
          <w:color w:val="auto"/>
        </w:rPr>
        <w:fldChar w:fldCharType="separate"/>
      </w:r>
      <w:r w:rsidR="000F780F">
        <w:rPr>
          <w:rFonts w:ascii="Book Antiqua" w:hAnsi="Book Antiqua"/>
          <w:noProof/>
          <w:color w:val="auto"/>
        </w:rPr>
        <w:t>57</w:t>
      </w:r>
      <w:r w:rsidR="000D65F2">
        <w:rPr>
          <w:rFonts w:ascii="Book Antiqua" w:hAnsi="Book Antiqua"/>
          <w:color w:val="auto"/>
        </w:rPr>
        <w:fldChar w:fldCharType="end"/>
      </w:r>
      <w:r w:rsidRPr="002A668C">
        <w:rPr>
          <w:rFonts w:ascii="Book Antiqua" w:hAnsi="Book Antiqua"/>
          <w:color w:val="auto"/>
        </w:rPr>
        <w:t xml:space="preserve"> : Appréciation des unités sur les taux débiteurs appliqués aux crédits de fonctionnement selon les régions</w:t>
      </w:r>
      <w:bookmarkEnd w:id="107"/>
    </w:p>
    <w:p w:rsidR="00DD569B" w:rsidRDefault="00F44BC9" w:rsidP="00840635">
      <w:pPr>
        <w:spacing w:after="200" w:line="276" w:lineRule="auto"/>
        <w:jc w:val="both"/>
        <w:rPr>
          <w:rFonts w:ascii="Book Antiqua" w:eastAsia="Calibri" w:hAnsi="Book Antiqua"/>
          <w:sz w:val="22"/>
          <w:szCs w:val="22"/>
          <w:lang w:eastAsia="en-US"/>
        </w:rPr>
      </w:pPr>
      <w:r w:rsidRPr="000225B3">
        <w:rPr>
          <w:rFonts w:ascii="Book Antiqua" w:eastAsia="Calibri" w:hAnsi="Book Antiqua"/>
          <w:noProof/>
          <w:sz w:val="22"/>
          <w:szCs w:val="22"/>
        </w:rPr>
        <w:drawing>
          <wp:inline distT="0" distB="0" distL="0" distR="0">
            <wp:extent cx="5972810" cy="2969895"/>
            <wp:effectExtent l="19050" t="0" r="27940" b="1905"/>
            <wp:docPr id="57"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673AA" w:rsidRDefault="00FF0D08" w:rsidP="00840635">
      <w:pPr>
        <w:spacing w:after="20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Il n’est pas ressorti d’écart significatif dans l’appréciation des taux d’</w:t>
      </w:r>
      <w:r w:rsidR="000225B3">
        <w:rPr>
          <w:rFonts w:ascii="Book Antiqua" w:eastAsia="Calibri" w:hAnsi="Book Antiqua"/>
          <w:sz w:val="22"/>
          <w:szCs w:val="22"/>
          <w:lang w:eastAsia="en-US"/>
        </w:rPr>
        <w:t>intérêt</w:t>
      </w:r>
      <w:r>
        <w:rPr>
          <w:rFonts w:ascii="Book Antiqua" w:eastAsia="Calibri" w:hAnsi="Book Antiqua"/>
          <w:sz w:val="22"/>
          <w:szCs w:val="22"/>
          <w:lang w:eastAsia="en-US"/>
        </w:rPr>
        <w:t xml:space="preserve"> débiteurs selon la nature de l’activité qu’il s’agisse des crédits d’investissement ou des crédits de fonctionnement.</w:t>
      </w:r>
    </w:p>
    <w:p w:rsidR="00FF0D08" w:rsidRDefault="00FF0D08" w:rsidP="00840635">
      <w:pPr>
        <w:spacing w:after="20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En effet, une proportion de 86,3% des unités relevant du secteur formel déclarent élevés voire très élevés les taux d’intérêt appliqués aux crédits d’investissement contre 85,5% pour les crédits de fonctionnement. Au niveau du secteur informel</w:t>
      </w:r>
      <w:r w:rsidR="000D55D5">
        <w:rPr>
          <w:rFonts w:ascii="Book Antiqua" w:eastAsia="Calibri" w:hAnsi="Book Antiqua"/>
          <w:sz w:val="22"/>
          <w:szCs w:val="22"/>
          <w:lang w:eastAsia="en-US"/>
        </w:rPr>
        <w:t xml:space="preserve">, les niveaux d’insatisfaction recueillis sont </w:t>
      </w:r>
      <w:r>
        <w:rPr>
          <w:rFonts w:ascii="Book Antiqua" w:eastAsia="Calibri" w:hAnsi="Book Antiqua"/>
          <w:sz w:val="22"/>
          <w:szCs w:val="22"/>
          <w:lang w:eastAsia="en-US"/>
        </w:rPr>
        <w:t>respectivement de 82,7% et 85,1%.</w:t>
      </w:r>
    </w:p>
    <w:p w:rsidR="002A668C" w:rsidRPr="004A294C" w:rsidRDefault="002A668C" w:rsidP="00840635">
      <w:pPr>
        <w:pStyle w:val="Lgende"/>
        <w:keepNext/>
        <w:spacing w:line="276" w:lineRule="auto"/>
        <w:jc w:val="center"/>
        <w:rPr>
          <w:color w:val="auto"/>
        </w:rPr>
      </w:pPr>
      <w:bookmarkStart w:id="108" w:name="_Toc523313741"/>
      <w:r w:rsidRPr="004A294C">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58</w:t>
      </w:r>
      <w:r w:rsidR="000D65F2">
        <w:rPr>
          <w:color w:val="auto"/>
        </w:rPr>
        <w:fldChar w:fldCharType="end"/>
      </w:r>
      <w:r w:rsidRPr="004A294C">
        <w:rPr>
          <w:color w:val="auto"/>
        </w:rPr>
        <w:t>: Appréciation des taux d'intérêt débiteurs selon l'objet du crédit et la nature de l'activité</w:t>
      </w:r>
      <w:bookmarkEnd w:id="108"/>
    </w:p>
    <w:p w:rsidR="00644447" w:rsidRDefault="00F44BC9" w:rsidP="00840635">
      <w:pPr>
        <w:spacing w:after="200" w:line="276" w:lineRule="auto"/>
        <w:jc w:val="center"/>
        <w:rPr>
          <w:rFonts w:ascii="Book Antiqua" w:eastAsia="Calibri" w:hAnsi="Book Antiqua"/>
          <w:sz w:val="22"/>
          <w:szCs w:val="22"/>
          <w:lang w:eastAsia="en-US"/>
        </w:rPr>
      </w:pPr>
      <w:r w:rsidRPr="0009365A">
        <w:rPr>
          <w:noProof/>
        </w:rPr>
        <w:drawing>
          <wp:inline distT="0" distB="0" distL="0" distR="0">
            <wp:extent cx="4570476" cy="2516429"/>
            <wp:effectExtent l="19050" t="0" r="20574" b="0"/>
            <wp:docPr id="227" name="Graphique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B74D0" w:rsidRPr="00923187" w:rsidRDefault="00DB74D0" w:rsidP="00531C35">
      <w:pPr>
        <w:spacing w:before="240" w:after="240" w:line="276" w:lineRule="auto"/>
        <w:ind w:firstLine="851"/>
        <w:rPr>
          <w:rFonts w:ascii="Book Antiqua" w:eastAsia="Calibri" w:hAnsi="Book Antiqua"/>
          <w:b/>
          <w:sz w:val="22"/>
          <w:szCs w:val="22"/>
          <w:lang w:eastAsia="en-US"/>
        </w:rPr>
      </w:pPr>
      <w:r w:rsidRPr="00923187">
        <w:rPr>
          <w:rFonts w:ascii="Book Antiqua" w:eastAsia="Calibri" w:hAnsi="Book Antiqua"/>
          <w:b/>
          <w:sz w:val="22"/>
          <w:szCs w:val="22"/>
          <w:lang w:eastAsia="en-US"/>
        </w:rPr>
        <w:t xml:space="preserve">III.1.2.2. Appréciation du niveau des taux d’intérêt </w:t>
      </w:r>
      <w:r w:rsidR="000D55D5" w:rsidRPr="00923187">
        <w:rPr>
          <w:rFonts w:ascii="Book Antiqua" w:eastAsia="Calibri" w:hAnsi="Book Antiqua"/>
          <w:b/>
          <w:sz w:val="22"/>
          <w:szCs w:val="22"/>
          <w:lang w:eastAsia="en-US"/>
        </w:rPr>
        <w:t>créditeurs</w:t>
      </w:r>
    </w:p>
    <w:p w:rsidR="00A57FD0" w:rsidRDefault="00A57FD0" w:rsidP="00840635">
      <w:pPr>
        <w:spacing w:after="20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L’exploitation des  résultats de </w:t>
      </w:r>
      <w:r w:rsidR="004D4218">
        <w:rPr>
          <w:rFonts w:ascii="Book Antiqua" w:eastAsia="Calibri" w:hAnsi="Book Antiqua"/>
          <w:sz w:val="22"/>
          <w:szCs w:val="22"/>
          <w:lang w:eastAsia="en-US"/>
        </w:rPr>
        <w:t>l’ESUB</w:t>
      </w:r>
      <w:r w:rsidR="005544B1">
        <w:rPr>
          <w:rFonts w:ascii="Book Antiqua" w:eastAsia="Calibri" w:hAnsi="Book Antiqua"/>
          <w:sz w:val="22"/>
          <w:szCs w:val="22"/>
          <w:lang w:eastAsia="en-US"/>
        </w:rPr>
        <w:t xml:space="preserve"> indique un faible taux d’utilisation des placements</w:t>
      </w:r>
      <w:r w:rsidR="00F7496A">
        <w:rPr>
          <w:rFonts w:ascii="Book Antiqua" w:eastAsia="Calibri" w:hAnsi="Book Antiqua"/>
          <w:sz w:val="22"/>
          <w:szCs w:val="22"/>
          <w:lang w:eastAsia="en-US"/>
        </w:rPr>
        <w:t xml:space="preserve"> </w:t>
      </w:r>
      <w:r w:rsidR="005544B1">
        <w:rPr>
          <w:rFonts w:ascii="Book Antiqua" w:eastAsia="Calibri" w:hAnsi="Book Antiqua"/>
          <w:sz w:val="22"/>
          <w:szCs w:val="22"/>
          <w:lang w:eastAsia="en-US"/>
        </w:rPr>
        <w:t>chez les unités enquêtées avec</w:t>
      </w:r>
      <w:r w:rsidR="00F7496A">
        <w:rPr>
          <w:rFonts w:ascii="Book Antiqua" w:eastAsia="Calibri" w:hAnsi="Book Antiqua"/>
          <w:sz w:val="22"/>
          <w:szCs w:val="22"/>
          <w:lang w:eastAsia="en-US"/>
        </w:rPr>
        <w:t xml:space="preserve"> </w:t>
      </w:r>
      <w:r w:rsidR="005544B1">
        <w:rPr>
          <w:rFonts w:ascii="Book Antiqua" w:eastAsia="Calibri" w:hAnsi="Book Antiqua"/>
          <w:sz w:val="22"/>
          <w:szCs w:val="22"/>
          <w:lang w:eastAsia="en-US"/>
        </w:rPr>
        <w:t>une proportion de 88,4% qui déclarent</w:t>
      </w:r>
      <w:r w:rsidR="00F7496A">
        <w:rPr>
          <w:rFonts w:ascii="Book Antiqua" w:eastAsia="Calibri" w:hAnsi="Book Antiqua"/>
          <w:sz w:val="22"/>
          <w:szCs w:val="22"/>
          <w:lang w:eastAsia="en-US"/>
        </w:rPr>
        <w:t xml:space="preserve"> </w:t>
      </w:r>
      <w:r w:rsidR="005544B1">
        <w:rPr>
          <w:rFonts w:ascii="Book Antiqua" w:eastAsia="Calibri" w:hAnsi="Book Antiqua"/>
          <w:sz w:val="22"/>
          <w:szCs w:val="22"/>
          <w:lang w:eastAsia="en-US"/>
        </w:rPr>
        <w:t>n’en avoir pas effectué au cours des trois (03) dernières années.</w:t>
      </w:r>
    </w:p>
    <w:p w:rsidR="004A294C" w:rsidRPr="004A294C" w:rsidRDefault="004A294C" w:rsidP="00840635">
      <w:pPr>
        <w:pStyle w:val="Lgende"/>
        <w:keepNext/>
        <w:spacing w:line="276" w:lineRule="auto"/>
        <w:jc w:val="center"/>
        <w:rPr>
          <w:color w:val="auto"/>
        </w:rPr>
      </w:pPr>
      <w:bookmarkStart w:id="109" w:name="_Toc523313742"/>
      <w:r w:rsidRPr="004A294C">
        <w:rPr>
          <w:color w:val="auto"/>
        </w:rPr>
        <w:lastRenderedPageBreak/>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59</w:t>
      </w:r>
      <w:r w:rsidR="000D65F2">
        <w:rPr>
          <w:color w:val="auto"/>
        </w:rPr>
        <w:fldChar w:fldCharType="end"/>
      </w:r>
      <w:r w:rsidRPr="004A294C">
        <w:rPr>
          <w:color w:val="auto"/>
        </w:rPr>
        <w:t xml:space="preserve"> : Proportion des unités ayant effectué un placement dans leur banque lors des trois dernières années</w:t>
      </w:r>
      <w:bookmarkEnd w:id="109"/>
    </w:p>
    <w:p w:rsidR="00A57FD0" w:rsidRDefault="00F44BC9" w:rsidP="00840635">
      <w:pPr>
        <w:spacing w:after="200" w:line="276" w:lineRule="auto"/>
        <w:jc w:val="center"/>
        <w:rPr>
          <w:rFonts w:ascii="Book Antiqua" w:eastAsia="Calibri" w:hAnsi="Book Antiqua"/>
          <w:sz w:val="22"/>
          <w:szCs w:val="22"/>
          <w:lang w:eastAsia="en-US"/>
        </w:rPr>
      </w:pPr>
      <w:r w:rsidRPr="0009365A">
        <w:rPr>
          <w:noProof/>
        </w:rPr>
        <w:drawing>
          <wp:inline distT="0" distB="0" distL="0" distR="0">
            <wp:extent cx="4572000" cy="2317750"/>
            <wp:effectExtent l="19050" t="0" r="19050" b="6350"/>
            <wp:docPr id="228" name="Graphique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93922" w:rsidRDefault="00210E34" w:rsidP="00840635">
      <w:pPr>
        <w:spacing w:after="20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Parmi les unités utilisatrices de placements (11,6%), plus de la moitié (56,2%) </w:t>
      </w:r>
      <w:r w:rsidR="00193922">
        <w:rPr>
          <w:rFonts w:ascii="Book Antiqua" w:eastAsia="Calibri" w:hAnsi="Book Antiqua"/>
          <w:sz w:val="22"/>
          <w:szCs w:val="22"/>
          <w:lang w:eastAsia="en-US"/>
        </w:rPr>
        <w:t>déclarent disposer de DAT auprès de leur banque principale</w:t>
      </w:r>
      <w:r w:rsidR="00F7496A">
        <w:rPr>
          <w:rFonts w:ascii="Book Antiqua" w:eastAsia="Calibri" w:hAnsi="Book Antiqua"/>
          <w:sz w:val="22"/>
          <w:szCs w:val="22"/>
          <w:lang w:eastAsia="en-US"/>
        </w:rPr>
        <w:t xml:space="preserve"> </w:t>
      </w:r>
      <w:r w:rsidR="00193922">
        <w:rPr>
          <w:rFonts w:ascii="Book Antiqua" w:eastAsia="Calibri" w:hAnsi="Book Antiqua"/>
          <w:sz w:val="22"/>
          <w:szCs w:val="22"/>
          <w:lang w:eastAsia="en-US"/>
        </w:rPr>
        <w:t>et 38,4% de bons de caisse.</w:t>
      </w:r>
    </w:p>
    <w:p w:rsidR="00210E34" w:rsidRDefault="00193922" w:rsidP="00840635">
      <w:pPr>
        <w:spacing w:after="20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Les autres formes de placement</w:t>
      </w:r>
      <w:r w:rsidR="00F7496A">
        <w:rPr>
          <w:rFonts w:ascii="Book Antiqua" w:eastAsia="Calibri" w:hAnsi="Book Antiqua"/>
          <w:sz w:val="22"/>
          <w:szCs w:val="22"/>
          <w:lang w:eastAsia="en-US"/>
        </w:rPr>
        <w:t xml:space="preserve"> </w:t>
      </w:r>
      <w:r>
        <w:rPr>
          <w:rFonts w:ascii="Book Antiqua" w:eastAsia="Calibri" w:hAnsi="Book Antiqua"/>
          <w:sz w:val="22"/>
          <w:szCs w:val="22"/>
          <w:lang w:eastAsia="en-US"/>
        </w:rPr>
        <w:t>(actions, bons du trésor</w:t>
      </w:r>
      <w:r w:rsidR="006807B3">
        <w:rPr>
          <w:rFonts w:ascii="Book Antiqua" w:eastAsia="Calibri" w:hAnsi="Book Antiqua"/>
          <w:sz w:val="22"/>
          <w:szCs w:val="22"/>
          <w:lang w:eastAsia="en-US"/>
        </w:rPr>
        <w:t>,</w:t>
      </w:r>
      <w:r>
        <w:rPr>
          <w:rFonts w:ascii="Book Antiqua" w:eastAsia="Calibri" w:hAnsi="Book Antiqua"/>
          <w:sz w:val="22"/>
          <w:szCs w:val="22"/>
          <w:lang w:eastAsia="en-US"/>
        </w:rPr>
        <w:t xml:space="preserve"> obligations) représentent une proportion de</w:t>
      </w:r>
      <w:r w:rsidR="00F7496A">
        <w:rPr>
          <w:rFonts w:ascii="Book Antiqua" w:eastAsia="Calibri" w:hAnsi="Book Antiqua"/>
          <w:sz w:val="22"/>
          <w:szCs w:val="22"/>
          <w:lang w:eastAsia="en-US"/>
        </w:rPr>
        <w:t xml:space="preserve"> </w:t>
      </w:r>
      <w:r>
        <w:rPr>
          <w:rFonts w:ascii="Book Antiqua" w:eastAsia="Calibri" w:hAnsi="Book Antiqua"/>
          <w:sz w:val="22"/>
          <w:szCs w:val="22"/>
          <w:lang w:eastAsia="en-US"/>
        </w:rPr>
        <w:t>5,5%.</w:t>
      </w:r>
    </w:p>
    <w:p w:rsidR="004A294C" w:rsidRPr="004A294C" w:rsidRDefault="004A294C" w:rsidP="00840635">
      <w:pPr>
        <w:pStyle w:val="Lgende"/>
        <w:keepNext/>
        <w:spacing w:line="276" w:lineRule="auto"/>
        <w:jc w:val="center"/>
        <w:rPr>
          <w:color w:val="auto"/>
        </w:rPr>
      </w:pPr>
      <w:bookmarkStart w:id="110" w:name="_Toc523313743"/>
      <w:r w:rsidRPr="004A294C">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60</w:t>
      </w:r>
      <w:r w:rsidR="000D65F2">
        <w:rPr>
          <w:color w:val="auto"/>
        </w:rPr>
        <w:fldChar w:fldCharType="end"/>
      </w:r>
      <w:r w:rsidRPr="004A294C">
        <w:rPr>
          <w:color w:val="auto"/>
        </w:rPr>
        <w:t>: Types de placements effectués par les unités enquêtées au cours des trois dernières années</w:t>
      </w:r>
      <w:bookmarkEnd w:id="110"/>
    </w:p>
    <w:p w:rsidR="00222A57" w:rsidRDefault="00F44BC9" w:rsidP="00840635">
      <w:pPr>
        <w:spacing w:after="200" w:line="276" w:lineRule="auto"/>
        <w:jc w:val="center"/>
        <w:rPr>
          <w:rFonts w:ascii="Book Antiqua" w:eastAsia="Calibri" w:hAnsi="Book Antiqua"/>
          <w:sz w:val="22"/>
          <w:szCs w:val="22"/>
          <w:lang w:eastAsia="en-US"/>
        </w:rPr>
      </w:pPr>
      <w:r w:rsidRPr="0009365A">
        <w:rPr>
          <w:noProof/>
        </w:rPr>
        <w:drawing>
          <wp:inline distT="0" distB="0" distL="0" distR="0">
            <wp:extent cx="4572000" cy="2505075"/>
            <wp:effectExtent l="19050" t="0" r="19050" b="0"/>
            <wp:docPr id="229" name="Graphique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E01F5" w:rsidRDefault="00222A57" w:rsidP="00840635">
      <w:pPr>
        <w:spacing w:after="200" w:line="276" w:lineRule="auto"/>
        <w:contextualSpacing/>
        <w:jc w:val="both"/>
        <w:rPr>
          <w:rFonts w:ascii="Book Antiqua" w:eastAsia="Calibri" w:hAnsi="Book Antiqua"/>
          <w:sz w:val="22"/>
          <w:szCs w:val="22"/>
          <w:lang w:eastAsia="en-US"/>
        </w:rPr>
      </w:pPr>
      <w:r>
        <w:rPr>
          <w:rFonts w:ascii="Book Antiqua" w:eastAsia="Calibri" w:hAnsi="Book Antiqua"/>
          <w:sz w:val="22"/>
          <w:szCs w:val="22"/>
          <w:lang w:eastAsia="en-US"/>
        </w:rPr>
        <w:t xml:space="preserve">La connaissance des taux </w:t>
      </w:r>
      <w:r w:rsidR="0048154F">
        <w:rPr>
          <w:rFonts w:ascii="Book Antiqua" w:eastAsia="Calibri" w:hAnsi="Book Antiqua"/>
          <w:sz w:val="22"/>
          <w:szCs w:val="22"/>
          <w:lang w:eastAsia="en-US"/>
        </w:rPr>
        <w:t xml:space="preserve">d’intérêts </w:t>
      </w:r>
      <w:r>
        <w:rPr>
          <w:rFonts w:ascii="Book Antiqua" w:eastAsia="Calibri" w:hAnsi="Book Antiqua"/>
          <w:sz w:val="22"/>
          <w:szCs w:val="22"/>
          <w:lang w:eastAsia="en-US"/>
        </w:rPr>
        <w:t>créditeurs reste relativement</w:t>
      </w:r>
      <w:r w:rsidR="00F7496A">
        <w:rPr>
          <w:rFonts w:ascii="Book Antiqua" w:eastAsia="Calibri" w:hAnsi="Book Antiqua"/>
          <w:sz w:val="22"/>
          <w:szCs w:val="22"/>
          <w:lang w:eastAsia="en-US"/>
        </w:rPr>
        <w:t xml:space="preserve"> </w:t>
      </w:r>
      <w:r>
        <w:rPr>
          <w:rFonts w:ascii="Book Antiqua" w:eastAsia="Calibri" w:hAnsi="Book Antiqua"/>
          <w:sz w:val="22"/>
          <w:szCs w:val="22"/>
          <w:lang w:eastAsia="en-US"/>
        </w:rPr>
        <w:t xml:space="preserve">faible </w:t>
      </w:r>
      <w:r w:rsidR="0048154F">
        <w:rPr>
          <w:rFonts w:ascii="Book Antiqua" w:eastAsia="Calibri" w:hAnsi="Book Antiqua"/>
          <w:sz w:val="22"/>
          <w:szCs w:val="22"/>
          <w:lang w:eastAsia="en-US"/>
        </w:rPr>
        <w:t xml:space="preserve">sur l’ensemble de l’échantillon </w:t>
      </w:r>
      <w:r>
        <w:rPr>
          <w:rFonts w:ascii="Book Antiqua" w:eastAsia="Calibri" w:hAnsi="Book Antiqua"/>
          <w:sz w:val="22"/>
          <w:szCs w:val="22"/>
          <w:lang w:eastAsia="en-US"/>
        </w:rPr>
        <w:t xml:space="preserve">avec une proportion </w:t>
      </w:r>
      <w:r w:rsidR="0048154F">
        <w:rPr>
          <w:rFonts w:ascii="Book Antiqua" w:eastAsia="Calibri" w:hAnsi="Book Antiqua"/>
          <w:sz w:val="22"/>
          <w:szCs w:val="22"/>
          <w:lang w:eastAsia="en-US"/>
        </w:rPr>
        <w:t xml:space="preserve">de </w:t>
      </w:r>
      <w:r w:rsidR="007C23F9" w:rsidRPr="004B5F0F">
        <w:rPr>
          <w:rFonts w:ascii="Book Antiqua" w:eastAsia="Calibri" w:hAnsi="Book Antiqua"/>
          <w:sz w:val="22"/>
          <w:szCs w:val="22"/>
          <w:lang w:eastAsia="en-US"/>
        </w:rPr>
        <w:t>69,5%</w:t>
      </w:r>
      <w:r w:rsidR="00553AD5">
        <w:rPr>
          <w:rFonts w:ascii="Book Antiqua" w:eastAsia="Calibri" w:hAnsi="Book Antiqua"/>
          <w:sz w:val="22"/>
          <w:szCs w:val="22"/>
          <w:lang w:eastAsia="en-US"/>
        </w:rPr>
        <w:t xml:space="preserve"> </w:t>
      </w:r>
      <w:r w:rsidR="007C23F9" w:rsidRPr="004B5F0F">
        <w:rPr>
          <w:rFonts w:ascii="Book Antiqua" w:eastAsia="Calibri" w:hAnsi="Book Antiqua"/>
          <w:sz w:val="22"/>
          <w:szCs w:val="22"/>
          <w:lang w:eastAsia="en-US"/>
        </w:rPr>
        <w:t>déclar</w:t>
      </w:r>
      <w:r w:rsidR="0048154F">
        <w:rPr>
          <w:rFonts w:ascii="Book Antiqua" w:eastAsia="Calibri" w:hAnsi="Book Antiqua"/>
          <w:sz w:val="22"/>
          <w:szCs w:val="22"/>
          <w:lang w:eastAsia="en-US"/>
        </w:rPr>
        <w:t>ant ignorer ces taux</w:t>
      </w:r>
      <w:r w:rsidR="00BE01F5">
        <w:rPr>
          <w:rFonts w:ascii="Book Antiqua" w:eastAsia="Calibri" w:hAnsi="Book Antiqua"/>
          <w:sz w:val="22"/>
          <w:szCs w:val="22"/>
          <w:lang w:eastAsia="en-US"/>
        </w:rPr>
        <w:t>. Le niveau d’ignorance est davantage accentué chez les unités relevant du secteur informel (78,6%) que chez celles</w:t>
      </w:r>
      <w:r w:rsidR="00F7496A">
        <w:rPr>
          <w:rFonts w:ascii="Book Antiqua" w:eastAsia="Calibri" w:hAnsi="Book Antiqua"/>
          <w:sz w:val="22"/>
          <w:szCs w:val="22"/>
          <w:lang w:eastAsia="en-US"/>
        </w:rPr>
        <w:t xml:space="preserve"> </w:t>
      </w:r>
      <w:r w:rsidR="00BE01F5">
        <w:rPr>
          <w:rFonts w:ascii="Book Antiqua" w:eastAsia="Calibri" w:hAnsi="Book Antiqua"/>
          <w:sz w:val="22"/>
          <w:szCs w:val="22"/>
          <w:lang w:eastAsia="en-US"/>
        </w:rPr>
        <w:t>issues du formel (65,8%)</w:t>
      </w:r>
      <w:r w:rsidR="00553AD5">
        <w:rPr>
          <w:rFonts w:ascii="Book Antiqua" w:eastAsia="Calibri" w:hAnsi="Book Antiqua"/>
          <w:sz w:val="22"/>
          <w:szCs w:val="22"/>
          <w:lang w:eastAsia="en-US"/>
        </w:rPr>
        <w:t>.</w:t>
      </w:r>
    </w:p>
    <w:p w:rsidR="004A294C" w:rsidRPr="003B25DE" w:rsidRDefault="004A294C" w:rsidP="00840635">
      <w:pPr>
        <w:pStyle w:val="Lgende"/>
        <w:keepNext/>
        <w:spacing w:line="276" w:lineRule="auto"/>
        <w:jc w:val="center"/>
        <w:rPr>
          <w:color w:val="auto"/>
        </w:rPr>
      </w:pPr>
      <w:bookmarkStart w:id="111" w:name="_Toc523313744"/>
      <w:r w:rsidRPr="003B25DE">
        <w:rPr>
          <w:color w:val="auto"/>
        </w:rPr>
        <w:lastRenderedPageBreak/>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61</w:t>
      </w:r>
      <w:r w:rsidR="000D65F2">
        <w:rPr>
          <w:color w:val="auto"/>
        </w:rPr>
        <w:fldChar w:fldCharType="end"/>
      </w:r>
      <w:r w:rsidRPr="003B25DE">
        <w:rPr>
          <w:color w:val="auto"/>
        </w:rPr>
        <w:t>: Proportion des unités ne connaissant pas les taux d'intérêt créditeurs s</w:t>
      </w:r>
      <w:r w:rsidRPr="003B25DE">
        <w:rPr>
          <w:noProof/>
          <w:color w:val="auto"/>
        </w:rPr>
        <w:t>elon la nature de l'activité</w:t>
      </w:r>
      <w:bookmarkEnd w:id="111"/>
    </w:p>
    <w:p w:rsidR="00980925" w:rsidRDefault="00F44BC9" w:rsidP="00840635">
      <w:pPr>
        <w:spacing w:after="200" w:line="276" w:lineRule="auto"/>
        <w:jc w:val="center"/>
        <w:rPr>
          <w:rFonts w:ascii="Book Antiqua" w:eastAsia="Calibri" w:hAnsi="Book Antiqua"/>
          <w:sz w:val="22"/>
          <w:szCs w:val="22"/>
          <w:lang w:eastAsia="en-US"/>
        </w:rPr>
      </w:pPr>
      <w:r w:rsidRPr="003F7841">
        <w:rPr>
          <w:noProof/>
        </w:rPr>
        <w:drawing>
          <wp:inline distT="0" distB="0" distL="0" distR="0">
            <wp:extent cx="4572000" cy="2743200"/>
            <wp:effectExtent l="19050" t="0" r="19050" b="0"/>
            <wp:docPr id="231" name="Graphique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8154F" w:rsidRPr="00980925" w:rsidRDefault="0048154F" w:rsidP="00840635">
      <w:pPr>
        <w:spacing w:after="20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La perception de</w:t>
      </w:r>
      <w:r w:rsidR="007934CE">
        <w:rPr>
          <w:rFonts w:ascii="Book Antiqua" w:eastAsia="Calibri" w:hAnsi="Book Antiqua"/>
          <w:sz w:val="22"/>
          <w:szCs w:val="22"/>
          <w:lang w:eastAsia="en-US"/>
        </w:rPr>
        <w:t>s</w:t>
      </w:r>
      <w:r>
        <w:rPr>
          <w:rFonts w:ascii="Book Antiqua" w:eastAsia="Calibri" w:hAnsi="Book Antiqua"/>
          <w:sz w:val="22"/>
          <w:szCs w:val="22"/>
          <w:lang w:eastAsia="en-US"/>
        </w:rPr>
        <w:t xml:space="preserve"> unités sur la rémunération des placements </w:t>
      </w:r>
      <w:r w:rsidR="007934CE">
        <w:rPr>
          <w:rFonts w:ascii="Book Antiqua" w:eastAsia="Calibri" w:hAnsi="Book Antiqua"/>
          <w:sz w:val="22"/>
          <w:szCs w:val="22"/>
          <w:lang w:eastAsia="en-US"/>
        </w:rPr>
        <w:t xml:space="preserve">bancaires </w:t>
      </w:r>
      <w:r>
        <w:rPr>
          <w:rFonts w:ascii="Book Antiqua" w:eastAsia="Calibri" w:hAnsi="Book Antiqua"/>
          <w:sz w:val="22"/>
          <w:szCs w:val="22"/>
          <w:lang w:eastAsia="en-US"/>
        </w:rPr>
        <w:t xml:space="preserve">fait ressortir </w:t>
      </w:r>
      <w:r w:rsidR="007934CE">
        <w:rPr>
          <w:rFonts w:ascii="Book Antiqua" w:eastAsia="Calibri" w:hAnsi="Book Antiqua"/>
          <w:sz w:val="22"/>
          <w:szCs w:val="22"/>
          <w:lang w:eastAsia="en-US"/>
        </w:rPr>
        <w:t>une proportion</w:t>
      </w:r>
      <w:r w:rsidR="00F7496A">
        <w:rPr>
          <w:rFonts w:ascii="Book Antiqua" w:eastAsia="Calibri" w:hAnsi="Book Antiqua"/>
          <w:sz w:val="22"/>
          <w:szCs w:val="22"/>
          <w:lang w:eastAsia="en-US"/>
        </w:rPr>
        <w:t xml:space="preserve"> </w:t>
      </w:r>
      <w:r w:rsidR="007934CE">
        <w:rPr>
          <w:rFonts w:ascii="Book Antiqua" w:eastAsia="Calibri" w:hAnsi="Book Antiqua"/>
          <w:sz w:val="22"/>
          <w:szCs w:val="22"/>
          <w:lang w:eastAsia="en-US"/>
        </w:rPr>
        <w:t>sensiblement élevée (78,8%) qui estiment « faibles » voire « très faibles » les taux appliqués contre seulement 21,2% qui les jugent « corrects » ou « très corrects ».</w:t>
      </w:r>
    </w:p>
    <w:p w:rsidR="004A294C" w:rsidRPr="003B25DE" w:rsidRDefault="004A294C" w:rsidP="00840635">
      <w:pPr>
        <w:pStyle w:val="Lgende"/>
        <w:keepNext/>
        <w:spacing w:line="276" w:lineRule="auto"/>
        <w:jc w:val="center"/>
        <w:rPr>
          <w:color w:val="auto"/>
        </w:rPr>
      </w:pPr>
      <w:bookmarkStart w:id="112" w:name="_Toc523313745"/>
      <w:r w:rsidRPr="003B25DE">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62</w:t>
      </w:r>
      <w:r w:rsidR="000D65F2">
        <w:rPr>
          <w:color w:val="auto"/>
        </w:rPr>
        <w:fldChar w:fldCharType="end"/>
      </w:r>
      <w:r w:rsidRPr="003B25DE">
        <w:rPr>
          <w:color w:val="auto"/>
        </w:rPr>
        <w:t xml:space="preserve"> : Appréciation des unités sur le niveau des taux d'intérêt créditeurs</w:t>
      </w:r>
      <w:bookmarkEnd w:id="112"/>
    </w:p>
    <w:p w:rsidR="00980925" w:rsidRPr="00980925" w:rsidRDefault="00F44BC9" w:rsidP="00840635">
      <w:pPr>
        <w:spacing w:after="200" w:line="276" w:lineRule="auto"/>
        <w:ind w:left="720"/>
        <w:contextualSpacing/>
        <w:jc w:val="center"/>
        <w:rPr>
          <w:rFonts w:ascii="Book Antiqua" w:eastAsia="Calibri" w:hAnsi="Book Antiqua"/>
          <w:sz w:val="22"/>
          <w:szCs w:val="22"/>
          <w:lang w:eastAsia="en-US"/>
        </w:rPr>
      </w:pPr>
      <w:r w:rsidRPr="003F7841">
        <w:rPr>
          <w:noProof/>
        </w:rPr>
        <w:drawing>
          <wp:inline distT="0" distB="0" distL="0" distR="0">
            <wp:extent cx="4624705" cy="2466975"/>
            <wp:effectExtent l="19050" t="0" r="23495" b="0"/>
            <wp:docPr id="230" name="Graphique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80925" w:rsidRPr="00980925" w:rsidRDefault="00980925" w:rsidP="00840635">
      <w:pPr>
        <w:spacing w:after="200" w:line="276" w:lineRule="auto"/>
        <w:ind w:left="720"/>
        <w:contextualSpacing/>
        <w:jc w:val="center"/>
        <w:rPr>
          <w:rFonts w:ascii="Book Antiqua" w:eastAsia="Calibri" w:hAnsi="Book Antiqua"/>
          <w:sz w:val="22"/>
          <w:szCs w:val="22"/>
          <w:lang w:eastAsia="en-US"/>
        </w:rPr>
      </w:pPr>
    </w:p>
    <w:p w:rsidR="009B4302" w:rsidRDefault="00C10601" w:rsidP="00840635">
      <w:pPr>
        <w:spacing w:after="20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Le point de vue des unités </w:t>
      </w:r>
      <w:r w:rsidR="003F7841">
        <w:rPr>
          <w:rFonts w:ascii="Book Antiqua" w:eastAsia="Calibri" w:hAnsi="Book Antiqua"/>
          <w:sz w:val="22"/>
          <w:szCs w:val="22"/>
          <w:lang w:eastAsia="en-US"/>
        </w:rPr>
        <w:t xml:space="preserve">enquêtées </w:t>
      </w:r>
      <w:r>
        <w:rPr>
          <w:rFonts w:ascii="Book Antiqua" w:eastAsia="Calibri" w:hAnsi="Book Antiqua"/>
          <w:sz w:val="22"/>
          <w:szCs w:val="22"/>
          <w:lang w:eastAsia="en-US"/>
        </w:rPr>
        <w:t xml:space="preserve">sur le niveau des taux d’intérêts créditeurs est moins défavorable pour le secteur informel (76,7%) que pour le secteur formel (79,4%). </w:t>
      </w:r>
    </w:p>
    <w:p w:rsidR="00C10601" w:rsidRDefault="009B4302" w:rsidP="00840635">
      <w:pPr>
        <w:spacing w:after="20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Parmi les unités ayant exprimé un sentiment de satisfaction sur les taux d’intérêt créditeurs, il ressort,</w:t>
      </w:r>
      <w:r w:rsidR="00A87676">
        <w:rPr>
          <w:rFonts w:ascii="Book Antiqua" w:eastAsia="Calibri" w:hAnsi="Book Antiqua"/>
          <w:sz w:val="22"/>
          <w:szCs w:val="22"/>
          <w:lang w:eastAsia="en-US"/>
        </w:rPr>
        <w:t xml:space="preserve"> </w:t>
      </w:r>
      <w:r>
        <w:rPr>
          <w:rFonts w:ascii="Book Antiqua" w:eastAsia="Calibri" w:hAnsi="Book Antiqua"/>
          <w:sz w:val="22"/>
          <w:szCs w:val="22"/>
          <w:lang w:eastAsia="en-US"/>
        </w:rPr>
        <w:t>pour le secteur informel,</w:t>
      </w:r>
      <w:r w:rsidR="00A87676">
        <w:rPr>
          <w:rFonts w:ascii="Book Antiqua" w:eastAsia="Calibri" w:hAnsi="Book Antiqua"/>
          <w:sz w:val="22"/>
          <w:szCs w:val="22"/>
          <w:lang w:eastAsia="en-US"/>
        </w:rPr>
        <w:t xml:space="preserve"> </w:t>
      </w:r>
      <w:r>
        <w:rPr>
          <w:rFonts w:ascii="Book Antiqua" w:eastAsia="Calibri" w:hAnsi="Book Antiqua"/>
          <w:sz w:val="22"/>
          <w:szCs w:val="22"/>
          <w:lang w:eastAsia="en-US"/>
        </w:rPr>
        <w:t xml:space="preserve">des </w:t>
      </w:r>
      <w:r w:rsidR="00B94784">
        <w:rPr>
          <w:rFonts w:ascii="Book Antiqua" w:eastAsia="Calibri" w:hAnsi="Book Antiqua"/>
          <w:sz w:val="22"/>
          <w:szCs w:val="22"/>
          <w:lang w:eastAsia="en-US"/>
        </w:rPr>
        <w:t xml:space="preserve"> proportion</w:t>
      </w:r>
      <w:r>
        <w:rPr>
          <w:rFonts w:ascii="Book Antiqua" w:eastAsia="Calibri" w:hAnsi="Book Antiqua"/>
          <w:sz w:val="22"/>
          <w:szCs w:val="22"/>
          <w:lang w:eastAsia="en-US"/>
        </w:rPr>
        <w:t>s</w:t>
      </w:r>
      <w:r w:rsidR="00B94784">
        <w:rPr>
          <w:rFonts w:ascii="Book Antiqua" w:eastAsia="Calibri" w:hAnsi="Book Antiqua"/>
          <w:sz w:val="22"/>
          <w:szCs w:val="22"/>
          <w:lang w:eastAsia="en-US"/>
        </w:rPr>
        <w:t xml:space="preserve"> de 22,4% </w:t>
      </w:r>
      <w:r>
        <w:rPr>
          <w:rFonts w:ascii="Book Antiqua" w:eastAsia="Calibri" w:hAnsi="Book Antiqua"/>
          <w:sz w:val="22"/>
          <w:szCs w:val="22"/>
          <w:lang w:eastAsia="en-US"/>
        </w:rPr>
        <w:t xml:space="preserve">qui </w:t>
      </w:r>
      <w:r w:rsidR="00B94784">
        <w:rPr>
          <w:rFonts w:ascii="Book Antiqua" w:eastAsia="Calibri" w:hAnsi="Book Antiqua"/>
          <w:sz w:val="22"/>
          <w:szCs w:val="22"/>
          <w:lang w:eastAsia="en-US"/>
        </w:rPr>
        <w:t xml:space="preserve">jugent </w:t>
      </w:r>
      <w:r w:rsidR="00DE2576">
        <w:rPr>
          <w:rFonts w:ascii="Book Antiqua" w:eastAsia="Calibri" w:hAnsi="Book Antiqua"/>
          <w:sz w:val="22"/>
          <w:szCs w:val="22"/>
          <w:lang w:eastAsia="en-US"/>
        </w:rPr>
        <w:t xml:space="preserve">ces taux </w:t>
      </w:r>
      <w:r w:rsidR="00B94784">
        <w:rPr>
          <w:rFonts w:ascii="Book Antiqua" w:eastAsia="Calibri" w:hAnsi="Book Antiqua"/>
          <w:sz w:val="22"/>
          <w:szCs w:val="22"/>
          <w:lang w:eastAsia="en-US"/>
        </w:rPr>
        <w:t xml:space="preserve">« corrects » </w:t>
      </w:r>
      <w:r>
        <w:rPr>
          <w:rFonts w:ascii="Book Antiqua" w:eastAsia="Calibri" w:hAnsi="Book Antiqua"/>
          <w:sz w:val="22"/>
          <w:szCs w:val="22"/>
          <w:lang w:eastAsia="en-US"/>
        </w:rPr>
        <w:t xml:space="preserve">et 0,9% qui les estiment </w:t>
      </w:r>
      <w:r w:rsidR="00B94784">
        <w:rPr>
          <w:rFonts w:ascii="Book Antiqua" w:eastAsia="Calibri" w:hAnsi="Book Antiqua"/>
          <w:sz w:val="22"/>
          <w:szCs w:val="22"/>
          <w:lang w:eastAsia="en-US"/>
        </w:rPr>
        <w:t>« </w:t>
      </w:r>
      <w:r>
        <w:rPr>
          <w:rFonts w:ascii="Book Antiqua" w:eastAsia="Calibri" w:hAnsi="Book Antiqua"/>
          <w:sz w:val="22"/>
          <w:szCs w:val="22"/>
          <w:lang w:eastAsia="en-US"/>
        </w:rPr>
        <w:t>très</w:t>
      </w:r>
      <w:r w:rsidR="00B94784">
        <w:rPr>
          <w:rFonts w:ascii="Book Antiqua" w:eastAsia="Calibri" w:hAnsi="Book Antiqua"/>
          <w:sz w:val="22"/>
          <w:szCs w:val="22"/>
          <w:lang w:eastAsia="en-US"/>
        </w:rPr>
        <w:t xml:space="preserve"> correct</w:t>
      </w:r>
      <w:r w:rsidR="00DE2576">
        <w:rPr>
          <w:rFonts w:ascii="Book Antiqua" w:eastAsia="Calibri" w:hAnsi="Book Antiqua"/>
          <w:sz w:val="22"/>
          <w:szCs w:val="22"/>
          <w:lang w:eastAsia="en-US"/>
        </w:rPr>
        <w:t>s</w:t>
      </w:r>
      <w:r w:rsidR="00B94784">
        <w:rPr>
          <w:rFonts w:ascii="Book Antiqua" w:eastAsia="Calibri" w:hAnsi="Book Antiqua"/>
          <w:sz w:val="22"/>
          <w:szCs w:val="22"/>
          <w:lang w:eastAsia="en-US"/>
        </w:rPr>
        <w:t> »</w:t>
      </w:r>
      <w:r w:rsidR="00DE2576">
        <w:rPr>
          <w:rFonts w:ascii="Book Antiqua" w:eastAsia="Calibri" w:hAnsi="Book Antiqua"/>
          <w:sz w:val="22"/>
          <w:szCs w:val="22"/>
          <w:lang w:eastAsia="en-US"/>
        </w:rPr>
        <w:t>,</w:t>
      </w:r>
      <w:r w:rsidR="00B94784">
        <w:rPr>
          <w:rFonts w:ascii="Book Antiqua" w:eastAsia="Calibri" w:hAnsi="Book Antiqua"/>
          <w:sz w:val="22"/>
          <w:szCs w:val="22"/>
          <w:lang w:eastAsia="en-US"/>
        </w:rPr>
        <w:t xml:space="preserve"> contre 20,0% des unités </w:t>
      </w:r>
      <w:r w:rsidR="00DE2576">
        <w:rPr>
          <w:rFonts w:ascii="Book Antiqua" w:eastAsia="Calibri" w:hAnsi="Book Antiqua"/>
          <w:sz w:val="22"/>
          <w:szCs w:val="22"/>
          <w:lang w:eastAsia="en-US"/>
        </w:rPr>
        <w:t>modernes</w:t>
      </w:r>
      <w:r w:rsidR="00B94784">
        <w:rPr>
          <w:rFonts w:ascii="Book Antiqua" w:eastAsia="Calibri" w:hAnsi="Book Antiqua"/>
          <w:sz w:val="22"/>
          <w:szCs w:val="22"/>
          <w:lang w:eastAsia="en-US"/>
        </w:rPr>
        <w:t xml:space="preserve"> qui les trouvent « correct</w:t>
      </w:r>
      <w:r w:rsidR="00DE2576">
        <w:rPr>
          <w:rFonts w:ascii="Book Antiqua" w:eastAsia="Calibri" w:hAnsi="Book Antiqua"/>
          <w:sz w:val="22"/>
          <w:szCs w:val="22"/>
          <w:lang w:eastAsia="en-US"/>
        </w:rPr>
        <w:t>s</w:t>
      </w:r>
      <w:r w:rsidR="00B94784">
        <w:rPr>
          <w:rFonts w:ascii="Book Antiqua" w:eastAsia="Calibri" w:hAnsi="Book Antiqua"/>
          <w:sz w:val="22"/>
          <w:szCs w:val="22"/>
          <w:lang w:eastAsia="en-US"/>
        </w:rPr>
        <w:t xml:space="preserve"> » </w:t>
      </w:r>
      <w:r>
        <w:rPr>
          <w:rFonts w:ascii="Book Antiqua" w:eastAsia="Calibri" w:hAnsi="Book Antiqua"/>
          <w:sz w:val="22"/>
          <w:szCs w:val="22"/>
          <w:lang w:eastAsia="en-US"/>
        </w:rPr>
        <w:t xml:space="preserve">et 0,7% </w:t>
      </w:r>
      <w:r w:rsidR="00B94784">
        <w:rPr>
          <w:rFonts w:ascii="Book Antiqua" w:eastAsia="Calibri" w:hAnsi="Book Antiqua"/>
          <w:sz w:val="22"/>
          <w:szCs w:val="22"/>
          <w:lang w:eastAsia="en-US"/>
        </w:rPr>
        <w:t>« </w:t>
      </w:r>
      <w:r w:rsidR="003F7841">
        <w:rPr>
          <w:rFonts w:ascii="Book Antiqua" w:eastAsia="Calibri" w:hAnsi="Book Antiqua"/>
          <w:sz w:val="22"/>
          <w:szCs w:val="22"/>
          <w:lang w:eastAsia="en-US"/>
        </w:rPr>
        <w:t>très</w:t>
      </w:r>
      <w:r w:rsidR="00B94784">
        <w:rPr>
          <w:rFonts w:ascii="Book Antiqua" w:eastAsia="Calibri" w:hAnsi="Book Antiqua"/>
          <w:sz w:val="22"/>
          <w:szCs w:val="22"/>
          <w:lang w:eastAsia="en-US"/>
        </w:rPr>
        <w:t xml:space="preserve"> corrects »</w:t>
      </w:r>
      <w:r w:rsidR="00DE2576">
        <w:rPr>
          <w:rFonts w:ascii="Book Antiqua" w:eastAsia="Calibri" w:hAnsi="Book Antiqua"/>
          <w:sz w:val="22"/>
          <w:szCs w:val="22"/>
          <w:lang w:eastAsia="en-US"/>
        </w:rPr>
        <w:t>.</w:t>
      </w:r>
    </w:p>
    <w:p w:rsidR="004A294C" w:rsidRPr="003B25DE" w:rsidRDefault="004A294C" w:rsidP="00840635">
      <w:pPr>
        <w:pStyle w:val="Lgende"/>
        <w:keepNext/>
        <w:spacing w:line="276" w:lineRule="auto"/>
        <w:jc w:val="center"/>
        <w:rPr>
          <w:color w:val="auto"/>
        </w:rPr>
      </w:pPr>
      <w:bookmarkStart w:id="113" w:name="_Toc523313746"/>
      <w:r w:rsidRPr="003B25DE">
        <w:rPr>
          <w:color w:val="auto"/>
        </w:rPr>
        <w:lastRenderedPageBreak/>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63</w:t>
      </w:r>
      <w:r w:rsidR="000D65F2">
        <w:rPr>
          <w:color w:val="auto"/>
        </w:rPr>
        <w:fldChar w:fldCharType="end"/>
      </w:r>
      <w:r w:rsidRPr="003B25DE">
        <w:rPr>
          <w:color w:val="auto"/>
        </w:rPr>
        <w:t xml:space="preserve"> : Appréciation des unités sur les taux créditeurs selon la nature de l'activité</w:t>
      </w:r>
      <w:bookmarkEnd w:id="113"/>
    </w:p>
    <w:p w:rsidR="00C10601" w:rsidRDefault="00F44BC9" w:rsidP="00840635">
      <w:pPr>
        <w:spacing w:after="200" w:line="276" w:lineRule="auto"/>
        <w:jc w:val="center"/>
        <w:rPr>
          <w:rFonts w:ascii="Book Antiqua" w:eastAsia="Calibri" w:hAnsi="Book Antiqua"/>
          <w:sz w:val="22"/>
          <w:szCs w:val="22"/>
          <w:lang w:eastAsia="en-US"/>
        </w:rPr>
      </w:pPr>
      <w:r w:rsidRPr="003F7841">
        <w:rPr>
          <w:noProof/>
        </w:rPr>
        <w:drawing>
          <wp:inline distT="0" distB="0" distL="0" distR="0">
            <wp:extent cx="4438650" cy="2381250"/>
            <wp:effectExtent l="19050" t="0" r="19050" b="0"/>
            <wp:docPr id="232" name="Graphique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80925" w:rsidRPr="00AA59E0" w:rsidRDefault="00980925" w:rsidP="00531C35">
      <w:pPr>
        <w:tabs>
          <w:tab w:val="left" w:pos="1320"/>
          <w:tab w:val="right" w:leader="dot" w:pos="9572"/>
        </w:tabs>
        <w:spacing w:before="240" w:after="240" w:line="276" w:lineRule="auto"/>
        <w:ind w:left="1134" w:hanging="567"/>
        <w:jc w:val="both"/>
        <w:outlineLvl w:val="2"/>
        <w:rPr>
          <w:rFonts w:ascii="Book Antiqua" w:hAnsi="Book Antiqua"/>
          <w:b/>
          <w:sz w:val="22"/>
          <w:szCs w:val="22"/>
        </w:rPr>
      </w:pPr>
      <w:bookmarkStart w:id="114" w:name="_Toc433234331"/>
      <w:bookmarkStart w:id="115" w:name="_Toc523322052"/>
      <w:r w:rsidRPr="00AA59E0">
        <w:rPr>
          <w:rFonts w:ascii="Book Antiqua" w:hAnsi="Book Antiqua"/>
          <w:b/>
          <w:sz w:val="22"/>
          <w:szCs w:val="22"/>
        </w:rPr>
        <w:t xml:space="preserve">III.1.3. </w:t>
      </w:r>
      <w:r w:rsidR="00DE2576" w:rsidRPr="00AA59E0">
        <w:rPr>
          <w:rFonts w:ascii="Book Antiqua" w:hAnsi="Book Antiqua"/>
          <w:b/>
          <w:sz w:val="22"/>
          <w:szCs w:val="22"/>
        </w:rPr>
        <w:t xml:space="preserve">Appréciation des unités sur les </w:t>
      </w:r>
      <w:r w:rsidRPr="00AA59E0">
        <w:rPr>
          <w:rFonts w:ascii="Book Antiqua" w:hAnsi="Book Antiqua"/>
          <w:b/>
          <w:sz w:val="22"/>
          <w:szCs w:val="22"/>
        </w:rPr>
        <w:t>garanties assorties à l’octroi de crédit</w:t>
      </w:r>
      <w:bookmarkEnd w:id="114"/>
      <w:bookmarkEnd w:id="115"/>
    </w:p>
    <w:p w:rsidR="00980925" w:rsidRPr="00980925" w:rsidRDefault="00980925" w:rsidP="00840635">
      <w:pPr>
        <w:spacing w:after="200" w:line="276" w:lineRule="auto"/>
        <w:contextualSpacing/>
        <w:jc w:val="both"/>
        <w:rPr>
          <w:rFonts w:ascii="Book Antiqua" w:eastAsia="Calibri" w:hAnsi="Book Antiqua"/>
          <w:sz w:val="22"/>
          <w:szCs w:val="22"/>
          <w:lang w:eastAsia="en-US"/>
        </w:rPr>
      </w:pPr>
      <w:r w:rsidRPr="00980925">
        <w:rPr>
          <w:rFonts w:ascii="Book Antiqua" w:eastAsia="Calibri" w:hAnsi="Book Antiqua"/>
          <w:sz w:val="22"/>
          <w:szCs w:val="22"/>
          <w:lang w:eastAsia="en-US"/>
        </w:rPr>
        <w:t xml:space="preserve">Selon les </w:t>
      </w:r>
      <w:r w:rsidR="00464DEB">
        <w:rPr>
          <w:rFonts w:ascii="Book Antiqua" w:eastAsia="Calibri" w:hAnsi="Book Antiqua"/>
          <w:sz w:val="22"/>
          <w:szCs w:val="22"/>
          <w:lang w:eastAsia="en-US"/>
        </w:rPr>
        <w:t>unités</w:t>
      </w:r>
      <w:r w:rsidR="00DB0E60">
        <w:rPr>
          <w:rFonts w:ascii="Book Antiqua" w:eastAsia="Calibri" w:hAnsi="Book Antiqua"/>
          <w:sz w:val="22"/>
          <w:szCs w:val="22"/>
          <w:lang w:eastAsia="en-US"/>
        </w:rPr>
        <w:t xml:space="preserve"> </w:t>
      </w:r>
      <w:r w:rsidRPr="00980925">
        <w:rPr>
          <w:rFonts w:ascii="Book Antiqua" w:eastAsia="Calibri" w:hAnsi="Book Antiqua"/>
          <w:sz w:val="22"/>
          <w:szCs w:val="22"/>
          <w:lang w:eastAsia="en-US"/>
        </w:rPr>
        <w:t xml:space="preserve">interrogées, l’hypothèque est la </w:t>
      </w:r>
      <w:r w:rsidR="00464DEB">
        <w:rPr>
          <w:rFonts w:ascii="Book Antiqua" w:eastAsia="Calibri" w:hAnsi="Book Antiqua"/>
          <w:sz w:val="22"/>
          <w:szCs w:val="22"/>
          <w:lang w:eastAsia="en-US"/>
        </w:rPr>
        <w:t xml:space="preserve">forme de </w:t>
      </w:r>
      <w:r w:rsidRPr="00980925">
        <w:rPr>
          <w:rFonts w:ascii="Book Antiqua" w:eastAsia="Calibri" w:hAnsi="Book Antiqua"/>
          <w:sz w:val="22"/>
          <w:szCs w:val="22"/>
          <w:lang w:eastAsia="en-US"/>
        </w:rPr>
        <w:t>garantie la plus exigée par le</w:t>
      </w:r>
      <w:r w:rsidR="00464DEB">
        <w:rPr>
          <w:rFonts w:ascii="Book Antiqua" w:eastAsia="Calibri" w:hAnsi="Book Antiqua"/>
          <w:sz w:val="22"/>
          <w:szCs w:val="22"/>
          <w:lang w:eastAsia="en-US"/>
        </w:rPr>
        <w:t>ur</w:t>
      </w:r>
      <w:r w:rsidRPr="00980925">
        <w:rPr>
          <w:rFonts w:ascii="Book Antiqua" w:eastAsia="Calibri" w:hAnsi="Book Antiqua"/>
          <w:sz w:val="22"/>
          <w:szCs w:val="22"/>
          <w:lang w:eastAsia="en-US"/>
        </w:rPr>
        <w:t xml:space="preserve">s banques </w:t>
      </w:r>
      <w:r w:rsidR="00464DEB">
        <w:rPr>
          <w:rFonts w:ascii="Book Antiqua" w:eastAsia="Calibri" w:hAnsi="Book Antiqua"/>
          <w:sz w:val="22"/>
          <w:szCs w:val="22"/>
          <w:lang w:eastAsia="en-US"/>
        </w:rPr>
        <w:t xml:space="preserve">principales </w:t>
      </w:r>
      <w:r w:rsidRPr="00980925">
        <w:rPr>
          <w:rFonts w:ascii="Book Antiqua" w:eastAsia="Calibri" w:hAnsi="Book Antiqua"/>
          <w:sz w:val="22"/>
          <w:szCs w:val="22"/>
          <w:lang w:eastAsia="en-US"/>
        </w:rPr>
        <w:t>(30%) suivi</w:t>
      </w:r>
      <w:r w:rsidR="00464DEB">
        <w:rPr>
          <w:rFonts w:ascii="Book Antiqua" w:eastAsia="Calibri" w:hAnsi="Book Antiqua"/>
          <w:sz w:val="22"/>
          <w:szCs w:val="22"/>
          <w:lang w:eastAsia="en-US"/>
        </w:rPr>
        <w:t>e</w:t>
      </w:r>
      <w:r w:rsidR="00DB0E60">
        <w:rPr>
          <w:rFonts w:ascii="Book Antiqua" w:eastAsia="Calibri" w:hAnsi="Book Antiqua"/>
          <w:sz w:val="22"/>
          <w:szCs w:val="22"/>
          <w:lang w:eastAsia="en-US"/>
        </w:rPr>
        <w:t xml:space="preserve"> </w:t>
      </w:r>
      <w:r w:rsidRPr="00980925">
        <w:rPr>
          <w:rFonts w:ascii="Book Antiqua" w:eastAsia="Calibri" w:hAnsi="Book Antiqua"/>
          <w:sz w:val="22"/>
          <w:szCs w:val="22"/>
          <w:lang w:eastAsia="en-US"/>
        </w:rPr>
        <w:t xml:space="preserve">par les cautions et avals </w:t>
      </w:r>
      <w:r w:rsidR="00DF4077">
        <w:rPr>
          <w:rFonts w:ascii="Book Antiqua" w:eastAsia="Calibri" w:hAnsi="Book Antiqua"/>
          <w:sz w:val="22"/>
          <w:szCs w:val="22"/>
          <w:lang w:eastAsia="en-US"/>
        </w:rPr>
        <w:t>(</w:t>
      </w:r>
      <w:r w:rsidRPr="00980925">
        <w:rPr>
          <w:rFonts w:ascii="Book Antiqua" w:eastAsia="Calibri" w:hAnsi="Book Antiqua"/>
          <w:sz w:val="22"/>
          <w:szCs w:val="22"/>
          <w:lang w:eastAsia="en-US"/>
        </w:rPr>
        <w:t>28,2%</w:t>
      </w:r>
      <w:r w:rsidR="00DF4077">
        <w:rPr>
          <w:rFonts w:ascii="Book Antiqua" w:eastAsia="Calibri" w:hAnsi="Book Antiqua"/>
          <w:sz w:val="22"/>
          <w:szCs w:val="22"/>
          <w:lang w:eastAsia="en-US"/>
        </w:rPr>
        <w:t>), l’</w:t>
      </w:r>
      <w:r w:rsidR="003F7841">
        <w:rPr>
          <w:rFonts w:ascii="Book Antiqua" w:eastAsia="Calibri" w:hAnsi="Book Antiqua"/>
          <w:sz w:val="22"/>
          <w:szCs w:val="22"/>
          <w:lang w:eastAsia="en-US"/>
        </w:rPr>
        <w:t>assurance-crédit</w:t>
      </w:r>
      <w:r w:rsidR="00C976A1">
        <w:rPr>
          <w:rFonts w:ascii="Book Antiqua" w:eastAsia="Calibri" w:hAnsi="Book Antiqua"/>
          <w:sz w:val="22"/>
          <w:szCs w:val="22"/>
          <w:lang w:eastAsia="en-US"/>
        </w:rPr>
        <w:t xml:space="preserve"> (14,3%), le na</w:t>
      </w:r>
      <w:r w:rsidR="00DF4077">
        <w:rPr>
          <w:rFonts w:ascii="Book Antiqua" w:eastAsia="Calibri" w:hAnsi="Book Antiqua"/>
          <w:sz w:val="22"/>
          <w:szCs w:val="22"/>
          <w:lang w:eastAsia="en-US"/>
        </w:rPr>
        <w:t>n</w:t>
      </w:r>
      <w:r w:rsidR="00C976A1">
        <w:rPr>
          <w:rFonts w:ascii="Book Antiqua" w:eastAsia="Calibri" w:hAnsi="Book Antiqua"/>
          <w:sz w:val="22"/>
          <w:szCs w:val="22"/>
          <w:lang w:eastAsia="en-US"/>
        </w:rPr>
        <w:t>tissement</w:t>
      </w:r>
      <w:r w:rsidR="00DB0E60">
        <w:rPr>
          <w:rFonts w:ascii="Book Antiqua" w:eastAsia="Calibri" w:hAnsi="Book Antiqua"/>
          <w:sz w:val="22"/>
          <w:szCs w:val="22"/>
          <w:lang w:eastAsia="en-US"/>
        </w:rPr>
        <w:t xml:space="preserve"> </w:t>
      </w:r>
      <w:r w:rsidR="00C976A1">
        <w:rPr>
          <w:rFonts w:ascii="Book Antiqua" w:eastAsia="Calibri" w:hAnsi="Book Antiqua"/>
          <w:sz w:val="22"/>
          <w:szCs w:val="22"/>
          <w:lang w:eastAsia="en-US"/>
        </w:rPr>
        <w:t>(12,2%)</w:t>
      </w:r>
      <w:r w:rsidR="00DB0E60">
        <w:rPr>
          <w:rFonts w:ascii="Book Antiqua" w:eastAsia="Calibri" w:hAnsi="Book Antiqua"/>
          <w:sz w:val="22"/>
          <w:szCs w:val="22"/>
          <w:lang w:eastAsia="en-US"/>
        </w:rPr>
        <w:t xml:space="preserve"> </w:t>
      </w:r>
      <w:r w:rsidR="00DF4077">
        <w:rPr>
          <w:rFonts w:ascii="Book Antiqua" w:eastAsia="Calibri" w:hAnsi="Book Antiqua"/>
          <w:sz w:val="22"/>
          <w:szCs w:val="22"/>
          <w:lang w:eastAsia="en-US"/>
        </w:rPr>
        <w:t>et l</w:t>
      </w:r>
      <w:r w:rsidR="00C976A1">
        <w:rPr>
          <w:rFonts w:ascii="Book Antiqua" w:eastAsia="Calibri" w:hAnsi="Book Antiqua"/>
          <w:sz w:val="22"/>
          <w:szCs w:val="22"/>
          <w:lang w:eastAsia="en-US"/>
        </w:rPr>
        <w:t>e gage (9,2%)</w:t>
      </w:r>
      <w:r w:rsidR="00DF4077">
        <w:rPr>
          <w:rFonts w:ascii="Book Antiqua" w:eastAsia="Calibri" w:hAnsi="Book Antiqua"/>
          <w:sz w:val="22"/>
          <w:szCs w:val="22"/>
          <w:lang w:eastAsia="en-US"/>
        </w:rPr>
        <w:t xml:space="preserve">. Le </w:t>
      </w:r>
      <w:r w:rsidRPr="00980925">
        <w:rPr>
          <w:rFonts w:ascii="Book Antiqua" w:eastAsia="Calibri" w:hAnsi="Book Antiqua"/>
          <w:sz w:val="22"/>
          <w:szCs w:val="22"/>
          <w:lang w:eastAsia="en-US"/>
        </w:rPr>
        <w:t>warrantage</w:t>
      </w:r>
      <w:r w:rsidR="00DB0E60">
        <w:rPr>
          <w:rFonts w:ascii="Book Antiqua" w:eastAsia="Calibri" w:hAnsi="Book Antiqua"/>
          <w:sz w:val="22"/>
          <w:szCs w:val="22"/>
          <w:lang w:eastAsia="en-US"/>
        </w:rPr>
        <w:t xml:space="preserve"> </w:t>
      </w:r>
      <w:r w:rsidR="00C976A1">
        <w:rPr>
          <w:rFonts w:ascii="Book Antiqua" w:eastAsia="Calibri" w:hAnsi="Book Antiqua"/>
          <w:sz w:val="22"/>
          <w:szCs w:val="22"/>
          <w:lang w:eastAsia="en-US"/>
        </w:rPr>
        <w:t xml:space="preserve">constitue de loin le type de garantie </w:t>
      </w:r>
      <w:r w:rsidRPr="00980925">
        <w:rPr>
          <w:rFonts w:ascii="Book Antiqua" w:eastAsia="Calibri" w:hAnsi="Book Antiqua"/>
          <w:sz w:val="22"/>
          <w:szCs w:val="22"/>
          <w:lang w:eastAsia="en-US"/>
        </w:rPr>
        <w:t xml:space="preserve">le moins </w:t>
      </w:r>
      <w:r w:rsidR="00C976A1">
        <w:rPr>
          <w:rFonts w:ascii="Book Antiqua" w:eastAsia="Calibri" w:hAnsi="Book Antiqua"/>
          <w:sz w:val="22"/>
          <w:szCs w:val="22"/>
          <w:lang w:eastAsia="en-US"/>
        </w:rPr>
        <w:t>exigé</w:t>
      </w:r>
      <w:r w:rsidR="00DF4077">
        <w:rPr>
          <w:rFonts w:ascii="Book Antiqua" w:eastAsia="Calibri" w:hAnsi="Book Antiqua"/>
          <w:sz w:val="22"/>
          <w:szCs w:val="22"/>
          <w:lang w:eastAsia="en-US"/>
        </w:rPr>
        <w:t xml:space="preserve"> avec une proportion de 0,3% des unités qui déclarent l’avoir fourni dans le cadre d’une demande de crédit. </w:t>
      </w:r>
    </w:p>
    <w:p w:rsidR="004A294C" w:rsidRPr="003B25DE" w:rsidRDefault="004A294C" w:rsidP="00840635">
      <w:pPr>
        <w:pStyle w:val="Lgende"/>
        <w:keepNext/>
        <w:spacing w:line="276" w:lineRule="auto"/>
        <w:jc w:val="center"/>
        <w:rPr>
          <w:color w:val="auto"/>
        </w:rPr>
      </w:pPr>
      <w:bookmarkStart w:id="116" w:name="_Toc523313747"/>
      <w:r w:rsidRPr="003B25DE">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64</w:t>
      </w:r>
      <w:r w:rsidR="000D65F2">
        <w:rPr>
          <w:color w:val="auto"/>
        </w:rPr>
        <w:fldChar w:fldCharType="end"/>
      </w:r>
      <w:r w:rsidRPr="003B25DE">
        <w:rPr>
          <w:color w:val="auto"/>
        </w:rPr>
        <w:t xml:space="preserve"> : Nature des garanties assorties à l'octroi de crédit des unités interrogées</w:t>
      </w:r>
      <w:bookmarkEnd w:id="116"/>
    </w:p>
    <w:p w:rsidR="00980925" w:rsidRPr="00980925" w:rsidRDefault="00980925" w:rsidP="00840635">
      <w:pPr>
        <w:spacing w:after="200" w:line="276" w:lineRule="auto"/>
        <w:ind w:left="720"/>
        <w:contextualSpacing/>
        <w:jc w:val="center"/>
        <w:rPr>
          <w:rFonts w:ascii="Book Antiqua" w:eastAsia="Calibri" w:hAnsi="Book Antiqua"/>
          <w:sz w:val="22"/>
          <w:szCs w:val="22"/>
          <w:lang w:eastAsia="en-US"/>
        </w:rPr>
      </w:pPr>
      <w:r w:rsidRPr="00980925">
        <w:rPr>
          <w:rFonts w:ascii="Book Antiqua" w:eastAsia="Calibri" w:hAnsi="Book Antiqua"/>
          <w:noProof/>
          <w:sz w:val="22"/>
          <w:szCs w:val="22"/>
        </w:rPr>
        <w:drawing>
          <wp:inline distT="0" distB="0" distL="0" distR="0">
            <wp:extent cx="4587240" cy="2381250"/>
            <wp:effectExtent l="19050" t="0" r="22860" b="0"/>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80925" w:rsidRDefault="00980925" w:rsidP="00840635">
      <w:pPr>
        <w:spacing w:after="200" w:line="276" w:lineRule="auto"/>
        <w:ind w:left="720"/>
        <w:contextualSpacing/>
        <w:jc w:val="both"/>
        <w:rPr>
          <w:rFonts w:ascii="Book Antiqua" w:eastAsia="Calibri" w:hAnsi="Book Antiqua"/>
          <w:sz w:val="22"/>
          <w:szCs w:val="22"/>
          <w:lang w:eastAsia="en-US"/>
        </w:rPr>
      </w:pPr>
    </w:p>
    <w:p w:rsidR="00456456" w:rsidRDefault="00456456" w:rsidP="00840635">
      <w:pPr>
        <w:spacing w:after="200" w:line="276" w:lineRule="auto"/>
        <w:ind w:left="720" w:firstLine="696"/>
        <w:contextualSpacing/>
        <w:jc w:val="both"/>
        <w:rPr>
          <w:rFonts w:ascii="Book Antiqua" w:eastAsia="Calibri" w:hAnsi="Book Antiqua"/>
          <w:sz w:val="22"/>
          <w:szCs w:val="22"/>
          <w:highlight w:val="yellow"/>
          <w:lang w:eastAsia="en-US"/>
        </w:rPr>
      </w:pPr>
    </w:p>
    <w:p w:rsidR="00D14B91" w:rsidRDefault="00D14B91" w:rsidP="00840635">
      <w:pPr>
        <w:spacing w:after="200" w:line="276" w:lineRule="auto"/>
        <w:contextualSpacing/>
        <w:jc w:val="both"/>
        <w:rPr>
          <w:rFonts w:ascii="Book Antiqua" w:eastAsia="Calibri" w:hAnsi="Book Antiqua"/>
          <w:sz w:val="22"/>
          <w:szCs w:val="22"/>
          <w:lang w:eastAsia="en-US"/>
        </w:rPr>
      </w:pPr>
      <w:r w:rsidRPr="00D14B91">
        <w:rPr>
          <w:rFonts w:ascii="Book Antiqua" w:eastAsia="Calibri" w:hAnsi="Book Antiqua"/>
          <w:sz w:val="22"/>
          <w:szCs w:val="22"/>
          <w:lang w:eastAsia="en-US"/>
        </w:rPr>
        <w:t>L</w:t>
      </w:r>
      <w:r w:rsidR="00813D08">
        <w:rPr>
          <w:rFonts w:ascii="Book Antiqua" w:eastAsia="Calibri" w:hAnsi="Book Antiqua"/>
          <w:sz w:val="22"/>
          <w:szCs w:val="22"/>
          <w:lang w:eastAsia="en-US"/>
        </w:rPr>
        <w:t>’examen des résultats de l’enquête concernant l</w:t>
      </w:r>
      <w:r>
        <w:rPr>
          <w:rFonts w:ascii="Book Antiqua" w:eastAsia="Calibri" w:hAnsi="Book Antiqua"/>
          <w:sz w:val="22"/>
          <w:szCs w:val="22"/>
          <w:lang w:eastAsia="en-US"/>
        </w:rPr>
        <w:t xml:space="preserve">a typologie des garanties adossées au crédit fait apparaitre les </w:t>
      </w:r>
      <w:r w:rsidR="00813D08">
        <w:rPr>
          <w:rFonts w:ascii="Book Antiqua" w:eastAsia="Calibri" w:hAnsi="Book Antiqua"/>
          <w:sz w:val="22"/>
          <w:szCs w:val="22"/>
          <w:lang w:eastAsia="en-US"/>
        </w:rPr>
        <w:t xml:space="preserve">principaux </w:t>
      </w:r>
      <w:r w:rsidR="00AE5433">
        <w:rPr>
          <w:rFonts w:ascii="Book Antiqua" w:eastAsia="Calibri" w:hAnsi="Book Antiqua"/>
          <w:sz w:val="22"/>
          <w:szCs w:val="22"/>
          <w:lang w:eastAsia="en-US"/>
        </w:rPr>
        <w:t>constats ci-</w:t>
      </w:r>
      <w:r>
        <w:rPr>
          <w:rFonts w:ascii="Book Antiqua" w:eastAsia="Calibri" w:hAnsi="Book Antiqua"/>
          <w:sz w:val="22"/>
          <w:szCs w:val="22"/>
          <w:lang w:eastAsia="en-US"/>
        </w:rPr>
        <w:t xml:space="preserve">après : </w:t>
      </w:r>
    </w:p>
    <w:p w:rsidR="00B45097" w:rsidRDefault="00AE5433" w:rsidP="00202A44">
      <w:pPr>
        <w:pStyle w:val="Paragraphedeliste"/>
        <w:numPr>
          <w:ilvl w:val="0"/>
          <w:numId w:val="31"/>
        </w:numPr>
        <w:spacing w:before="120" w:after="120" w:line="276" w:lineRule="auto"/>
        <w:ind w:left="568" w:hanging="284"/>
        <w:contextualSpacing w:val="0"/>
        <w:jc w:val="both"/>
        <w:rPr>
          <w:rFonts w:ascii="Book Antiqua" w:eastAsia="Calibri" w:hAnsi="Book Antiqua"/>
          <w:sz w:val="22"/>
          <w:szCs w:val="22"/>
          <w:lang w:eastAsia="en-US"/>
        </w:rPr>
      </w:pPr>
      <w:r>
        <w:rPr>
          <w:rFonts w:ascii="Book Antiqua" w:eastAsia="Calibri" w:hAnsi="Book Antiqua"/>
          <w:sz w:val="22"/>
          <w:szCs w:val="22"/>
          <w:lang w:eastAsia="en-US"/>
        </w:rPr>
        <w:t>l’hypothèque et les cautions et a</w:t>
      </w:r>
      <w:r w:rsidR="00D14B91" w:rsidRPr="00D14B91">
        <w:rPr>
          <w:rFonts w:ascii="Book Antiqua" w:eastAsia="Calibri" w:hAnsi="Book Antiqua"/>
          <w:sz w:val="22"/>
          <w:szCs w:val="22"/>
          <w:lang w:eastAsia="en-US"/>
        </w:rPr>
        <w:t>val</w:t>
      </w:r>
      <w:r>
        <w:rPr>
          <w:rFonts w:ascii="Book Antiqua" w:eastAsia="Calibri" w:hAnsi="Book Antiqua"/>
          <w:sz w:val="22"/>
          <w:szCs w:val="22"/>
          <w:lang w:eastAsia="en-US"/>
        </w:rPr>
        <w:t>s</w:t>
      </w:r>
      <w:r w:rsidR="00D14B91">
        <w:rPr>
          <w:rFonts w:ascii="Book Antiqua" w:eastAsia="Calibri" w:hAnsi="Book Antiqua"/>
          <w:sz w:val="22"/>
          <w:szCs w:val="22"/>
          <w:lang w:eastAsia="en-US"/>
        </w:rPr>
        <w:t xml:space="preserve"> sont les modes de garanties les plus exigés aux SARL </w:t>
      </w:r>
      <w:r w:rsidR="00813D08">
        <w:rPr>
          <w:rFonts w:ascii="Book Antiqua" w:eastAsia="Calibri" w:hAnsi="Book Antiqua"/>
          <w:sz w:val="22"/>
          <w:szCs w:val="22"/>
          <w:lang w:eastAsia="en-US"/>
        </w:rPr>
        <w:t xml:space="preserve">avec respectivement des taux de 43,4% et 15,8% contre des proportions de 33,3% et 27,6% pour les </w:t>
      </w:r>
      <w:r w:rsidR="00D14B91">
        <w:rPr>
          <w:rFonts w:ascii="Book Antiqua" w:eastAsia="Calibri" w:hAnsi="Book Antiqua"/>
          <w:sz w:val="22"/>
          <w:szCs w:val="22"/>
          <w:lang w:eastAsia="en-US"/>
        </w:rPr>
        <w:t>SA</w:t>
      </w:r>
      <w:r w:rsidR="00813D08">
        <w:rPr>
          <w:rFonts w:ascii="Book Antiqua" w:eastAsia="Calibri" w:hAnsi="Book Antiqua"/>
          <w:sz w:val="22"/>
          <w:szCs w:val="22"/>
          <w:lang w:eastAsia="en-US"/>
        </w:rPr>
        <w:t> ;</w:t>
      </w:r>
    </w:p>
    <w:p w:rsidR="00D14B91" w:rsidRDefault="00923187" w:rsidP="00202A44">
      <w:pPr>
        <w:pStyle w:val="Paragraphedeliste"/>
        <w:numPr>
          <w:ilvl w:val="0"/>
          <w:numId w:val="31"/>
        </w:numPr>
        <w:spacing w:before="120" w:after="120" w:line="276" w:lineRule="auto"/>
        <w:ind w:left="568" w:hanging="284"/>
        <w:contextualSpacing w:val="0"/>
        <w:jc w:val="both"/>
        <w:rPr>
          <w:rFonts w:ascii="Book Antiqua" w:eastAsia="Calibri" w:hAnsi="Book Antiqua"/>
          <w:sz w:val="22"/>
          <w:szCs w:val="22"/>
          <w:lang w:eastAsia="en-US"/>
        </w:rPr>
      </w:pPr>
      <w:r>
        <w:rPr>
          <w:rFonts w:ascii="Book Antiqua" w:eastAsia="Calibri" w:hAnsi="Book Antiqua"/>
          <w:sz w:val="22"/>
          <w:szCs w:val="22"/>
          <w:lang w:eastAsia="en-US"/>
        </w:rPr>
        <w:t>l</w:t>
      </w:r>
      <w:r w:rsidR="00AE5433">
        <w:rPr>
          <w:rFonts w:ascii="Book Antiqua" w:eastAsia="Calibri" w:hAnsi="Book Antiqua"/>
          <w:sz w:val="22"/>
          <w:szCs w:val="22"/>
          <w:lang w:eastAsia="en-US"/>
        </w:rPr>
        <w:t>es cautions et a</w:t>
      </w:r>
      <w:r w:rsidR="00813D08">
        <w:rPr>
          <w:rFonts w:ascii="Book Antiqua" w:eastAsia="Calibri" w:hAnsi="Book Antiqua"/>
          <w:sz w:val="22"/>
          <w:szCs w:val="22"/>
          <w:lang w:eastAsia="en-US"/>
        </w:rPr>
        <w:t>val</w:t>
      </w:r>
      <w:r w:rsidR="00AE5433">
        <w:rPr>
          <w:rFonts w:ascii="Book Antiqua" w:eastAsia="Calibri" w:hAnsi="Book Antiqua"/>
          <w:sz w:val="22"/>
          <w:szCs w:val="22"/>
          <w:lang w:eastAsia="en-US"/>
        </w:rPr>
        <w:t>s</w:t>
      </w:r>
      <w:r w:rsidR="003D7322">
        <w:rPr>
          <w:rFonts w:ascii="Book Antiqua" w:eastAsia="Calibri" w:hAnsi="Book Antiqua"/>
          <w:sz w:val="22"/>
          <w:szCs w:val="22"/>
          <w:lang w:eastAsia="en-US"/>
        </w:rPr>
        <w:t xml:space="preserve"> et l’</w:t>
      </w:r>
      <w:r w:rsidR="00813D08">
        <w:rPr>
          <w:rFonts w:ascii="Book Antiqua" w:eastAsia="Calibri" w:hAnsi="Book Antiqua"/>
          <w:sz w:val="22"/>
          <w:szCs w:val="22"/>
          <w:lang w:eastAsia="en-US"/>
        </w:rPr>
        <w:t>hyp</w:t>
      </w:r>
      <w:r w:rsidR="003D7322">
        <w:rPr>
          <w:rFonts w:ascii="Book Antiqua" w:eastAsia="Calibri" w:hAnsi="Book Antiqua"/>
          <w:sz w:val="22"/>
          <w:szCs w:val="22"/>
          <w:lang w:eastAsia="en-US"/>
        </w:rPr>
        <w:t>othèque</w:t>
      </w:r>
      <w:r w:rsidR="00813D08">
        <w:rPr>
          <w:rFonts w:ascii="Book Antiqua" w:eastAsia="Calibri" w:hAnsi="Book Antiqua"/>
          <w:sz w:val="22"/>
          <w:szCs w:val="22"/>
          <w:lang w:eastAsia="en-US"/>
        </w:rPr>
        <w:t xml:space="preserve"> ressortent avec des proportions respectives de 30,1% et 25,1% pour les SU, d’une part, et 43,2% et 15,2% chez les GIE, d’autre part ;</w:t>
      </w:r>
    </w:p>
    <w:p w:rsidR="003B25DE" w:rsidRPr="003B25DE" w:rsidRDefault="00923187" w:rsidP="00202A44">
      <w:pPr>
        <w:pStyle w:val="Paragraphedeliste"/>
        <w:numPr>
          <w:ilvl w:val="0"/>
          <w:numId w:val="31"/>
        </w:numPr>
        <w:spacing w:before="120" w:after="120" w:line="276" w:lineRule="auto"/>
        <w:ind w:left="568" w:hanging="284"/>
        <w:contextualSpacing w:val="0"/>
        <w:jc w:val="both"/>
        <w:rPr>
          <w:rFonts w:ascii="Book Antiqua" w:eastAsia="Calibri" w:hAnsi="Book Antiqua"/>
          <w:sz w:val="22"/>
          <w:szCs w:val="22"/>
          <w:lang w:eastAsia="en-US"/>
        </w:rPr>
      </w:pPr>
      <w:r>
        <w:rPr>
          <w:rFonts w:ascii="Book Antiqua" w:eastAsia="Calibri" w:hAnsi="Book Antiqua"/>
          <w:sz w:val="22"/>
          <w:szCs w:val="22"/>
          <w:lang w:eastAsia="en-US"/>
        </w:rPr>
        <w:lastRenderedPageBreak/>
        <w:t>l</w:t>
      </w:r>
      <w:r w:rsidR="00813D08">
        <w:rPr>
          <w:rFonts w:ascii="Book Antiqua" w:eastAsia="Calibri" w:hAnsi="Book Antiqua"/>
          <w:sz w:val="22"/>
          <w:szCs w:val="22"/>
          <w:lang w:eastAsia="en-US"/>
        </w:rPr>
        <w:t>’</w:t>
      </w:r>
      <w:r>
        <w:rPr>
          <w:rFonts w:ascii="Book Antiqua" w:eastAsia="Calibri" w:hAnsi="Book Antiqua"/>
          <w:sz w:val="22"/>
          <w:szCs w:val="22"/>
          <w:lang w:eastAsia="en-US"/>
        </w:rPr>
        <w:t>Assurance-crédit</w:t>
      </w:r>
      <w:r w:rsidR="0083275C">
        <w:rPr>
          <w:rFonts w:ascii="Book Antiqua" w:eastAsia="Calibri" w:hAnsi="Book Antiqua"/>
          <w:sz w:val="22"/>
          <w:szCs w:val="22"/>
          <w:lang w:eastAsia="en-US"/>
        </w:rPr>
        <w:t xml:space="preserve"> </w:t>
      </w:r>
      <w:r w:rsidR="003D7322">
        <w:rPr>
          <w:rFonts w:ascii="Book Antiqua" w:eastAsia="Calibri" w:hAnsi="Book Antiqua"/>
          <w:sz w:val="22"/>
          <w:szCs w:val="22"/>
          <w:lang w:eastAsia="en-US"/>
        </w:rPr>
        <w:t xml:space="preserve">(50,0%) </w:t>
      </w:r>
      <w:r w:rsidR="00813D08">
        <w:rPr>
          <w:rFonts w:ascii="Book Antiqua" w:eastAsia="Calibri" w:hAnsi="Book Antiqua"/>
          <w:sz w:val="22"/>
          <w:szCs w:val="22"/>
          <w:lang w:eastAsia="en-US"/>
        </w:rPr>
        <w:t xml:space="preserve">et l’hypothèque </w:t>
      </w:r>
      <w:r w:rsidR="003D7322">
        <w:rPr>
          <w:rFonts w:ascii="Book Antiqua" w:eastAsia="Calibri" w:hAnsi="Book Antiqua"/>
          <w:sz w:val="22"/>
          <w:szCs w:val="22"/>
          <w:lang w:eastAsia="en-US"/>
        </w:rPr>
        <w:t xml:space="preserve">(50,0%) </w:t>
      </w:r>
      <w:r w:rsidR="00813D08">
        <w:rPr>
          <w:rFonts w:ascii="Book Antiqua" w:eastAsia="Calibri" w:hAnsi="Book Antiqua"/>
          <w:sz w:val="22"/>
          <w:szCs w:val="22"/>
          <w:lang w:eastAsia="en-US"/>
        </w:rPr>
        <w:t xml:space="preserve">constituent les garanties </w:t>
      </w:r>
      <w:r w:rsidR="003D7322">
        <w:rPr>
          <w:rFonts w:ascii="Book Antiqua" w:eastAsia="Calibri" w:hAnsi="Book Antiqua"/>
          <w:sz w:val="22"/>
          <w:szCs w:val="22"/>
          <w:lang w:eastAsia="en-US"/>
        </w:rPr>
        <w:t xml:space="preserve">les plus </w:t>
      </w:r>
      <w:r w:rsidR="00813D08">
        <w:rPr>
          <w:rFonts w:ascii="Book Antiqua" w:eastAsia="Calibri" w:hAnsi="Book Antiqua"/>
          <w:sz w:val="22"/>
          <w:szCs w:val="22"/>
          <w:lang w:eastAsia="en-US"/>
        </w:rPr>
        <w:t>demandées aux SNC</w:t>
      </w:r>
      <w:r w:rsidR="003D7322">
        <w:rPr>
          <w:rFonts w:ascii="Book Antiqua" w:eastAsia="Calibri" w:hAnsi="Book Antiqua"/>
          <w:sz w:val="22"/>
          <w:szCs w:val="22"/>
          <w:lang w:eastAsia="en-US"/>
        </w:rPr>
        <w:t>.</w:t>
      </w:r>
    </w:p>
    <w:p w:rsidR="003B25DE" w:rsidRPr="003B25DE" w:rsidRDefault="003B25DE" w:rsidP="00840635">
      <w:pPr>
        <w:pStyle w:val="Lgende"/>
        <w:keepNext/>
        <w:spacing w:line="276" w:lineRule="auto"/>
        <w:jc w:val="center"/>
        <w:rPr>
          <w:color w:val="auto"/>
        </w:rPr>
      </w:pPr>
      <w:bookmarkStart w:id="117" w:name="_Toc523313748"/>
      <w:r w:rsidRPr="003B25DE">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65</w:t>
      </w:r>
      <w:r w:rsidR="000D65F2">
        <w:rPr>
          <w:color w:val="auto"/>
        </w:rPr>
        <w:fldChar w:fldCharType="end"/>
      </w:r>
      <w:r w:rsidRPr="003B25DE">
        <w:rPr>
          <w:color w:val="auto"/>
        </w:rPr>
        <w:t xml:space="preserve"> : Typologie des garanties exigées selon le statut juridique des unités enquêtées</w:t>
      </w:r>
      <w:bookmarkEnd w:id="117"/>
    </w:p>
    <w:p w:rsidR="00456456" w:rsidRPr="003F7841" w:rsidRDefault="00456456" w:rsidP="00840635">
      <w:pPr>
        <w:spacing w:after="200" w:line="276" w:lineRule="auto"/>
        <w:ind w:left="720" w:firstLine="696"/>
        <w:contextualSpacing/>
        <w:jc w:val="center"/>
        <w:rPr>
          <w:rFonts w:ascii="Book Antiqua" w:eastAsia="Calibri" w:hAnsi="Book Antiqua"/>
          <w:sz w:val="22"/>
          <w:szCs w:val="22"/>
          <w:highlight w:val="yellow"/>
          <w:lang w:eastAsia="en-US"/>
        </w:rPr>
      </w:pPr>
      <w:r>
        <w:rPr>
          <w:noProof/>
        </w:rPr>
        <w:drawing>
          <wp:inline distT="0" distB="0" distL="0" distR="0">
            <wp:extent cx="5133975" cy="2495550"/>
            <wp:effectExtent l="19050" t="0" r="9525" b="0"/>
            <wp:docPr id="234" name="Graphique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260C9" w:rsidRDefault="009260C9" w:rsidP="00840635">
      <w:pPr>
        <w:spacing w:after="200" w:line="276" w:lineRule="auto"/>
        <w:ind w:left="720" w:firstLine="696"/>
        <w:contextualSpacing/>
        <w:jc w:val="both"/>
        <w:rPr>
          <w:rFonts w:ascii="Book Antiqua" w:eastAsia="Calibri" w:hAnsi="Book Antiqua"/>
          <w:sz w:val="22"/>
          <w:szCs w:val="22"/>
          <w:lang w:eastAsia="en-US"/>
        </w:rPr>
      </w:pPr>
    </w:p>
    <w:p w:rsidR="00746AAE" w:rsidRDefault="003D7322" w:rsidP="00840635">
      <w:pPr>
        <w:spacing w:after="200" w:line="276" w:lineRule="auto"/>
        <w:contextualSpacing/>
        <w:jc w:val="both"/>
        <w:rPr>
          <w:rFonts w:ascii="Book Antiqua" w:eastAsia="Calibri" w:hAnsi="Book Antiqua"/>
          <w:sz w:val="22"/>
          <w:szCs w:val="22"/>
          <w:lang w:eastAsia="en-US"/>
        </w:rPr>
      </w:pPr>
      <w:r>
        <w:rPr>
          <w:rFonts w:ascii="Book Antiqua" w:eastAsia="Calibri" w:hAnsi="Book Antiqua"/>
          <w:sz w:val="22"/>
          <w:szCs w:val="22"/>
          <w:lang w:eastAsia="en-US"/>
        </w:rPr>
        <w:t xml:space="preserve">Suivant la nature de l’activité, la répartition des garanties adossées au crédit fait ressortir, pour le secteur formel, une prédominance de </w:t>
      </w:r>
      <w:r w:rsidR="00923187">
        <w:rPr>
          <w:rFonts w:ascii="Book Antiqua" w:eastAsia="Calibri" w:hAnsi="Book Antiqua"/>
          <w:sz w:val="22"/>
          <w:szCs w:val="22"/>
          <w:lang w:eastAsia="en-US"/>
        </w:rPr>
        <w:t>l’hypothèque (</w:t>
      </w:r>
      <w:r w:rsidR="00AE5433">
        <w:rPr>
          <w:rFonts w:ascii="Book Antiqua" w:eastAsia="Calibri" w:hAnsi="Book Antiqua"/>
          <w:sz w:val="22"/>
          <w:szCs w:val="22"/>
          <w:lang w:eastAsia="en-US"/>
        </w:rPr>
        <w:t>33,1%) et des c</w:t>
      </w:r>
      <w:r>
        <w:rPr>
          <w:rFonts w:ascii="Book Antiqua" w:eastAsia="Calibri" w:hAnsi="Book Antiqua"/>
          <w:sz w:val="22"/>
          <w:szCs w:val="22"/>
          <w:lang w:eastAsia="en-US"/>
        </w:rPr>
        <w:t>autions et aval</w:t>
      </w:r>
      <w:r w:rsidR="00AE5433">
        <w:rPr>
          <w:rFonts w:ascii="Book Antiqua" w:eastAsia="Calibri" w:hAnsi="Book Antiqua"/>
          <w:sz w:val="22"/>
          <w:szCs w:val="22"/>
          <w:lang w:eastAsia="en-US"/>
        </w:rPr>
        <w:t>s</w:t>
      </w:r>
      <w:r>
        <w:rPr>
          <w:rFonts w:ascii="Book Antiqua" w:eastAsia="Calibri" w:hAnsi="Book Antiqua"/>
          <w:sz w:val="22"/>
          <w:szCs w:val="22"/>
          <w:lang w:eastAsia="en-US"/>
        </w:rPr>
        <w:t xml:space="preserve"> (24,4%)</w:t>
      </w:r>
      <w:r w:rsidR="00746AAE">
        <w:rPr>
          <w:rFonts w:ascii="Book Antiqua" w:eastAsia="Calibri" w:hAnsi="Book Antiqua"/>
          <w:sz w:val="22"/>
          <w:szCs w:val="22"/>
          <w:lang w:eastAsia="en-US"/>
        </w:rPr>
        <w:t>, tandis que,</w:t>
      </w:r>
      <w:r w:rsidR="00AE5433">
        <w:rPr>
          <w:rFonts w:ascii="Book Antiqua" w:eastAsia="Calibri" w:hAnsi="Book Antiqua"/>
          <w:sz w:val="22"/>
          <w:szCs w:val="22"/>
          <w:lang w:eastAsia="en-US"/>
        </w:rPr>
        <w:t xml:space="preserve"> pour le secteur informel, les c</w:t>
      </w:r>
      <w:r w:rsidR="00746AAE">
        <w:rPr>
          <w:rFonts w:ascii="Book Antiqua" w:eastAsia="Calibri" w:hAnsi="Book Antiqua"/>
          <w:sz w:val="22"/>
          <w:szCs w:val="22"/>
          <w:lang w:eastAsia="en-US"/>
        </w:rPr>
        <w:t>autions et aval (31,5%) et l’hypothèque (26,5%</w:t>
      </w:r>
      <w:r w:rsidR="00923187">
        <w:rPr>
          <w:rFonts w:ascii="Book Antiqua" w:eastAsia="Calibri" w:hAnsi="Book Antiqua"/>
          <w:sz w:val="22"/>
          <w:szCs w:val="22"/>
          <w:lang w:eastAsia="en-US"/>
        </w:rPr>
        <w:t>) sont</w:t>
      </w:r>
      <w:r w:rsidR="00746AAE">
        <w:rPr>
          <w:rFonts w:ascii="Book Antiqua" w:eastAsia="Calibri" w:hAnsi="Book Antiqua"/>
          <w:sz w:val="22"/>
          <w:szCs w:val="22"/>
          <w:lang w:eastAsia="en-US"/>
        </w:rPr>
        <w:t xml:space="preserve"> les plus demandés.</w:t>
      </w:r>
    </w:p>
    <w:p w:rsidR="003B25DE" w:rsidRPr="003B25DE" w:rsidRDefault="003B25DE" w:rsidP="00840635">
      <w:pPr>
        <w:pStyle w:val="Lgende"/>
        <w:keepNext/>
        <w:spacing w:line="276" w:lineRule="auto"/>
        <w:jc w:val="center"/>
        <w:rPr>
          <w:color w:val="auto"/>
        </w:rPr>
      </w:pPr>
      <w:bookmarkStart w:id="118" w:name="_Toc523313749"/>
      <w:r w:rsidRPr="003B25DE">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66</w:t>
      </w:r>
      <w:r w:rsidR="000D65F2">
        <w:rPr>
          <w:color w:val="auto"/>
        </w:rPr>
        <w:fldChar w:fldCharType="end"/>
      </w:r>
      <w:r w:rsidRPr="003B25DE">
        <w:rPr>
          <w:color w:val="auto"/>
        </w:rPr>
        <w:t xml:space="preserve"> : Typologie des garanties exigées selon la nature de l'activité des unités</w:t>
      </w:r>
      <w:bookmarkEnd w:id="118"/>
    </w:p>
    <w:p w:rsidR="0026730C" w:rsidRDefault="00746AAE" w:rsidP="00840635">
      <w:pPr>
        <w:spacing w:after="200" w:line="276" w:lineRule="auto"/>
        <w:ind w:left="720"/>
        <w:contextualSpacing/>
        <w:jc w:val="center"/>
        <w:rPr>
          <w:rFonts w:ascii="Book Antiqua" w:eastAsia="Calibri" w:hAnsi="Book Antiqua"/>
          <w:sz w:val="22"/>
          <w:szCs w:val="22"/>
          <w:lang w:eastAsia="en-US"/>
        </w:rPr>
      </w:pPr>
      <w:r>
        <w:rPr>
          <w:noProof/>
        </w:rPr>
        <w:drawing>
          <wp:inline distT="0" distB="0" distL="0" distR="0">
            <wp:extent cx="5314950" cy="3343275"/>
            <wp:effectExtent l="19050" t="0" r="19050" b="0"/>
            <wp:docPr id="280" name="Graphique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060EF" w:rsidRDefault="00D060EF" w:rsidP="00840635">
      <w:pPr>
        <w:spacing w:after="200" w:line="276" w:lineRule="auto"/>
        <w:jc w:val="both"/>
        <w:rPr>
          <w:rFonts w:ascii="Book Antiqua" w:eastAsia="Calibri" w:hAnsi="Book Antiqua"/>
          <w:sz w:val="22"/>
          <w:szCs w:val="22"/>
          <w:lang w:eastAsia="en-US"/>
        </w:rPr>
      </w:pPr>
    </w:p>
    <w:p w:rsidR="00980925" w:rsidRPr="00980925" w:rsidRDefault="00746AAE" w:rsidP="00840635">
      <w:pPr>
        <w:spacing w:after="20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La perception des unités interrogées </w:t>
      </w:r>
      <w:r w:rsidR="00AE5433">
        <w:rPr>
          <w:rFonts w:ascii="Book Antiqua" w:eastAsia="Calibri" w:hAnsi="Book Antiqua"/>
          <w:sz w:val="22"/>
          <w:szCs w:val="22"/>
          <w:lang w:eastAsia="en-US"/>
        </w:rPr>
        <w:t>sur les</w:t>
      </w:r>
      <w:r w:rsidR="00D060EF">
        <w:rPr>
          <w:rFonts w:ascii="Book Antiqua" w:eastAsia="Calibri" w:hAnsi="Book Antiqua"/>
          <w:sz w:val="22"/>
          <w:szCs w:val="22"/>
          <w:lang w:eastAsia="en-US"/>
        </w:rPr>
        <w:t xml:space="preserve"> garanties exigées par leur banque principale, fait apparaitre </w:t>
      </w:r>
      <w:r w:rsidR="007515FA">
        <w:rPr>
          <w:rFonts w:ascii="Book Antiqua" w:eastAsia="Calibri" w:hAnsi="Book Antiqua"/>
          <w:sz w:val="22"/>
          <w:szCs w:val="22"/>
          <w:lang w:eastAsia="en-US"/>
        </w:rPr>
        <w:t xml:space="preserve">le caractère </w:t>
      </w:r>
      <w:r w:rsidR="00D060EF" w:rsidRPr="00980925">
        <w:rPr>
          <w:rFonts w:ascii="Book Antiqua" w:eastAsia="Calibri" w:hAnsi="Book Antiqua"/>
          <w:sz w:val="22"/>
          <w:szCs w:val="22"/>
          <w:lang w:eastAsia="en-US"/>
        </w:rPr>
        <w:t xml:space="preserve">contraignant </w:t>
      </w:r>
      <w:r w:rsidR="00D060EF">
        <w:rPr>
          <w:rFonts w:ascii="Book Antiqua" w:eastAsia="Calibri" w:hAnsi="Book Antiqua"/>
          <w:sz w:val="22"/>
          <w:szCs w:val="22"/>
          <w:lang w:eastAsia="en-US"/>
        </w:rPr>
        <w:t>(</w:t>
      </w:r>
      <w:r w:rsidR="00D060EF" w:rsidRPr="00980925">
        <w:rPr>
          <w:rFonts w:ascii="Book Antiqua" w:eastAsia="Calibri" w:hAnsi="Book Antiqua"/>
          <w:sz w:val="22"/>
          <w:szCs w:val="22"/>
          <w:lang w:eastAsia="en-US"/>
        </w:rPr>
        <w:t>42,9%</w:t>
      </w:r>
      <w:r w:rsidR="00D060EF">
        <w:rPr>
          <w:rFonts w:ascii="Book Antiqua" w:eastAsia="Calibri" w:hAnsi="Book Antiqua"/>
          <w:sz w:val="22"/>
          <w:szCs w:val="22"/>
          <w:lang w:eastAsia="en-US"/>
        </w:rPr>
        <w:t>)</w:t>
      </w:r>
      <w:r w:rsidR="00D5069F">
        <w:rPr>
          <w:rFonts w:ascii="Book Antiqua" w:eastAsia="Calibri" w:hAnsi="Book Antiqua"/>
          <w:sz w:val="22"/>
          <w:szCs w:val="22"/>
          <w:lang w:eastAsia="en-US"/>
        </w:rPr>
        <w:t xml:space="preserve"> </w:t>
      </w:r>
      <w:r w:rsidR="00D060EF">
        <w:rPr>
          <w:rFonts w:ascii="Book Antiqua" w:eastAsia="Calibri" w:hAnsi="Book Antiqua"/>
          <w:sz w:val="22"/>
          <w:szCs w:val="22"/>
          <w:lang w:eastAsia="en-US"/>
        </w:rPr>
        <w:t>voire</w:t>
      </w:r>
      <w:r w:rsidR="00D5069F">
        <w:rPr>
          <w:rFonts w:ascii="Book Antiqua" w:eastAsia="Calibri" w:hAnsi="Book Antiqua"/>
          <w:sz w:val="22"/>
          <w:szCs w:val="22"/>
          <w:lang w:eastAsia="en-US"/>
        </w:rPr>
        <w:t xml:space="preserve"> </w:t>
      </w:r>
      <w:r w:rsidR="00980925" w:rsidRPr="00980925">
        <w:rPr>
          <w:rFonts w:ascii="Book Antiqua" w:eastAsia="Calibri" w:hAnsi="Book Antiqua"/>
          <w:sz w:val="22"/>
          <w:szCs w:val="22"/>
          <w:lang w:eastAsia="en-US"/>
        </w:rPr>
        <w:t>très contraignant (25</w:t>
      </w:r>
      <w:r>
        <w:rPr>
          <w:rFonts w:ascii="Book Antiqua" w:eastAsia="Calibri" w:hAnsi="Book Antiqua"/>
          <w:sz w:val="22"/>
          <w:szCs w:val="22"/>
          <w:lang w:eastAsia="en-US"/>
        </w:rPr>
        <w:t>,0</w:t>
      </w:r>
      <w:r w:rsidR="00980925" w:rsidRPr="00980925">
        <w:rPr>
          <w:rFonts w:ascii="Book Antiqua" w:eastAsia="Calibri" w:hAnsi="Book Antiqua"/>
          <w:sz w:val="22"/>
          <w:szCs w:val="22"/>
          <w:lang w:eastAsia="en-US"/>
        </w:rPr>
        <w:t>%)</w:t>
      </w:r>
      <w:r w:rsidR="007515FA">
        <w:rPr>
          <w:rFonts w:ascii="Book Antiqua" w:eastAsia="Calibri" w:hAnsi="Book Antiqua"/>
          <w:sz w:val="22"/>
          <w:szCs w:val="22"/>
          <w:lang w:eastAsia="en-US"/>
        </w:rPr>
        <w:t xml:space="preserve"> de ces garanties</w:t>
      </w:r>
      <w:r w:rsidR="00980925" w:rsidRPr="00980925">
        <w:rPr>
          <w:rFonts w:ascii="Book Antiqua" w:eastAsia="Calibri" w:hAnsi="Book Antiqua"/>
          <w:sz w:val="22"/>
          <w:szCs w:val="22"/>
          <w:lang w:eastAsia="en-US"/>
        </w:rPr>
        <w:t>,</w:t>
      </w:r>
      <w:r w:rsidR="00D5069F">
        <w:rPr>
          <w:rFonts w:ascii="Book Antiqua" w:eastAsia="Calibri" w:hAnsi="Book Antiqua"/>
          <w:sz w:val="22"/>
          <w:szCs w:val="22"/>
          <w:lang w:eastAsia="en-US"/>
        </w:rPr>
        <w:t xml:space="preserve"> </w:t>
      </w:r>
      <w:r w:rsidR="00980925" w:rsidRPr="00980925">
        <w:rPr>
          <w:rFonts w:ascii="Book Antiqua" w:eastAsia="Calibri" w:hAnsi="Book Antiqua"/>
          <w:sz w:val="22"/>
          <w:szCs w:val="22"/>
          <w:lang w:eastAsia="en-US"/>
        </w:rPr>
        <w:t xml:space="preserve">contre </w:t>
      </w:r>
      <w:r w:rsidR="007515FA">
        <w:rPr>
          <w:rFonts w:ascii="Book Antiqua" w:eastAsia="Calibri" w:hAnsi="Book Antiqua"/>
          <w:sz w:val="22"/>
          <w:szCs w:val="22"/>
          <w:lang w:eastAsia="en-US"/>
        </w:rPr>
        <w:t>une proportion</w:t>
      </w:r>
      <w:r w:rsidR="00D060EF">
        <w:rPr>
          <w:rFonts w:ascii="Book Antiqua" w:eastAsia="Calibri" w:hAnsi="Book Antiqua"/>
          <w:sz w:val="22"/>
          <w:szCs w:val="22"/>
          <w:lang w:eastAsia="en-US"/>
        </w:rPr>
        <w:t xml:space="preserve"> de 31,7% </w:t>
      </w:r>
      <w:r w:rsidR="007515FA">
        <w:rPr>
          <w:rFonts w:ascii="Book Antiqua" w:eastAsia="Calibri" w:hAnsi="Book Antiqua"/>
          <w:sz w:val="22"/>
          <w:szCs w:val="22"/>
          <w:lang w:eastAsia="en-US"/>
        </w:rPr>
        <w:t>qui est d’avis contraire</w:t>
      </w:r>
      <w:r w:rsidR="00980925" w:rsidRPr="00980925">
        <w:rPr>
          <w:rFonts w:ascii="Book Antiqua" w:eastAsia="Calibri" w:hAnsi="Book Antiqua"/>
          <w:sz w:val="22"/>
          <w:szCs w:val="22"/>
          <w:lang w:eastAsia="en-US"/>
        </w:rPr>
        <w:t>.</w:t>
      </w:r>
    </w:p>
    <w:p w:rsidR="003B25DE" w:rsidRPr="003B25DE" w:rsidRDefault="003B25DE" w:rsidP="00840635">
      <w:pPr>
        <w:pStyle w:val="Lgende"/>
        <w:keepNext/>
        <w:spacing w:line="276" w:lineRule="auto"/>
        <w:jc w:val="center"/>
        <w:rPr>
          <w:color w:val="auto"/>
        </w:rPr>
      </w:pPr>
      <w:bookmarkStart w:id="119" w:name="_Toc523313750"/>
      <w:r w:rsidRPr="003B25DE">
        <w:rPr>
          <w:color w:val="auto"/>
        </w:rPr>
        <w:lastRenderedPageBreak/>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67</w:t>
      </w:r>
      <w:r w:rsidR="000D65F2">
        <w:rPr>
          <w:color w:val="auto"/>
        </w:rPr>
        <w:fldChar w:fldCharType="end"/>
      </w:r>
      <w:r w:rsidRPr="003B25DE">
        <w:rPr>
          <w:color w:val="auto"/>
        </w:rPr>
        <w:t xml:space="preserve"> : Perception des unités sur les garanties assorties à l'octroi de crédit</w:t>
      </w:r>
      <w:bookmarkEnd w:id="119"/>
    </w:p>
    <w:p w:rsidR="00980925" w:rsidRPr="00980925" w:rsidRDefault="00980925" w:rsidP="00840635">
      <w:pPr>
        <w:spacing w:after="200" w:line="276" w:lineRule="auto"/>
        <w:ind w:left="720"/>
        <w:contextualSpacing/>
        <w:jc w:val="center"/>
        <w:rPr>
          <w:rFonts w:ascii="Book Antiqua" w:eastAsia="Calibri" w:hAnsi="Book Antiqua"/>
          <w:sz w:val="22"/>
          <w:szCs w:val="22"/>
          <w:highlight w:val="yellow"/>
          <w:lang w:eastAsia="en-US"/>
        </w:rPr>
      </w:pPr>
      <w:r w:rsidRPr="00980925">
        <w:rPr>
          <w:rFonts w:ascii="Book Antiqua" w:eastAsia="Calibri" w:hAnsi="Book Antiqua"/>
          <w:noProof/>
          <w:sz w:val="22"/>
          <w:szCs w:val="22"/>
        </w:rPr>
        <w:drawing>
          <wp:inline distT="0" distB="0" distL="0" distR="0">
            <wp:extent cx="4572000" cy="2743200"/>
            <wp:effectExtent l="19050" t="0" r="19050" b="0"/>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80925" w:rsidRDefault="00980925" w:rsidP="00840635">
      <w:pPr>
        <w:spacing w:after="200" w:line="276" w:lineRule="auto"/>
        <w:ind w:left="720"/>
        <w:contextualSpacing/>
        <w:jc w:val="both"/>
        <w:rPr>
          <w:rFonts w:ascii="Book Antiqua" w:eastAsia="Calibri" w:hAnsi="Book Antiqua"/>
          <w:sz w:val="22"/>
          <w:szCs w:val="22"/>
          <w:lang w:eastAsia="en-US"/>
        </w:rPr>
      </w:pPr>
    </w:p>
    <w:p w:rsidR="0022089F" w:rsidRPr="0022089F" w:rsidRDefault="007515FA" w:rsidP="00840635">
      <w:pPr>
        <w:spacing w:after="200" w:line="276" w:lineRule="auto"/>
        <w:jc w:val="both"/>
        <w:rPr>
          <w:rFonts w:ascii="Book Antiqua" w:eastAsia="Calibri" w:hAnsi="Book Antiqua"/>
          <w:sz w:val="22"/>
          <w:szCs w:val="22"/>
          <w:lang w:eastAsia="en-US"/>
        </w:rPr>
      </w:pPr>
      <w:r w:rsidRPr="0022089F">
        <w:rPr>
          <w:rFonts w:ascii="Book Antiqua" w:eastAsia="Calibri" w:hAnsi="Book Antiqua"/>
          <w:sz w:val="22"/>
          <w:szCs w:val="22"/>
          <w:lang w:eastAsia="en-US"/>
        </w:rPr>
        <w:t>L’analyse croisée de la perception des unités sur le caractère contraignant des garanties</w:t>
      </w:r>
      <w:r w:rsidR="00667B22">
        <w:rPr>
          <w:rFonts w:ascii="Book Antiqua" w:eastAsia="Calibri" w:hAnsi="Book Antiqua"/>
          <w:sz w:val="22"/>
          <w:szCs w:val="22"/>
          <w:lang w:eastAsia="en-US"/>
        </w:rPr>
        <w:t xml:space="preserve"> </w:t>
      </w:r>
      <w:r w:rsidRPr="0022089F">
        <w:rPr>
          <w:rFonts w:ascii="Book Antiqua" w:eastAsia="Calibri" w:hAnsi="Book Antiqua"/>
          <w:sz w:val="22"/>
          <w:szCs w:val="22"/>
          <w:lang w:eastAsia="en-US"/>
        </w:rPr>
        <w:t>selon le secteur d’activités révèle des opinions d’insatisfaction plus prononcées pour l’Artisanat (75,0%), l’Agriculture (</w:t>
      </w:r>
      <w:r w:rsidR="002F7CD4" w:rsidRPr="0022089F">
        <w:rPr>
          <w:rFonts w:ascii="Book Antiqua" w:eastAsia="Calibri" w:hAnsi="Book Antiqua"/>
          <w:sz w:val="22"/>
          <w:szCs w:val="22"/>
          <w:lang w:eastAsia="en-US"/>
        </w:rPr>
        <w:t>71,1%</w:t>
      </w:r>
      <w:r w:rsidRPr="0022089F">
        <w:rPr>
          <w:rFonts w:ascii="Book Antiqua" w:eastAsia="Calibri" w:hAnsi="Book Antiqua"/>
          <w:sz w:val="22"/>
          <w:szCs w:val="22"/>
          <w:lang w:eastAsia="en-US"/>
        </w:rPr>
        <w:t>)</w:t>
      </w:r>
      <w:r w:rsidR="00667B22">
        <w:rPr>
          <w:rFonts w:ascii="Book Antiqua" w:eastAsia="Calibri" w:hAnsi="Book Antiqua"/>
          <w:sz w:val="22"/>
          <w:szCs w:val="22"/>
          <w:lang w:eastAsia="en-US"/>
        </w:rPr>
        <w:t xml:space="preserve"> </w:t>
      </w:r>
      <w:r w:rsidRPr="0022089F">
        <w:rPr>
          <w:rFonts w:ascii="Book Antiqua" w:eastAsia="Calibri" w:hAnsi="Book Antiqua"/>
          <w:sz w:val="22"/>
          <w:szCs w:val="22"/>
          <w:lang w:eastAsia="en-US"/>
        </w:rPr>
        <w:t>et le Commerce (</w:t>
      </w:r>
      <w:r w:rsidR="002F7CD4" w:rsidRPr="0022089F">
        <w:rPr>
          <w:rFonts w:ascii="Book Antiqua" w:eastAsia="Calibri" w:hAnsi="Book Antiqua"/>
          <w:sz w:val="22"/>
          <w:szCs w:val="22"/>
          <w:lang w:eastAsia="en-US"/>
        </w:rPr>
        <w:t>70,8%</w:t>
      </w:r>
      <w:r w:rsidRPr="0022089F">
        <w:rPr>
          <w:rFonts w:ascii="Book Antiqua" w:eastAsia="Calibri" w:hAnsi="Book Antiqua"/>
          <w:sz w:val="22"/>
          <w:szCs w:val="22"/>
          <w:lang w:eastAsia="en-US"/>
        </w:rPr>
        <w:t xml:space="preserve">) </w:t>
      </w:r>
      <w:r w:rsidR="002F7CD4" w:rsidRPr="0022089F">
        <w:rPr>
          <w:rFonts w:ascii="Book Antiqua" w:eastAsia="Calibri" w:hAnsi="Book Antiqua"/>
          <w:sz w:val="22"/>
          <w:szCs w:val="22"/>
          <w:lang w:eastAsia="en-US"/>
        </w:rPr>
        <w:t>que pour</w:t>
      </w:r>
      <w:r w:rsidRPr="0022089F">
        <w:rPr>
          <w:rFonts w:ascii="Book Antiqua" w:eastAsia="Calibri" w:hAnsi="Book Antiqua"/>
          <w:sz w:val="22"/>
          <w:szCs w:val="22"/>
          <w:lang w:eastAsia="en-US"/>
        </w:rPr>
        <w:t xml:space="preserve"> l’Industrie </w:t>
      </w:r>
      <w:r w:rsidR="002F7CD4" w:rsidRPr="0022089F">
        <w:rPr>
          <w:rFonts w:ascii="Book Antiqua" w:eastAsia="Calibri" w:hAnsi="Book Antiqua"/>
          <w:sz w:val="22"/>
          <w:szCs w:val="22"/>
          <w:lang w:eastAsia="en-US"/>
        </w:rPr>
        <w:t xml:space="preserve">(60,0%), les </w:t>
      </w:r>
      <w:r w:rsidRPr="0022089F">
        <w:rPr>
          <w:rFonts w:ascii="Book Antiqua" w:eastAsia="Calibri" w:hAnsi="Book Antiqua"/>
          <w:sz w:val="22"/>
          <w:szCs w:val="22"/>
          <w:lang w:eastAsia="en-US"/>
        </w:rPr>
        <w:t xml:space="preserve"> BTP (</w:t>
      </w:r>
      <w:r w:rsidR="002F7CD4" w:rsidRPr="0022089F">
        <w:rPr>
          <w:rFonts w:ascii="Book Antiqua" w:eastAsia="Calibri" w:hAnsi="Book Antiqua"/>
          <w:sz w:val="22"/>
          <w:szCs w:val="22"/>
          <w:lang w:eastAsia="en-US"/>
        </w:rPr>
        <w:t>60,9%</w:t>
      </w:r>
      <w:r w:rsidRPr="0022089F">
        <w:rPr>
          <w:rFonts w:ascii="Book Antiqua" w:eastAsia="Calibri" w:hAnsi="Book Antiqua"/>
          <w:sz w:val="22"/>
          <w:szCs w:val="22"/>
          <w:lang w:eastAsia="en-US"/>
        </w:rPr>
        <w:t xml:space="preserve">) et </w:t>
      </w:r>
      <w:r w:rsidR="002F7CD4" w:rsidRPr="0022089F">
        <w:rPr>
          <w:rFonts w:ascii="Book Antiqua" w:eastAsia="Calibri" w:hAnsi="Book Antiqua"/>
          <w:sz w:val="22"/>
          <w:szCs w:val="22"/>
          <w:lang w:eastAsia="en-US"/>
        </w:rPr>
        <w:t>les</w:t>
      </w:r>
      <w:r w:rsidRPr="0022089F">
        <w:rPr>
          <w:rFonts w:ascii="Book Antiqua" w:eastAsia="Calibri" w:hAnsi="Book Antiqua"/>
          <w:sz w:val="22"/>
          <w:szCs w:val="22"/>
          <w:lang w:eastAsia="en-US"/>
        </w:rPr>
        <w:t xml:space="preserve"> Services (</w:t>
      </w:r>
      <w:r w:rsidR="002F7CD4" w:rsidRPr="0022089F">
        <w:rPr>
          <w:rFonts w:ascii="Book Antiqua" w:eastAsia="Calibri" w:hAnsi="Book Antiqua"/>
          <w:sz w:val="22"/>
          <w:szCs w:val="22"/>
          <w:lang w:eastAsia="en-US"/>
        </w:rPr>
        <w:t>65,9%</w:t>
      </w:r>
      <w:r w:rsidRPr="0022089F">
        <w:rPr>
          <w:rFonts w:ascii="Book Antiqua" w:eastAsia="Calibri" w:hAnsi="Book Antiqua"/>
          <w:sz w:val="22"/>
          <w:szCs w:val="22"/>
          <w:lang w:eastAsia="en-US"/>
        </w:rPr>
        <w:t>)</w:t>
      </w:r>
      <w:r w:rsidR="002F7CD4" w:rsidRPr="0022089F">
        <w:rPr>
          <w:rFonts w:ascii="Book Antiqua" w:eastAsia="Calibri" w:hAnsi="Book Antiqua"/>
          <w:sz w:val="22"/>
          <w:szCs w:val="22"/>
          <w:lang w:eastAsia="en-US"/>
        </w:rPr>
        <w:t>.</w:t>
      </w:r>
    </w:p>
    <w:p w:rsidR="003B25DE" w:rsidRPr="003B25DE" w:rsidRDefault="003B25DE" w:rsidP="00840635">
      <w:pPr>
        <w:pStyle w:val="Lgende"/>
        <w:keepNext/>
        <w:spacing w:line="276" w:lineRule="auto"/>
        <w:jc w:val="center"/>
        <w:rPr>
          <w:color w:val="auto"/>
        </w:rPr>
      </w:pPr>
      <w:bookmarkStart w:id="120" w:name="_Toc523313751"/>
      <w:r w:rsidRPr="003B25DE">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68</w:t>
      </w:r>
      <w:r w:rsidR="000D65F2">
        <w:rPr>
          <w:color w:val="auto"/>
        </w:rPr>
        <w:fldChar w:fldCharType="end"/>
      </w:r>
      <w:r w:rsidRPr="003B25DE">
        <w:rPr>
          <w:color w:val="auto"/>
        </w:rPr>
        <w:t xml:space="preserve"> : Appréciation des unités sur les garanties exigées selon le secteur d'activités</w:t>
      </w:r>
      <w:bookmarkEnd w:id="120"/>
    </w:p>
    <w:p w:rsidR="002F7CD4" w:rsidRDefault="00F44BC9" w:rsidP="00840635">
      <w:pPr>
        <w:spacing w:after="200" w:line="276" w:lineRule="auto"/>
        <w:ind w:left="720" w:firstLine="696"/>
        <w:contextualSpacing/>
        <w:rPr>
          <w:rFonts w:ascii="Book Antiqua" w:eastAsia="Calibri" w:hAnsi="Book Antiqua"/>
          <w:sz w:val="22"/>
          <w:szCs w:val="22"/>
          <w:lang w:eastAsia="en-US"/>
        </w:rPr>
      </w:pPr>
      <w:r>
        <w:rPr>
          <w:noProof/>
        </w:rPr>
        <w:drawing>
          <wp:inline distT="0" distB="0" distL="0" distR="0">
            <wp:extent cx="5003800" cy="2914650"/>
            <wp:effectExtent l="19050" t="0" r="25400" b="0"/>
            <wp:docPr id="236" name="Graphique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F7CD4" w:rsidRDefault="002F7CD4" w:rsidP="00840635">
      <w:pPr>
        <w:spacing w:after="200" w:line="276" w:lineRule="auto"/>
        <w:ind w:left="720" w:firstLine="696"/>
        <w:contextualSpacing/>
        <w:jc w:val="both"/>
        <w:rPr>
          <w:rFonts w:ascii="Book Antiqua" w:eastAsia="Calibri" w:hAnsi="Book Antiqua"/>
          <w:sz w:val="22"/>
          <w:szCs w:val="22"/>
          <w:lang w:eastAsia="en-US"/>
        </w:rPr>
      </w:pPr>
    </w:p>
    <w:p w:rsidR="00AE5433" w:rsidRDefault="00AE5433" w:rsidP="00840635">
      <w:pPr>
        <w:spacing w:after="200" w:line="276" w:lineRule="auto"/>
        <w:contextualSpacing/>
        <w:jc w:val="both"/>
        <w:rPr>
          <w:rFonts w:ascii="Book Antiqua" w:eastAsia="Calibri" w:hAnsi="Book Antiqua"/>
          <w:sz w:val="22"/>
          <w:szCs w:val="22"/>
          <w:lang w:eastAsia="en-US"/>
        </w:rPr>
      </w:pPr>
    </w:p>
    <w:p w:rsidR="002F7CD4" w:rsidRDefault="00A1776E" w:rsidP="00840635">
      <w:pPr>
        <w:spacing w:after="200" w:line="276" w:lineRule="auto"/>
        <w:contextualSpacing/>
        <w:jc w:val="both"/>
        <w:rPr>
          <w:rFonts w:ascii="Book Antiqua" w:eastAsia="Calibri" w:hAnsi="Book Antiqua"/>
          <w:sz w:val="22"/>
          <w:szCs w:val="22"/>
          <w:lang w:eastAsia="en-US"/>
        </w:rPr>
      </w:pPr>
      <w:r>
        <w:rPr>
          <w:rFonts w:ascii="Book Antiqua" w:eastAsia="Calibri" w:hAnsi="Book Antiqua"/>
          <w:sz w:val="22"/>
          <w:szCs w:val="22"/>
          <w:lang w:eastAsia="en-US"/>
        </w:rPr>
        <w:t>De façon générale, la nature de l’activité influe sur l’appréciation du caractère contraignant des garanties. En effet, les unités du secteur infor</w:t>
      </w:r>
      <w:r w:rsidR="00AE5433">
        <w:rPr>
          <w:rFonts w:ascii="Book Antiqua" w:eastAsia="Calibri" w:hAnsi="Book Antiqua"/>
          <w:sz w:val="22"/>
          <w:szCs w:val="22"/>
          <w:lang w:eastAsia="en-US"/>
        </w:rPr>
        <w:t>mel trouvent les garanties plus</w:t>
      </w:r>
      <w:r>
        <w:rPr>
          <w:rFonts w:ascii="Book Antiqua" w:eastAsia="Calibri" w:hAnsi="Book Antiqua"/>
          <w:sz w:val="22"/>
          <w:szCs w:val="22"/>
          <w:lang w:eastAsia="en-US"/>
        </w:rPr>
        <w:t xml:space="preserve"> contraignantes  (72,5%) que celles du secteur formel (66,1%).</w:t>
      </w:r>
    </w:p>
    <w:p w:rsidR="00A1776E" w:rsidRDefault="00A1776E" w:rsidP="00840635">
      <w:pPr>
        <w:spacing w:after="200" w:line="276" w:lineRule="auto"/>
        <w:contextualSpacing/>
        <w:jc w:val="both"/>
        <w:rPr>
          <w:rFonts w:ascii="Book Antiqua" w:eastAsia="Calibri" w:hAnsi="Book Antiqua"/>
          <w:sz w:val="22"/>
          <w:szCs w:val="22"/>
          <w:lang w:eastAsia="en-US"/>
        </w:rPr>
      </w:pPr>
    </w:p>
    <w:p w:rsidR="003B25DE" w:rsidRPr="003B25DE" w:rsidRDefault="003B25DE" w:rsidP="00840635">
      <w:pPr>
        <w:pStyle w:val="Lgende"/>
        <w:keepNext/>
        <w:spacing w:line="276" w:lineRule="auto"/>
        <w:jc w:val="center"/>
        <w:rPr>
          <w:color w:val="auto"/>
        </w:rPr>
      </w:pPr>
      <w:bookmarkStart w:id="121" w:name="_Toc523313752"/>
      <w:r w:rsidRPr="003B25DE">
        <w:rPr>
          <w:color w:val="auto"/>
        </w:rPr>
        <w:lastRenderedPageBreak/>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69</w:t>
      </w:r>
      <w:r w:rsidR="000D65F2">
        <w:rPr>
          <w:color w:val="auto"/>
        </w:rPr>
        <w:fldChar w:fldCharType="end"/>
      </w:r>
      <w:r w:rsidRPr="003B25DE">
        <w:rPr>
          <w:color w:val="auto"/>
        </w:rPr>
        <w:t xml:space="preserve"> : Appréciation des unités sur les garanties exigées selon la nature de l'activité</w:t>
      </w:r>
      <w:bookmarkEnd w:id="121"/>
    </w:p>
    <w:p w:rsidR="002F7CD4" w:rsidRDefault="002F7CD4" w:rsidP="00840635">
      <w:pPr>
        <w:spacing w:after="200" w:line="276" w:lineRule="auto"/>
        <w:ind w:left="720" w:firstLine="696"/>
        <w:contextualSpacing/>
        <w:jc w:val="both"/>
        <w:rPr>
          <w:rFonts w:ascii="Book Antiqua" w:eastAsia="Calibri" w:hAnsi="Book Antiqua"/>
          <w:sz w:val="22"/>
          <w:szCs w:val="22"/>
          <w:lang w:eastAsia="en-US"/>
        </w:rPr>
      </w:pPr>
      <w:r>
        <w:rPr>
          <w:noProof/>
        </w:rPr>
        <w:drawing>
          <wp:inline distT="0" distB="0" distL="0" distR="0">
            <wp:extent cx="4692650" cy="2628900"/>
            <wp:effectExtent l="19050" t="0" r="12700" b="0"/>
            <wp:docPr id="281" name="Graphique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708CF" w:rsidRPr="00980925" w:rsidRDefault="00E708CF" w:rsidP="00840635">
      <w:pPr>
        <w:spacing w:after="200" w:line="276" w:lineRule="auto"/>
        <w:ind w:left="720"/>
        <w:contextualSpacing/>
        <w:jc w:val="both"/>
        <w:rPr>
          <w:rFonts w:ascii="Book Antiqua" w:eastAsia="Calibri" w:hAnsi="Book Antiqua"/>
          <w:sz w:val="22"/>
          <w:szCs w:val="22"/>
          <w:lang w:eastAsia="en-US"/>
        </w:rPr>
      </w:pPr>
    </w:p>
    <w:p w:rsidR="00EF62A6" w:rsidRPr="00EF62A6" w:rsidRDefault="00EF62A6" w:rsidP="00531C35">
      <w:pPr>
        <w:tabs>
          <w:tab w:val="left" w:pos="880"/>
          <w:tab w:val="right" w:leader="dot" w:pos="9572"/>
        </w:tabs>
        <w:spacing w:before="240" w:after="240" w:line="276" w:lineRule="auto"/>
        <w:ind w:left="567" w:hanging="283"/>
        <w:jc w:val="both"/>
        <w:outlineLvl w:val="1"/>
        <w:rPr>
          <w:rFonts w:ascii="Book Antiqua" w:hAnsi="Book Antiqua" w:cs="Arial"/>
          <w:b/>
          <w:noProof/>
          <w:sz w:val="22"/>
          <w:szCs w:val="22"/>
        </w:rPr>
      </w:pPr>
      <w:bookmarkStart w:id="122" w:name="_Toc523322053"/>
      <w:r w:rsidRPr="00EF62A6">
        <w:rPr>
          <w:rFonts w:ascii="Book Antiqua" w:hAnsi="Book Antiqua" w:cs="Arial"/>
          <w:b/>
          <w:noProof/>
          <w:sz w:val="22"/>
          <w:szCs w:val="22"/>
        </w:rPr>
        <w:t>III.2. Satisfaction sur les frais de tenue de compte</w:t>
      </w:r>
      <w:bookmarkEnd w:id="122"/>
    </w:p>
    <w:p w:rsidR="0022089F" w:rsidRDefault="00980925" w:rsidP="00840635">
      <w:pPr>
        <w:spacing w:after="200" w:line="276" w:lineRule="auto"/>
        <w:contextualSpacing/>
        <w:jc w:val="both"/>
        <w:rPr>
          <w:rFonts w:ascii="Book Antiqua" w:eastAsia="Calibri" w:hAnsi="Book Antiqua"/>
          <w:sz w:val="22"/>
          <w:szCs w:val="22"/>
          <w:lang w:eastAsia="en-US"/>
        </w:rPr>
      </w:pPr>
      <w:r w:rsidRPr="00980925">
        <w:rPr>
          <w:rFonts w:ascii="Book Antiqua" w:eastAsia="Calibri" w:hAnsi="Book Antiqua"/>
          <w:sz w:val="22"/>
          <w:szCs w:val="22"/>
          <w:lang w:eastAsia="en-US"/>
        </w:rPr>
        <w:t xml:space="preserve">Les frais de tenue de compte sont jugés élevés </w:t>
      </w:r>
      <w:r w:rsidR="00EF62A6">
        <w:rPr>
          <w:rFonts w:ascii="Book Antiqua" w:eastAsia="Calibri" w:hAnsi="Book Antiqua"/>
          <w:sz w:val="22"/>
          <w:szCs w:val="22"/>
          <w:lang w:eastAsia="en-US"/>
        </w:rPr>
        <w:t xml:space="preserve">voire </w:t>
      </w:r>
      <w:r w:rsidRPr="00980925">
        <w:rPr>
          <w:rFonts w:ascii="Book Antiqua" w:eastAsia="Calibri" w:hAnsi="Book Antiqua"/>
          <w:sz w:val="22"/>
          <w:szCs w:val="22"/>
          <w:lang w:eastAsia="en-US"/>
        </w:rPr>
        <w:t xml:space="preserve">très élevés par 59,8% des </w:t>
      </w:r>
      <w:r w:rsidR="00EF62A6">
        <w:rPr>
          <w:rFonts w:ascii="Book Antiqua" w:eastAsia="Calibri" w:hAnsi="Book Antiqua"/>
          <w:sz w:val="22"/>
          <w:szCs w:val="22"/>
          <w:lang w:eastAsia="en-US"/>
        </w:rPr>
        <w:t>unités</w:t>
      </w:r>
      <w:r w:rsidR="00A378A4">
        <w:rPr>
          <w:rFonts w:ascii="Book Antiqua" w:eastAsia="Calibri" w:hAnsi="Book Antiqua"/>
          <w:sz w:val="22"/>
          <w:szCs w:val="22"/>
          <w:lang w:eastAsia="en-US"/>
        </w:rPr>
        <w:t xml:space="preserve"> </w:t>
      </w:r>
      <w:r w:rsidRPr="00980925">
        <w:rPr>
          <w:rFonts w:ascii="Book Antiqua" w:eastAsia="Calibri" w:hAnsi="Book Antiqua"/>
          <w:sz w:val="22"/>
          <w:szCs w:val="22"/>
          <w:lang w:eastAsia="en-US"/>
        </w:rPr>
        <w:t xml:space="preserve">interrogées contre </w:t>
      </w:r>
      <w:r w:rsidR="00CA37A4">
        <w:rPr>
          <w:rFonts w:ascii="Book Antiqua" w:eastAsia="Calibri" w:hAnsi="Book Antiqua"/>
          <w:sz w:val="22"/>
          <w:szCs w:val="22"/>
          <w:lang w:eastAsia="en-US"/>
        </w:rPr>
        <w:t>40,2</w:t>
      </w:r>
      <w:r w:rsidRPr="00980925">
        <w:rPr>
          <w:rFonts w:ascii="Book Antiqua" w:eastAsia="Calibri" w:hAnsi="Book Antiqua"/>
          <w:sz w:val="22"/>
          <w:szCs w:val="22"/>
          <w:lang w:eastAsia="en-US"/>
        </w:rPr>
        <w:t xml:space="preserve">% qui les trouvent </w:t>
      </w:r>
      <w:r w:rsidR="00CA37A4">
        <w:rPr>
          <w:rFonts w:ascii="Book Antiqua" w:eastAsia="Calibri" w:hAnsi="Book Antiqua"/>
          <w:sz w:val="22"/>
          <w:szCs w:val="22"/>
          <w:lang w:eastAsia="en-US"/>
        </w:rPr>
        <w:t xml:space="preserve">(très) </w:t>
      </w:r>
      <w:r w:rsidRPr="00980925">
        <w:rPr>
          <w:rFonts w:ascii="Book Antiqua" w:eastAsia="Calibri" w:hAnsi="Book Antiqua"/>
          <w:sz w:val="22"/>
          <w:szCs w:val="22"/>
          <w:lang w:eastAsia="en-US"/>
        </w:rPr>
        <w:t xml:space="preserve">raisonnables. Il </w:t>
      </w:r>
      <w:r w:rsidR="0022089F">
        <w:rPr>
          <w:rFonts w:ascii="Book Antiqua" w:eastAsia="Calibri" w:hAnsi="Book Antiqua"/>
          <w:sz w:val="22"/>
          <w:szCs w:val="22"/>
          <w:lang w:eastAsia="en-US"/>
        </w:rPr>
        <w:t>convient de relever</w:t>
      </w:r>
      <w:r w:rsidRPr="00980925">
        <w:rPr>
          <w:rFonts w:ascii="Book Antiqua" w:eastAsia="Calibri" w:hAnsi="Book Antiqua"/>
          <w:sz w:val="22"/>
          <w:szCs w:val="22"/>
          <w:lang w:eastAsia="en-US"/>
        </w:rPr>
        <w:t xml:space="preserve"> que 29,5% des </w:t>
      </w:r>
      <w:r w:rsidR="00EF62A6">
        <w:rPr>
          <w:rFonts w:ascii="Book Antiqua" w:eastAsia="Calibri" w:hAnsi="Book Antiqua"/>
          <w:sz w:val="22"/>
          <w:szCs w:val="22"/>
          <w:lang w:eastAsia="en-US"/>
        </w:rPr>
        <w:t>unités</w:t>
      </w:r>
      <w:r w:rsidR="00A378A4">
        <w:rPr>
          <w:rFonts w:ascii="Book Antiqua" w:eastAsia="Calibri" w:hAnsi="Book Antiqua"/>
          <w:sz w:val="22"/>
          <w:szCs w:val="22"/>
          <w:lang w:eastAsia="en-US"/>
        </w:rPr>
        <w:t xml:space="preserve"> </w:t>
      </w:r>
      <w:r w:rsidRPr="00980925">
        <w:rPr>
          <w:rFonts w:ascii="Book Antiqua" w:eastAsia="Calibri" w:hAnsi="Book Antiqua"/>
          <w:sz w:val="22"/>
          <w:szCs w:val="22"/>
          <w:lang w:eastAsia="en-US"/>
        </w:rPr>
        <w:t xml:space="preserve">déclarent ne pas être informées </w:t>
      </w:r>
      <w:r w:rsidR="00EE7CFA">
        <w:rPr>
          <w:rFonts w:ascii="Book Antiqua" w:eastAsia="Calibri" w:hAnsi="Book Antiqua"/>
          <w:sz w:val="22"/>
          <w:szCs w:val="22"/>
          <w:lang w:eastAsia="en-US"/>
        </w:rPr>
        <w:t>des conditions tarifaires</w:t>
      </w:r>
      <w:r w:rsidRPr="00980925">
        <w:rPr>
          <w:rFonts w:ascii="Book Antiqua" w:eastAsia="Calibri" w:hAnsi="Book Antiqua"/>
          <w:sz w:val="22"/>
          <w:szCs w:val="22"/>
          <w:lang w:eastAsia="en-US"/>
        </w:rPr>
        <w:t xml:space="preserve"> au moment de l’</w:t>
      </w:r>
      <w:r w:rsidR="00EF62A6">
        <w:rPr>
          <w:rFonts w:ascii="Book Antiqua" w:eastAsia="Calibri" w:hAnsi="Book Antiqua"/>
          <w:sz w:val="22"/>
          <w:szCs w:val="22"/>
          <w:lang w:eastAsia="en-US"/>
        </w:rPr>
        <w:t>entrée en relation clientèle.</w:t>
      </w:r>
      <w:r w:rsidR="002B2579">
        <w:rPr>
          <w:rFonts w:ascii="Book Antiqua" w:eastAsia="Calibri" w:hAnsi="Book Antiqua"/>
          <w:sz w:val="22"/>
          <w:szCs w:val="22"/>
          <w:lang w:eastAsia="en-US"/>
        </w:rPr>
        <w:t xml:space="preserve"> </w:t>
      </w:r>
    </w:p>
    <w:p w:rsidR="003B25DE" w:rsidRPr="003B25DE" w:rsidRDefault="003B25DE" w:rsidP="00840635">
      <w:pPr>
        <w:pStyle w:val="Lgende"/>
        <w:keepNext/>
        <w:spacing w:line="276" w:lineRule="auto"/>
        <w:jc w:val="center"/>
        <w:rPr>
          <w:color w:val="auto"/>
        </w:rPr>
      </w:pPr>
      <w:bookmarkStart w:id="123" w:name="_Toc523313753"/>
      <w:r w:rsidRPr="003B25DE">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70</w:t>
      </w:r>
      <w:r w:rsidR="000D65F2">
        <w:rPr>
          <w:color w:val="auto"/>
        </w:rPr>
        <w:fldChar w:fldCharType="end"/>
      </w:r>
      <w:r w:rsidRPr="003B25DE">
        <w:rPr>
          <w:color w:val="auto"/>
        </w:rPr>
        <w:t xml:space="preserve"> : Avis des unités sur le niveau des frais de tenue de compte</w:t>
      </w:r>
      <w:bookmarkEnd w:id="123"/>
    </w:p>
    <w:p w:rsidR="00EF62A6" w:rsidRPr="00980925" w:rsidRDefault="00F44BC9" w:rsidP="00840635">
      <w:pPr>
        <w:spacing w:after="200" w:line="276" w:lineRule="auto"/>
        <w:ind w:left="720"/>
        <w:contextualSpacing/>
        <w:jc w:val="center"/>
        <w:rPr>
          <w:rFonts w:ascii="Book Antiqua" w:eastAsia="Calibri" w:hAnsi="Book Antiqua"/>
          <w:sz w:val="22"/>
          <w:szCs w:val="22"/>
          <w:lang w:eastAsia="en-US"/>
        </w:rPr>
      </w:pPr>
      <w:r>
        <w:rPr>
          <w:noProof/>
        </w:rPr>
        <w:drawing>
          <wp:inline distT="0" distB="0" distL="0" distR="0">
            <wp:extent cx="4572000" cy="2743200"/>
            <wp:effectExtent l="19050" t="0" r="19050" b="0"/>
            <wp:docPr id="282" name="Graphique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260C9" w:rsidRDefault="009260C9" w:rsidP="00840635">
      <w:pPr>
        <w:spacing w:after="200" w:line="276" w:lineRule="auto"/>
        <w:contextualSpacing/>
        <w:jc w:val="both"/>
        <w:rPr>
          <w:rFonts w:ascii="Book Antiqua" w:eastAsia="Calibri" w:hAnsi="Book Antiqua"/>
          <w:sz w:val="22"/>
          <w:szCs w:val="22"/>
          <w:lang w:eastAsia="en-US"/>
        </w:rPr>
      </w:pPr>
    </w:p>
    <w:p w:rsidR="009260C9" w:rsidRDefault="008C322E" w:rsidP="00840635">
      <w:pPr>
        <w:spacing w:after="200" w:line="276" w:lineRule="auto"/>
        <w:contextualSpacing/>
        <w:jc w:val="both"/>
        <w:rPr>
          <w:rFonts w:ascii="Book Antiqua" w:eastAsia="Calibri" w:hAnsi="Book Antiqua"/>
          <w:sz w:val="22"/>
          <w:szCs w:val="22"/>
          <w:lang w:eastAsia="en-US"/>
        </w:rPr>
      </w:pPr>
      <w:r>
        <w:rPr>
          <w:rFonts w:ascii="Book Antiqua" w:eastAsia="Calibri" w:hAnsi="Book Antiqua"/>
          <w:sz w:val="22"/>
          <w:szCs w:val="22"/>
          <w:lang w:eastAsia="en-US"/>
        </w:rPr>
        <w:t xml:space="preserve">L’exploitation des statistiques selon la nature de l’activité des unités </w:t>
      </w:r>
      <w:r w:rsidR="00AE3DF1">
        <w:rPr>
          <w:rFonts w:ascii="Book Antiqua" w:eastAsia="Calibri" w:hAnsi="Book Antiqua"/>
          <w:sz w:val="22"/>
          <w:szCs w:val="22"/>
          <w:lang w:eastAsia="en-US"/>
        </w:rPr>
        <w:t xml:space="preserve">enquêtées révèle </w:t>
      </w:r>
      <w:r>
        <w:rPr>
          <w:rFonts w:ascii="Book Antiqua" w:eastAsia="Calibri" w:hAnsi="Book Antiqua"/>
          <w:sz w:val="22"/>
          <w:szCs w:val="22"/>
          <w:lang w:eastAsia="en-US"/>
        </w:rPr>
        <w:t>un sentiment d’insatisfaction sur les frais de gestion. En effet</w:t>
      </w:r>
      <w:r w:rsidR="00F17312">
        <w:rPr>
          <w:rFonts w:ascii="Book Antiqua" w:eastAsia="Calibri" w:hAnsi="Book Antiqua"/>
          <w:sz w:val="22"/>
          <w:szCs w:val="22"/>
          <w:lang w:eastAsia="en-US"/>
        </w:rPr>
        <w:t>, le secteur informel estime ces frais élevés (47,4%) voire très élevés (20,8%) contre des proportions respectives de 44,0% et de</w:t>
      </w:r>
      <w:r w:rsidR="00CF609E">
        <w:rPr>
          <w:rFonts w:ascii="Book Antiqua" w:eastAsia="Calibri" w:hAnsi="Book Antiqua"/>
          <w:sz w:val="22"/>
          <w:szCs w:val="22"/>
          <w:lang w:eastAsia="en-US"/>
        </w:rPr>
        <w:t xml:space="preserve"> 12,3% pour le secteur moderne ;</w:t>
      </w:r>
      <w:r w:rsidR="00A378A4">
        <w:rPr>
          <w:rFonts w:ascii="Book Antiqua" w:eastAsia="Calibri" w:hAnsi="Book Antiqua"/>
          <w:sz w:val="22"/>
          <w:szCs w:val="22"/>
          <w:lang w:eastAsia="en-US"/>
        </w:rPr>
        <w:t xml:space="preserve"> </w:t>
      </w:r>
      <w:r w:rsidR="00CF609E">
        <w:rPr>
          <w:rFonts w:ascii="Book Antiqua" w:eastAsia="Calibri" w:hAnsi="Book Antiqua"/>
          <w:sz w:val="22"/>
          <w:szCs w:val="22"/>
          <w:lang w:eastAsia="en-US"/>
        </w:rPr>
        <w:t>c</w:t>
      </w:r>
      <w:r w:rsidR="00F17312">
        <w:rPr>
          <w:rFonts w:ascii="Book Antiqua" w:eastAsia="Calibri" w:hAnsi="Book Antiqua"/>
          <w:sz w:val="22"/>
          <w:szCs w:val="22"/>
          <w:lang w:eastAsia="en-US"/>
        </w:rPr>
        <w:t>e qui dénote d’une perception plus négative au niveau du secteur informel.</w:t>
      </w:r>
    </w:p>
    <w:p w:rsidR="009260C9" w:rsidRDefault="009260C9" w:rsidP="00840635">
      <w:pPr>
        <w:spacing w:after="200" w:line="276" w:lineRule="auto"/>
        <w:contextualSpacing/>
        <w:jc w:val="both"/>
        <w:rPr>
          <w:rFonts w:ascii="Book Antiqua" w:eastAsia="Calibri" w:hAnsi="Book Antiqua"/>
          <w:sz w:val="22"/>
          <w:szCs w:val="22"/>
          <w:lang w:eastAsia="en-US"/>
        </w:rPr>
      </w:pPr>
    </w:p>
    <w:p w:rsidR="003B25DE" w:rsidRPr="003B25DE" w:rsidRDefault="003B25DE" w:rsidP="00840635">
      <w:pPr>
        <w:pStyle w:val="Lgende"/>
        <w:keepNext/>
        <w:spacing w:line="276" w:lineRule="auto"/>
        <w:jc w:val="center"/>
        <w:rPr>
          <w:color w:val="auto"/>
        </w:rPr>
      </w:pPr>
      <w:bookmarkStart w:id="124" w:name="_Toc523313754"/>
      <w:r w:rsidRPr="003B25DE">
        <w:rPr>
          <w:color w:val="auto"/>
        </w:rPr>
        <w:lastRenderedPageBreak/>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71</w:t>
      </w:r>
      <w:r w:rsidR="000D65F2">
        <w:rPr>
          <w:color w:val="auto"/>
        </w:rPr>
        <w:fldChar w:fldCharType="end"/>
      </w:r>
      <w:r w:rsidRPr="003B25DE">
        <w:rPr>
          <w:color w:val="auto"/>
        </w:rPr>
        <w:t>: Appréciation des unités sur les frais de tenue de compte selon la nature de l'activité</w:t>
      </w:r>
      <w:bookmarkEnd w:id="124"/>
    </w:p>
    <w:p w:rsidR="00625867" w:rsidRDefault="00244CD1" w:rsidP="00840635">
      <w:pPr>
        <w:spacing w:after="200" w:line="276" w:lineRule="auto"/>
        <w:ind w:left="720"/>
        <w:contextualSpacing/>
        <w:jc w:val="center"/>
        <w:rPr>
          <w:rFonts w:ascii="Book Antiqua" w:eastAsia="Calibri" w:hAnsi="Book Antiqua"/>
          <w:sz w:val="22"/>
          <w:szCs w:val="22"/>
          <w:lang w:eastAsia="en-US"/>
        </w:rPr>
      </w:pPr>
      <w:r>
        <w:rPr>
          <w:noProof/>
        </w:rPr>
        <w:drawing>
          <wp:inline distT="0" distB="0" distL="0" distR="0">
            <wp:extent cx="4632159" cy="2490360"/>
            <wp:effectExtent l="19050" t="0" r="16041" b="5190"/>
            <wp:docPr id="243" name="Graphique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260C9" w:rsidRDefault="009260C9" w:rsidP="00840635">
      <w:pPr>
        <w:spacing w:after="200" w:line="276" w:lineRule="auto"/>
        <w:contextualSpacing/>
        <w:jc w:val="both"/>
        <w:rPr>
          <w:rFonts w:ascii="Book Antiqua" w:eastAsia="Calibri" w:hAnsi="Book Antiqua"/>
          <w:sz w:val="22"/>
          <w:szCs w:val="22"/>
          <w:lang w:eastAsia="en-US"/>
        </w:rPr>
      </w:pPr>
    </w:p>
    <w:p w:rsidR="009260C9" w:rsidRDefault="00F560C3" w:rsidP="00840635">
      <w:pPr>
        <w:spacing w:after="200" w:line="276" w:lineRule="auto"/>
        <w:contextualSpacing/>
        <w:jc w:val="both"/>
        <w:rPr>
          <w:rFonts w:ascii="Book Antiqua" w:eastAsia="Calibri" w:hAnsi="Book Antiqua"/>
          <w:sz w:val="22"/>
          <w:szCs w:val="22"/>
          <w:lang w:eastAsia="en-US"/>
        </w:rPr>
      </w:pPr>
      <w:r>
        <w:rPr>
          <w:rFonts w:ascii="Book Antiqua" w:eastAsia="Calibri" w:hAnsi="Book Antiqua"/>
          <w:sz w:val="22"/>
          <w:szCs w:val="22"/>
          <w:lang w:eastAsia="en-US"/>
        </w:rPr>
        <w:t>L’analyse des récriminations sur les frais de tenue de compte selon le secteur d’activité</w:t>
      </w:r>
      <w:r w:rsidR="000923E4">
        <w:rPr>
          <w:rFonts w:ascii="Book Antiqua" w:eastAsia="Calibri" w:hAnsi="Book Antiqua"/>
          <w:sz w:val="22"/>
          <w:szCs w:val="22"/>
          <w:lang w:eastAsia="en-US"/>
        </w:rPr>
        <w:t>s</w:t>
      </w:r>
      <w:r>
        <w:rPr>
          <w:rFonts w:ascii="Book Antiqua" w:eastAsia="Calibri" w:hAnsi="Book Antiqua"/>
          <w:sz w:val="22"/>
          <w:szCs w:val="22"/>
          <w:lang w:eastAsia="en-US"/>
        </w:rPr>
        <w:t xml:space="preserve"> place au premier plan l’Agriculture (69,6%), l’Artisanat (67,4%), les BTP (65,6%) suivis du Commerce (59,5%), de l’Administration (58,3%), des Services (55,4%), et de l’Industrie </w:t>
      </w:r>
      <w:r w:rsidR="003B25DE">
        <w:rPr>
          <w:rFonts w:ascii="Book Antiqua" w:eastAsia="Calibri" w:hAnsi="Book Antiqua"/>
          <w:sz w:val="22"/>
          <w:szCs w:val="22"/>
          <w:lang w:eastAsia="en-US"/>
        </w:rPr>
        <w:t>(53,9%).</w:t>
      </w:r>
    </w:p>
    <w:p w:rsidR="003B25DE" w:rsidRDefault="003B25DE" w:rsidP="00840635">
      <w:pPr>
        <w:spacing w:after="200" w:line="276" w:lineRule="auto"/>
        <w:contextualSpacing/>
        <w:jc w:val="both"/>
        <w:rPr>
          <w:rFonts w:ascii="Book Antiqua" w:eastAsia="Calibri" w:hAnsi="Book Antiqua"/>
          <w:sz w:val="22"/>
          <w:szCs w:val="22"/>
          <w:lang w:eastAsia="en-US"/>
        </w:rPr>
      </w:pPr>
    </w:p>
    <w:p w:rsidR="003B25DE" w:rsidRPr="003B25DE" w:rsidRDefault="003B25DE" w:rsidP="00840635">
      <w:pPr>
        <w:pStyle w:val="Lgende"/>
        <w:keepNext/>
        <w:spacing w:line="276" w:lineRule="auto"/>
        <w:jc w:val="center"/>
        <w:rPr>
          <w:color w:val="auto"/>
        </w:rPr>
      </w:pPr>
      <w:bookmarkStart w:id="125" w:name="_Toc523313755"/>
      <w:r w:rsidRPr="003B25DE">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72</w:t>
      </w:r>
      <w:r w:rsidR="000D65F2">
        <w:rPr>
          <w:color w:val="auto"/>
        </w:rPr>
        <w:fldChar w:fldCharType="end"/>
      </w:r>
      <w:r w:rsidRPr="003B25DE">
        <w:rPr>
          <w:color w:val="auto"/>
        </w:rPr>
        <w:t xml:space="preserve"> : Appréciation des unités sur les frais de tenue de compte selon le secteur d'activités</w:t>
      </w:r>
      <w:bookmarkEnd w:id="125"/>
    </w:p>
    <w:p w:rsidR="008B141E" w:rsidRDefault="00F44BC9" w:rsidP="00840635">
      <w:pPr>
        <w:spacing w:after="200" w:line="276" w:lineRule="auto"/>
        <w:ind w:left="720"/>
        <w:contextualSpacing/>
        <w:jc w:val="center"/>
        <w:rPr>
          <w:rFonts w:ascii="Book Antiqua" w:eastAsia="Calibri" w:hAnsi="Book Antiqua"/>
          <w:sz w:val="22"/>
          <w:szCs w:val="22"/>
          <w:lang w:eastAsia="en-US"/>
        </w:rPr>
      </w:pPr>
      <w:r w:rsidRPr="00AE3DF1">
        <w:rPr>
          <w:noProof/>
        </w:rPr>
        <w:drawing>
          <wp:inline distT="0" distB="0" distL="0" distR="0">
            <wp:extent cx="5676900" cy="3038475"/>
            <wp:effectExtent l="19050" t="0" r="19050" b="0"/>
            <wp:docPr id="283" name="Graphique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80925" w:rsidRPr="00980925" w:rsidRDefault="00980925" w:rsidP="00531C35">
      <w:pPr>
        <w:spacing w:before="480" w:after="240" w:line="276" w:lineRule="auto"/>
        <w:ind w:firstLine="284"/>
        <w:rPr>
          <w:rFonts w:ascii="Book Antiqua" w:hAnsi="Book Antiqua" w:cs="Arial"/>
          <w:b/>
          <w:noProof/>
          <w:sz w:val="22"/>
          <w:szCs w:val="22"/>
        </w:rPr>
      </w:pPr>
      <w:bookmarkStart w:id="126" w:name="_Toc433234333"/>
      <w:bookmarkStart w:id="127" w:name="_Toc523322054"/>
      <w:r w:rsidRPr="00980925">
        <w:rPr>
          <w:rFonts w:ascii="Book Antiqua" w:hAnsi="Book Antiqua" w:cs="Arial"/>
          <w:b/>
          <w:noProof/>
          <w:sz w:val="22"/>
          <w:szCs w:val="22"/>
        </w:rPr>
        <w:t>III.3. Satisfaction sur la qualité et le coût des services de consultation à distance</w:t>
      </w:r>
      <w:bookmarkEnd w:id="126"/>
      <w:bookmarkEnd w:id="127"/>
    </w:p>
    <w:p w:rsidR="00414F3B" w:rsidRDefault="00980925" w:rsidP="00840635">
      <w:pPr>
        <w:spacing w:after="200" w:line="276" w:lineRule="auto"/>
        <w:jc w:val="both"/>
        <w:rPr>
          <w:rFonts w:ascii="Book Antiqua" w:eastAsia="Calibri" w:hAnsi="Book Antiqua"/>
          <w:sz w:val="22"/>
          <w:szCs w:val="22"/>
          <w:lang w:eastAsia="en-US"/>
        </w:rPr>
      </w:pPr>
      <w:r w:rsidRPr="00980925">
        <w:rPr>
          <w:rFonts w:ascii="Book Antiqua" w:eastAsia="Calibri" w:hAnsi="Book Antiqua"/>
          <w:sz w:val="22"/>
          <w:szCs w:val="22"/>
          <w:lang w:eastAsia="en-US"/>
        </w:rPr>
        <w:t>L</w:t>
      </w:r>
      <w:r w:rsidR="000923E4">
        <w:rPr>
          <w:rFonts w:ascii="Book Antiqua" w:eastAsia="Calibri" w:hAnsi="Book Antiqua"/>
          <w:sz w:val="22"/>
          <w:szCs w:val="22"/>
          <w:lang w:eastAsia="en-US"/>
        </w:rPr>
        <w:t>es données recueillies auprès de</w:t>
      </w:r>
      <w:r w:rsidR="00414F3B">
        <w:rPr>
          <w:rFonts w:ascii="Book Antiqua" w:eastAsia="Calibri" w:hAnsi="Book Antiqua"/>
          <w:sz w:val="22"/>
          <w:szCs w:val="22"/>
          <w:lang w:eastAsia="en-US"/>
        </w:rPr>
        <w:t xml:space="preserve">s unités interrogées attestent d’une utilisation encore faible des services de consultation à distance. En effet, plus de la moitié de l’échantillon </w:t>
      </w:r>
      <w:r w:rsidRPr="00980925">
        <w:rPr>
          <w:rFonts w:ascii="Book Antiqua" w:eastAsia="Calibri" w:hAnsi="Book Antiqua"/>
          <w:sz w:val="22"/>
          <w:szCs w:val="22"/>
          <w:lang w:eastAsia="en-US"/>
        </w:rPr>
        <w:t xml:space="preserve">(62%) déclare </w:t>
      </w:r>
      <w:r w:rsidR="00414F3B">
        <w:rPr>
          <w:rFonts w:ascii="Book Antiqua" w:eastAsia="Calibri" w:hAnsi="Book Antiqua"/>
          <w:sz w:val="22"/>
          <w:szCs w:val="22"/>
          <w:lang w:eastAsia="en-US"/>
        </w:rPr>
        <w:t>ne pas avoir recours à  ces services</w:t>
      </w:r>
      <w:r w:rsidRPr="00980925">
        <w:rPr>
          <w:rFonts w:ascii="Book Antiqua" w:eastAsia="Calibri" w:hAnsi="Book Antiqua"/>
          <w:sz w:val="22"/>
          <w:szCs w:val="22"/>
          <w:lang w:eastAsia="en-US"/>
        </w:rPr>
        <w:t xml:space="preserve">. </w:t>
      </w:r>
    </w:p>
    <w:p w:rsidR="00980925" w:rsidRDefault="00414F3B" w:rsidP="00840635">
      <w:pPr>
        <w:spacing w:after="20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lastRenderedPageBreak/>
        <w:t xml:space="preserve">Parmi les unités utilisatrices (38% de l’échantillon) une forte proportion </w:t>
      </w:r>
      <w:r w:rsidR="001C0358">
        <w:rPr>
          <w:rFonts w:ascii="Book Antiqua" w:eastAsia="Calibri" w:hAnsi="Book Antiqua"/>
          <w:sz w:val="22"/>
          <w:szCs w:val="22"/>
          <w:lang w:eastAsia="en-US"/>
        </w:rPr>
        <w:t>(</w:t>
      </w:r>
      <w:r w:rsidR="00AE3DF1">
        <w:rPr>
          <w:rFonts w:ascii="Book Antiqua" w:eastAsia="Calibri" w:hAnsi="Book Antiqua"/>
          <w:sz w:val="22"/>
          <w:szCs w:val="22"/>
          <w:lang w:eastAsia="en-US"/>
        </w:rPr>
        <w:t>86,4%</w:t>
      </w:r>
      <w:r w:rsidR="001C0358">
        <w:rPr>
          <w:rFonts w:ascii="Book Antiqua" w:eastAsia="Calibri" w:hAnsi="Book Antiqua"/>
          <w:sz w:val="22"/>
          <w:szCs w:val="22"/>
          <w:lang w:eastAsia="en-US"/>
        </w:rPr>
        <w:t>)</w:t>
      </w:r>
      <w:r w:rsidR="00AE3DF1">
        <w:rPr>
          <w:rFonts w:ascii="Book Antiqua" w:eastAsia="Calibri" w:hAnsi="Book Antiqua"/>
          <w:sz w:val="22"/>
          <w:szCs w:val="22"/>
          <w:lang w:eastAsia="en-US"/>
        </w:rPr>
        <w:t xml:space="preserve"> trouve</w:t>
      </w:r>
      <w:r w:rsidR="00980925" w:rsidRPr="00980925">
        <w:rPr>
          <w:rFonts w:ascii="Book Antiqua" w:eastAsia="Calibri" w:hAnsi="Book Antiqua"/>
          <w:sz w:val="22"/>
          <w:szCs w:val="22"/>
          <w:lang w:eastAsia="en-US"/>
        </w:rPr>
        <w:t xml:space="preserve"> la qualité des services</w:t>
      </w:r>
      <w:r w:rsidR="00322452">
        <w:rPr>
          <w:rFonts w:ascii="Book Antiqua" w:eastAsia="Calibri" w:hAnsi="Book Antiqua"/>
          <w:sz w:val="22"/>
          <w:szCs w:val="22"/>
          <w:lang w:eastAsia="en-US"/>
        </w:rPr>
        <w:t xml:space="preserve"> de consultation à distance</w:t>
      </w:r>
      <w:r>
        <w:rPr>
          <w:rFonts w:ascii="Book Antiqua" w:eastAsia="Calibri" w:hAnsi="Book Antiqua"/>
          <w:sz w:val="22"/>
          <w:szCs w:val="22"/>
          <w:lang w:eastAsia="en-US"/>
        </w:rPr>
        <w:t>« </w:t>
      </w:r>
      <w:r w:rsidR="00980925" w:rsidRPr="00980925">
        <w:rPr>
          <w:rFonts w:ascii="Book Antiqua" w:eastAsia="Calibri" w:hAnsi="Book Antiqua"/>
          <w:sz w:val="22"/>
          <w:szCs w:val="22"/>
          <w:lang w:eastAsia="en-US"/>
        </w:rPr>
        <w:t>satisfaisante</w:t>
      </w:r>
      <w:r>
        <w:rPr>
          <w:rFonts w:ascii="Book Antiqua" w:eastAsia="Calibri" w:hAnsi="Book Antiqua"/>
          <w:sz w:val="22"/>
          <w:szCs w:val="22"/>
          <w:lang w:eastAsia="en-US"/>
        </w:rPr>
        <w:t> »</w:t>
      </w:r>
      <w:r w:rsidR="00980925" w:rsidRPr="00980925">
        <w:rPr>
          <w:rFonts w:ascii="Book Antiqua" w:eastAsia="Calibri" w:hAnsi="Book Antiqua"/>
          <w:sz w:val="22"/>
          <w:szCs w:val="22"/>
          <w:lang w:eastAsia="en-US"/>
        </w:rPr>
        <w:t xml:space="preserve"> ou </w:t>
      </w:r>
      <w:r>
        <w:rPr>
          <w:rFonts w:ascii="Book Antiqua" w:eastAsia="Calibri" w:hAnsi="Book Antiqua"/>
          <w:sz w:val="22"/>
          <w:szCs w:val="22"/>
          <w:lang w:eastAsia="en-US"/>
        </w:rPr>
        <w:t>« </w:t>
      </w:r>
      <w:r w:rsidR="00980925" w:rsidRPr="00980925">
        <w:rPr>
          <w:rFonts w:ascii="Book Antiqua" w:eastAsia="Calibri" w:hAnsi="Book Antiqua"/>
          <w:sz w:val="22"/>
          <w:szCs w:val="22"/>
          <w:lang w:eastAsia="en-US"/>
        </w:rPr>
        <w:t>très satisfaisante</w:t>
      </w:r>
      <w:r>
        <w:rPr>
          <w:rFonts w:ascii="Book Antiqua" w:eastAsia="Calibri" w:hAnsi="Book Antiqua"/>
          <w:sz w:val="22"/>
          <w:szCs w:val="22"/>
          <w:lang w:eastAsia="en-US"/>
        </w:rPr>
        <w:t> »</w:t>
      </w:r>
      <w:r w:rsidR="00980925" w:rsidRPr="00980925">
        <w:rPr>
          <w:rFonts w:ascii="Book Antiqua" w:eastAsia="Calibri" w:hAnsi="Book Antiqua"/>
          <w:sz w:val="22"/>
          <w:szCs w:val="22"/>
          <w:lang w:eastAsia="en-US"/>
        </w:rPr>
        <w:t xml:space="preserve">, contre 13,7% qui </w:t>
      </w:r>
      <w:r w:rsidR="00322452">
        <w:rPr>
          <w:rFonts w:ascii="Book Antiqua" w:eastAsia="Calibri" w:hAnsi="Book Antiqua"/>
          <w:sz w:val="22"/>
          <w:szCs w:val="22"/>
          <w:lang w:eastAsia="en-US"/>
        </w:rPr>
        <w:t>sont d’avis contraire</w:t>
      </w:r>
      <w:r w:rsidR="00980925" w:rsidRPr="00980925">
        <w:rPr>
          <w:rFonts w:ascii="Book Antiqua" w:eastAsia="Calibri" w:hAnsi="Book Antiqua"/>
          <w:sz w:val="22"/>
          <w:szCs w:val="22"/>
          <w:lang w:eastAsia="en-US"/>
        </w:rPr>
        <w:t>.</w:t>
      </w:r>
    </w:p>
    <w:p w:rsidR="003B25DE" w:rsidRPr="003B25DE" w:rsidRDefault="003B25DE" w:rsidP="00840635">
      <w:pPr>
        <w:pStyle w:val="Lgende"/>
        <w:keepNext/>
        <w:spacing w:line="276" w:lineRule="auto"/>
        <w:jc w:val="center"/>
        <w:rPr>
          <w:color w:val="auto"/>
        </w:rPr>
      </w:pPr>
      <w:bookmarkStart w:id="128" w:name="_Toc523313756"/>
      <w:r w:rsidRPr="003B25DE">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73</w:t>
      </w:r>
      <w:r w:rsidR="000D65F2">
        <w:rPr>
          <w:color w:val="auto"/>
        </w:rPr>
        <w:fldChar w:fldCharType="end"/>
      </w:r>
      <w:r w:rsidRPr="003B25DE">
        <w:rPr>
          <w:color w:val="auto"/>
        </w:rPr>
        <w:t xml:space="preserve"> : Avis des unités sur la qualité des services de consultation à distance</w:t>
      </w:r>
      <w:bookmarkEnd w:id="128"/>
    </w:p>
    <w:p w:rsidR="00980925" w:rsidRPr="00980925" w:rsidRDefault="00980925" w:rsidP="00840635">
      <w:pPr>
        <w:spacing w:after="200" w:line="276" w:lineRule="auto"/>
        <w:ind w:left="720"/>
        <w:contextualSpacing/>
        <w:jc w:val="center"/>
        <w:rPr>
          <w:rFonts w:ascii="Book Antiqua" w:eastAsia="Calibri" w:hAnsi="Book Antiqua"/>
          <w:sz w:val="22"/>
          <w:szCs w:val="22"/>
          <w:lang w:eastAsia="en-US"/>
        </w:rPr>
      </w:pPr>
      <w:r w:rsidRPr="00980925">
        <w:rPr>
          <w:rFonts w:ascii="Book Antiqua" w:eastAsia="Calibri" w:hAnsi="Book Antiqua"/>
          <w:noProof/>
          <w:sz w:val="22"/>
          <w:szCs w:val="22"/>
        </w:rPr>
        <w:drawing>
          <wp:inline distT="0" distB="0" distL="0" distR="0">
            <wp:extent cx="4572000" cy="2552700"/>
            <wp:effectExtent l="19050" t="0" r="19050" b="0"/>
            <wp:docPr id="41"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E3DF1" w:rsidRDefault="00AE3DF1" w:rsidP="00840635">
      <w:pPr>
        <w:spacing w:after="200" w:line="276" w:lineRule="auto"/>
        <w:contextualSpacing/>
        <w:jc w:val="both"/>
        <w:rPr>
          <w:rFonts w:ascii="Book Antiqua" w:eastAsia="Calibri" w:hAnsi="Book Antiqua"/>
          <w:sz w:val="22"/>
          <w:szCs w:val="22"/>
          <w:lang w:eastAsia="en-US"/>
        </w:rPr>
      </w:pPr>
    </w:p>
    <w:p w:rsidR="009260C9" w:rsidRDefault="00322452" w:rsidP="00840635">
      <w:pPr>
        <w:spacing w:after="200" w:line="276" w:lineRule="auto"/>
        <w:contextualSpacing/>
        <w:jc w:val="both"/>
        <w:rPr>
          <w:rFonts w:ascii="Book Antiqua" w:eastAsia="Calibri" w:hAnsi="Book Antiqua"/>
          <w:sz w:val="22"/>
          <w:szCs w:val="22"/>
          <w:lang w:eastAsia="en-US"/>
        </w:rPr>
      </w:pPr>
      <w:r>
        <w:rPr>
          <w:rFonts w:ascii="Book Antiqua" w:eastAsia="Calibri" w:hAnsi="Book Antiqua"/>
          <w:sz w:val="22"/>
          <w:szCs w:val="22"/>
          <w:lang w:eastAsia="en-US"/>
        </w:rPr>
        <w:t xml:space="preserve">La fréquence d’utilisation des services de consultation à distance selon la nature de l’activité des unités apparait beaucoup plus élevée chez les unités modernes (47,4%) que chez les </w:t>
      </w:r>
      <w:r w:rsidR="002B2579">
        <w:rPr>
          <w:rFonts w:ascii="Book Antiqua" w:eastAsia="Calibri" w:hAnsi="Book Antiqua"/>
          <w:sz w:val="22"/>
          <w:szCs w:val="22"/>
          <w:lang w:eastAsia="en-US"/>
        </w:rPr>
        <w:t xml:space="preserve">entités </w:t>
      </w:r>
      <w:r>
        <w:rPr>
          <w:rFonts w:ascii="Book Antiqua" w:eastAsia="Calibri" w:hAnsi="Book Antiqua"/>
          <w:sz w:val="22"/>
          <w:szCs w:val="22"/>
          <w:lang w:eastAsia="en-US"/>
        </w:rPr>
        <w:t>issues de l’</w:t>
      </w:r>
      <w:r w:rsidR="000D0AE3">
        <w:rPr>
          <w:rFonts w:ascii="Book Antiqua" w:eastAsia="Calibri" w:hAnsi="Book Antiqua"/>
          <w:sz w:val="22"/>
          <w:szCs w:val="22"/>
          <w:lang w:eastAsia="en-US"/>
        </w:rPr>
        <w:t>informel</w:t>
      </w:r>
      <w:r>
        <w:rPr>
          <w:rFonts w:ascii="Book Antiqua" w:eastAsia="Calibri" w:hAnsi="Book Antiqua"/>
          <w:sz w:val="22"/>
          <w:szCs w:val="22"/>
          <w:lang w:eastAsia="en-US"/>
        </w:rPr>
        <w:t xml:space="preserve"> (14,9%).</w:t>
      </w:r>
    </w:p>
    <w:p w:rsidR="003B25DE" w:rsidRPr="003B25DE" w:rsidRDefault="003B25DE" w:rsidP="00840635">
      <w:pPr>
        <w:pStyle w:val="Lgende"/>
        <w:keepNext/>
        <w:spacing w:line="276" w:lineRule="auto"/>
        <w:jc w:val="both"/>
        <w:rPr>
          <w:color w:val="auto"/>
        </w:rPr>
      </w:pPr>
      <w:bookmarkStart w:id="129" w:name="_Toc523313757"/>
      <w:r w:rsidRPr="003B25DE">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74</w:t>
      </w:r>
      <w:r w:rsidR="000D65F2">
        <w:rPr>
          <w:color w:val="auto"/>
        </w:rPr>
        <w:fldChar w:fldCharType="end"/>
      </w:r>
      <w:r w:rsidRPr="003B25DE">
        <w:rPr>
          <w:color w:val="auto"/>
        </w:rPr>
        <w:t>: Proportion des unités utilisatrices des services de consultation à distance selon la nature de l'activité</w:t>
      </w:r>
      <w:bookmarkEnd w:id="129"/>
    </w:p>
    <w:p w:rsidR="00414F3B" w:rsidRPr="00980925" w:rsidRDefault="00F44BC9" w:rsidP="00840635">
      <w:pPr>
        <w:spacing w:after="200" w:line="276" w:lineRule="auto"/>
        <w:ind w:left="720"/>
        <w:contextualSpacing/>
        <w:jc w:val="both"/>
        <w:rPr>
          <w:rFonts w:ascii="Book Antiqua" w:eastAsia="Calibri" w:hAnsi="Book Antiqua"/>
          <w:sz w:val="22"/>
          <w:szCs w:val="22"/>
          <w:lang w:eastAsia="en-US"/>
        </w:rPr>
      </w:pPr>
      <w:r w:rsidRPr="00AE3DF1">
        <w:rPr>
          <w:noProof/>
        </w:rPr>
        <w:drawing>
          <wp:inline distT="0" distB="0" distL="0" distR="0">
            <wp:extent cx="4572000" cy="2743200"/>
            <wp:effectExtent l="19050" t="0" r="19050" b="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80925" w:rsidRDefault="000D0AE3" w:rsidP="00202A44">
      <w:pPr>
        <w:spacing w:before="480" w:after="20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S’agissant de la qualité de ces services, il est observé des </w:t>
      </w:r>
      <w:r w:rsidR="00E05C74">
        <w:rPr>
          <w:rFonts w:ascii="Book Antiqua" w:eastAsia="Calibri" w:hAnsi="Book Antiqua"/>
          <w:sz w:val="22"/>
          <w:szCs w:val="22"/>
          <w:lang w:eastAsia="en-US"/>
        </w:rPr>
        <w:t>récriminations</w:t>
      </w:r>
      <w:r>
        <w:rPr>
          <w:rFonts w:ascii="Book Antiqua" w:eastAsia="Calibri" w:hAnsi="Book Antiqua"/>
          <w:sz w:val="22"/>
          <w:szCs w:val="22"/>
          <w:lang w:eastAsia="en-US"/>
        </w:rPr>
        <w:t xml:space="preserve"> quasiment identiques entre les deux secteurs avec un taux de 13,7% pour le secteur moderne et 13,4% pour l’informel.</w:t>
      </w:r>
    </w:p>
    <w:p w:rsidR="003B25DE" w:rsidRPr="003B25DE" w:rsidRDefault="003B25DE" w:rsidP="00840635">
      <w:pPr>
        <w:pStyle w:val="Lgende"/>
        <w:keepNext/>
        <w:spacing w:line="276" w:lineRule="auto"/>
        <w:jc w:val="both"/>
        <w:rPr>
          <w:color w:val="auto"/>
        </w:rPr>
      </w:pPr>
      <w:bookmarkStart w:id="130" w:name="_Toc523313758"/>
      <w:r w:rsidRPr="003B25DE">
        <w:rPr>
          <w:color w:val="auto"/>
        </w:rPr>
        <w:lastRenderedPageBreak/>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75</w:t>
      </w:r>
      <w:r w:rsidR="000D65F2">
        <w:rPr>
          <w:color w:val="auto"/>
        </w:rPr>
        <w:fldChar w:fldCharType="end"/>
      </w:r>
      <w:r w:rsidRPr="003B25DE">
        <w:rPr>
          <w:color w:val="auto"/>
        </w:rPr>
        <w:t>: Appréciation des unités sur la qualité des services de consultation à distance selon la nature de l'activité</w:t>
      </w:r>
      <w:bookmarkEnd w:id="130"/>
    </w:p>
    <w:p w:rsidR="000D0AE3" w:rsidRDefault="00F44BC9" w:rsidP="00840635">
      <w:pPr>
        <w:spacing w:after="200" w:line="276" w:lineRule="auto"/>
        <w:ind w:left="720"/>
        <w:contextualSpacing/>
        <w:jc w:val="both"/>
        <w:rPr>
          <w:rFonts w:ascii="Book Antiqua" w:eastAsia="Calibri" w:hAnsi="Book Antiqua"/>
          <w:sz w:val="22"/>
          <w:szCs w:val="22"/>
          <w:lang w:eastAsia="en-US"/>
        </w:rPr>
      </w:pPr>
      <w:r w:rsidRPr="00AE3DF1">
        <w:rPr>
          <w:noProof/>
        </w:rPr>
        <w:drawing>
          <wp:inline distT="0" distB="0" distL="0" distR="0">
            <wp:extent cx="4572000" cy="2743200"/>
            <wp:effectExtent l="19050" t="0" r="19050" b="0"/>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D0AE3" w:rsidRDefault="000D0AE3" w:rsidP="00840635">
      <w:pPr>
        <w:spacing w:after="200" w:line="276" w:lineRule="auto"/>
        <w:ind w:left="720"/>
        <w:contextualSpacing/>
        <w:jc w:val="both"/>
        <w:rPr>
          <w:rFonts w:ascii="Book Antiqua" w:eastAsia="Calibri" w:hAnsi="Book Antiqua"/>
          <w:sz w:val="22"/>
          <w:szCs w:val="22"/>
          <w:lang w:eastAsia="en-US"/>
        </w:rPr>
      </w:pPr>
    </w:p>
    <w:p w:rsidR="009260C9" w:rsidRDefault="00253A63" w:rsidP="00202A44">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L’analyse des avis émis par les unités sur</w:t>
      </w:r>
      <w:r w:rsidR="00E05C74">
        <w:rPr>
          <w:rFonts w:ascii="Book Antiqua" w:eastAsia="Calibri" w:hAnsi="Book Antiqua"/>
          <w:sz w:val="22"/>
          <w:szCs w:val="22"/>
          <w:lang w:eastAsia="en-US"/>
        </w:rPr>
        <w:t xml:space="preserve"> </w:t>
      </w:r>
      <w:r>
        <w:rPr>
          <w:rFonts w:ascii="Book Antiqua" w:eastAsia="Calibri" w:hAnsi="Book Antiqua"/>
          <w:sz w:val="22"/>
          <w:szCs w:val="22"/>
          <w:lang w:eastAsia="en-US"/>
        </w:rPr>
        <w:t>les services de consultation à distance met en exergue des fréquences d’utilisation plus élevées dans les régions de Dakar</w:t>
      </w:r>
      <w:r w:rsidR="00E05C74">
        <w:rPr>
          <w:rFonts w:ascii="Book Antiqua" w:eastAsia="Calibri" w:hAnsi="Book Antiqua"/>
          <w:sz w:val="22"/>
          <w:szCs w:val="22"/>
          <w:lang w:eastAsia="en-US"/>
        </w:rPr>
        <w:t xml:space="preserve"> </w:t>
      </w:r>
      <w:r>
        <w:rPr>
          <w:rFonts w:ascii="Book Antiqua" w:eastAsia="Calibri" w:hAnsi="Book Antiqua"/>
          <w:sz w:val="22"/>
          <w:szCs w:val="22"/>
          <w:lang w:eastAsia="en-US"/>
        </w:rPr>
        <w:t xml:space="preserve">(50,3%), Louga (34,9%) et Kaolack (32,3)%. Les taux les plus faibles sont enregistrés dans les localités de </w:t>
      </w:r>
      <w:proofErr w:type="spellStart"/>
      <w:r>
        <w:rPr>
          <w:rFonts w:ascii="Book Antiqua" w:eastAsia="Calibri" w:hAnsi="Book Antiqua"/>
          <w:sz w:val="22"/>
          <w:szCs w:val="22"/>
          <w:lang w:eastAsia="en-US"/>
        </w:rPr>
        <w:t>Kaffrine</w:t>
      </w:r>
      <w:proofErr w:type="spellEnd"/>
      <w:r>
        <w:rPr>
          <w:rFonts w:ascii="Book Antiqua" w:eastAsia="Calibri" w:hAnsi="Book Antiqua"/>
          <w:sz w:val="22"/>
          <w:szCs w:val="22"/>
          <w:lang w:eastAsia="en-US"/>
        </w:rPr>
        <w:t xml:space="preserve">, </w:t>
      </w:r>
      <w:proofErr w:type="spellStart"/>
      <w:r>
        <w:rPr>
          <w:rFonts w:ascii="Book Antiqua" w:eastAsia="Calibri" w:hAnsi="Book Antiqua"/>
          <w:sz w:val="22"/>
          <w:szCs w:val="22"/>
          <w:lang w:eastAsia="en-US"/>
        </w:rPr>
        <w:t>Fatick</w:t>
      </w:r>
      <w:proofErr w:type="spellEnd"/>
      <w:r>
        <w:rPr>
          <w:rFonts w:ascii="Book Antiqua" w:eastAsia="Calibri" w:hAnsi="Book Antiqua"/>
          <w:sz w:val="22"/>
          <w:szCs w:val="22"/>
          <w:lang w:eastAsia="en-US"/>
        </w:rPr>
        <w:t xml:space="preserve"> et Kolda avec des proportions respectives de 2,9%, 5,0% et 6,1%. </w:t>
      </w:r>
    </w:p>
    <w:p w:rsidR="00980925" w:rsidRPr="00E05C74" w:rsidRDefault="00541697" w:rsidP="00202A44">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Par ailleurs, selon les déclarations des unités utilisatrices, le cout lié à la consultation des services à distance de leur banque principale, est « </w:t>
      </w:r>
      <w:r w:rsidR="00980925" w:rsidRPr="00980925">
        <w:rPr>
          <w:rFonts w:ascii="Book Antiqua" w:eastAsia="Calibri" w:hAnsi="Book Antiqua"/>
          <w:sz w:val="22"/>
          <w:szCs w:val="22"/>
          <w:lang w:eastAsia="en-US"/>
        </w:rPr>
        <w:t>raisonnable</w:t>
      </w:r>
      <w:r>
        <w:rPr>
          <w:rFonts w:ascii="Book Antiqua" w:eastAsia="Calibri" w:hAnsi="Book Antiqua"/>
          <w:sz w:val="22"/>
          <w:szCs w:val="22"/>
          <w:lang w:eastAsia="en-US"/>
        </w:rPr>
        <w:t> »</w:t>
      </w:r>
      <w:r w:rsidR="00C00D92">
        <w:rPr>
          <w:rFonts w:ascii="Book Antiqua" w:eastAsia="Calibri" w:hAnsi="Book Antiqua"/>
          <w:sz w:val="22"/>
          <w:szCs w:val="22"/>
          <w:lang w:eastAsia="en-US"/>
        </w:rPr>
        <w:t xml:space="preserve">voire </w:t>
      </w:r>
      <w:r>
        <w:rPr>
          <w:rFonts w:ascii="Book Antiqua" w:eastAsia="Calibri" w:hAnsi="Book Antiqua"/>
          <w:sz w:val="22"/>
          <w:szCs w:val="22"/>
          <w:lang w:eastAsia="en-US"/>
        </w:rPr>
        <w:t>« </w:t>
      </w:r>
      <w:r w:rsidR="00C00D92">
        <w:rPr>
          <w:rFonts w:ascii="Book Antiqua" w:eastAsia="Calibri" w:hAnsi="Book Antiqua"/>
          <w:sz w:val="22"/>
          <w:szCs w:val="22"/>
          <w:lang w:eastAsia="en-US"/>
        </w:rPr>
        <w:t>très raisonnable</w:t>
      </w:r>
      <w:r>
        <w:rPr>
          <w:rFonts w:ascii="Book Antiqua" w:eastAsia="Calibri" w:hAnsi="Book Antiqua"/>
          <w:sz w:val="22"/>
          <w:szCs w:val="22"/>
          <w:lang w:eastAsia="en-US"/>
        </w:rPr>
        <w:t> »</w:t>
      </w:r>
      <w:r w:rsidR="00980925" w:rsidRPr="00980925">
        <w:rPr>
          <w:rFonts w:ascii="Book Antiqua" w:eastAsia="Calibri" w:hAnsi="Book Antiqua"/>
          <w:sz w:val="22"/>
          <w:szCs w:val="22"/>
          <w:lang w:eastAsia="en-US"/>
        </w:rPr>
        <w:t xml:space="preserve">avec </w:t>
      </w:r>
      <w:r>
        <w:rPr>
          <w:rFonts w:ascii="Book Antiqua" w:eastAsia="Calibri" w:hAnsi="Book Antiqua"/>
          <w:sz w:val="22"/>
          <w:szCs w:val="22"/>
          <w:lang w:eastAsia="en-US"/>
        </w:rPr>
        <w:t xml:space="preserve">un taux de satisfaction de </w:t>
      </w:r>
      <w:r w:rsidR="00980925" w:rsidRPr="00980925">
        <w:rPr>
          <w:rFonts w:ascii="Book Antiqua" w:eastAsia="Calibri" w:hAnsi="Book Antiqua"/>
          <w:sz w:val="22"/>
          <w:szCs w:val="22"/>
          <w:lang w:eastAsia="en-US"/>
        </w:rPr>
        <w:t>68,</w:t>
      </w:r>
      <w:r>
        <w:rPr>
          <w:rFonts w:ascii="Book Antiqua" w:eastAsia="Calibri" w:hAnsi="Book Antiqua"/>
          <w:sz w:val="22"/>
          <w:szCs w:val="22"/>
          <w:lang w:eastAsia="en-US"/>
        </w:rPr>
        <w:t>6</w:t>
      </w:r>
      <w:r w:rsidR="00980925" w:rsidRPr="00980925">
        <w:rPr>
          <w:rFonts w:ascii="Book Antiqua" w:eastAsia="Calibri" w:hAnsi="Book Antiqua"/>
          <w:sz w:val="22"/>
          <w:szCs w:val="22"/>
          <w:lang w:eastAsia="en-US"/>
        </w:rPr>
        <w:t>% </w:t>
      </w:r>
      <w:r>
        <w:rPr>
          <w:rFonts w:ascii="Book Antiqua" w:eastAsia="Calibri" w:hAnsi="Book Antiqua"/>
          <w:sz w:val="22"/>
          <w:szCs w:val="22"/>
          <w:lang w:eastAsia="en-US"/>
        </w:rPr>
        <w:t xml:space="preserve"> contre 31,5%</w:t>
      </w:r>
      <w:r w:rsidRPr="00980925">
        <w:rPr>
          <w:rFonts w:ascii="Book Antiqua" w:eastAsia="Calibri" w:hAnsi="Book Antiqua"/>
          <w:sz w:val="22"/>
          <w:szCs w:val="22"/>
          <w:lang w:eastAsia="en-US"/>
        </w:rPr>
        <w:t>.</w:t>
      </w:r>
      <w:r>
        <w:rPr>
          <w:rFonts w:ascii="Book Antiqua" w:eastAsia="Calibri" w:hAnsi="Book Antiqua"/>
          <w:sz w:val="22"/>
          <w:szCs w:val="22"/>
          <w:lang w:eastAsia="en-US"/>
        </w:rPr>
        <w:t xml:space="preserve">qui considèrent </w:t>
      </w:r>
      <w:r w:rsidR="00980925" w:rsidRPr="00980925">
        <w:rPr>
          <w:rFonts w:ascii="Book Antiqua" w:eastAsia="Calibri" w:hAnsi="Book Antiqua"/>
          <w:sz w:val="22"/>
          <w:szCs w:val="22"/>
          <w:lang w:eastAsia="en-US"/>
        </w:rPr>
        <w:t xml:space="preserve"> ces coûts élevés</w:t>
      </w:r>
      <w:r>
        <w:rPr>
          <w:rFonts w:ascii="Book Antiqua" w:eastAsia="Calibri" w:hAnsi="Book Antiqua"/>
          <w:sz w:val="22"/>
          <w:szCs w:val="22"/>
          <w:lang w:eastAsia="en-US"/>
        </w:rPr>
        <w:t>.</w:t>
      </w:r>
    </w:p>
    <w:p w:rsidR="003B25DE" w:rsidRPr="00980062" w:rsidRDefault="003B25DE" w:rsidP="00840635">
      <w:pPr>
        <w:pStyle w:val="Lgende"/>
        <w:keepNext/>
        <w:spacing w:line="276" w:lineRule="auto"/>
        <w:jc w:val="center"/>
        <w:rPr>
          <w:color w:val="auto"/>
        </w:rPr>
      </w:pPr>
      <w:bookmarkStart w:id="131" w:name="_Toc523313759"/>
      <w:r w:rsidRPr="00980062">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76</w:t>
      </w:r>
      <w:r w:rsidR="000D65F2">
        <w:rPr>
          <w:color w:val="auto"/>
        </w:rPr>
        <w:fldChar w:fldCharType="end"/>
      </w:r>
      <w:r w:rsidRPr="00980062">
        <w:rPr>
          <w:color w:val="auto"/>
        </w:rPr>
        <w:t xml:space="preserve"> : Appréciation des unités utilisatrices sur le coût de service à distance</w:t>
      </w:r>
      <w:bookmarkEnd w:id="131"/>
    </w:p>
    <w:p w:rsidR="00980925" w:rsidRPr="00980925" w:rsidRDefault="00980925" w:rsidP="00840635">
      <w:pPr>
        <w:spacing w:after="200" w:line="276" w:lineRule="auto"/>
        <w:ind w:left="720"/>
        <w:contextualSpacing/>
        <w:jc w:val="center"/>
        <w:rPr>
          <w:rFonts w:ascii="Book Antiqua" w:eastAsia="Calibri" w:hAnsi="Book Antiqua"/>
          <w:sz w:val="22"/>
          <w:szCs w:val="22"/>
          <w:lang w:eastAsia="en-US"/>
        </w:rPr>
      </w:pPr>
      <w:r w:rsidRPr="00980925">
        <w:rPr>
          <w:rFonts w:ascii="Book Antiqua" w:eastAsia="Calibri" w:hAnsi="Book Antiqua"/>
          <w:noProof/>
          <w:sz w:val="22"/>
          <w:szCs w:val="22"/>
        </w:rPr>
        <w:drawing>
          <wp:inline distT="0" distB="0" distL="0" distR="0">
            <wp:extent cx="4572000" cy="2743200"/>
            <wp:effectExtent l="19050" t="0" r="19050" b="0"/>
            <wp:docPr id="47"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41697" w:rsidRDefault="00AA59E0" w:rsidP="00840635">
      <w:pPr>
        <w:spacing w:after="200" w:line="276" w:lineRule="auto"/>
        <w:rPr>
          <w:rFonts w:ascii="Book Antiqua" w:eastAsiaTheme="majorEastAsia" w:hAnsi="Book Antiqua" w:cstheme="majorBidi"/>
          <w:b/>
          <w:bCs/>
          <w:sz w:val="22"/>
          <w:szCs w:val="26"/>
        </w:rPr>
      </w:pPr>
      <w:r>
        <w:rPr>
          <w:rFonts w:ascii="Book Antiqua" w:eastAsiaTheme="majorEastAsia" w:hAnsi="Book Antiqua" w:cstheme="majorBidi"/>
          <w:b/>
          <w:bCs/>
          <w:sz w:val="22"/>
          <w:szCs w:val="26"/>
        </w:rPr>
        <w:br w:type="page"/>
      </w:r>
    </w:p>
    <w:p w:rsidR="00686651" w:rsidRPr="0051539E" w:rsidRDefault="00EE2B20" w:rsidP="00531C35">
      <w:pPr>
        <w:numPr>
          <w:ilvl w:val="0"/>
          <w:numId w:val="4"/>
        </w:numPr>
        <w:tabs>
          <w:tab w:val="left" w:pos="-720"/>
        </w:tabs>
        <w:suppressAutoHyphens/>
        <w:spacing w:before="240" w:after="240" w:line="276" w:lineRule="auto"/>
        <w:ind w:left="357" w:hanging="73"/>
        <w:jc w:val="both"/>
        <w:outlineLvl w:val="0"/>
        <w:rPr>
          <w:rFonts w:ascii="Book Antiqua" w:eastAsiaTheme="majorEastAsia" w:hAnsi="Book Antiqua" w:cstheme="majorBidi"/>
          <w:b/>
          <w:bCs/>
          <w:sz w:val="22"/>
          <w:szCs w:val="26"/>
        </w:rPr>
      </w:pPr>
      <w:bookmarkStart w:id="132" w:name="_Toc523322055"/>
      <w:r w:rsidRPr="0051539E">
        <w:rPr>
          <w:rFonts w:ascii="Book Antiqua" w:eastAsiaTheme="majorEastAsia" w:hAnsi="Book Antiqua" w:cstheme="majorBidi"/>
          <w:b/>
          <w:bCs/>
          <w:sz w:val="22"/>
          <w:szCs w:val="26"/>
        </w:rPr>
        <w:lastRenderedPageBreak/>
        <w:t>Satisfaction sur l’accessibilité</w:t>
      </w:r>
      <w:r w:rsidR="00EE2993" w:rsidRPr="0051539E">
        <w:rPr>
          <w:rFonts w:ascii="Book Antiqua" w:eastAsiaTheme="majorEastAsia" w:hAnsi="Book Antiqua" w:cstheme="majorBidi"/>
          <w:b/>
          <w:bCs/>
          <w:sz w:val="22"/>
          <w:szCs w:val="26"/>
        </w:rPr>
        <w:t xml:space="preserve"> des banques</w:t>
      </w:r>
      <w:bookmarkEnd w:id="132"/>
    </w:p>
    <w:p w:rsidR="00533316" w:rsidRPr="0051539E" w:rsidRDefault="00533316" w:rsidP="00840635">
      <w:pPr>
        <w:spacing w:after="200" w:line="276" w:lineRule="auto"/>
        <w:jc w:val="both"/>
        <w:rPr>
          <w:rFonts w:ascii="Book Antiqua" w:eastAsiaTheme="minorEastAsia" w:hAnsi="Book Antiqua" w:cstheme="minorBidi"/>
          <w:sz w:val="22"/>
        </w:rPr>
      </w:pPr>
      <w:r w:rsidRPr="0051539E">
        <w:rPr>
          <w:rFonts w:ascii="Book Antiqua" w:eastAsiaTheme="minorEastAsia" w:hAnsi="Book Antiqua" w:cstheme="minorBidi"/>
          <w:sz w:val="22"/>
        </w:rPr>
        <w:t xml:space="preserve">L’accessibilité est </w:t>
      </w:r>
      <w:r w:rsidR="007B7397">
        <w:rPr>
          <w:rFonts w:ascii="Book Antiqua" w:eastAsiaTheme="minorEastAsia" w:hAnsi="Book Antiqua" w:cstheme="minorBidi"/>
          <w:sz w:val="22"/>
        </w:rPr>
        <w:t xml:space="preserve">analysée suivant l’appréciation des unités par rapport à la proximité géographique des points de service, à l’accès </w:t>
      </w:r>
      <w:r w:rsidRPr="0051539E">
        <w:rPr>
          <w:rFonts w:ascii="Book Antiqua" w:eastAsiaTheme="minorEastAsia" w:hAnsi="Book Antiqua" w:cstheme="minorBidi"/>
          <w:sz w:val="22"/>
        </w:rPr>
        <w:t xml:space="preserve"> aux guichets et aux canaux de communication</w:t>
      </w:r>
      <w:r w:rsidR="007B7397">
        <w:rPr>
          <w:rFonts w:ascii="Book Antiqua" w:eastAsiaTheme="minorEastAsia" w:hAnsi="Book Antiqua" w:cstheme="minorBidi"/>
          <w:sz w:val="22"/>
        </w:rPr>
        <w:t xml:space="preserve"> de la banque</w:t>
      </w:r>
      <w:r w:rsidRPr="0051539E">
        <w:rPr>
          <w:rFonts w:ascii="Book Antiqua" w:eastAsiaTheme="minorEastAsia" w:hAnsi="Book Antiqua" w:cstheme="minorBidi"/>
          <w:sz w:val="22"/>
        </w:rPr>
        <w:t xml:space="preserve">. </w:t>
      </w:r>
    </w:p>
    <w:p w:rsidR="00533316" w:rsidRPr="00533316" w:rsidRDefault="00533316" w:rsidP="00531C35">
      <w:pPr>
        <w:keepNext/>
        <w:keepLines/>
        <w:spacing w:before="240" w:after="240" w:line="276" w:lineRule="auto"/>
        <w:ind w:firstLine="284"/>
        <w:outlineLvl w:val="1"/>
        <w:rPr>
          <w:rFonts w:ascii="Book Antiqua" w:eastAsiaTheme="majorEastAsia" w:hAnsi="Book Antiqua" w:cstheme="majorBidi"/>
          <w:b/>
          <w:bCs/>
          <w:sz w:val="22"/>
          <w:szCs w:val="26"/>
        </w:rPr>
      </w:pPr>
      <w:bookmarkStart w:id="133" w:name="_Toc523322056"/>
      <w:r w:rsidRPr="00533316">
        <w:rPr>
          <w:rFonts w:ascii="Book Antiqua" w:eastAsiaTheme="majorEastAsia" w:hAnsi="Book Antiqua" w:cstheme="majorBidi"/>
          <w:b/>
          <w:bCs/>
          <w:sz w:val="22"/>
          <w:szCs w:val="26"/>
        </w:rPr>
        <w:t xml:space="preserve">IV.1. </w:t>
      </w:r>
      <w:r w:rsidR="001D2584">
        <w:rPr>
          <w:rFonts w:ascii="Book Antiqua" w:eastAsiaTheme="majorEastAsia" w:hAnsi="Book Antiqua" w:cstheme="majorBidi"/>
          <w:b/>
          <w:bCs/>
          <w:sz w:val="22"/>
          <w:szCs w:val="26"/>
        </w:rPr>
        <w:t xml:space="preserve"> </w:t>
      </w:r>
      <w:r w:rsidRPr="00533316">
        <w:rPr>
          <w:rFonts w:ascii="Book Antiqua" w:eastAsiaTheme="majorEastAsia" w:hAnsi="Book Antiqua" w:cstheme="majorBidi"/>
          <w:b/>
          <w:bCs/>
          <w:sz w:val="22"/>
          <w:szCs w:val="26"/>
        </w:rPr>
        <w:t>Qualité de l’accessibilité géographique des agences bancaires</w:t>
      </w:r>
      <w:bookmarkEnd w:id="133"/>
    </w:p>
    <w:p w:rsidR="00533316" w:rsidRPr="0051539E" w:rsidRDefault="00D70E53" w:rsidP="00840635">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Pour 80,</w:t>
      </w:r>
      <w:r w:rsidR="009469B8">
        <w:rPr>
          <w:rFonts w:ascii="Book Antiqua" w:eastAsiaTheme="minorEastAsia" w:hAnsi="Book Antiqua" w:cstheme="minorBidi"/>
          <w:sz w:val="22"/>
        </w:rPr>
        <w:t>4</w:t>
      </w:r>
      <w:r>
        <w:rPr>
          <w:rFonts w:ascii="Book Antiqua" w:eastAsiaTheme="minorEastAsia" w:hAnsi="Book Antiqua" w:cstheme="minorBidi"/>
          <w:sz w:val="22"/>
        </w:rPr>
        <w:t>% des  entités</w:t>
      </w:r>
      <w:r w:rsidR="007B7397">
        <w:rPr>
          <w:rFonts w:ascii="Book Antiqua" w:eastAsiaTheme="minorEastAsia" w:hAnsi="Book Antiqua" w:cstheme="minorBidi"/>
          <w:sz w:val="22"/>
        </w:rPr>
        <w:t xml:space="preserve"> interviewé</w:t>
      </w:r>
      <w:r>
        <w:rPr>
          <w:rFonts w:ascii="Book Antiqua" w:eastAsiaTheme="minorEastAsia" w:hAnsi="Book Antiqua" w:cstheme="minorBidi"/>
          <w:sz w:val="22"/>
        </w:rPr>
        <w:t>e</w:t>
      </w:r>
      <w:r w:rsidR="007B7397">
        <w:rPr>
          <w:rFonts w:ascii="Book Antiqua" w:eastAsiaTheme="minorEastAsia" w:hAnsi="Book Antiqua" w:cstheme="minorBidi"/>
          <w:sz w:val="22"/>
        </w:rPr>
        <w:t>s</w:t>
      </w:r>
      <w:r w:rsidR="00533316" w:rsidRPr="0051539E">
        <w:rPr>
          <w:rFonts w:ascii="Book Antiqua" w:eastAsiaTheme="minorEastAsia" w:hAnsi="Book Antiqua" w:cstheme="minorBidi"/>
          <w:sz w:val="22"/>
        </w:rPr>
        <w:t xml:space="preserve">, l’accessibilité géographique des agences bancaires ne pose </w:t>
      </w:r>
      <w:r>
        <w:rPr>
          <w:rFonts w:ascii="Book Antiqua" w:eastAsiaTheme="minorEastAsia" w:hAnsi="Book Antiqua" w:cstheme="minorBidi"/>
          <w:sz w:val="22"/>
        </w:rPr>
        <w:t xml:space="preserve">pas de </w:t>
      </w:r>
      <w:r w:rsidR="00533316" w:rsidRPr="0051539E">
        <w:rPr>
          <w:rFonts w:ascii="Book Antiqua" w:eastAsiaTheme="minorEastAsia" w:hAnsi="Book Antiqua" w:cstheme="minorBidi"/>
          <w:sz w:val="22"/>
        </w:rPr>
        <w:t xml:space="preserve">difficulté. </w:t>
      </w:r>
      <w:r>
        <w:rPr>
          <w:rFonts w:ascii="Book Antiqua" w:eastAsiaTheme="minorEastAsia" w:hAnsi="Book Antiqua" w:cstheme="minorBidi"/>
          <w:sz w:val="22"/>
        </w:rPr>
        <w:t xml:space="preserve">Cependant, une proportion non négligeable de </w:t>
      </w:r>
      <w:r w:rsidR="00533316" w:rsidRPr="0051539E">
        <w:rPr>
          <w:rFonts w:ascii="Book Antiqua" w:eastAsiaTheme="minorEastAsia" w:hAnsi="Book Antiqua" w:cstheme="minorBidi"/>
          <w:sz w:val="22"/>
        </w:rPr>
        <w:t xml:space="preserve"> 19, </w:t>
      </w:r>
      <w:r w:rsidR="009469B8">
        <w:rPr>
          <w:rFonts w:ascii="Book Antiqua" w:eastAsiaTheme="minorEastAsia" w:hAnsi="Book Antiqua" w:cstheme="minorBidi"/>
          <w:sz w:val="22"/>
        </w:rPr>
        <w:t>6</w:t>
      </w:r>
      <w:r w:rsidR="00533316" w:rsidRPr="0051539E">
        <w:rPr>
          <w:rFonts w:ascii="Book Antiqua" w:eastAsiaTheme="minorEastAsia" w:hAnsi="Book Antiqua" w:cstheme="minorBidi"/>
          <w:sz w:val="22"/>
        </w:rPr>
        <w:t>% qui soutien</w:t>
      </w:r>
      <w:r w:rsidR="009469B8">
        <w:rPr>
          <w:rFonts w:ascii="Book Antiqua" w:eastAsiaTheme="minorEastAsia" w:hAnsi="Book Antiqua" w:cstheme="minorBidi"/>
          <w:sz w:val="22"/>
        </w:rPr>
        <w:t>t</w:t>
      </w:r>
      <w:r w:rsidR="00533316" w:rsidRPr="0051539E">
        <w:rPr>
          <w:rFonts w:ascii="Book Antiqua" w:eastAsiaTheme="minorEastAsia" w:hAnsi="Book Antiqua" w:cstheme="minorBidi"/>
          <w:sz w:val="22"/>
        </w:rPr>
        <w:t xml:space="preserve"> le contraire. </w:t>
      </w:r>
    </w:p>
    <w:p w:rsidR="00980062" w:rsidRPr="00980062" w:rsidRDefault="00980062" w:rsidP="00840635">
      <w:pPr>
        <w:pStyle w:val="Lgende"/>
        <w:keepNext/>
        <w:spacing w:line="276" w:lineRule="auto"/>
        <w:jc w:val="center"/>
        <w:rPr>
          <w:color w:val="auto"/>
        </w:rPr>
      </w:pPr>
      <w:bookmarkStart w:id="134" w:name="_Toc523313760"/>
      <w:r w:rsidRPr="00980062">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77</w:t>
      </w:r>
      <w:r w:rsidR="000D65F2">
        <w:rPr>
          <w:color w:val="auto"/>
        </w:rPr>
        <w:fldChar w:fldCharType="end"/>
      </w:r>
      <w:r w:rsidRPr="00980062">
        <w:rPr>
          <w:color w:val="auto"/>
        </w:rPr>
        <w:t xml:space="preserve"> : Qualité de l'accessibilité géographique des agences bancaires</w:t>
      </w:r>
      <w:bookmarkEnd w:id="134"/>
    </w:p>
    <w:p w:rsidR="009260C9" w:rsidRDefault="009469B8" w:rsidP="00840635">
      <w:pPr>
        <w:spacing w:after="200" w:line="276" w:lineRule="auto"/>
        <w:jc w:val="center"/>
        <w:rPr>
          <w:rFonts w:ascii="Book Antiqua" w:eastAsiaTheme="minorEastAsia" w:hAnsi="Book Antiqua" w:cstheme="minorBidi"/>
        </w:rPr>
      </w:pPr>
      <w:r>
        <w:rPr>
          <w:noProof/>
        </w:rPr>
        <w:drawing>
          <wp:inline distT="0" distB="0" distL="0" distR="0">
            <wp:extent cx="5302885" cy="2571750"/>
            <wp:effectExtent l="19050" t="0" r="12065" b="0"/>
            <wp:docPr id="50" name="Graphique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33316" w:rsidRPr="00BC7154" w:rsidRDefault="00533316" w:rsidP="00840635">
      <w:pPr>
        <w:spacing w:after="200" w:line="276" w:lineRule="auto"/>
        <w:jc w:val="both"/>
        <w:rPr>
          <w:rFonts w:ascii="Book Antiqua" w:eastAsiaTheme="minorEastAsia" w:hAnsi="Book Antiqua" w:cstheme="minorBidi"/>
          <w:sz w:val="22"/>
        </w:rPr>
      </w:pPr>
      <w:r w:rsidRPr="0051539E">
        <w:rPr>
          <w:rFonts w:ascii="Book Antiqua" w:eastAsiaTheme="minorEastAsia" w:hAnsi="Book Antiqua" w:cstheme="minorBidi"/>
          <w:sz w:val="22"/>
        </w:rPr>
        <w:t xml:space="preserve">L’analyse de l’accessibilité géographique suivant les régions </w:t>
      </w:r>
      <w:r w:rsidR="00513084">
        <w:rPr>
          <w:rFonts w:ascii="Book Antiqua" w:eastAsiaTheme="minorEastAsia" w:hAnsi="Book Antiqua" w:cstheme="minorBidi"/>
          <w:sz w:val="22"/>
        </w:rPr>
        <w:t xml:space="preserve">laisse apparaitre des opinions défavorables particulièrement dans les régions de </w:t>
      </w:r>
      <w:proofErr w:type="spellStart"/>
      <w:r w:rsidRPr="0051539E">
        <w:rPr>
          <w:rFonts w:ascii="Book Antiqua" w:eastAsiaTheme="minorEastAsia" w:hAnsi="Book Antiqua" w:cstheme="minorBidi"/>
          <w:sz w:val="22"/>
        </w:rPr>
        <w:t>Kaffrine</w:t>
      </w:r>
      <w:proofErr w:type="spellEnd"/>
      <w:r w:rsidR="00513084">
        <w:rPr>
          <w:rFonts w:ascii="Book Antiqua" w:eastAsiaTheme="minorEastAsia" w:hAnsi="Book Antiqua" w:cstheme="minorBidi"/>
          <w:sz w:val="22"/>
        </w:rPr>
        <w:t>,</w:t>
      </w:r>
      <w:r w:rsidR="00E05C74">
        <w:rPr>
          <w:rFonts w:ascii="Book Antiqua" w:eastAsiaTheme="minorEastAsia" w:hAnsi="Book Antiqua" w:cstheme="minorBidi"/>
          <w:sz w:val="22"/>
        </w:rPr>
        <w:t xml:space="preserve"> </w:t>
      </w:r>
      <w:r w:rsidR="00513084" w:rsidRPr="0051539E">
        <w:rPr>
          <w:rFonts w:ascii="Book Antiqua" w:eastAsiaTheme="minorEastAsia" w:hAnsi="Book Antiqua" w:cstheme="minorBidi"/>
          <w:sz w:val="22"/>
        </w:rPr>
        <w:t>Ké</w:t>
      </w:r>
      <w:r w:rsidR="00513084">
        <w:rPr>
          <w:rFonts w:ascii="Book Antiqua" w:eastAsiaTheme="minorEastAsia" w:hAnsi="Book Antiqua" w:cstheme="minorBidi"/>
          <w:sz w:val="22"/>
        </w:rPr>
        <w:t>d</w:t>
      </w:r>
      <w:r w:rsidR="00513084" w:rsidRPr="0051539E">
        <w:rPr>
          <w:rFonts w:ascii="Book Antiqua" w:eastAsiaTheme="minorEastAsia" w:hAnsi="Book Antiqua" w:cstheme="minorBidi"/>
          <w:sz w:val="22"/>
        </w:rPr>
        <w:t>ougou</w:t>
      </w:r>
      <w:r w:rsidR="00513084">
        <w:rPr>
          <w:rFonts w:ascii="Book Antiqua" w:eastAsiaTheme="minorEastAsia" w:hAnsi="Book Antiqua" w:cstheme="minorBidi"/>
          <w:sz w:val="22"/>
        </w:rPr>
        <w:t xml:space="preserve">, </w:t>
      </w:r>
      <w:proofErr w:type="spellStart"/>
      <w:r w:rsidR="00513084">
        <w:rPr>
          <w:rFonts w:ascii="Book Antiqua" w:eastAsiaTheme="minorEastAsia" w:hAnsi="Book Antiqua" w:cstheme="minorBidi"/>
          <w:sz w:val="22"/>
        </w:rPr>
        <w:t>S</w:t>
      </w:r>
      <w:r w:rsidR="000E1CA0">
        <w:rPr>
          <w:rFonts w:ascii="Book Antiqua" w:eastAsiaTheme="minorEastAsia" w:hAnsi="Book Antiqua" w:cstheme="minorBidi"/>
          <w:sz w:val="22"/>
        </w:rPr>
        <w:t>é</w:t>
      </w:r>
      <w:r w:rsidR="00513084">
        <w:rPr>
          <w:rFonts w:ascii="Book Antiqua" w:eastAsiaTheme="minorEastAsia" w:hAnsi="Book Antiqua" w:cstheme="minorBidi"/>
          <w:sz w:val="22"/>
        </w:rPr>
        <w:t>dhiou</w:t>
      </w:r>
      <w:proofErr w:type="spellEnd"/>
      <w:r w:rsidR="00513084">
        <w:rPr>
          <w:rFonts w:ascii="Book Antiqua" w:eastAsiaTheme="minorEastAsia" w:hAnsi="Book Antiqua" w:cstheme="minorBidi"/>
          <w:sz w:val="22"/>
        </w:rPr>
        <w:t xml:space="preserve"> et Tambacou</w:t>
      </w:r>
      <w:r w:rsidR="000E1CA0">
        <w:rPr>
          <w:rFonts w:ascii="Book Antiqua" w:eastAsiaTheme="minorEastAsia" w:hAnsi="Book Antiqua" w:cstheme="minorBidi"/>
          <w:sz w:val="22"/>
        </w:rPr>
        <w:t>nda avec des taux respectifs de</w:t>
      </w:r>
      <w:r w:rsidR="00BC7154">
        <w:rPr>
          <w:rFonts w:ascii="Book Antiqua" w:eastAsiaTheme="minorEastAsia" w:hAnsi="Book Antiqua" w:cstheme="minorBidi"/>
          <w:sz w:val="22"/>
        </w:rPr>
        <w:t xml:space="preserve"> 47,1%, 46,0%, 36,2% et 30,6%.</w:t>
      </w:r>
    </w:p>
    <w:p w:rsidR="00980062" w:rsidRPr="00980062" w:rsidRDefault="00980062" w:rsidP="00840635">
      <w:pPr>
        <w:pStyle w:val="Lgende"/>
        <w:keepNext/>
        <w:spacing w:line="276" w:lineRule="auto"/>
        <w:jc w:val="center"/>
        <w:rPr>
          <w:color w:val="auto"/>
        </w:rPr>
      </w:pPr>
      <w:bookmarkStart w:id="135" w:name="_Toc523313761"/>
      <w:r w:rsidRPr="00980062">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78</w:t>
      </w:r>
      <w:r w:rsidR="000D65F2">
        <w:rPr>
          <w:color w:val="auto"/>
        </w:rPr>
        <w:fldChar w:fldCharType="end"/>
      </w:r>
      <w:r w:rsidRPr="00980062">
        <w:rPr>
          <w:color w:val="auto"/>
        </w:rPr>
        <w:t xml:space="preserve"> : Appréciation des unités sur l'accessibilité des agences bancaires</w:t>
      </w:r>
      <w:bookmarkEnd w:id="135"/>
    </w:p>
    <w:p w:rsidR="00533316" w:rsidRPr="00533316" w:rsidRDefault="00F44BC9" w:rsidP="00840635">
      <w:pPr>
        <w:spacing w:after="200" w:line="276" w:lineRule="auto"/>
        <w:jc w:val="both"/>
        <w:rPr>
          <w:rFonts w:ascii="Book Antiqua" w:eastAsiaTheme="minorEastAsia" w:hAnsi="Book Antiqua" w:cstheme="minorBidi"/>
        </w:rPr>
      </w:pPr>
      <w:r w:rsidRPr="00AE3DF1">
        <w:rPr>
          <w:noProof/>
        </w:rPr>
        <w:drawing>
          <wp:inline distT="0" distB="0" distL="0" distR="0">
            <wp:extent cx="5969000" cy="2546350"/>
            <wp:effectExtent l="19050" t="0" r="12700" b="6350"/>
            <wp:docPr id="52" name="Graphique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33316" w:rsidRPr="00533316" w:rsidRDefault="00533316" w:rsidP="00AA59E0">
      <w:pPr>
        <w:keepNext/>
        <w:keepLines/>
        <w:spacing w:before="160" w:after="120" w:line="276" w:lineRule="auto"/>
        <w:ind w:left="568" w:hanging="284"/>
        <w:outlineLvl w:val="1"/>
        <w:rPr>
          <w:rFonts w:ascii="Book Antiqua" w:eastAsiaTheme="majorEastAsia" w:hAnsi="Book Antiqua" w:cstheme="majorBidi"/>
          <w:b/>
          <w:bCs/>
          <w:sz w:val="22"/>
          <w:szCs w:val="26"/>
        </w:rPr>
      </w:pPr>
      <w:bookmarkStart w:id="136" w:name="_Toc523322057"/>
      <w:r w:rsidRPr="00533316">
        <w:rPr>
          <w:rFonts w:ascii="Book Antiqua" w:eastAsiaTheme="majorEastAsia" w:hAnsi="Book Antiqua" w:cstheme="majorBidi"/>
          <w:b/>
          <w:bCs/>
          <w:sz w:val="22"/>
          <w:szCs w:val="26"/>
        </w:rPr>
        <w:lastRenderedPageBreak/>
        <w:t>IV.2. Opinion sur les horaires de services des agences bancaires</w:t>
      </w:r>
      <w:bookmarkEnd w:id="136"/>
    </w:p>
    <w:p w:rsidR="00735EB5" w:rsidRDefault="00735EB5" w:rsidP="00AA59E0">
      <w:pPr>
        <w:spacing w:before="160" w:after="120" w:line="276" w:lineRule="auto"/>
        <w:jc w:val="both"/>
        <w:rPr>
          <w:rFonts w:ascii="Book Antiqua" w:eastAsiaTheme="minorEastAsia" w:hAnsi="Book Antiqua" w:cstheme="minorBidi"/>
          <w:sz w:val="22"/>
        </w:rPr>
      </w:pPr>
      <w:r>
        <w:rPr>
          <w:rFonts w:ascii="Book Antiqua" w:eastAsiaTheme="minorEastAsia" w:hAnsi="Book Antiqua" w:cstheme="minorBidi"/>
          <w:sz w:val="22"/>
        </w:rPr>
        <w:t xml:space="preserve">Les résultats de l’ESUB 2015 mettent en évidence des opinions favorables sur les horaires de service chez les unités </w:t>
      </w:r>
      <w:r w:rsidR="00923187">
        <w:rPr>
          <w:rFonts w:ascii="Book Antiqua" w:eastAsiaTheme="minorEastAsia" w:hAnsi="Book Antiqua" w:cstheme="minorBidi"/>
          <w:sz w:val="22"/>
        </w:rPr>
        <w:t>enquêtées</w:t>
      </w:r>
      <w:r>
        <w:rPr>
          <w:rFonts w:ascii="Book Antiqua" w:eastAsiaTheme="minorEastAsia" w:hAnsi="Book Antiqua" w:cstheme="minorBidi"/>
          <w:sz w:val="22"/>
        </w:rPr>
        <w:t xml:space="preserve"> avec un taux global de satisfaction de 82,4% Ce constat est néanmoins atténué par la proportion des unités déplorant les plag</w:t>
      </w:r>
      <w:r w:rsidR="00B03C0C">
        <w:rPr>
          <w:rFonts w:ascii="Book Antiqua" w:eastAsiaTheme="minorEastAsia" w:hAnsi="Book Antiqua" w:cstheme="minorBidi"/>
          <w:sz w:val="22"/>
        </w:rPr>
        <w:t xml:space="preserve">es horaires des agences des banques </w:t>
      </w:r>
      <w:r>
        <w:rPr>
          <w:rFonts w:ascii="Book Antiqua" w:eastAsiaTheme="minorEastAsia" w:hAnsi="Book Antiqua" w:cstheme="minorBidi"/>
          <w:sz w:val="22"/>
        </w:rPr>
        <w:t>(17,6%).</w:t>
      </w:r>
    </w:p>
    <w:p w:rsidR="00980062" w:rsidRPr="00980062" w:rsidRDefault="00980062" w:rsidP="00AA59E0">
      <w:pPr>
        <w:pStyle w:val="Lgende"/>
        <w:keepNext/>
        <w:spacing w:before="160" w:after="120" w:line="276" w:lineRule="auto"/>
        <w:jc w:val="center"/>
        <w:rPr>
          <w:color w:val="auto"/>
        </w:rPr>
      </w:pPr>
      <w:bookmarkStart w:id="137" w:name="_Toc523313762"/>
      <w:r w:rsidRPr="00980062">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79</w:t>
      </w:r>
      <w:r w:rsidR="000D65F2">
        <w:rPr>
          <w:color w:val="auto"/>
        </w:rPr>
        <w:fldChar w:fldCharType="end"/>
      </w:r>
      <w:r w:rsidRPr="00980062">
        <w:rPr>
          <w:color w:val="auto"/>
        </w:rPr>
        <w:t xml:space="preserve"> : Opinions des unités sur les horaires de services des agences bancaires</w:t>
      </w:r>
      <w:bookmarkEnd w:id="137"/>
    </w:p>
    <w:p w:rsidR="0043797A" w:rsidRDefault="00952075" w:rsidP="00840635">
      <w:pPr>
        <w:spacing w:after="200" w:line="276" w:lineRule="auto"/>
        <w:jc w:val="center"/>
        <w:rPr>
          <w:rFonts w:ascii="Book Antiqua" w:eastAsiaTheme="minorEastAsia" w:hAnsi="Book Antiqua" w:cstheme="minorBidi"/>
        </w:rPr>
      </w:pPr>
      <w:r>
        <w:rPr>
          <w:noProof/>
        </w:rPr>
        <w:drawing>
          <wp:inline distT="0" distB="0" distL="0" distR="0">
            <wp:extent cx="4572000" cy="2443276"/>
            <wp:effectExtent l="19050" t="0" r="19050" b="0"/>
            <wp:docPr id="58" name="Graphique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33316" w:rsidRDefault="00533316" w:rsidP="00840635">
      <w:pPr>
        <w:spacing w:after="200" w:line="276" w:lineRule="auto"/>
        <w:jc w:val="both"/>
        <w:rPr>
          <w:rFonts w:ascii="Book Antiqua" w:eastAsiaTheme="minorEastAsia" w:hAnsi="Book Antiqua" w:cstheme="minorBidi"/>
          <w:sz w:val="22"/>
        </w:rPr>
      </w:pPr>
      <w:r w:rsidRPr="0051539E">
        <w:rPr>
          <w:rFonts w:ascii="Book Antiqua" w:eastAsiaTheme="minorEastAsia" w:hAnsi="Book Antiqua" w:cstheme="minorBidi"/>
          <w:sz w:val="22"/>
        </w:rPr>
        <w:t>L’</w:t>
      </w:r>
      <w:r w:rsidR="004B333E">
        <w:rPr>
          <w:rFonts w:ascii="Book Antiqua" w:eastAsiaTheme="minorEastAsia" w:hAnsi="Book Antiqua" w:cstheme="minorBidi"/>
          <w:sz w:val="22"/>
        </w:rPr>
        <w:t xml:space="preserve">examen des statistiques recueillies suivant la localisation géographique des unités laisse transparaitre des niveaux d’insatisfaction </w:t>
      </w:r>
      <w:r w:rsidR="00E00B9B">
        <w:rPr>
          <w:rFonts w:ascii="Book Antiqua" w:eastAsiaTheme="minorEastAsia" w:hAnsi="Book Antiqua" w:cstheme="minorBidi"/>
          <w:sz w:val="22"/>
        </w:rPr>
        <w:t xml:space="preserve">sur les horaires de service </w:t>
      </w:r>
      <w:r w:rsidR="004B333E">
        <w:rPr>
          <w:rFonts w:ascii="Book Antiqua" w:eastAsiaTheme="minorEastAsia" w:hAnsi="Book Antiqua" w:cstheme="minorBidi"/>
          <w:sz w:val="22"/>
        </w:rPr>
        <w:t xml:space="preserve">dont les plus élevés sont observés dans les régions de </w:t>
      </w:r>
      <w:r w:rsidR="00E00B9B">
        <w:rPr>
          <w:rFonts w:ascii="Book Antiqua" w:eastAsiaTheme="minorEastAsia" w:hAnsi="Book Antiqua" w:cstheme="minorBidi"/>
          <w:sz w:val="22"/>
        </w:rPr>
        <w:t xml:space="preserve">Kédougou, </w:t>
      </w:r>
      <w:proofErr w:type="spellStart"/>
      <w:r w:rsidR="00E00B9B">
        <w:rPr>
          <w:rFonts w:ascii="Book Antiqua" w:eastAsiaTheme="minorEastAsia" w:hAnsi="Book Antiqua" w:cstheme="minorBidi"/>
          <w:sz w:val="22"/>
        </w:rPr>
        <w:t>Kaffrine</w:t>
      </w:r>
      <w:proofErr w:type="spellEnd"/>
      <w:r w:rsidR="00E00B9B">
        <w:rPr>
          <w:rFonts w:ascii="Book Antiqua" w:eastAsiaTheme="minorEastAsia" w:hAnsi="Book Antiqua" w:cstheme="minorBidi"/>
          <w:sz w:val="22"/>
        </w:rPr>
        <w:t>, Tambacounda et Dakar qui ressortent avec des taux respectifs de 39,7% ; 32,4%, 24,2% et 19,7%.</w:t>
      </w:r>
    </w:p>
    <w:p w:rsidR="00980062" w:rsidRPr="00980062" w:rsidRDefault="00980062" w:rsidP="00AA59E0">
      <w:pPr>
        <w:pStyle w:val="Lgende"/>
        <w:keepNext/>
        <w:spacing w:before="240" w:line="276" w:lineRule="auto"/>
        <w:jc w:val="center"/>
        <w:rPr>
          <w:color w:val="auto"/>
        </w:rPr>
      </w:pPr>
      <w:bookmarkStart w:id="138" w:name="_Toc523313763"/>
      <w:r w:rsidRPr="00980062">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80</w:t>
      </w:r>
      <w:r w:rsidR="000D65F2">
        <w:rPr>
          <w:color w:val="auto"/>
        </w:rPr>
        <w:fldChar w:fldCharType="end"/>
      </w:r>
      <w:r w:rsidRPr="00980062">
        <w:rPr>
          <w:color w:val="auto"/>
        </w:rPr>
        <w:t>: Appréciation des unités sur les horaires de services des agences bancaires selon les régions</w:t>
      </w:r>
      <w:bookmarkEnd w:id="138"/>
    </w:p>
    <w:p w:rsidR="00533316" w:rsidRPr="00DC11F9" w:rsidRDefault="00533316" w:rsidP="00DC11F9">
      <w:pPr>
        <w:keepNext/>
        <w:spacing w:after="200" w:line="276" w:lineRule="auto"/>
        <w:jc w:val="center"/>
        <w:rPr>
          <w:rFonts w:asciiTheme="minorHAnsi" w:eastAsiaTheme="minorEastAsia" w:hAnsiTheme="minorHAnsi" w:cstheme="minorBidi"/>
          <w:sz w:val="22"/>
          <w:szCs w:val="22"/>
        </w:rPr>
      </w:pPr>
      <w:r w:rsidRPr="00533316">
        <w:rPr>
          <w:rFonts w:ascii="Book Antiqua" w:eastAsiaTheme="minorEastAsia" w:hAnsi="Book Antiqua" w:cstheme="minorBidi"/>
          <w:noProof/>
        </w:rPr>
        <w:drawing>
          <wp:inline distT="0" distB="0" distL="0" distR="0">
            <wp:extent cx="4654477" cy="2885910"/>
            <wp:effectExtent l="19050" t="0" r="12773" b="0"/>
            <wp:docPr id="68" name="Graphique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A59E0" w:rsidRDefault="00AA59E0">
      <w:pPr>
        <w:spacing w:after="200" w:line="276" w:lineRule="auto"/>
        <w:rPr>
          <w:rFonts w:ascii="Book Antiqua" w:eastAsiaTheme="majorEastAsia" w:hAnsi="Book Antiqua" w:cstheme="majorBidi"/>
          <w:b/>
          <w:bCs/>
          <w:sz w:val="22"/>
          <w:szCs w:val="26"/>
        </w:rPr>
      </w:pPr>
      <w:bookmarkStart w:id="139" w:name="_Toc523322058"/>
      <w:r>
        <w:rPr>
          <w:rFonts w:ascii="Book Antiqua" w:eastAsiaTheme="majorEastAsia" w:hAnsi="Book Antiqua" w:cstheme="majorBidi"/>
          <w:b/>
          <w:bCs/>
          <w:sz w:val="22"/>
          <w:szCs w:val="26"/>
        </w:rPr>
        <w:br w:type="page"/>
      </w:r>
    </w:p>
    <w:p w:rsidR="00533316" w:rsidRPr="00533316" w:rsidRDefault="00533316" w:rsidP="00531C35">
      <w:pPr>
        <w:keepNext/>
        <w:keepLines/>
        <w:spacing w:before="360" w:after="240" w:line="276" w:lineRule="auto"/>
        <w:ind w:left="567" w:hanging="283"/>
        <w:outlineLvl w:val="1"/>
        <w:rPr>
          <w:rFonts w:ascii="Book Antiqua" w:eastAsiaTheme="majorEastAsia" w:hAnsi="Book Antiqua" w:cstheme="majorBidi"/>
          <w:b/>
          <w:bCs/>
          <w:sz w:val="22"/>
          <w:szCs w:val="26"/>
        </w:rPr>
      </w:pPr>
      <w:r w:rsidRPr="00533316">
        <w:rPr>
          <w:rFonts w:ascii="Book Antiqua" w:eastAsiaTheme="majorEastAsia" w:hAnsi="Book Antiqua" w:cstheme="majorBidi"/>
          <w:b/>
          <w:bCs/>
          <w:sz w:val="22"/>
          <w:szCs w:val="26"/>
        </w:rPr>
        <w:lastRenderedPageBreak/>
        <w:t>IV.3. Qualité de l’accès par téléphone aux banques</w:t>
      </w:r>
      <w:bookmarkEnd w:id="139"/>
    </w:p>
    <w:p w:rsidR="009260C9" w:rsidRDefault="00E914DD" w:rsidP="00840635">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 xml:space="preserve">Selon les </w:t>
      </w:r>
      <w:r w:rsidR="00533316" w:rsidRPr="0051539E">
        <w:rPr>
          <w:rFonts w:ascii="Book Antiqua" w:eastAsiaTheme="minorEastAsia" w:hAnsi="Book Antiqua" w:cstheme="minorBidi"/>
          <w:sz w:val="22"/>
        </w:rPr>
        <w:t xml:space="preserve"> des </w:t>
      </w:r>
      <w:r>
        <w:rPr>
          <w:rFonts w:ascii="Book Antiqua" w:eastAsiaTheme="minorEastAsia" w:hAnsi="Book Antiqua" w:cstheme="minorBidi"/>
          <w:sz w:val="22"/>
        </w:rPr>
        <w:t xml:space="preserve">personnes morales </w:t>
      </w:r>
      <w:r w:rsidR="00533316" w:rsidRPr="0051539E">
        <w:rPr>
          <w:rFonts w:ascii="Book Antiqua" w:eastAsiaTheme="minorEastAsia" w:hAnsi="Book Antiqua" w:cstheme="minorBidi"/>
          <w:sz w:val="22"/>
        </w:rPr>
        <w:t xml:space="preserve"> interrogées </w:t>
      </w:r>
      <w:r w:rsidR="00E00B9B">
        <w:rPr>
          <w:rFonts w:ascii="Book Antiqua" w:eastAsiaTheme="minorEastAsia" w:hAnsi="Book Antiqua" w:cstheme="minorBidi"/>
          <w:sz w:val="22"/>
        </w:rPr>
        <w:t xml:space="preserve"> une proportion de 21,7%</w:t>
      </w:r>
      <w:r w:rsidR="00533316" w:rsidRPr="0051539E">
        <w:rPr>
          <w:rFonts w:ascii="Book Antiqua" w:eastAsiaTheme="minorEastAsia" w:hAnsi="Book Antiqua" w:cstheme="minorBidi"/>
          <w:sz w:val="22"/>
        </w:rPr>
        <w:t xml:space="preserve"> n</w:t>
      </w:r>
      <w:r w:rsidR="00665DB9">
        <w:rPr>
          <w:rFonts w:ascii="Book Antiqua" w:eastAsiaTheme="minorEastAsia" w:hAnsi="Book Antiqua" w:cstheme="minorBidi"/>
          <w:sz w:val="22"/>
        </w:rPr>
        <w:t>’utilise pas le téléphone comme canal de communication avec leur banque.</w:t>
      </w:r>
      <w:r w:rsidR="00BC7154">
        <w:rPr>
          <w:rFonts w:ascii="Book Antiqua" w:eastAsiaTheme="minorEastAsia" w:hAnsi="Book Antiqua" w:cstheme="minorBidi"/>
          <w:sz w:val="22"/>
        </w:rPr>
        <w:t xml:space="preserve"> </w:t>
      </w:r>
      <w:r w:rsidR="00665DB9">
        <w:rPr>
          <w:rFonts w:ascii="Book Antiqua" w:eastAsiaTheme="minorEastAsia" w:hAnsi="Book Antiqua" w:cstheme="minorBidi"/>
          <w:sz w:val="22"/>
        </w:rPr>
        <w:t xml:space="preserve">Parmi </w:t>
      </w:r>
      <w:r w:rsidR="00BC7154">
        <w:rPr>
          <w:rFonts w:ascii="Book Antiqua" w:eastAsiaTheme="minorEastAsia" w:hAnsi="Book Antiqua" w:cstheme="minorBidi"/>
          <w:sz w:val="22"/>
        </w:rPr>
        <w:t>les unités utilisatrices</w:t>
      </w:r>
      <w:r w:rsidR="002E69A5">
        <w:rPr>
          <w:rFonts w:ascii="Book Antiqua" w:eastAsiaTheme="minorEastAsia" w:hAnsi="Book Antiqua" w:cstheme="minorBidi"/>
          <w:sz w:val="22"/>
        </w:rPr>
        <w:t xml:space="preserve"> </w:t>
      </w:r>
      <w:r w:rsidR="00665DB9">
        <w:rPr>
          <w:rFonts w:ascii="Book Antiqua" w:eastAsiaTheme="minorEastAsia" w:hAnsi="Book Antiqua" w:cstheme="minorBidi"/>
          <w:sz w:val="22"/>
        </w:rPr>
        <w:t xml:space="preserve">(78,3 % de l’échantillon), </w:t>
      </w:r>
      <w:r w:rsidR="002E69A5">
        <w:rPr>
          <w:rFonts w:ascii="Book Antiqua" w:eastAsiaTheme="minorEastAsia" w:hAnsi="Book Antiqua" w:cstheme="minorBidi"/>
          <w:sz w:val="22"/>
        </w:rPr>
        <w:t xml:space="preserve">une proportion de </w:t>
      </w:r>
      <w:r w:rsidR="00665DB9">
        <w:rPr>
          <w:rFonts w:ascii="Book Antiqua" w:eastAsiaTheme="minorEastAsia" w:hAnsi="Book Antiqua" w:cstheme="minorBidi"/>
          <w:sz w:val="22"/>
        </w:rPr>
        <w:t>69,</w:t>
      </w:r>
      <w:r w:rsidR="001C1BCE">
        <w:rPr>
          <w:rFonts w:ascii="Book Antiqua" w:eastAsiaTheme="minorEastAsia" w:hAnsi="Book Antiqua" w:cstheme="minorBidi"/>
          <w:sz w:val="22"/>
        </w:rPr>
        <w:t>7</w:t>
      </w:r>
      <w:r w:rsidR="00665DB9">
        <w:rPr>
          <w:rFonts w:ascii="Book Antiqua" w:eastAsiaTheme="minorEastAsia" w:hAnsi="Book Antiqua" w:cstheme="minorBidi"/>
          <w:sz w:val="22"/>
        </w:rPr>
        <w:t xml:space="preserve">% </w:t>
      </w:r>
      <w:r w:rsidR="002E69A5">
        <w:rPr>
          <w:rFonts w:ascii="Book Antiqua" w:eastAsiaTheme="minorEastAsia" w:hAnsi="Book Antiqua" w:cstheme="minorBidi"/>
          <w:sz w:val="22"/>
        </w:rPr>
        <w:t xml:space="preserve">se dit satisfaite de la qualité d’accès </w:t>
      </w:r>
      <w:r w:rsidR="00665DB9">
        <w:rPr>
          <w:rFonts w:ascii="Book Antiqua" w:eastAsiaTheme="minorEastAsia" w:hAnsi="Book Antiqua" w:cstheme="minorBidi"/>
          <w:sz w:val="22"/>
        </w:rPr>
        <w:t>con</w:t>
      </w:r>
      <w:r>
        <w:rPr>
          <w:rFonts w:ascii="Book Antiqua" w:eastAsiaTheme="minorEastAsia" w:hAnsi="Book Antiqua" w:cstheme="minorBidi"/>
          <w:sz w:val="22"/>
        </w:rPr>
        <w:t>tre 30,</w:t>
      </w:r>
      <w:r w:rsidR="001C1BCE">
        <w:rPr>
          <w:rFonts w:ascii="Book Antiqua" w:eastAsiaTheme="minorEastAsia" w:hAnsi="Book Antiqua" w:cstheme="minorBidi"/>
          <w:sz w:val="22"/>
        </w:rPr>
        <w:t>3</w:t>
      </w:r>
      <w:r>
        <w:rPr>
          <w:rFonts w:ascii="Book Antiqua" w:eastAsiaTheme="minorEastAsia" w:hAnsi="Book Antiqua" w:cstheme="minorBidi"/>
          <w:sz w:val="22"/>
        </w:rPr>
        <w:t xml:space="preserve">% qui </w:t>
      </w:r>
      <w:r w:rsidR="002E69A5">
        <w:rPr>
          <w:rFonts w:ascii="Book Antiqua" w:eastAsiaTheme="minorEastAsia" w:hAnsi="Book Antiqua" w:cstheme="minorBidi"/>
          <w:sz w:val="22"/>
        </w:rPr>
        <w:t>pensent le contraire.</w:t>
      </w:r>
    </w:p>
    <w:p w:rsidR="001B260C" w:rsidRPr="001B260C" w:rsidRDefault="001B260C" w:rsidP="001B260C">
      <w:pPr>
        <w:pStyle w:val="Lgende"/>
        <w:keepNext/>
        <w:jc w:val="center"/>
        <w:rPr>
          <w:color w:val="auto"/>
        </w:rPr>
      </w:pPr>
      <w:bookmarkStart w:id="140" w:name="_Toc523313764"/>
      <w:r w:rsidRPr="001B260C">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81</w:t>
      </w:r>
      <w:r w:rsidR="000D65F2">
        <w:rPr>
          <w:color w:val="auto"/>
        </w:rPr>
        <w:fldChar w:fldCharType="end"/>
      </w:r>
      <w:r w:rsidRPr="001B260C">
        <w:rPr>
          <w:color w:val="auto"/>
        </w:rPr>
        <w:t>: Appréciation des unités sur la qualité de l'accès par téléphone aux agences bancaires</w:t>
      </w:r>
      <w:bookmarkEnd w:id="140"/>
    </w:p>
    <w:p w:rsidR="00533316" w:rsidRPr="00533316" w:rsidRDefault="00F44BC9" w:rsidP="00533316">
      <w:pPr>
        <w:spacing w:after="200" w:line="276" w:lineRule="auto"/>
        <w:jc w:val="center"/>
        <w:rPr>
          <w:rFonts w:ascii="Book Antiqua" w:eastAsiaTheme="minorEastAsia" w:hAnsi="Book Antiqua" w:cstheme="minorBidi"/>
        </w:rPr>
      </w:pPr>
      <w:r w:rsidRPr="00AE3DF1">
        <w:rPr>
          <w:noProof/>
        </w:rPr>
        <w:drawing>
          <wp:inline distT="0" distB="0" distL="0" distR="0">
            <wp:extent cx="4381500" cy="2305050"/>
            <wp:effectExtent l="19050" t="0" r="19050" b="0"/>
            <wp:docPr id="59" name="Graphique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C1BCE" w:rsidRPr="00923187" w:rsidRDefault="001C1BCE" w:rsidP="0051539E">
      <w:pPr>
        <w:spacing w:after="200" w:line="276" w:lineRule="auto"/>
        <w:jc w:val="both"/>
        <w:rPr>
          <w:rFonts w:ascii="Book Antiqua" w:eastAsiaTheme="minorEastAsia" w:hAnsi="Book Antiqua" w:cstheme="minorBidi"/>
          <w:sz w:val="22"/>
          <w:szCs w:val="22"/>
        </w:rPr>
      </w:pPr>
      <w:r w:rsidRPr="00923187">
        <w:rPr>
          <w:rFonts w:ascii="Book Antiqua" w:eastAsiaTheme="minorEastAsia" w:hAnsi="Book Antiqua" w:cstheme="minorBidi"/>
          <w:sz w:val="22"/>
          <w:szCs w:val="22"/>
        </w:rPr>
        <w:t xml:space="preserve">L’analyse croisée de la perception des unités sur l’accès au téléphone suivant les régions indique que </w:t>
      </w:r>
      <w:proofErr w:type="spellStart"/>
      <w:r w:rsidR="00923187" w:rsidRPr="00923187">
        <w:rPr>
          <w:rFonts w:ascii="Book Antiqua" w:eastAsiaTheme="minorEastAsia" w:hAnsi="Book Antiqua" w:cstheme="minorBidi"/>
          <w:sz w:val="22"/>
          <w:szCs w:val="22"/>
        </w:rPr>
        <w:t>Sédhiou</w:t>
      </w:r>
      <w:proofErr w:type="spellEnd"/>
      <w:r w:rsidRPr="00923187">
        <w:rPr>
          <w:rFonts w:ascii="Book Antiqua" w:eastAsiaTheme="minorEastAsia" w:hAnsi="Book Antiqua" w:cstheme="minorBidi"/>
          <w:sz w:val="22"/>
          <w:szCs w:val="22"/>
        </w:rPr>
        <w:t xml:space="preserve">, </w:t>
      </w:r>
      <w:proofErr w:type="spellStart"/>
      <w:r w:rsidRPr="00923187">
        <w:rPr>
          <w:rFonts w:ascii="Book Antiqua" w:eastAsiaTheme="minorEastAsia" w:hAnsi="Book Antiqua" w:cstheme="minorBidi"/>
          <w:sz w:val="22"/>
          <w:szCs w:val="22"/>
        </w:rPr>
        <w:t>Fatick</w:t>
      </w:r>
      <w:proofErr w:type="spellEnd"/>
      <w:r w:rsidRPr="00923187">
        <w:rPr>
          <w:rFonts w:ascii="Book Antiqua" w:eastAsiaTheme="minorEastAsia" w:hAnsi="Book Antiqua" w:cstheme="minorBidi"/>
          <w:sz w:val="22"/>
          <w:szCs w:val="22"/>
        </w:rPr>
        <w:t>, Ziguinchor et Kolda affichent les plus forts taux de récrimination avec respectivement 55,3%, 39,4%, 38,1% et 35,1%.</w:t>
      </w:r>
    </w:p>
    <w:p w:rsidR="001B260C" w:rsidRPr="001B260C" w:rsidRDefault="001B260C" w:rsidP="001B260C">
      <w:pPr>
        <w:pStyle w:val="Lgende"/>
        <w:keepNext/>
        <w:jc w:val="center"/>
        <w:rPr>
          <w:color w:val="auto"/>
        </w:rPr>
      </w:pPr>
      <w:bookmarkStart w:id="141" w:name="_Toc523313765"/>
      <w:r w:rsidRPr="001B260C">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82</w:t>
      </w:r>
      <w:r w:rsidR="000D65F2">
        <w:rPr>
          <w:color w:val="auto"/>
        </w:rPr>
        <w:fldChar w:fldCharType="end"/>
      </w:r>
      <w:r w:rsidRPr="001B260C">
        <w:rPr>
          <w:color w:val="auto"/>
        </w:rPr>
        <w:t xml:space="preserve"> : Appréciation des unités sur l'accès au téléphone selon les régions</w:t>
      </w:r>
      <w:bookmarkEnd w:id="141"/>
    </w:p>
    <w:p w:rsidR="00533316" w:rsidRPr="00923187" w:rsidRDefault="00F44BC9" w:rsidP="00923187">
      <w:pPr>
        <w:keepNext/>
        <w:spacing w:after="200" w:line="276" w:lineRule="auto"/>
        <w:jc w:val="center"/>
        <w:rPr>
          <w:rFonts w:asciiTheme="minorHAnsi" w:eastAsiaTheme="minorEastAsia" w:hAnsiTheme="minorHAnsi" w:cstheme="minorBidi"/>
          <w:sz w:val="22"/>
          <w:szCs w:val="22"/>
        </w:rPr>
      </w:pPr>
      <w:r w:rsidRPr="00AE3DF1">
        <w:rPr>
          <w:noProof/>
        </w:rPr>
        <w:drawing>
          <wp:inline distT="0" distB="0" distL="0" distR="0">
            <wp:extent cx="5238750" cy="2819400"/>
            <wp:effectExtent l="19050" t="0" r="19050" b="0"/>
            <wp:docPr id="60" name="Graphique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33316" w:rsidRPr="00533316" w:rsidRDefault="00533316" w:rsidP="00531C35">
      <w:pPr>
        <w:keepNext/>
        <w:keepLines/>
        <w:spacing w:before="360" w:after="240" w:line="312" w:lineRule="auto"/>
        <w:ind w:left="567" w:hanging="283"/>
        <w:outlineLvl w:val="1"/>
        <w:rPr>
          <w:rFonts w:ascii="Book Antiqua" w:eastAsiaTheme="majorEastAsia" w:hAnsi="Book Antiqua" w:cstheme="majorBidi"/>
          <w:b/>
          <w:bCs/>
          <w:sz w:val="22"/>
          <w:szCs w:val="26"/>
        </w:rPr>
      </w:pPr>
      <w:bookmarkStart w:id="142" w:name="_Toc523322059"/>
      <w:r w:rsidRPr="00533316">
        <w:rPr>
          <w:rFonts w:ascii="Book Antiqua" w:eastAsiaTheme="majorEastAsia" w:hAnsi="Book Antiqua" w:cstheme="majorBidi"/>
          <w:b/>
          <w:bCs/>
          <w:sz w:val="22"/>
          <w:szCs w:val="26"/>
        </w:rPr>
        <w:t>IV.4. Qualité de l’accès par internet</w:t>
      </w:r>
      <w:bookmarkEnd w:id="142"/>
    </w:p>
    <w:p w:rsidR="001079D3" w:rsidRDefault="00533316" w:rsidP="00533316">
      <w:pPr>
        <w:spacing w:after="200" w:line="276" w:lineRule="auto"/>
        <w:jc w:val="both"/>
        <w:rPr>
          <w:rFonts w:ascii="Book Antiqua" w:eastAsiaTheme="minorEastAsia" w:hAnsi="Book Antiqua" w:cstheme="minorBidi"/>
          <w:sz w:val="22"/>
        </w:rPr>
      </w:pPr>
      <w:r w:rsidRPr="0051539E">
        <w:rPr>
          <w:rFonts w:ascii="Book Antiqua" w:eastAsiaTheme="minorEastAsia" w:hAnsi="Book Antiqua" w:cstheme="minorBidi"/>
          <w:sz w:val="22"/>
        </w:rPr>
        <w:t xml:space="preserve">L’analyse des résultats de cette enquête révèle que les </w:t>
      </w:r>
      <w:r w:rsidR="001079D3">
        <w:rPr>
          <w:rFonts w:ascii="Book Antiqua" w:eastAsiaTheme="minorEastAsia" w:hAnsi="Book Antiqua" w:cstheme="minorBidi"/>
          <w:sz w:val="22"/>
        </w:rPr>
        <w:t>unités</w:t>
      </w:r>
      <w:r w:rsidR="00292AF9">
        <w:rPr>
          <w:rFonts w:ascii="Book Antiqua" w:eastAsiaTheme="minorEastAsia" w:hAnsi="Book Antiqua" w:cstheme="minorBidi"/>
          <w:sz w:val="22"/>
        </w:rPr>
        <w:t xml:space="preserve"> </w:t>
      </w:r>
      <w:r w:rsidR="00F44B2C">
        <w:rPr>
          <w:rFonts w:ascii="Book Antiqua" w:eastAsiaTheme="minorEastAsia" w:hAnsi="Book Antiqua" w:cstheme="minorBidi"/>
          <w:sz w:val="22"/>
        </w:rPr>
        <w:t>interrogées</w:t>
      </w:r>
      <w:r w:rsidR="00292AF9">
        <w:rPr>
          <w:rFonts w:ascii="Book Antiqua" w:eastAsiaTheme="minorEastAsia" w:hAnsi="Book Antiqua" w:cstheme="minorBidi"/>
          <w:sz w:val="22"/>
        </w:rPr>
        <w:t xml:space="preserve"> </w:t>
      </w:r>
      <w:r w:rsidRPr="0051539E">
        <w:rPr>
          <w:rFonts w:ascii="Book Antiqua" w:eastAsiaTheme="minorEastAsia" w:hAnsi="Book Antiqua" w:cstheme="minorBidi"/>
          <w:sz w:val="22"/>
        </w:rPr>
        <w:t>manifestent peu d’intérêt à l’usage de l’internet dans le cadre de leur relation avec les banques</w:t>
      </w:r>
      <w:r w:rsidR="001079D3">
        <w:rPr>
          <w:rFonts w:ascii="Book Antiqua" w:eastAsiaTheme="minorEastAsia" w:hAnsi="Book Antiqua" w:cstheme="minorBidi"/>
          <w:sz w:val="22"/>
        </w:rPr>
        <w:t xml:space="preserve"> comme l’indique le taux</w:t>
      </w:r>
      <w:r w:rsidR="00BC7154">
        <w:rPr>
          <w:rFonts w:ascii="Book Antiqua" w:eastAsiaTheme="minorEastAsia" w:hAnsi="Book Antiqua" w:cstheme="minorBidi"/>
          <w:sz w:val="22"/>
        </w:rPr>
        <w:t xml:space="preserve"> élevé (64,7%) de l’échantillon</w:t>
      </w:r>
      <w:r w:rsidR="001079D3">
        <w:rPr>
          <w:rFonts w:ascii="Book Antiqua" w:eastAsiaTheme="minorEastAsia" w:hAnsi="Book Antiqua" w:cstheme="minorBidi"/>
          <w:sz w:val="22"/>
        </w:rPr>
        <w:t xml:space="preserve"> qui déclare ne pas en faire usage. </w:t>
      </w:r>
    </w:p>
    <w:p w:rsidR="00F44B2C" w:rsidRDefault="00BC7154" w:rsidP="00533316">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lastRenderedPageBreak/>
        <w:t xml:space="preserve">Parmi </w:t>
      </w:r>
      <w:r w:rsidR="00F44B2C">
        <w:rPr>
          <w:rFonts w:ascii="Book Antiqua" w:eastAsiaTheme="minorEastAsia" w:hAnsi="Book Antiqua" w:cstheme="minorBidi"/>
          <w:sz w:val="22"/>
        </w:rPr>
        <w:t>les unités qui échangent avec leurs banques</w:t>
      </w:r>
      <w:r w:rsidR="00292AF9">
        <w:rPr>
          <w:rFonts w:ascii="Book Antiqua" w:eastAsiaTheme="minorEastAsia" w:hAnsi="Book Antiqua" w:cstheme="minorBidi"/>
          <w:sz w:val="22"/>
        </w:rPr>
        <w:t xml:space="preserve"> </w:t>
      </w:r>
      <w:r w:rsidR="00F44B2C">
        <w:rPr>
          <w:rFonts w:ascii="Book Antiqua" w:eastAsiaTheme="minorEastAsia" w:hAnsi="Book Antiqua" w:cstheme="minorBidi"/>
          <w:sz w:val="22"/>
        </w:rPr>
        <w:t xml:space="preserve">par le biais de l’internet (35,3% de l’échantillon), </w:t>
      </w:r>
      <w:r>
        <w:rPr>
          <w:rFonts w:ascii="Book Antiqua" w:eastAsiaTheme="minorEastAsia" w:hAnsi="Book Antiqua" w:cstheme="minorBidi"/>
          <w:sz w:val="22"/>
        </w:rPr>
        <w:t>une proportion de 85,8% trouve</w:t>
      </w:r>
      <w:r w:rsidR="00F44B2C">
        <w:rPr>
          <w:rFonts w:ascii="Book Antiqua" w:eastAsiaTheme="minorEastAsia" w:hAnsi="Book Antiqua" w:cstheme="minorBidi"/>
          <w:sz w:val="22"/>
        </w:rPr>
        <w:t xml:space="preserve"> facile voire très facile l’accès au site web de leur banque contre 14,2% qui émettent des réserves sur la question.</w:t>
      </w:r>
    </w:p>
    <w:p w:rsidR="001B260C" w:rsidRPr="001B260C" w:rsidRDefault="001B260C" w:rsidP="001B260C">
      <w:pPr>
        <w:pStyle w:val="Lgende"/>
        <w:keepNext/>
        <w:jc w:val="center"/>
        <w:rPr>
          <w:color w:val="auto"/>
        </w:rPr>
      </w:pPr>
      <w:bookmarkStart w:id="143" w:name="_Toc523313766"/>
      <w:r w:rsidRPr="001B260C">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83</w:t>
      </w:r>
      <w:r w:rsidR="000D65F2">
        <w:rPr>
          <w:color w:val="auto"/>
        </w:rPr>
        <w:fldChar w:fldCharType="end"/>
      </w:r>
      <w:r w:rsidRPr="001B260C">
        <w:rPr>
          <w:color w:val="auto"/>
        </w:rPr>
        <w:t xml:space="preserve"> : Appréciation des unités sur l'accès au site web de leur banque</w:t>
      </w:r>
      <w:bookmarkEnd w:id="143"/>
    </w:p>
    <w:p w:rsidR="00533316" w:rsidRPr="00533316" w:rsidRDefault="00F44BC9" w:rsidP="000E1CA0">
      <w:pPr>
        <w:spacing w:after="200" w:line="276" w:lineRule="auto"/>
        <w:jc w:val="center"/>
        <w:rPr>
          <w:rFonts w:ascii="Book Antiqua" w:eastAsiaTheme="minorEastAsia" w:hAnsi="Book Antiqua" w:cstheme="minorBidi"/>
        </w:rPr>
      </w:pPr>
      <w:r w:rsidRPr="00AE3DF1">
        <w:rPr>
          <w:noProof/>
        </w:rPr>
        <w:drawing>
          <wp:inline distT="0" distB="0" distL="0" distR="0">
            <wp:extent cx="4572000" cy="2544417"/>
            <wp:effectExtent l="19050" t="0" r="19050" b="8283"/>
            <wp:docPr id="61" name="Graphique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16E8E" w:rsidRDefault="00533316" w:rsidP="00533316">
      <w:pPr>
        <w:spacing w:after="200" w:line="276" w:lineRule="auto"/>
        <w:jc w:val="both"/>
        <w:rPr>
          <w:rFonts w:ascii="Book Antiqua" w:eastAsiaTheme="minorEastAsia" w:hAnsi="Book Antiqua" w:cstheme="minorBidi"/>
          <w:sz w:val="22"/>
        </w:rPr>
      </w:pPr>
      <w:r w:rsidRPr="0051539E">
        <w:rPr>
          <w:rFonts w:ascii="Book Antiqua" w:eastAsiaTheme="minorEastAsia" w:hAnsi="Book Antiqua" w:cstheme="minorBidi"/>
          <w:sz w:val="22"/>
        </w:rPr>
        <w:t xml:space="preserve">Les appréciations des </w:t>
      </w:r>
      <w:r w:rsidR="00D16E8E">
        <w:rPr>
          <w:rFonts w:ascii="Book Antiqua" w:eastAsiaTheme="minorEastAsia" w:hAnsi="Book Antiqua" w:cstheme="minorBidi"/>
          <w:sz w:val="22"/>
        </w:rPr>
        <w:t xml:space="preserve">clients personnes morales </w:t>
      </w:r>
      <w:r w:rsidRPr="0051539E">
        <w:rPr>
          <w:rFonts w:ascii="Book Antiqua" w:eastAsiaTheme="minorEastAsia" w:hAnsi="Book Antiqua" w:cstheme="minorBidi"/>
          <w:sz w:val="22"/>
        </w:rPr>
        <w:t xml:space="preserve">sur la qualité de l’accès </w:t>
      </w:r>
      <w:r w:rsidR="00D16E8E">
        <w:rPr>
          <w:rFonts w:ascii="Book Antiqua" w:eastAsiaTheme="minorEastAsia" w:hAnsi="Book Antiqua" w:cstheme="minorBidi"/>
          <w:sz w:val="22"/>
        </w:rPr>
        <w:t xml:space="preserve">au site web de leurs banques </w:t>
      </w:r>
      <w:r w:rsidRPr="0051539E">
        <w:rPr>
          <w:rFonts w:ascii="Book Antiqua" w:eastAsiaTheme="minorEastAsia" w:hAnsi="Book Antiqua" w:cstheme="minorBidi"/>
          <w:sz w:val="22"/>
        </w:rPr>
        <w:t xml:space="preserve">suivant les régions </w:t>
      </w:r>
      <w:r w:rsidR="00D16E8E">
        <w:rPr>
          <w:rFonts w:ascii="Book Antiqua" w:eastAsiaTheme="minorEastAsia" w:hAnsi="Book Antiqua" w:cstheme="minorBidi"/>
          <w:sz w:val="22"/>
        </w:rPr>
        <w:t xml:space="preserve">établissent des niveaux d’insatisfaction très élevés à </w:t>
      </w:r>
      <w:proofErr w:type="spellStart"/>
      <w:r w:rsidR="00D16E8E">
        <w:rPr>
          <w:rFonts w:ascii="Book Antiqua" w:eastAsiaTheme="minorEastAsia" w:hAnsi="Book Antiqua" w:cstheme="minorBidi"/>
          <w:sz w:val="22"/>
        </w:rPr>
        <w:t>S</w:t>
      </w:r>
      <w:r w:rsidR="000E1CA0">
        <w:rPr>
          <w:rFonts w:ascii="Book Antiqua" w:eastAsiaTheme="minorEastAsia" w:hAnsi="Book Antiqua" w:cstheme="minorBidi"/>
          <w:sz w:val="22"/>
        </w:rPr>
        <w:t>é</w:t>
      </w:r>
      <w:r w:rsidR="00D16E8E">
        <w:rPr>
          <w:rFonts w:ascii="Book Antiqua" w:eastAsiaTheme="minorEastAsia" w:hAnsi="Book Antiqua" w:cstheme="minorBidi"/>
          <w:sz w:val="22"/>
        </w:rPr>
        <w:t>dhiou</w:t>
      </w:r>
      <w:proofErr w:type="spellEnd"/>
      <w:r w:rsidR="00D16E8E">
        <w:rPr>
          <w:rFonts w:ascii="Book Antiqua" w:eastAsiaTheme="minorEastAsia" w:hAnsi="Book Antiqua" w:cstheme="minorBidi"/>
          <w:sz w:val="22"/>
        </w:rPr>
        <w:t xml:space="preserve"> (75,0%), Kédougou et </w:t>
      </w:r>
      <w:proofErr w:type="spellStart"/>
      <w:r w:rsidR="00D16E8E">
        <w:rPr>
          <w:rFonts w:ascii="Book Antiqua" w:eastAsiaTheme="minorEastAsia" w:hAnsi="Book Antiqua" w:cstheme="minorBidi"/>
          <w:sz w:val="22"/>
        </w:rPr>
        <w:t>Fatick</w:t>
      </w:r>
      <w:proofErr w:type="spellEnd"/>
      <w:r w:rsidR="00D16E8E">
        <w:rPr>
          <w:rFonts w:ascii="Book Antiqua" w:eastAsiaTheme="minorEastAsia" w:hAnsi="Book Antiqua" w:cstheme="minorBidi"/>
          <w:sz w:val="22"/>
        </w:rPr>
        <w:t xml:space="preserve"> (66,7%), Ziguinchor (44,8%) et Kolda (44,4%).</w:t>
      </w:r>
    </w:p>
    <w:p w:rsidR="001B260C" w:rsidRPr="001B260C" w:rsidRDefault="001B260C" w:rsidP="001B260C">
      <w:pPr>
        <w:pStyle w:val="Lgende"/>
        <w:keepNext/>
        <w:jc w:val="center"/>
        <w:rPr>
          <w:color w:val="auto"/>
        </w:rPr>
      </w:pPr>
      <w:bookmarkStart w:id="144" w:name="_Toc523313767"/>
      <w:r w:rsidRPr="001B260C">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84</w:t>
      </w:r>
      <w:r w:rsidR="000D65F2">
        <w:rPr>
          <w:color w:val="auto"/>
        </w:rPr>
        <w:fldChar w:fldCharType="end"/>
      </w:r>
      <w:r w:rsidRPr="001B260C">
        <w:rPr>
          <w:color w:val="auto"/>
        </w:rPr>
        <w:t xml:space="preserve"> : Appréciation des unités sur l'accès au site web de leur banque selon les régions</w:t>
      </w:r>
      <w:bookmarkEnd w:id="144"/>
    </w:p>
    <w:p w:rsidR="00D16E8E" w:rsidRDefault="00F44BC9" w:rsidP="00533316">
      <w:pPr>
        <w:spacing w:after="200" w:line="276" w:lineRule="auto"/>
        <w:rPr>
          <w:rFonts w:ascii="Book Antiqua" w:eastAsiaTheme="minorEastAsia" w:hAnsi="Book Antiqua" w:cstheme="minorBidi"/>
          <w:b/>
        </w:rPr>
      </w:pPr>
      <w:r w:rsidRPr="00AE3DF1">
        <w:rPr>
          <w:noProof/>
        </w:rPr>
        <w:drawing>
          <wp:inline distT="0" distB="0" distL="0" distR="0">
            <wp:extent cx="5971429" cy="3419061"/>
            <wp:effectExtent l="19050" t="0" r="10271" b="0"/>
            <wp:docPr id="62" name="Graphique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0723FC" w:rsidRPr="00923187" w:rsidRDefault="000723FC" w:rsidP="00FB44EB">
      <w:pPr>
        <w:spacing w:before="360" w:after="240" w:line="276" w:lineRule="auto"/>
        <w:rPr>
          <w:rFonts w:ascii="Book Antiqua" w:eastAsiaTheme="minorEastAsia" w:hAnsi="Book Antiqua" w:cstheme="minorBidi"/>
          <w:sz w:val="22"/>
          <w:szCs w:val="22"/>
        </w:rPr>
      </w:pPr>
      <w:r w:rsidRPr="00923187">
        <w:rPr>
          <w:rFonts w:ascii="Book Antiqua" w:eastAsiaTheme="minorEastAsia" w:hAnsi="Book Antiqua" w:cstheme="minorBidi"/>
          <w:sz w:val="22"/>
          <w:szCs w:val="22"/>
        </w:rPr>
        <w:t>Les opinions des unités interviewées sur la qualité d’accès au site web de leurs banques révèlent un taux d’insatisfaction de 19,7% pour le secteur informel contre 13,6% pour le formel.</w:t>
      </w:r>
    </w:p>
    <w:p w:rsidR="004B2E2A" w:rsidRPr="004B2E2A" w:rsidRDefault="004B2E2A" w:rsidP="004B2E2A">
      <w:pPr>
        <w:pStyle w:val="Lgende"/>
        <w:keepNext/>
        <w:jc w:val="center"/>
        <w:rPr>
          <w:color w:val="auto"/>
        </w:rPr>
      </w:pPr>
      <w:bookmarkStart w:id="145" w:name="_Toc523313768"/>
      <w:r w:rsidRPr="004B2E2A">
        <w:rPr>
          <w:color w:val="auto"/>
        </w:rPr>
        <w:lastRenderedPageBreak/>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85</w:t>
      </w:r>
      <w:r w:rsidR="000D65F2">
        <w:rPr>
          <w:color w:val="auto"/>
        </w:rPr>
        <w:fldChar w:fldCharType="end"/>
      </w:r>
      <w:r w:rsidRPr="004B2E2A">
        <w:rPr>
          <w:color w:val="auto"/>
        </w:rPr>
        <w:t xml:space="preserve"> : Appréciation des unités sur l'accès au site web de leur banque selon la nature de l'activité</w:t>
      </w:r>
      <w:bookmarkEnd w:id="145"/>
    </w:p>
    <w:p w:rsidR="00531C35" w:rsidRPr="00146582" w:rsidRDefault="00F44BC9" w:rsidP="00146582">
      <w:pPr>
        <w:spacing w:after="200" w:line="276" w:lineRule="auto"/>
        <w:ind w:firstLine="708"/>
        <w:jc w:val="center"/>
        <w:rPr>
          <w:rFonts w:ascii="Book Antiqua" w:eastAsiaTheme="minorEastAsia" w:hAnsi="Book Antiqua" w:cstheme="minorBidi"/>
          <w:b/>
        </w:rPr>
      </w:pPr>
      <w:r>
        <w:rPr>
          <w:noProof/>
        </w:rPr>
        <w:drawing>
          <wp:inline distT="0" distB="0" distL="0" distR="0">
            <wp:extent cx="4572000" cy="2743200"/>
            <wp:effectExtent l="19050" t="0" r="19050" b="0"/>
            <wp:docPr id="66" name="Graphique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bookmarkStart w:id="146" w:name="_Toc523322060"/>
    </w:p>
    <w:p w:rsidR="00533316" w:rsidRPr="007A0892" w:rsidRDefault="00533316" w:rsidP="003C6676">
      <w:pPr>
        <w:keepNext/>
        <w:keepLines/>
        <w:spacing w:before="240" w:after="240" w:line="312" w:lineRule="auto"/>
        <w:outlineLvl w:val="0"/>
        <w:rPr>
          <w:rFonts w:ascii="Book Antiqua" w:eastAsiaTheme="majorEastAsia" w:hAnsi="Book Antiqua" w:cstheme="majorBidi"/>
          <w:b/>
          <w:bCs/>
          <w:caps/>
          <w:sz w:val="22"/>
          <w:szCs w:val="22"/>
        </w:rPr>
      </w:pPr>
      <w:r w:rsidRPr="007A0892">
        <w:rPr>
          <w:rFonts w:ascii="Book Antiqua" w:eastAsiaTheme="majorEastAsia" w:hAnsi="Book Antiqua" w:cstheme="majorBidi"/>
          <w:b/>
          <w:bCs/>
          <w:caps/>
          <w:sz w:val="22"/>
          <w:szCs w:val="22"/>
        </w:rPr>
        <w:t xml:space="preserve">V. </w:t>
      </w:r>
      <w:r w:rsidR="00E57E96" w:rsidRPr="007A0892">
        <w:rPr>
          <w:rFonts w:ascii="Book Antiqua" w:eastAsiaTheme="majorEastAsia" w:hAnsi="Book Antiqua" w:cstheme="majorBidi"/>
          <w:b/>
          <w:bCs/>
          <w:sz w:val="22"/>
          <w:szCs w:val="22"/>
        </w:rPr>
        <w:t xml:space="preserve">Avis sur le traitement réservé </w:t>
      </w:r>
      <w:r w:rsidR="007B7466" w:rsidRPr="007A0892">
        <w:rPr>
          <w:rFonts w:ascii="Book Antiqua" w:eastAsiaTheme="majorEastAsia" w:hAnsi="Book Antiqua" w:cstheme="majorBidi"/>
          <w:b/>
          <w:bCs/>
          <w:sz w:val="22"/>
          <w:szCs w:val="22"/>
        </w:rPr>
        <w:t>à</w:t>
      </w:r>
      <w:r w:rsidR="00E57E96" w:rsidRPr="007A0892">
        <w:rPr>
          <w:rFonts w:ascii="Book Antiqua" w:eastAsiaTheme="majorEastAsia" w:hAnsi="Book Antiqua" w:cstheme="majorBidi"/>
          <w:b/>
          <w:bCs/>
          <w:sz w:val="22"/>
          <w:szCs w:val="22"/>
        </w:rPr>
        <w:t xml:space="preserve"> la clientèle</w:t>
      </w:r>
      <w:bookmarkEnd w:id="146"/>
    </w:p>
    <w:p w:rsidR="00533316" w:rsidRPr="007A0892" w:rsidRDefault="00533316" w:rsidP="003C6676">
      <w:pPr>
        <w:keepNext/>
        <w:keepLines/>
        <w:spacing w:before="240" w:after="240" w:line="312" w:lineRule="auto"/>
        <w:ind w:firstLine="284"/>
        <w:outlineLvl w:val="1"/>
        <w:rPr>
          <w:rFonts w:ascii="Book Antiqua" w:eastAsiaTheme="majorEastAsia" w:hAnsi="Book Antiqua" w:cstheme="majorBidi"/>
          <w:b/>
          <w:bCs/>
          <w:sz w:val="22"/>
          <w:szCs w:val="22"/>
        </w:rPr>
      </w:pPr>
      <w:bookmarkStart w:id="147" w:name="_Toc523322061"/>
      <w:r w:rsidRPr="007A0892">
        <w:rPr>
          <w:rFonts w:ascii="Book Antiqua" w:eastAsiaTheme="majorEastAsia" w:hAnsi="Book Antiqua" w:cstheme="majorBidi"/>
          <w:b/>
          <w:bCs/>
          <w:sz w:val="22"/>
          <w:szCs w:val="22"/>
        </w:rPr>
        <w:t>V.1. Satisfaction sur les services du personnel  du « front office »</w:t>
      </w:r>
      <w:bookmarkEnd w:id="147"/>
    </w:p>
    <w:p w:rsidR="00533316" w:rsidRPr="007A0892" w:rsidRDefault="00533316" w:rsidP="003C6676">
      <w:pPr>
        <w:keepNext/>
        <w:keepLines/>
        <w:spacing w:before="240" w:after="240" w:line="312" w:lineRule="auto"/>
        <w:ind w:firstLine="567"/>
        <w:outlineLvl w:val="2"/>
        <w:rPr>
          <w:rFonts w:ascii="Book Antiqua" w:eastAsiaTheme="majorEastAsia" w:hAnsi="Book Antiqua" w:cstheme="majorBidi"/>
          <w:b/>
          <w:bCs/>
          <w:sz w:val="22"/>
          <w:szCs w:val="22"/>
        </w:rPr>
      </w:pPr>
      <w:bookmarkStart w:id="148" w:name="_Toc523322062"/>
      <w:r w:rsidRPr="007A0892">
        <w:rPr>
          <w:rFonts w:ascii="Book Antiqua" w:eastAsiaTheme="majorEastAsia" w:hAnsi="Book Antiqua" w:cstheme="majorBidi"/>
          <w:b/>
          <w:bCs/>
          <w:sz w:val="22"/>
          <w:szCs w:val="22"/>
        </w:rPr>
        <w:t>V.1.1.Opinion sur la qualité du suivi personnalisé</w:t>
      </w:r>
      <w:bookmarkEnd w:id="148"/>
    </w:p>
    <w:p w:rsidR="00BD1E89" w:rsidRDefault="00265D9D" w:rsidP="00FB44EB">
      <w:pPr>
        <w:spacing w:after="200" w:line="276" w:lineRule="auto"/>
        <w:contextualSpacing/>
        <w:jc w:val="both"/>
        <w:rPr>
          <w:rFonts w:ascii="Book Antiqua" w:eastAsiaTheme="minorEastAsia" w:hAnsi="Book Antiqua" w:cstheme="minorBidi"/>
          <w:sz w:val="22"/>
        </w:rPr>
      </w:pPr>
      <w:r>
        <w:rPr>
          <w:rFonts w:ascii="Book Antiqua" w:eastAsiaTheme="minorEastAsia" w:hAnsi="Book Antiqua" w:cstheme="minorBidi"/>
          <w:sz w:val="22"/>
        </w:rPr>
        <w:t xml:space="preserve">Une proportion de 44,2% des personnes morales interrogées déclare n’avoir jamais reçu de conseil de la part de leur chargé de compte. </w:t>
      </w:r>
    </w:p>
    <w:p w:rsidR="00BD1E89" w:rsidRDefault="00BD1E89" w:rsidP="00FB44EB">
      <w:pPr>
        <w:spacing w:after="200" w:line="276" w:lineRule="auto"/>
        <w:contextualSpacing/>
        <w:jc w:val="both"/>
        <w:rPr>
          <w:rFonts w:ascii="Book Antiqua" w:eastAsiaTheme="minorEastAsia" w:hAnsi="Book Antiqua" w:cstheme="minorBidi"/>
          <w:sz w:val="22"/>
        </w:rPr>
      </w:pPr>
      <w:r>
        <w:rPr>
          <w:rFonts w:ascii="Book Antiqua" w:eastAsiaTheme="minorEastAsia" w:hAnsi="Book Antiqua" w:cstheme="minorBidi"/>
          <w:sz w:val="22"/>
        </w:rPr>
        <w:t>La fréquence des conseils fournis par les banques à leurs clients personnes morales est diversement appréciée. En effet,  7,5 % déclarent en avoir reçu « très souvent » tandis que 52,6% disent en bénéficier « souvent » et 40,0% « rarement ».</w:t>
      </w:r>
    </w:p>
    <w:p w:rsidR="004B2E2A" w:rsidRPr="004B2E2A" w:rsidRDefault="004B2E2A" w:rsidP="00146582">
      <w:pPr>
        <w:pStyle w:val="Lgende"/>
        <w:keepNext/>
        <w:spacing w:before="240"/>
        <w:jc w:val="center"/>
        <w:rPr>
          <w:color w:val="auto"/>
        </w:rPr>
      </w:pPr>
      <w:bookmarkStart w:id="149" w:name="_Toc523313769"/>
      <w:r w:rsidRPr="004B2E2A">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86</w:t>
      </w:r>
      <w:r w:rsidR="000D65F2">
        <w:rPr>
          <w:color w:val="auto"/>
        </w:rPr>
        <w:fldChar w:fldCharType="end"/>
      </w:r>
      <w:r w:rsidRPr="004B2E2A">
        <w:rPr>
          <w:color w:val="auto"/>
        </w:rPr>
        <w:t xml:space="preserve"> : Fréquence des conseils fournis aux unités enquêtées</w:t>
      </w:r>
      <w:bookmarkEnd w:id="149"/>
    </w:p>
    <w:p w:rsidR="00802CF4" w:rsidRDefault="00F44BC9" w:rsidP="00923187">
      <w:pPr>
        <w:spacing w:after="200" w:line="276" w:lineRule="auto"/>
        <w:jc w:val="center"/>
        <w:rPr>
          <w:rFonts w:ascii="Book Antiqua" w:eastAsiaTheme="minorEastAsia" w:hAnsi="Book Antiqua" w:cstheme="minorBidi"/>
          <w:sz w:val="22"/>
        </w:rPr>
      </w:pPr>
      <w:r w:rsidRPr="00AE3DF1">
        <w:rPr>
          <w:noProof/>
        </w:rPr>
        <w:drawing>
          <wp:inline distT="0" distB="0" distL="0" distR="0">
            <wp:extent cx="4572000" cy="2743200"/>
            <wp:effectExtent l="19050" t="0" r="19050" b="0"/>
            <wp:docPr id="73" name="Graphique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46582" w:rsidRDefault="00146582">
      <w:pPr>
        <w:spacing w:after="200" w:line="276" w:lineRule="auto"/>
        <w:rPr>
          <w:rFonts w:ascii="Book Antiqua" w:eastAsiaTheme="minorEastAsia" w:hAnsi="Book Antiqua" w:cstheme="minorBidi"/>
          <w:sz w:val="22"/>
        </w:rPr>
      </w:pPr>
      <w:r>
        <w:rPr>
          <w:rFonts w:ascii="Book Antiqua" w:eastAsiaTheme="minorEastAsia" w:hAnsi="Book Antiqua" w:cstheme="minorBidi"/>
          <w:sz w:val="22"/>
        </w:rPr>
        <w:br w:type="page"/>
      </w:r>
    </w:p>
    <w:p w:rsidR="00820084" w:rsidRDefault="00820084" w:rsidP="00533316">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lastRenderedPageBreak/>
        <w:t>L’exploitation des</w:t>
      </w:r>
      <w:r w:rsidR="00802CF4">
        <w:rPr>
          <w:rFonts w:ascii="Book Antiqua" w:eastAsiaTheme="minorEastAsia" w:hAnsi="Book Antiqua" w:cstheme="minorBidi"/>
          <w:sz w:val="22"/>
        </w:rPr>
        <w:t xml:space="preserve"> déclaration</w:t>
      </w:r>
      <w:r>
        <w:rPr>
          <w:rFonts w:ascii="Book Antiqua" w:eastAsiaTheme="minorEastAsia" w:hAnsi="Book Antiqua" w:cstheme="minorBidi"/>
          <w:sz w:val="22"/>
        </w:rPr>
        <w:t>s</w:t>
      </w:r>
      <w:r w:rsidR="00A22DD6">
        <w:rPr>
          <w:rFonts w:ascii="Book Antiqua" w:eastAsiaTheme="minorEastAsia" w:hAnsi="Book Antiqua" w:cstheme="minorBidi"/>
          <w:sz w:val="22"/>
        </w:rPr>
        <w:t xml:space="preserve"> </w:t>
      </w:r>
      <w:r>
        <w:rPr>
          <w:rFonts w:ascii="Book Antiqua" w:eastAsiaTheme="minorEastAsia" w:hAnsi="Book Antiqua" w:cstheme="minorBidi"/>
          <w:sz w:val="22"/>
        </w:rPr>
        <w:t>recueillies auprès des cibles sur la fréquence des conseils fournis suivant les régions fait ressortir les conclusions</w:t>
      </w:r>
      <w:r w:rsidR="00A22DD6">
        <w:rPr>
          <w:rFonts w:ascii="Book Antiqua" w:eastAsiaTheme="minorEastAsia" w:hAnsi="Book Antiqua" w:cstheme="minorBidi"/>
          <w:sz w:val="22"/>
        </w:rPr>
        <w:t xml:space="preserve"> </w:t>
      </w:r>
      <w:r>
        <w:rPr>
          <w:rFonts w:ascii="Book Antiqua" w:eastAsiaTheme="minorEastAsia" w:hAnsi="Book Antiqua" w:cstheme="minorBidi"/>
          <w:sz w:val="22"/>
        </w:rPr>
        <w:t>ci-après :</w:t>
      </w:r>
    </w:p>
    <w:p w:rsidR="00A22DD6" w:rsidRDefault="00820084" w:rsidP="00146582">
      <w:pPr>
        <w:pStyle w:val="Paragraphedeliste"/>
        <w:numPr>
          <w:ilvl w:val="0"/>
          <w:numId w:val="53"/>
        </w:numPr>
        <w:spacing w:before="120" w:after="120" w:line="276" w:lineRule="auto"/>
        <w:ind w:left="357" w:hanging="357"/>
        <w:contextualSpacing w:val="0"/>
        <w:jc w:val="both"/>
        <w:rPr>
          <w:rFonts w:ascii="Book Antiqua" w:eastAsiaTheme="minorEastAsia" w:hAnsi="Book Antiqua" w:cstheme="minorBidi"/>
          <w:sz w:val="22"/>
        </w:rPr>
      </w:pPr>
      <w:r w:rsidRPr="00A22DD6">
        <w:rPr>
          <w:rFonts w:ascii="Book Antiqua" w:eastAsiaTheme="minorEastAsia" w:hAnsi="Book Antiqua" w:cstheme="minorBidi"/>
          <w:sz w:val="22"/>
        </w:rPr>
        <w:t xml:space="preserve">Les unités des régions de Kolda, </w:t>
      </w:r>
      <w:proofErr w:type="spellStart"/>
      <w:r w:rsidRPr="00A22DD6">
        <w:rPr>
          <w:rFonts w:ascii="Book Antiqua" w:eastAsiaTheme="minorEastAsia" w:hAnsi="Book Antiqua" w:cstheme="minorBidi"/>
          <w:sz w:val="22"/>
        </w:rPr>
        <w:t>S</w:t>
      </w:r>
      <w:r w:rsidR="000E1CA0" w:rsidRPr="00A22DD6">
        <w:rPr>
          <w:rFonts w:ascii="Book Antiqua" w:eastAsiaTheme="minorEastAsia" w:hAnsi="Book Antiqua" w:cstheme="minorBidi"/>
          <w:sz w:val="22"/>
        </w:rPr>
        <w:t>é</w:t>
      </w:r>
      <w:r w:rsidRPr="00A22DD6">
        <w:rPr>
          <w:rFonts w:ascii="Book Antiqua" w:eastAsiaTheme="minorEastAsia" w:hAnsi="Book Antiqua" w:cstheme="minorBidi"/>
          <w:sz w:val="22"/>
        </w:rPr>
        <w:t>dhiou</w:t>
      </w:r>
      <w:proofErr w:type="spellEnd"/>
      <w:r w:rsidRPr="00A22DD6">
        <w:rPr>
          <w:rFonts w:ascii="Book Antiqua" w:eastAsiaTheme="minorEastAsia" w:hAnsi="Book Antiqua" w:cstheme="minorBidi"/>
          <w:sz w:val="22"/>
        </w:rPr>
        <w:t xml:space="preserve">, Matam et </w:t>
      </w:r>
      <w:proofErr w:type="spellStart"/>
      <w:r w:rsidRPr="00A22DD6">
        <w:rPr>
          <w:rFonts w:ascii="Book Antiqua" w:eastAsiaTheme="minorEastAsia" w:hAnsi="Book Antiqua" w:cstheme="minorBidi"/>
          <w:sz w:val="22"/>
        </w:rPr>
        <w:t>Fatick</w:t>
      </w:r>
      <w:proofErr w:type="spellEnd"/>
      <w:r w:rsidR="00A22DD6" w:rsidRPr="00A22DD6">
        <w:rPr>
          <w:rFonts w:ascii="Book Antiqua" w:eastAsiaTheme="minorEastAsia" w:hAnsi="Book Antiqua" w:cstheme="minorBidi"/>
          <w:sz w:val="22"/>
        </w:rPr>
        <w:t xml:space="preserve"> </w:t>
      </w:r>
      <w:r w:rsidRPr="00A22DD6">
        <w:rPr>
          <w:rFonts w:ascii="Book Antiqua" w:eastAsiaTheme="minorEastAsia" w:hAnsi="Book Antiqua" w:cstheme="minorBidi"/>
          <w:sz w:val="22"/>
        </w:rPr>
        <w:t>affirment n’avoir jamais reçu de conseil de leur chargé de compte avec des proportions respectives de 62,2%, 59,6%, 58,5% et 57,5% ;</w:t>
      </w:r>
    </w:p>
    <w:p w:rsidR="00A22DD6" w:rsidRDefault="00820084" w:rsidP="00146582">
      <w:pPr>
        <w:pStyle w:val="Paragraphedeliste"/>
        <w:numPr>
          <w:ilvl w:val="0"/>
          <w:numId w:val="53"/>
        </w:numPr>
        <w:spacing w:before="120" w:after="120" w:line="276" w:lineRule="auto"/>
        <w:ind w:left="357" w:hanging="357"/>
        <w:contextualSpacing w:val="0"/>
        <w:jc w:val="both"/>
        <w:rPr>
          <w:rFonts w:ascii="Book Antiqua" w:eastAsiaTheme="minorEastAsia" w:hAnsi="Book Antiqua" w:cstheme="minorBidi"/>
          <w:sz w:val="22"/>
        </w:rPr>
      </w:pPr>
      <w:r w:rsidRPr="00A22DD6">
        <w:rPr>
          <w:rFonts w:ascii="Book Antiqua" w:eastAsiaTheme="minorEastAsia" w:hAnsi="Book Antiqua" w:cstheme="minorBidi"/>
          <w:sz w:val="22"/>
        </w:rPr>
        <w:t xml:space="preserve">Les localités de Matam, </w:t>
      </w:r>
      <w:r w:rsidR="00923187" w:rsidRPr="00A22DD6">
        <w:rPr>
          <w:rFonts w:ascii="Book Antiqua" w:eastAsiaTheme="minorEastAsia" w:hAnsi="Book Antiqua" w:cstheme="minorBidi"/>
          <w:sz w:val="22"/>
        </w:rPr>
        <w:t>Thiès</w:t>
      </w:r>
      <w:r w:rsidRPr="00A22DD6">
        <w:rPr>
          <w:rFonts w:ascii="Book Antiqua" w:eastAsiaTheme="minorEastAsia" w:hAnsi="Book Antiqua" w:cstheme="minorBidi"/>
          <w:sz w:val="22"/>
        </w:rPr>
        <w:t xml:space="preserve">, Saint-Louis et Kaolack viennent en premier plan </w:t>
      </w:r>
      <w:r w:rsidR="00D81672" w:rsidRPr="00A22DD6">
        <w:rPr>
          <w:rFonts w:ascii="Book Antiqua" w:eastAsiaTheme="minorEastAsia" w:hAnsi="Book Antiqua" w:cstheme="minorBidi"/>
          <w:sz w:val="22"/>
        </w:rPr>
        <w:t>chez</w:t>
      </w:r>
      <w:r w:rsidRPr="00A22DD6">
        <w:rPr>
          <w:rFonts w:ascii="Book Antiqua" w:eastAsiaTheme="minorEastAsia" w:hAnsi="Book Antiqua" w:cstheme="minorBidi"/>
          <w:sz w:val="22"/>
        </w:rPr>
        <w:t xml:space="preserve"> les unités qui déclarent recevoir </w:t>
      </w:r>
      <w:r w:rsidR="00D81672" w:rsidRPr="00A22DD6">
        <w:rPr>
          <w:rFonts w:ascii="Book Antiqua" w:eastAsiaTheme="minorEastAsia" w:hAnsi="Book Antiqua" w:cstheme="minorBidi"/>
          <w:sz w:val="22"/>
        </w:rPr>
        <w:t>« </w:t>
      </w:r>
      <w:r w:rsidRPr="00A22DD6">
        <w:rPr>
          <w:rFonts w:ascii="Book Antiqua" w:eastAsiaTheme="minorEastAsia" w:hAnsi="Book Antiqua" w:cstheme="minorBidi"/>
          <w:sz w:val="22"/>
        </w:rPr>
        <w:t>très souvent</w:t>
      </w:r>
      <w:r w:rsidR="00D81672" w:rsidRPr="00A22DD6">
        <w:rPr>
          <w:rFonts w:ascii="Book Antiqua" w:eastAsiaTheme="minorEastAsia" w:hAnsi="Book Antiqua" w:cstheme="minorBidi"/>
          <w:sz w:val="22"/>
        </w:rPr>
        <w:t> »</w:t>
      </w:r>
      <w:r w:rsidRPr="00A22DD6">
        <w:rPr>
          <w:rFonts w:ascii="Book Antiqua" w:eastAsiaTheme="minorEastAsia" w:hAnsi="Book Antiqua" w:cstheme="minorBidi"/>
          <w:sz w:val="22"/>
        </w:rPr>
        <w:t xml:space="preserve"> ou </w:t>
      </w:r>
      <w:r w:rsidR="00D81672" w:rsidRPr="00A22DD6">
        <w:rPr>
          <w:rFonts w:ascii="Book Antiqua" w:eastAsiaTheme="minorEastAsia" w:hAnsi="Book Antiqua" w:cstheme="minorBidi"/>
          <w:sz w:val="22"/>
        </w:rPr>
        <w:t>« </w:t>
      </w:r>
      <w:r w:rsidRPr="00A22DD6">
        <w:rPr>
          <w:rFonts w:ascii="Book Antiqua" w:eastAsiaTheme="minorEastAsia" w:hAnsi="Book Antiqua" w:cstheme="minorBidi"/>
          <w:sz w:val="22"/>
        </w:rPr>
        <w:t>souvent</w:t>
      </w:r>
      <w:r w:rsidR="00D81672" w:rsidRPr="00A22DD6">
        <w:rPr>
          <w:rFonts w:ascii="Book Antiqua" w:eastAsiaTheme="minorEastAsia" w:hAnsi="Book Antiqua" w:cstheme="minorBidi"/>
          <w:sz w:val="22"/>
        </w:rPr>
        <w:t> »</w:t>
      </w:r>
      <w:r w:rsidRPr="00A22DD6">
        <w:rPr>
          <w:rFonts w:ascii="Book Antiqua" w:eastAsiaTheme="minorEastAsia" w:hAnsi="Book Antiqua" w:cstheme="minorBidi"/>
          <w:sz w:val="22"/>
        </w:rPr>
        <w:t xml:space="preserve"> des conseils de leurs banques</w:t>
      </w:r>
      <w:r w:rsidR="00D81672" w:rsidRPr="00A22DD6">
        <w:rPr>
          <w:rFonts w:ascii="Book Antiqua" w:eastAsiaTheme="minorEastAsia" w:hAnsi="Book Antiqua" w:cstheme="minorBidi"/>
          <w:sz w:val="22"/>
        </w:rPr>
        <w:t xml:space="preserve"> avec respectivement des taux de 82,4%, 81,8%, 80,9% et 80,4%</w:t>
      </w:r>
      <w:r w:rsidR="00A22DD6">
        <w:rPr>
          <w:rFonts w:ascii="Book Antiqua" w:eastAsiaTheme="minorEastAsia" w:hAnsi="Book Antiqua" w:cstheme="minorBidi"/>
          <w:sz w:val="22"/>
        </w:rPr>
        <w:t> ;</w:t>
      </w:r>
    </w:p>
    <w:p w:rsidR="009260C9" w:rsidRPr="00A22DD6" w:rsidRDefault="00D81672" w:rsidP="00146582">
      <w:pPr>
        <w:pStyle w:val="Paragraphedeliste"/>
        <w:numPr>
          <w:ilvl w:val="0"/>
          <w:numId w:val="53"/>
        </w:numPr>
        <w:spacing w:before="120" w:after="120" w:line="276" w:lineRule="auto"/>
        <w:ind w:left="357" w:hanging="357"/>
        <w:contextualSpacing w:val="0"/>
        <w:jc w:val="both"/>
        <w:rPr>
          <w:rFonts w:ascii="Book Antiqua" w:eastAsiaTheme="minorEastAsia" w:hAnsi="Book Antiqua" w:cstheme="minorBidi"/>
          <w:sz w:val="22"/>
        </w:rPr>
      </w:pPr>
      <w:r w:rsidRPr="00A22DD6">
        <w:rPr>
          <w:rFonts w:ascii="Book Antiqua" w:eastAsiaTheme="minorEastAsia" w:hAnsi="Book Antiqua" w:cstheme="minorBidi"/>
          <w:sz w:val="22"/>
        </w:rPr>
        <w:t xml:space="preserve">Les unités déclarant recevoir « rarement » des conseils dans le cadre relationnel sont particulièrement implantées dans les régions de </w:t>
      </w:r>
      <w:proofErr w:type="spellStart"/>
      <w:r w:rsidRPr="00A22DD6">
        <w:rPr>
          <w:rFonts w:ascii="Book Antiqua" w:eastAsiaTheme="minorEastAsia" w:hAnsi="Book Antiqua" w:cstheme="minorBidi"/>
          <w:sz w:val="22"/>
        </w:rPr>
        <w:t>Sédhiou</w:t>
      </w:r>
      <w:proofErr w:type="spellEnd"/>
      <w:r w:rsidRPr="00A22DD6">
        <w:rPr>
          <w:rFonts w:ascii="Book Antiqua" w:eastAsiaTheme="minorEastAsia" w:hAnsi="Book Antiqua" w:cstheme="minorBidi"/>
          <w:sz w:val="22"/>
        </w:rPr>
        <w:t xml:space="preserve"> (68,4%), Tambacounda (66,7%)</w:t>
      </w:r>
      <w:r w:rsidR="00BC7154">
        <w:rPr>
          <w:rFonts w:ascii="Book Antiqua" w:eastAsiaTheme="minorEastAsia" w:hAnsi="Book Antiqua" w:cstheme="minorBidi"/>
          <w:sz w:val="22"/>
        </w:rPr>
        <w:t xml:space="preserve"> </w:t>
      </w:r>
      <w:r w:rsidRPr="00A22DD6">
        <w:rPr>
          <w:rFonts w:ascii="Book Antiqua" w:eastAsiaTheme="minorEastAsia" w:hAnsi="Book Antiqua" w:cstheme="minorBidi"/>
          <w:sz w:val="22"/>
        </w:rPr>
        <w:t xml:space="preserve">et </w:t>
      </w:r>
      <w:proofErr w:type="spellStart"/>
      <w:r w:rsidRPr="00A22DD6">
        <w:rPr>
          <w:rFonts w:ascii="Book Antiqua" w:eastAsiaTheme="minorEastAsia" w:hAnsi="Book Antiqua" w:cstheme="minorBidi"/>
          <w:sz w:val="22"/>
        </w:rPr>
        <w:t>Kaffrine</w:t>
      </w:r>
      <w:proofErr w:type="spellEnd"/>
      <w:r w:rsidR="00BC7154">
        <w:rPr>
          <w:rFonts w:ascii="Book Antiqua" w:eastAsiaTheme="minorEastAsia" w:hAnsi="Book Antiqua" w:cstheme="minorBidi"/>
          <w:sz w:val="22"/>
        </w:rPr>
        <w:t xml:space="preserve"> </w:t>
      </w:r>
      <w:r w:rsidRPr="00A22DD6">
        <w:rPr>
          <w:rFonts w:ascii="Book Antiqua" w:eastAsiaTheme="minorEastAsia" w:hAnsi="Book Antiqua" w:cstheme="minorBidi"/>
          <w:sz w:val="22"/>
        </w:rPr>
        <w:t>(62,5</w:t>
      </w:r>
      <w:r w:rsidR="00E21740" w:rsidRPr="00A22DD6">
        <w:rPr>
          <w:rFonts w:ascii="Book Antiqua" w:eastAsiaTheme="minorEastAsia" w:hAnsi="Book Antiqua" w:cstheme="minorBidi"/>
          <w:sz w:val="22"/>
        </w:rPr>
        <w:t>%).</w:t>
      </w:r>
    </w:p>
    <w:p w:rsidR="004B2E2A" w:rsidRPr="004B2E2A" w:rsidRDefault="004B2E2A" w:rsidP="004B2E2A">
      <w:pPr>
        <w:pStyle w:val="Lgende"/>
        <w:keepNext/>
        <w:jc w:val="center"/>
        <w:rPr>
          <w:color w:val="auto"/>
        </w:rPr>
      </w:pPr>
      <w:bookmarkStart w:id="150" w:name="_Toc523313770"/>
      <w:r w:rsidRPr="004B2E2A">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87</w:t>
      </w:r>
      <w:r w:rsidR="000D65F2">
        <w:rPr>
          <w:color w:val="auto"/>
        </w:rPr>
        <w:fldChar w:fldCharType="end"/>
      </w:r>
      <w:r w:rsidRPr="004B2E2A">
        <w:rPr>
          <w:color w:val="auto"/>
        </w:rPr>
        <w:t xml:space="preserve"> : Fréquence des conseils fournis aux unités selon les régions</w:t>
      </w:r>
      <w:bookmarkEnd w:id="150"/>
    </w:p>
    <w:p w:rsidR="00E21740" w:rsidRDefault="00F44BC9" w:rsidP="00A22DD6">
      <w:pPr>
        <w:spacing w:after="200" w:line="276" w:lineRule="auto"/>
        <w:jc w:val="center"/>
        <w:rPr>
          <w:rFonts w:ascii="Book Antiqua" w:eastAsiaTheme="minorEastAsia" w:hAnsi="Book Antiqua" w:cstheme="minorBidi"/>
          <w:sz w:val="22"/>
        </w:rPr>
      </w:pPr>
      <w:r w:rsidRPr="00AE3DF1">
        <w:rPr>
          <w:noProof/>
        </w:rPr>
        <w:drawing>
          <wp:inline distT="0" distB="0" distL="0" distR="0">
            <wp:extent cx="4953000" cy="2622550"/>
            <wp:effectExtent l="19050" t="0" r="19050" b="6350"/>
            <wp:docPr id="302" name="Graphique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21740" w:rsidRDefault="00E21740" w:rsidP="00533316">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S’agissant de la qualité des conseils, il ressort des statistiques recueillies auprès des unités que 13,7% ont émis un avis  défavorable sur la question nonobstant une opinion globalement  satisfaisante exprimée par 86,3% des unités enquêtées.</w:t>
      </w:r>
    </w:p>
    <w:p w:rsidR="004B2E2A" w:rsidRPr="004B2E2A" w:rsidRDefault="004B2E2A" w:rsidP="004B2E2A">
      <w:pPr>
        <w:pStyle w:val="Lgende"/>
        <w:keepNext/>
        <w:jc w:val="center"/>
        <w:rPr>
          <w:color w:val="auto"/>
        </w:rPr>
      </w:pPr>
      <w:bookmarkStart w:id="151" w:name="_Toc523313771"/>
      <w:r w:rsidRPr="004B2E2A">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88</w:t>
      </w:r>
      <w:r w:rsidR="000D65F2">
        <w:rPr>
          <w:color w:val="auto"/>
        </w:rPr>
        <w:fldChar w:fldCharType="end"/>
      </w:r>
      <w:r w:rsidRPr="004B2E2A">
        <w:rPr>
          <w:color w:val="auto"/>
        </w:rPr>
        <w:t xml:space="preserve"> : Appréciation des unités enquêtées sur </w:t>
      </w:r>
      <w:r>
        <w:rPr>
          <w:color w:val="auto"/>
        </w:rPr>
        <w:t>l</w:t>
      </w:r>
      <w:r w:rsidRPr="004B2E2A">
        <w:rPr>
          <w:color w:val="auto"/>
        </w:rPr>
        <w:t>a qualité des conseils</w:t>
      </w:r>
      <w:bookmarkEnd w:id="151"/>
    </w:p>
    <w:p w:rsidR="00884FDB" w:rsidRDefault="00F44BC9" w:rsidP="000E1CA0">
      <w:pPr>
        <w:spacing w:after="200" w:line="276" w:lineRule="auto"/>
        <w:jc w:val="center"/>
        <w:rPr>
          <w:rFonts w:ascii="Book Antiqua" w:eastAsiaTheme="minorEastAsia" w:hAnsi="Book Antiqua" w:cstheme="minorBidi"/>
          <w:sz w:val="22"/>
        </w:rPr>
      </w:pPr>
      <w:r w:rsidRPr="00AE3DF1">
        <w:rPr>
          <w:noProof/>
        </w:rPr>
        <w:drawing>
          <wp:inline distT="0" distB="0" distL="0" distR="0">
            <wp:extent cx="4762500" cy="2400300"/>
            <wp:effectExtent l="19050" t="0" r="19050" b="0"/>
            <wp:docPr id="94" name="Graphique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84FDB" w:rsidRDefault="00884FDB" w:rsidP="00884FDB">
      <w:pPr>
        <w:spacing w:after="200" w:line="276" w:lineRule="auto"/>
        <w:jc w:val="both"/>
        <w:rPr>
          <w:rFonts w:ascii="Book Antiqua" w:eastAsiaTheme="minorEastAsia" w:hAnsi="Book Antiqua" w:cstheme="minorBidi"/>
          <w:sz w:val="22"/>
        </w:rPr>
      </w:pPr>
      <w:r w:rsidRPr="007B7466">
        <w:rPr>
          <w:rFonts w:ascii="Book Antiqua" w:eastAsiaTheme="minorEastAsia" w:hAnsi="Book Antiqua" w:cstheme="minorBidi"/>
          <w:sz w:val="22"/>
        </w:rPr>
        <w:lastRenderedPageBreak/>
        <w:t xml:space="preserve">Les informations qui ressortent de l’opinion des </w:t>
      </w:r>
      <w:r>
        <w:rPr>
          <w:rFonts w:ascii="Book Antiqua" w:eastAsiaTheme="minorEastAsia" w:hAnsi="Book Antiqua" w:cstheme="minorBidi"/>
          <w:sz w:val="22"/>
        </w:rPr>
        <w:t xml:space="preserve">personnes morales </w:t>
      </w:r>
      <w:r w:rsidRPr="007B7466">
        <w:rPr>
          <w:rFonts w:ascii="Book Antiqua" w:eastAsiaTheme="minorEastAsia" w:hAnsi="Book Antiqua" w:cstheme="minorBidi"/>
          <w:sz w:val="22"/>
        </w:rPr>
        <w:t xml:space="preserve"> interrogées sur l</w:t>
      </w:r>
      <w:r>
        <w:rPr>
          <w:rFonts w:ascii="Book Antiqua" w:eastAsiaTheme="minorEastAsia" w:hAnsi="Book Antiqua" w:cstheme="minorBidi"/>
          <w:sz w:val="22"/>
        </w:rPr>
        <w:t xml:space="preserve">a qualité du </w:t>
      </w:r>
      <w:r w:rsidRPr="007B7466">
        <w:rPr>
          <w:rFonts w:ascii="Book Antiqua" w:eastAsiaTheme="minorEastAsia" w:hAnsi="Book Antiqua" w:cstheme="minorBidi"/>
          <w:sz w:val="22"/>
        </w:rPr>
        <w:t xml:space="preserve"> suivi personnalisé</w:t>
      </w:r>
      <w:r>
        <w:rPr>
          <w:rFonts w:ascii="Book Antiqua" w:eastAsiaTheme="minorEastAsia" w:hAnsi="Book Antiqua" w:cstheme="minorBidi"/>
          <w:sz w:val="22"/>
        </w:rPr>
        <w:t xml:space="preserve"> de leur conseiller laisse apparaitre </w:t>
      </w:r>
      <w:r w:rsidR="00D558B6">
        <w:rPr>
          <w:rFonts w:ascii="Book Antiqua" w:eastAsiaTheme="minorEastAsia" w:hAnsi="Book Antiqua" w:cstheme="minorBidi"/>
          <w:sz w:val="22"/>
        </w:rPr>
        <w:t>un taux global de satisfaction de 45,3% contre une proportion de 54,6% ayant  exprimé un avis contraire</w:t>
      </w:r>
      <w:r w:rsidRPr="007B7466">
        <w:rPr>
          <w:rFonts w:ascii="Book Antiqua" w:eastAsiaTheme="minorEastAsia" w:hAnsi="Book Antiqua" w:cstheme="minorBidi"/>
          <w:sz w:val="22"/>
        </w:rPr>
        <w:t>.</w:t>
      </w:r>
    </w:p>
    <w:p w:rsidR="004B2E2A" w:rsidRPr="004B2E2A" w:rsidRDefault="004B2E2A" w:rsidP="004B2E2A">
      <w:pPr>
        <w:pStyle w:val="Lgende"/>
        <w:keepNext/>
        <w:jc w:val="center"/>
        <w:rPr>
          <w:color w:val="auto"/>
        </w:rPr>
      </w:pPr>
      <w:bookmarkStart w:id="152" w:name="_Toc523313772"/>
      <w:r w:rsidRPr="004B2E2A">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89</w:t>
      </w:r>
      <w:r w:rsidR="000D65F2">
        <w:rPr>
          <w:color w:val="auto"/>
        </w:rPr>
        <w:fldChar w:fldCharType="end"/>
      </w:r>
      <w:r w:rsidRPr="004B2E2A">
        <w:rPr>
          <w:color w:val="auto"/>
        </w:rPr>
        <w:t xml:space="preserve"> : Appréciation des unités sur la qualité du suivi personnalisé des banques</w:t>
      </w:r>
      <w:bookmarkEnd w:id="152"/>
    </w:p>
    <w:p w:rsidR="00533316" w:rsidRDefault="00F44BC9" w:rsidP="000E1CA0">
      <w:pPr>
        <w:spacing w:after="200" w:line="276" w:lineRule="auto"/>
        <w:jc w:val="center"/>
        <w:rPr>
          <w:rFonts w:ascii="Book Antiqua" w:eastAsiaTheme="minorEastAsia" w:hAnsi="Book Antiqua" w:cstheme="minorBidi"/>
          <w:sz w:val="22"/>
        </w:rPr>
      </w:pPr>
      <w:r w:rsidRPr="00AE3DF1">
        <w:rPr>
          <w:noProof/>
        </w:rPr>
        <w:drawing>
          <wp:inline distT="0" distB="0" distL="0" distR="0">
            <wp:extent cx="4562475" cy="2127250"/>
            <wp:effectExtent l="19050" t="0" r="9525" b="6350"/>
            <wp:docPr id="95" name="Graphique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22C65" w:rsidRPr="007B7466" w:rsidRDefault="004223AC" w:rsidP="00533316">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 xml:space="preserve">L’examen des récriminations relatives à la qualité du suivi personnalisé suivant la localisation géographique  met en évidence des taux d’insatisfaction très élevés notamment dans les régions de </w:t>
      </w:r>
      <w:proofErr w:type="spellStart"/>
      <w:r>
        <w:rPr>
          <w:rFonts w:ascii="Book Antiqua" w:eastAsiaTheme="minorEastAsia" w:hAnsi="Book Antiqua" w:cstheme="minorBidi"/>
          <w:sz w:val="22"/>
        </w:rPr>
        <w:t>Kaffrine</w:t>
      </w:r>
      <w:proofErr w:type="spellEnd"/>
      <w:r>
        <w:rPr>
          <w:rFonts w:ascii="Book Antiqua" w:eastAsiaTheme="minorEastAsia" w:hAnsi="Book Antiqua" w:cstheme="minorBidi"/>
          <w:sz w:val="22"/>
        </w:rPr>
        <w:t xml:space="preserve"> (94,1%), Diourbel (81,6%), Tambacounda (80,6%), </w:t>
      </w:r>
      <w:proofErr w:type="spellStart"/>
      <w:r>
        <w:rPr>
          <w:rFonts w:ascii="Book Antiqua" w:eastAsiaTheme="minorEastAsia" w:hAnsi="Book Antiqua" w:cstheme="minorBidi"/>
          <w:sz w:val="22"/>
        </w:rPr>
        <w:t>S</w:t>
      </w:r>
      <w:r w:rsidR="000E1CA0">
        <w:rPr>
          <w:rFonts w:ascii="Book Antiqua" w:eastAsiaTheme="minorEastAsia" w:hAnsi="Book Antiqua" w:cstheme="minorBidi"/>
          <w:sz w:val="22"/>
        </w:rPr>
        <w:t>é</w:t>
      </w:r>
      <w:r>
        <w:rPr>
          <w:rFonts w:ascii="Book Antiqua" w:eastAsiaTheme="minorEastAsia" w:hAnsi="Book Antiqua" w:cstheme="minorBidi"/>
          <w:sz w:val="22"/>
        </w:rPr>
        <w:t>dhiou</w:t>
      </w:r>
      <w:proofErr w:type="spellEnd"/>
      <w:r>
        <w:rPr>
          <w:rFonts w:ascii="Book Antiqua" w:eastAsiaTheme="minorEastAsia" w:hAnsi="Book Antiqua" w:cstheme="minorBidi"/>
          <w:sz w:val="22"/>
        </w:rPr>
        <w:t xml:space="preserve"> (78,7%) et Ziguinchor (70,1%).</w:t>
      </w:r>
    </w:p>
    <w:p w:rsidR="004B2E2A" w:rsidRPr="004B2E2A" w:rsidRDefault="004B2E2A" w:rsidP="004B2E2A">
      <w:pPr>
        <w:pStyle w:val="Lgende"/>
        <w:keepNext/>
        <w:jc w:val="center"/>
        <w:rPr>
          <w:color w:val="auto"/>
        </w:rPr>
      </w:pPr>
      <w:bookmarkStart w:id="153" w:name="_Toc523313773"/>
      <w:r w:rsidRPr="004B2E2A">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90</w:t>
      </w:r>
      <w:r w:rsidR="000D65F2">
        <w:rPr>
          <w:color w:val="auto"/>
        </w:rPr>
        <w:fldChar w:fldCharType="end"/>
      </w:r>
      <w:r w:rsidRPr="004B2E2A">
        <w:rPr>
          <w:color w:val="auto"/>
        </w:rPr>
        <w:t xml:space="preserve"> : Opinions des unités sur la qualité du suivi personnalisé selon les régions</w:t>
      </w:r>
      <w:bookmarkEnd w:id="153"/>
    </w:p>
    <w:p w:rsidR="00922C65" w:rsidRDefault="00922C65" w:rsidP="00922C65">
      <w:pPr>
        <w:jc w:val="center"/>
      </w:pPr>
      <w:r w:rsidRPr="00922C65">
        <w:rPr>
          <w:noProof/>
        </w:rPr>
        <w:drawing>
          <wp:inline distT="0" distB="0" distL="0" distR="0">
            <wp:extent cx="4493260" cy="2709863"/>
            <wp:effectExtent l="19050" t="0" r="21590" b="0"/>
            <wp:docPr id="33" name="Graphique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22C65" w:rsidRDefault="00922C65" w:rsidP="00922C65">
      <w:pPr>
        <w:jc w:val="center"/>
      </w:pPr>
    </w:p>
    <w:p w:rsidR="00922C65" w:rsidRDefault="004223AC" w:rsidP="002F170A">
      <w:pPr>
        <w:spacing w:line="276" w:lineRule="auto"/>
        <w:contextualSpacing/>
        <w:jc w:val="both"/>
        <w:rPr>
          <w:rFonts w:ascii="Book Antiqua" w:eastAsiaTheme="minorEastAsia" w:hAnsi="Book Antiqua" w:cstheme="minorBidi"/>
          <w:sz w:val="22"/>
        </w:rPr>
      </w:pPr>
      <w:r w:rsidRPr="007A064A">
        <w:rPr>
          <w:rFonts w:ascii="Book Antiqua" w:eastAsiaTheme="minorEastAsia" w:hAnsi="Book Antiqua" w:cstheme="minorBidi"/>
          <w:sz w:val="22"/>
          <w:szCs w:val="22"/>
        </w:rPr>
        <w:t>Par ailleurs</w:t>
      </w:r>
      <w:r w:rsidR="00EC17DB" w:rsidRPr="007A064A">
        <w:rPr>
          <w:rFonts w:ascii="Book Antiqua" w:eastAsiaTheme="minorEastAsia" w:hAnsi="Book Antiqua" w:cstheme="minorBidi"/>
          <w:sz w:val="22"/>
          <w:szCs w:val="22"/>
        </w:rPr>
        <w:t>,</w:t>
      </w:r>
      <w:r w:rsidR="00A22DD6">
        <w:rPr>
          <w:rFonts w:ascii="Book Antiqua" w:eastAsiaTheme="minorEastAsia" w:hAnsi="Book Antiqua" w:cstheme="minorBidi"/>
        </w:rPr>
        <w:t xml:space="preserve"> </w:t>
      </w:r>
      <w:r w:rsidR="00E643D7">
        <w:rPr>
          <w:rFonts w:ascii="Book Antiqua" w:eastAsiaTheme="minorEastAsia" w:hAnsi="Book Antiqua" w:cstheme="minorBidi"/>
          <w:sz w:val="22"/>
        </w:rPr>
        <w:t>à l’exception de la tranche de CA comprise entre 50 et 100 millions</w:t>
      </w:r>
      <w:r>
        <w:rPr>
          <w:rFonts w:ascii="Book Antiqua" w:eastAsiaTheme="minorEastAsia" w:hAnsi="Book Antiqua" w:cstheme="minorBidi"/>
        </w:rPr>
        <w:t>, il est observé que l</w:t>
      </w:r>
      <w:r>
        <w:rPr>
          <w:rFonts w:ascii="Book Antiqua" w:eastAsiaTheme="minorEastAsia" w:hAnsi="Book Antiqua" w:cstheme="minorBidi"/>
          <w:sz w:val="22"/>
        </w:rPr>
        <w:t xml:space="preserve">a qualité du suivi personnalisé </w:t>
      </w:r>
      <w:r w:rsidR="00E643D7">
        <w:rPr>
          <w:rFonts w:ascii="Book Antiqua" w:eastAsiaTheme="minorEastAsia" w:hAnsi="Book Antiqua" w:cstheme="minorBidi"/>
          <w:sz w:val="22"/>
        </w:rPr>
        <w:t>dépend</w:t>
      </w:r>
      <w:r>
        <w:rPr>
          <w:rFonts w:ascii="Book Antiqua" w:eastAsiaTheme="minorEastAsia" w:hAnsi="Book Antiqua" w:cstheme="minorBidi"/>
          <w:sz w:val="22"/>
        </w:rPr>
        <w:t xml:space="preserve"> de la taille des unités</w:t>
      </w:r>
      <w:r w:rsidR="00E643D7">
        <w:rPr>
          <w:rFonts w:ascii="Book Antiqua" w:eastAsiaTheme="minorEastAsia" w:hAnsi="Book Antiqua" w:cstheme="minorBidi"/>
          <w:sz w:val="22"/>
        </w:rPr>
        <w:t>: les unités</w:t>
      </w:r>
      <w:r w:rsidR="00280DBA">
        <w:rPr>
          <w:rFonts w:ascii="Book Antiqua" w:eastAsiaTheme="minorEastAsia" w:hAnsi="Book Antiqua" w:cstheme="minorBidi"/>
          <w:sz w:val="22"/>
        </w:rPr>
        <w:t xml:space="preserve"> dont le</w:t>
      </w:r>
      <w:r w:rsidR="00E643D7">
        <w:rPr>
          <w:rFonts w:ascii="Book Antiqua" w:eastAsiaTheme="minorEastAsia" w:hAnsi="Book Antiqua" w:cstheme="minorBidi"/>
          <w:sz w:val="22"/>
        </w:rPr>
        <w:t xml:space="preserve"> CA </w:t>
      </w:r>
      <w:r w:rsidR="00280DBA">
        <w:rPr>
          <w:rFonts w:ascii="Book Antiqua" w:eastAsiaTheme="minorEastAsia" w:hAnsi="Book Antiqua" w:cstheme="minorBidi"/>
          <w:sz w:val="22"/>
        </w:rPr>
        <w:t>est</w:t>
      </w:r>
      <w:r w:rsidR="00A22DD6">
        <w:rPr>
          <w:rFonts w:ascii="Book Antiqua" w:eastAsiaTheme="minorEastAsia" w:hAnsi="Book Antiqua" w:cstheme="minorBidi"/>
          <w:sz w:val="22"/>
        </w:rPr>
        <w:t xml:space="preserve"> </w:t>
      </w:r>
      <w:r w:rsidR="00280DBA">
        <w:rPr>
          <w:rFonts w:ascii="Book Antiqua" w:eastAsiaTheme="minorEastAsia" w:hAnsi="Book Antiqua" w:cstheme="minorBidi"/>
          <w:sz w:val="22"/>
        </w:rPr>
        <w:t>inférieur</w:t>
      </w:r>
      <w:r w:rsidR="00E643D7">
        <w:rPr>
          <w:rFonts w:ascii="Book Antiqua" w:eastAsiaTheme="minorEastAsia" w:hAnsi="Book Antiqua" w:cstheme="minorBidi"/>
          <w:sz w:val="22"/>
        </w:rPr>
        <w:t xml:space="preserve"> à 10 millions affichent un taux de </w:t>
      </w:r>
      <w:r w:rsidR="00EC17DB">
        <w:rPr>
          <w:rFonts w:ascii="Book Antiqua" w:eastAsiaTheme="minorEastAsia" w:hAnsi="Book Antiqua" w:cstheme="minorBidi"/>
          <w:sz w:val="22"/>
        </w:rPr>
        <w:t xml:space="preserve">satisfaction de </w:t>
      </w:r>
      <w:r w:rsidR="00E643D7">
        <w:rPr>
          <w:rFonts w:ascii="Book Antiqua" w:eastAsiaTheme="minorEastAsia" w:hAnsi="Book Antiqua" w:cstheme="minorBidi"/>
          <w:sz w:val="22"/>
        </w:rPr>
        <w:t>39 ;</w:t>
      </w:r>
      <w:r w:rsidR="00A22DD6">
        <w:rPr>
          <w:rFonts w:ascii="Book Antiqua" w:eastAsiaTheme="minorEastAsia" w:hAnsi="Book Antiqua" w:cstheme="minorBidi"/>
          <w:sz w:val="22"/>
        </w:rPr>
        <w:t xml:space="preserve"> </w:t>
      </w:r>
      <w:r w:rsidR="00E643D7">
        <w:rPr>
          <w:rFonts w:ascii="Book Antiqua" w:eastAsiaTheme="minorEastAsia" w:hAnsi="Book Antiqua" w:cstheme="minorBidi"/>
          <w:sz w:val="22"/>
        </w:rPr>
        <w:t>1%</w:t>
      </w:r>
      <w:r w:rsidR="00EC17DB">
        <w:rPr>
          <w:rFonts w:ascii="Book Antiqua" w:eastAsiaTheme="minorEastAsia" w:hAnsi="Book Antiqua" w:cstheme="minorBidi"/>
          <w:sz w:val="22"/>
        </w:rPr>
        <w:t xml:space="preserve"> contre 49,7% pour </w:t>
      </w:r>
      <w:r w:rsidR="00280DBA">
        <w:rPr>
          <w:rFonts w:ascii="Book Antiqua" w:eastAsiaTheme="minorEastAsia" w:hAnsi="Book Antiqua" w:cstheme="minorBidi"/>
          <w:sz w:val="22"/>
        </w:rPr>
        <w:t>la tranche [</w:t>
      </w:r>
      <w:r w:rsidR="00EC17DB">
        <w:rPr>
          <w:rFonts w:ascii="Book Antiqua" w:eastAsiaTheme="minorEastAsia" w:hAnsi="Book Antiqua" w:cstheme="minorBidi"/>
          <w:sz w:val="22"/>
        </w:rPr>
        <w:t xml:space="preserve">10 -50 millions] et 59,0% pour </w:t>
      </w:r>
      <w:r w:rsidR="00280DBA">
        <w:rPr>
          <w:rFonts w:ascii="Book Antiqua" w:eastAsiaTheme="minorEastAsia" w:hAnsi="Book Antiqua" w:cstheme="minorBidi"/>
          <w:sz w:val="22"/>
        </w:rPr>
        <w:t>celle de [</w:t>
      </w:r>
      <w:r w:rsidR="00EC17DB">
        <w:rPr>
          <w:rFonts w:ascii="Book Antiqua" w:eastAsiaTheme="minorEastAsia" w:hAnsi="Book Antiqua" w:cstheme="minorBidi"/>
          <w:sz w:val="22"/>
        </w:rPr>
        <w:t>100 - 500 millions].</w:t>
      </w:r>
    </w:p>
    <w:p w:rsidR="00922C65" w:rsidRDefault="00922C65" w:rsidP="002F170A">
      <w:pPr>
        <w:spacing w:line="276" w:lineRule="auto"/>
        <w:contextualSpacing/>
        <w:jc w:val="both"/>
        <w:rPr>
          <w:rFonts w:ascii="Book Antiqua" w:eastAsiaTheme="minorEastAsia" w:hAnsi="Book Antiqua" w:cstheme="minorBidi"/>
          <w:sz w:val="22"/>
        </w:rPr>
      </w:pPr>
    </w:p>
    <w:p w:rsidR="000E1CA0" w:rsidRPr="00922C65" w:rsidRDefault="00EC17DB" w:rsidP="002F170A">
      <w:pPr>
        <w:spacing w:line="276" w:lineRule="auto"/>
        <w:contextualSpacing/>
        <w:jc w:val="both"/>
      </w:pPr>
      <w:r>
        <w:rPr>
          <w:rFonts w:ascii="Book Antiqua" w:eastAsiaTheme="minorEastAsia" w:hAnsi="Book Antiqua" w:cstheme="minorBidi"/>
          <w:sz w:val="22"/>
        </w:rPr>
        <w:t>La tendance se poursuit avec un taux de 65,0% pour les unités dont le CA se situe entre 500 millions et 1 milliard  et 69,0% pour celles dont l’activité commerciale est supérieure à 1 milliard.</w:t>
      </w:r>
    </w:p>
    <w:p w:rsidR="004B2E2A" w:rsidRPr="004B2E2A" w:rsidRDefault="004B2E2A" w:rsidP="004B2E2A">
      <w:pPr>
        <w:pStyle w:val="Lgende"/>
        <w:keepNext/>
        <w:jc w:val="center"/>
        <w:rPr>
          <w:color w:val="auto"/>
        </w:rPr>
      </w:pPr>
      <w:bookmarkStart w:id="154" w:name="_Toc523313774"/>
      <w:r w:rsidRPr="004B2E2A">
        <w:rPr>
          <w:color w:val="auto"/>
        </w:rPr>
        <w:lastRenderedPageBreak/>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91</w:t>
      </w:r>
      <w:r w:rsidR="000D65F2">
        <w:rPr>
          <w:color w:val="auto"/>
        </w:rPr>
        <w:fldChar w:fldCharType="end"/>
      </w:r>
      <w:r w:rsidRPr="004B2E2A">
        <w:rPr>
          <w:color w:val="auto"/>
        </w:rPr>
        <w:t xml:space="preserve"> : Opinions des unités sur la qualité du suivi personnalisé selon la taille</w:t>
      </w:r>
      <w:bookmarkEnd w:id="154"/>
    </w:p>
    <w:p w:rsidR="009260C9" w:rsidRDefault="00220C92" w:rsidP="000E1CA0">
      <w:pPr>
        <w:keepNext/>
        <w:spacing w:after="200" w:line="276" w:lineRule="auto"/>
        <w:jc w:val="center"/>
      </w:pPr>
      <w:r>
        <w:rPr>
          <w:noProof/>
        </w:rPr>
        <w:drawing>
          <wp:inline distT="0" distB="0" distL="0" distR="0">
            <wp:extent cx="5344584" cy="2985559"/>
            <wp:effectExtent l="19050" t="0" r="27516" b="5291"/>
            <wp:docPr id="262" name="Graphique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2B1117" w:rsidRPr="00923187" w:rsidRDefault="00B42CCA" w:rsidP="00533316">
      <w:pPr>
        <w:spacing w:after="200" w:line="276" w:lineRule="auto"/>
        <w:jc w:val="both"/>
        <w:rPr>
          <w:rFonts w:ascii="Book Antiqua" w:eastAsiaTheme="minorEastAsia" w:hAnsi="Book Antiqua" w:cstheme="minorBidi"/>
          <w:sz w:val="22"/>
          <w:szCs w:val="22"/>
        </w:rPr>
      </w:pPr>
      <w:r w:rsidRPr="00923187">
        <w:rPr>
          <w:rFonts w:ascii="Book Antiqua" w:eastAsiaTheme="minorEastAsia" w:hAnsi="Book Antiqua" w:cstheme="minorBidi"/>
          <w:sz w:val="22"/>
          <w:szCs w:val="22"/>
        </w:rPr>
        <w:t>L’analyse de la perception des enquêtés sur la qualité des conseils fournis par les institutions</w:t>
      </w:r>
      <w:r w:rsidR="00A22DD6">
        <w:rPr>
          <w:rFonts w:ascii="Book Antiqua" w:eastAsiaTheme="minorEastAsia" w:hAnsi="Book Antiqua" w:cstheme="minorBidi"/>
          <w:sz w:val="22"/>
          <w:szCs w:val="22"/>
        </w:rPr>
        <w:t xml:space="preserve"> </w:t>
      </w:r>
      <w:r w:rsidRPr="00923187">
        <w:rPr>
          <w:rFonts w:ascii="Book Antiqua" w:eastAsiaTheme="minorEastAsia" w:hAnsi="Book Antiqua" w:cstheme="minorBidi"/>
          <w:sz w:val="22"/>
          <w:szCs w:val="22"/>
        </w:rPr>
        <w:t>bancaires varie selon la nature de l’activité. Elle fait apparaitre un niveau d’appréciation négative plus élevé dans le secteur informel avec une proportion de 67,9% qui s’estime insatisfaite des conseils prodigués contre 49,2% des unités du secteur formel.</w:t>
      </w:r>
    </w:p>
    <w:p w:rsidR="009260C9" w:rsidRPr="007A064A" w:rsidRDefault="00B42CCA" w:rsidP="000E1CA0">
      <w:pPr>
        <w:pStyle w:val="Lgende"/>
        <w:keepNext/>
        <w:jc w:val="center"/>
        <w:rPr>
          <w:rFonts w:ascii="Book Antiqua" w:hAnsi="Book Antiqua"/>
          <w:color w:val="auto"/>
          <w:sz w:val="16"/>
          <w:szCs w:val="16"/>
        </w:rPr>
      </w:pPr>
      <w:bookmarkStart w:id="155" w:name="_Toc523313775"/>
      <w:r w:rsidRPr="007A064A">
        <w:rPr>
          <w:rFonts w:ascii="Book Antiqua" w:hAnsi="Book Antiqua"/>
          <w:color w:val="auto"/>
          <w:sz w:val="16"/>
          <w:szCs w:val="16"/>
        </w:rPr>
        <w:t xml:space="preserve">Figure </w:t>
      </w:r>
      <w:r w:rsidR="000D65F2">
        <w:rPr>
          <w:rFonts w:ascii="Book Antiqua" w:hAnsi="Book Antiqua"/>
          <w:color w:val="auto"/>
          <w:sz w:val="16"/>
          <w:szCs w:val="16"/>
        </w:rPr>
        <w:fldChar w:fldCharType="begin"/>
      </w:r>
      <w:r w:rsidR="002708B0">
        <w:rPr>
          <w:rFonts w:ascii="Book Antiqua" w:hAnsi="Book Antiqua"/>
          <w:color w:val="auto"/>
          <w:sz w:val="16"/>
          <w:szCs w:val="16"/>
        </w:rPr>
        <w:instrText xml:space="preserve"> SEQ Figure \* ARABIC </w:instrText>
      </w:r>
      <w:r w:rsidR="000D65F2">
        <w:rPr>
          <w:rFonts w:ascii="Book Antiqua" w:hAnsi="Book Antiqua"/>
          <w:color w:val="auto"/>
          <w:sz w:val="16"/>
          <w:szCs w:val="16"/>
        </w:rPr>
        <w:fldChar w:fldCharType="separate"/>
      </w:r>
      <w:r w:rsidR="000F780F">
        <w:rPr>
          <w:rFonts w:ascii="Book Antiqua" w:hAnsi="Book Antiqua"/>
          <w:noProof/>
          <w:color w:val="auto"/>
          <w:sz w:val="16"/>
          <w:szCs w:val="16"/>
        </w:rPr>
        <w:t>92</w:t>
      </w:r>
      <w:r w:rsidR="000D65F2">
        <w:rPr>
          <w:rFonts w:ascii="Book Antiqua" w:hAnsi="Book Antiqua"/>
          <w:color w:val="auto"/>
          <w:sz w:val="16"/>
          <w:szCs w:val="16"/>
        </w:rPr>
        <w:fldChar w:fldCharType="end"/>
      </w:r>
      <w:r w:rsidRPr="007A064A">
        <w:rPr>
          <w:rFonts w:ascii="Book Antiqua" w:hAnsi="Book Antiqua"/>
          <w:color w:val="auto"/>
          <w:sz w:val="16"/>
          <w:szCs w:val="16"/>
        </w:rPr>
        <w:t xml:space="preserve"> : Opinion sur la qualité du suivi personnalisé selon la nature de l'activité</w:t>
      </w:r>
      <w:bookmarkEnd w:id="155"/>
    </w:p>
    <w:p w:rsidR="00B42CCA" w:rsidRDefault="00F44BC9" w:rsidP="000E1CA0">
      <w:pPr>
        <w:spacing w:after="200" w:line="276" w:lineRule="auto"/>
        <w:jc w:val="center"/>
        <w:rPr>
          <w:rFonts w:ascii="Book Antiqua" w:eastAsiaTheme="minorEastAsia" w:hAnsi="Book Antiqua" w:cstheme="minorBidi"/>
        </w:rPr>
      </w:pPr>
      <w:r w:rsidRPr="00AE3DF1">
        <w:rPr>
          <w:noProof/>
        </w:rPr>
        <w:drawing>
          <wp:inline distT="0" distB="0" distL="0" distR="0">
            <wp:extent cx="4857750" cy="3157855"/>
            <wp:effectExtent l="19050" t="0" r="19050" b="4445"/>
            <wp:docPr id="224" name="Graphique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40C57" w:rsidRPr="00923187" w:rsidRDefault="00734051" w:rsidP="00533316">
      <w:pPr>
        <w:spacing w:after="200" w:line="276" w:lineRule="auto"/>
        <w:jc w:val="both"/>
        <w:rPr>
          <w:rFonts w:ascii="Book Antiqua" w:eastAsiaTheme="minorEastAsia" w:hAnsi="Book Antiqua" w:cstheme="minorBidi"/>
          <w:sz w:val="22"/>
          <w:szCs w:val="22"/>
        </w:rPr>
      </w:pPr>
      <w:r w:rsidRPr="00923187">
        <w:rPr>
          <w:rFonts w:ascii="Book Antiqua" w:eastAsiaTheme="minorEastAsia" w:hAnsi="Book Antiqua" w:cstheme="minorBidi"/>
          <w:sz w:val="22"/>
          <w:szCs w:val="22"/>
        </w:rPr>
        <w:t>L’appréciation des unités sur la qualité du suivi personnalisé affiche des opinions défavorables plus élevées</w:t>
      </w:r>
      <w:r w:rsidR="00A22DD6">
        <w:rPr>
          <w:rFonts w:ascii="Book Antiqua" w:eastAsiaTheme="minorEastAsia" w:hAnsi="Book Antiqua" w:cstheme="minorBidi"/>
          <w:sz w:val="22"/>
          <w:szCs w:val="22"/>
        </w:rPr>
        <w:t xml:space="preserve"> </w:t>
      </w:r>
      <w:r w:rsidRPr="00923187">
        <w:rPr>
          <w:rFonts w:ascii="Book Antiqua" w:eastAsiaTheme="minorEastAsia" w:hAnsi="Book Antiqua" w:cstheme="minorBidi"/>
          <w:sz w:val="22"/>
          <w:szCs w:val="22"/>
        </w:rPr>
        <w:t>au niveau des secteurs de l’Agriculture, de l’Artisanat, du Commerce et des BTP avec des taux respectifs de 67,4%, 61,8%, 55,7% et 53,4%.</w:t>
      </w:r>
    </w:p>
    <w:p w:rsidR="002413DA" w:rsidRPr="002413DA" w:rsidRDefault="002413DA" w:rsidP="002413DA">
      <w:pPr>
        <w:pStyle w:val="Lgende"/>
        <w:keepNext/>
        <w:jc w:val="center"/>
        <w:rPr>
          <w:color w:val="auto"/>
        </w:rPr>
      </w:pPr>
      <w:bookmarkStart w:id="156" w:name="_Toc523313776"/>
      <w:r w:rsidRPr="002413DA">
        <w:rPr>
          <w:color w:val="auto"/>
        </w:rPr>
        <w:lastRenderedPageBreak/>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93</w:t>
      </w:r>
      <w:r w:rsidR="000D65F2">
        <w:rPr>
          <w:color w:val="auto"/>
        </w:rPr>
        <w:fldChar w:fldCharType="end"/>
      </w:r>
      <w:r w:rsidRPr="002413DA">
        <w:rPr>
          <w:color w:val="auto"/>
        </w:rPr>
        <w:t xml:space="preserve"> : Opinions des unités sur la qualité du suivi personnalisé selon le secteur d'activités</w:t>
      </w:r>
      <w:bookmarkEnd w:id="156"/>
    </w:p>
    <w:p w:rsidR="00540C57" w:rsidRPr="00533316" w:rsidRDefault="00540C57" w:rsidP="00A22DD6">
      <w:pPr>
        <w:spacing w:after="200" w:line="276" w:lineRule="auto"/>
        <w:jc w:val="center"/>
        <w:rPr>
          <w:rFonts w:ascii="Book Antiqua" w:eastAsiaTheme="minorEastAsia" w:hAnsi="Book Antiqua" w:cstheme="minorBidi"/>
        </w:rPr>
      </w:pPr>
      <w:r>
        <w:rPr>
          <w:noProof/>
        </w:rPr>
        <w:drawing>
          <wp:inline distT="0" distB="0" distL="0" distR="0">
            <wp:extent cx="5594350" cy="2921000"/>
            <wp:effectExtent l="19050" t="0" r="25400" b="0"/>
            <wp:docPr id="264" name="Graphique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46582" w:rsidRDefault="00533316" w:rsidP="00146582">
      <w:pPr>
        <w:spacing w:line="276" w:lineRule="auto"/>
        <w:ind w:firstLine="567"/>
        <w:rPr>
          <w:rFonts w:ascii="Book Antiqua" w:eastAsiaTheme="majorEastAsia" w:hAnsi="Book Antiqua" w:cstheme="majorBidi"/>
          <w:b/>
          <w:bCs/>
          <w:sz w:val="22"/>
          <w:szCs w:val="22"/>
        </w:rPr>
      </w:pPr>
      <w:r w:rsidRPr="00146582">
        <w:rPr>
          <w:rFonts w:ascii="Book Antiqua" w:eastAsiaTheme="majorEastAsia" w:hAnsi="Book Antiqua" w:cstheme="majorBidi"/>
          <w:b/>
          <w:bCs/>
          <w:sz w:val="22"/>
          <w:szCs w:val="22"/>
        </w:rPr>
        <w:t>V.1.2.</w:t>
      </w:r>
      <w:r w:rsidR="007A064A" w:rsidRPr="00146582">
        <w:rPr>
          <w:rFonts w:ascii="Book Antiqua" w:eastAsiaTheme="majorEastAsia" w:hAnsi="Book Antiqua" w:cstheme="majorBidi"/>
          <w:b/>
          <w:bCs/>
          <w:sz w:val="22"/>
          <w:szCs w:val="22"/>
        </w:rPr>
        <w:t xml:space="preserve"> </w:t>
      </w:r>
      <w:r w:rsidRPr="00146582">
        <w:rPr>
          <w:rFonts w:ascii="Book Antiqua" w:eastAsiaTheme="majorEastAsia" w:hAnsi="Book Antiqua" w:cstheme="majorBidi"/>
          <w:b/>
          <w:bCs/>
          <w:sz w:val="22"/>
          <w:szCs w:val="22"/>
        </w:rPr>
        <w:t xml:space="preserve">Opinion des clients sur </w:t>
      </w:r>
      <w:r w:rsidR="00824365" w:rsidRPr="00146582">
        <w:rPr>
          <w:rFonts w:ascii="Book Antiqua" w:eastAsiaTheme="majorEastAsia" w:hAnsi="Book Antiqua" w:cstheme="majorBidi"/>
          <w:b/>
          <w:bCs/>
          <w:sz w:val="22"/>
          <w:szCs w:val="22"/>
        </w:rPr>
        <w:t xml:space="preserve">la capacité d’écoute du conseiller  et </w:t>
      </w:r>
      <w:r w:rsidR="004204AC" w:rsidRPr="00146582">
        <w:rPr>
          <w:rFonts w:ascii="Book Antiqua" w:eastAsiaTheme="majorEastAsia" w:hAnsi="Book Antiqua" w:cstheme="majorBidi"/>
          <w:b/>
          <w:bCs/>
          <w:sz w:val="22"/>
          <w:szCs w:val="22"/>
        </w:rPr>
        <w:t>la qualité des conseils</w:t>
      </w:r>
      <w:r w:rsidR="00824365" w:rsidRPr="00146582">
        <w:rPr>
          <w:rFonts w:ascii="Book Antiqua" w:eastAsiaTheme="majorEastAsia" w:hAnsi="Book Antiqua" w:cstheme="majorBidi"/>
          <w:b/>
          <w:bCs/>
          <w:sz w:val="22"/>
          <w:szCs w:val="22"/>
        </w:rPr>
        <w:t xml:space="preserve"> </w:t>
      </w:r>
    </w:p>
    <w:p w:rsidR="00533316" w:rsidRPr="00146582" w:rsidRDefault="00146582" w:rsidP="00146582">
      <w:pPr>
        <w:spacing w:line="276" w:lineRule="auto"/>
        <w:ind w:firstLine="567"/>
        <w:rPr>
          <w:rFonts w:ascii="Book Antiqua" w:eastAsiaTheme="majorEastAsia" w:hAnsi="Book Antiqua" w:cstheme="majorBidi"/>
          <w:b/>
          <w:bCs/>
          <w:sz w:val="22"/>
          <w:szCs w:val="22"/>
        </w:rPr>
      </w:pPr>
      <w:r>
        <w:rPr>
          <w:rFonts w:ascii="Book Antiqua" w:eastAsiaTheme="majorEastAsia" w:hAnsi="Book Antiqua" w:cstheme="majorBidi"/>
          <w:b/>
          <w:bCs/>
          <w:sz w:val="22"/>
          <w:szCs w:val="22"/>
        </w:rPr>
        <w:t xml:space="preserve">           </w:t>
      </w:r>
      <w:proofErr w:type="gramStart"/>
      <w:r w:rsidR="00824365" w:rsidRPr="00146582">
        <w:rPr>
          <w:rFonts w:ascii="Book Antiqua" w:eastAsiaTheme="majorEastAsia" w:hAnsi="Book Antiqua" w:cstheme="majorBidi"/>
          <w:b/>
          <w:bCs/>
          <w:sz w:val="22"/>
          <w:szCs w:val="22"/>
        </w:rPr>
        <w:t>fournis</w:t>
      </w:r>
      <w:proofErr w:type="gramEnd"/>
    </w:p>
    <w:p w:rsidR="00B62595" w:rsidRDefault="00B62595" w:rsidP="00FD0BEC">
      <w:pPr>
        <w:spacing w:before="240" w:after="240" w:line="276" w:lineRule="auto"/>
        <w:jc w:val="both"/>
        <w:rPr>
          <w:rFonts w:ascii="Book Antiqua" w:eastAsiaTheme="minorEastAsia" w:hAnsi="Book Antiqua" w:cstheme="minorBidi"/>
          <w:sz w:val="22"/>
        </w:rPr>
      </w:pPr>
      <w:r w:rsidRPr="007B7466">
        <w:rPr>
          <w:rFonts w:ascii="Book Antiqua" w:eastAsiaTheme="minorEastAsia" w:hAnsi="Book Antiqua" w:cstheme="minorBidi"/>
          <w:sz w:val="22"/>
        </w:rPr>
        <w:t xml:space="preserve">Une proportion de 19,1% </w:t>
      </w:r>
      <w:r>
        <w:rPr>
          <w:rFonts w:ascii="Book Antiqua" w:eastAsiaTheme="minorEastAsia" w:hAnsi="Book Antiqua" w:cstheme="minorBidi"/>
          <w:sz w:val="22"/>
        </w:rPr>
        <w:t>des personnes morales interrogées déclare</w:t>
      </w:r>
      <w:r w:rsidRPr="007B7466">
        <w:rPr>
          <w:rFonts w:ascii="Book Antiqua" w:eastAsiaTheme="minorEastAsia" w:hAnsi="Book Antiqua" w:cstheme="minorBidi"/>
          <w:sz w:val="22"/>
        </w:rPr>
        <w:t xml:space="preserve"> n’avoir jamais rencontré leur conseiller</w:t>
      </w:r>
      <w:r>
        <w:rPr>
          <w:rFonts w:ascii="Book Antiqua" w:eastAsiaTheme="minorEastAsia" w:hAnsi="Book Antiqua" w:cstheme="minorBidi"/>
          <w:sz w:val="22"/>
        </w:rPr>
        <w:t xml:space="preserve"> en banque</w:t>
      </w:r>
      <w:r w:rsidRPr="007B7466">
        <w:rPr>
          <w:rFonts w:ascii="Book Antiqua" w:eastAsiaTheme="minorEastAsia" w:hAnsi="Book Antiqua" w:cstheme="minorBidi"/>
          <w:sz w:val="22"/>
        </w:rPr>
        <w:t>.</w:t>
      </w:r>
    </w:p>
    <w:p w:rsidR="00533316" w:rsidRDefault="00B62595" w:rsidP="00FD0BEC">
      <w:pPr>
        <w:spacing w:before="240" w:after="240" w:line="276" w:lineRule="auto"/>
        <w:jc w:val="both"/>
        <w:rPr>
          <w:rFonts w:ascii="Book Antiqua" w:eastAsiaTheme="minorEastAsia" w:hAnsi="Book Antiqua" w:cstheme="minorBidi"/>
          <w:sz w:val="22"/>
        </w:rPr>
      </w:pPr>
      <w:r>
        <w:rPr>
          <w:rFonts w:ascii="Book Antiqua" w:eastAsiaTheme="minorEastAsia" w:hAnsi="Book Antiqua" w:cstheme="minorBidi"/>
          <w:sz w:val="22"/>
        </w:rPr>
        <w:t xml:space="preserve">Parmi les unités ayant rencontré leur conseiller (80,9%), une proportion de 73,4% </w:t>
      </w:r>
      <w:r w:rsidR="00533316" w:rsidRPr="007B7466">
        <w:rPr>
          <w:rFonts w:ascii="Book Antiqua" w:eastAsiaTheme="minorEastAsia" w:hAnsi="Book Antiqua" w:cstheme="minorBidi"/>
          <w:sz w:val="22"/>
        </w:rPr>
        <w:t xml:space="preserve"> ont émis un avis favorable sur la capacité d’écoute du conseiller contre </w:t>
      </w:r>
      <w:r>
        <w:rPr>
          <w:rFonts w:ascii="Book Antiqua" w:eastAsiaTheme="minorEastAsia" w:hAnsi="Book Antiqua" w:cstheme="minorBidi"/>
          <w:sz w:val="22"/>
        </w:rPr>
        <w:t xml:space="preserve"> 26,6%</w:t>
      </w:r>
      <w:r w:rsidR="00533316" w:rsidRPr="007B7466">
        <w:rPr>
          <w:rFonts w:ascii="Book Antiqua" w:eastAsiaTheme="minorEastAsia" w:hAnsi="Book Antiqua" w:cstheme="minorBidi"/>
          <w:sz w:val="22"/>
        </w:rPr>
        <w:t xml:space="preserve"> dont la perception laisse apparaître un sentiment d’insatisfaction. </w:t>
      </w:r>
    </w:p>
    <w:p w:rsidR="00FC6FDC" w:rsidRPr="00705D65" w:rsidRDefault="00FC6FDC" w:rsidP="00FC6FDC">
      <w:pPr>
        <w:pStyle w:val="Lgende"/>
        <w:keepNext/>
        <w:jc w:val="center"/>
        <w:rPr>
          <w:color w:val="auto"/>
        </w:rPr>
      </w:pPr>
      <w:bookmarkStart w:id="157" w:name="_Toc523313777"/>
      <w:r w:rsidRPr="00705D65">
        <w:rPr>
          <w:color w:val="auto"/>
        </w:rPr>
        <w:t xml:space="preserve">Figure </w:t>
      </w:r>
      <w:r w:rsidR="000D65F2" w:rsidRPr="00705D65">
        <w:rPr>
          <w:color w:val="auto"/>
        </w:rPr>
        <w:fldChar w:fldCharType="begin"/>
      </w:r>
      <w:r w:rsidR="000D65F2" w:rsidRPr="00705D65">
        <w:rPr>
          <w:color w:val="auto"/>
        </w:rPr>
        <w:instrText xml:space="preserve"> SEQ Figure \* ARABIC </w:instrText>
      </w:r>
      <w:r w:rsidR="000D65F2" w:rsidRPr="00705D65">
        <w:rPr>
          <w:color w:val="auto"/>
        </w:rPr>
        <w:fldChar w:fldCharType="separate"/>
      </w:r>
      <w:r w:rsidR="000F780F" w:rsidRPr="00705D65">
        <w:rPr>
          <w:color w:val="auto"/>
        </w:rPr>
        <w:t>94</w:t>
      </w:r>
      <w:r w:rsidR="000D65F2" w:rsidRPr="00705D65">
        <w:rPr>
          <w:color w:val="auto"/>
        </w:rPr>
        <w:fldChar w:fldCharType="end"/>
      </w:r>
      <w:r w:rsidRPr="00705D65">
        <w:rPr>
          <w:color w:val="auto"/>
        </w:rPr>
        <w:t xml:space="preserve"> : Appréciation des unités sur la capacité d'écoute de leur conseiller</w:t>
      </w:r>
      <w:bookmarkEnd w:id="157"/>
    </w:p>
    <w:p w:rsidR="00B62595" w:rsidRPr="007B7466" w:rsidRDefault="00F44BC9" w:rsidP="00923187">
      <w:pPr>
        <w:spacing w:after="200" w:line="276" w:lineRule="auto"/>
        <w:jc w:val="center"/>
        <w:rPr>
          <w:rFonts w:ascii="Book Antiqua" w:eastAsiaTheme="minorEastAsia" w:hAnsi="Book Antiqua" w:cstheme="minorBidi"/>
          <w:sz w:val="22"/>
        </w:rPr>
      </w:pPr>
      <w:r w:rsidRPr="00AE3DF1">
        <w:rPr>
          <w:noProof/>
        </w:rPr>
        <w:drawing>
          <wp:inline distT="0" distB="0" distL="0" distR="0">
            <wp:extent cx="4572000" cy="2501900"/>
            <wp:effectExtent l="19050" t="0" r="19050" b="0"/>
            <wp:docPr id="225" name="Graphique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7148A1" w:rsidRPr="007B7466" w:rsidRDefault="007148A1"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La répartition géographique des unités qui n’ont jamais rencontré leur conseiller met en exergue des proportions relativement élevées dans les localités de Matam (</w:t>
      </w:r>
      <w:r w:rsidRPr="007B7466">
        <w:rPr>
          <w:rFonts w:ascii="Book Antiqua" w:eastAsiaTheme="minorEastAsia" w:hAnsi="Book Antiqua" w:cstheme="minorBidi"/>
          <w:sz w:val="22"/>
        </w:rPr>
        <w:t>56,1%</w:t>
      </w:r>
      <w:r>
        <w:rPr>
          <w:rFonts w:ascii="Book Antiqua" w:eastAsiaTheme="minorEastAsia" w:hAnsi="Book Antiqua" w:cstheme="minorBidi"/>
          <w:sz w:val="22"/>
        </w:rPr>
        <w:t xml:space="preserve">), Ziguinchor (49,5%), </w:t>
      </w:r>
      <w:proofErr w:type="spellStart"/>
      <w:r>
        <w:rPr>
          <w:rFonts w:ascii="Book Antiqua" w:eastAsiaTheme="minorEastAsia" w:hAnsi="Book Antiqua" w:cstheme="minorBidi"/>
          <w:sz w:val="22"/>
        </w:rPr>
        <w:t>Sédhiou</w:t>
      </w:r>
      <w:proofErr w:type="spellEnd"/>
      <w:r w:rsidR="00D358B7">
        <w:rPr>
          <w:rFonts w:ascii="Book Antiqua" w:eastAsiaTheme="minorEastAsia" w:hAnsi="Book Antiqua" w:cstheme="minorBidi"/>
          <w:sz w:val="22"/>
        </w:rPr>
        <w:t xml:space="preserve"> </w:t>
      </w:r>
      <w:r>
        <w:rPr>
          <w:rFonts w:ascii="Book Antiqua" w:eastAsiaTheme="minorEastAsia" w:hAnsi="Book Antiqua" w:cstheme="minorBidi"/>
          <w:sz w:val="22"/>
        </w:rPr>
        <w:t xml:space="preserve">(42,6%), Kolda (37,8%), </w:t>
      </w:r>
      <w:proofErr w:type="spellStart"/>
      <w:r>
        <w:rPr>
          <w:rFonts w:ascii="Book Antiqua" w:eastAsiaTheme="minorEastAsia" w:hAnsi="Book Antiqua" w:cstheme="minorBidi"/>
          <w:sz w:val="22"/>
        </w:rPr>
        <w:t>Fatick</w:t>
      </w:r>
      <w:proofErr w:type="spellEnd"/>
      <w:r>
        <w:rPr>
          <w:rFonts w:ascii="Book Antiqua" w:eastAsiaTheme="minorEastAsia" w:hAnsi="Book Antiqua" w:cstheme="minorBidi"/>
          <w:sz w:val="22"/>
        </w:rPr>
        <w:t xml:space="preserve"> (37,5%) et </w:t>
      </w:r>
      <w:proofErr w:type="spellStart"/>
      <w:r>
        <w:rPr>
          <w:rFonts w:ascii="Book Antiqua" w:eastAsiaTheme="minorEastAsia" w:hAnsi="Book Antiqua" w:cstheme="minorBidi"/>
          <w:sz w:val="22"/>
        </w:rPr>
        <w:t>Kaffrine</w:t>
      </w:r>
      <w:proofErr w:type="spellEnd"/>
      <w:r>
        <w:rPr>
          <w:rFonts w:ascii="Book Antiqua" w:eastAsiaTheme="minorEastAsia" w:hAnsi="Book Antiqua" w:cstheme="minorBidi"/>
          <w:sz w:val="22"/>
        </w:rPr>
        <w:t xml:space="preserve"> (32,4%).</w:t>
      </w:r>
    </w:p>
    <w:p w:rsidR="00F15E34" w:rsidRPr="00922C65" w:rsidRDefault="003D2AB8"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lastRenderedPageBreak/>
        <w:t>Pour les unités</w:t>
      </w:r>
      <w:r w:rsidR="00D358B7">
        <w:rPr>
          <w:rFonts w:ascii="Book Antiqua" w:eastAsiaTheme="minorEastAsia" w:hAnsi="Book Antiqua" w:cstheme="minorBidi"/>
          <w:sz w:val="22"/>
        </w:rPr>
        <w:t xml:space="preserve"> </w:t>
      </w:r>
      <w:r>
        <w:rPr>
          <w:rFonts w:ascii="Book Antiqua" w:eastAsiaTheme="minorEastAsia" w:hAnsi="Book Antiqua" w:cstheme="minorBidi"/>
          <w:sz w:val="22"/>
        </w:rPr>
        <w:t>déclarant avoir rencontré leur conseiller, il ressort des niveau</w:t>
      </w:r>
      <w:r w:rsidR="0063251A">
        <w:rPr>
          <w:rFonts w:ascii="Book Antiqua" w:eastAsiaTheme="minorEastAsia" w:hAnsi="Book Antiqua" w:cstheme="minorBidi"/>
          <w:sz w:val="22"/>
        </w:rPr>
        <w:t>x</w:t>
      </w:r>
      <w:r w:rsidR="00D358B7">
        <w:rPr>
          <w:rFonts w:ascii="Book Antiqua" w:eastAsiaTheme="minorEastAsia" w:hAnsi="Book Antiqua" w:cstheme="minorBidi"/>
          <w:sz w:val="22"/>
        </w:rPr>
        <w:t xml:space="preserve"> </w:t>
      </w:r>
      <w:r w:rsidR="0063251A">
        <w:rPr>
          <w:rFonts w:ascii="Book Antiqua" w:eastAsiaTheme="minorEastAsia" w:hAnsi="Book Antiqua" w:cstheme="minorBidi"/>
          <w:sz w:val="22"/>
        </w:rPr>
        <w:t>de satisfaction élevés dans les régions de Matam, Thiès et Louga avec des taux respectifs de 88,9%, 85,7% et 81,8</w:t>
      </w:r>
      <w:r w:rsidR="009B26F2">
        <w:rPr>
          <w:rFonts w:ascii="Book Antiqua" w:eastAsiaTheme="minorEastAsia" w:hAnsi="Book Antiqua" w:cstheme="minorBidi"/>
          <w:sz w:val="22"/>
        </w:rPr>
        <w:t xml:space="preserve">%. </w:t>
      </w:r>
      <w:r w:rsidR="0063251A">
        <w:rPr>
          <w:rFonts w:ascii="Book Antiqua" w:eastAsiaTheme="minorEastAsia" w:hAnsi="Book Antiqua" w:cstheme="minorBidi"/>
          <w:sz w:val="22"/>
        </w:rPr>
        <w:t xml:space="preserve">A contrario, </w:t>
      </w:r>
      <w:r w:rsidR="007940D0" w:rsidRPr="007B7466">
        <w:rPr>
          <w:rFonts w:ascii="Book Antiqua" w:eastAsiaTheme="minorEastAsia" w:hAnsi="Book Antiqua" w:cstheme="minorBidi"/>
          <w:sz w:val="22"/>
        </w:rPr>
        <w:t xml:space="preserve">des niches d’insatisfaction </w:t>
      </w:r>
      <w:r w:rsidR="007940D0">
        <w:rPr>
          <w:rFonts w:ascii="Book Antiqua" w:eastAsiaTheme="minorEastAsia" w:hAnsi="Book Antiqua" w:cstheme="minorBidi"/>
          <w:sz w:val="22"/>
        </w:rPr>
        <w:t xml:space="preserve">non négligeables sur </w:t>
      </w:r>
      <w:r w:rsidR="007940D0" w:rsidRPr="007B7466">
        <w:rPr>
          <w:rFonts w:ascii="Book Antiqua" w:eastAsiaTheme="minorEastAsia" w:hAnsi="Book Antiqua" w:cstheme="minorBidi"/>
          <w:sz w:val="22"/>
        </w:rPr>
        <w:t xml:space="preserve">la capacité d’écoute du conseiller </w:t>
      </w:r>
      <w:r w:rsidR="007940D0">
        <w:rPr>
          <w:rFonts w:ascii="Book Antiqua" w:eastAsiaTheme="minorEastAsia" w:hAnsi="Book Antiqua" w:cstheme="minorBidi"/>
          <w:sz w:val="22"/>
        </w:rPr>
        <w:t xml:space="preserve">de leur banque sont observées chez les unités implantées à </w:t>
      </w:r>
      <w:proofErr w:type="spellStart"/>
      <w:r w:rsidR="0063251A">
        <w:rPr>
          <w:rFonts w:ascii="Book Antiqua" w:eastAsiaTheme="minorEastAsia" w:hAnsi="Book Antiqua" w:cstheme="minorBidi"/>
          <w:sz w:val="22"/>
        </w:rPr>
        <w:t>Sédhiou</w:t>
      </w:r>
      <w:proofErr w:type="spellEnd"/>
      <w:r w:rsidR="007940D0">
        <w:rPr>
          <w:rFonts w:ascii="Book Antiqua" w:eastAsiaTheme="minorEastAsia" w:hAnsi="Book Antiqua" w:cstheme="minorBidi"/>
          <w:sz w:val="22"/>
        </w:rPr>
        <w:t xml:space="preserve"> (63,0%)</w:t>
      </w:r>
      <w:r w:rsidR="0063251A">
        <w:rPr>
          <w:rFonts w:ascii="Book Antiqua" w:eastAsiaTheme="minorEastAsia" w:hAnsi="Book Antiqua" w:cstheme="minorBidi"/>
          <w:sz w:val="22"/>
        </w:rPr>
        <w:t xml:space="preserve">, </w:t>
      </w:r>
      <w:proofErr w:type="spellStart"/>
      <w:r w:rsidR="009B26F2">
        <w:rPr>
          <w:rFonts w:ascii="Book Antiqua" w:eastAsiaTheme="minorEastAsia" w:hAnsi="Book Antiqua" w:cstheme="minorBidi"/>
          <w:sz w:val="22"/>
        </w:rPr>
        <w:t>Kaffrine</w:t>
      </w:r>
      <w:proofErr w:type="spellEnd"/>
      <w:r w:rsidR="009B26F2">
        <w:rPr>
          <w:rFonts w:ascii="Book Antiqua" w:eastAsiaTheme="minorEastAsia" w:hAnsi="Book Antiqua" w:cstheme="minorBidi"/>
          <w:sz w:val="22"/>
        </w:rPr>
        <w:t xml:space="preserve"> (</w:t>
      </w:r>
      <w:r w:rsidR="007940D0">
        <w:rPr>
          <w:rFonts w:ascii="Book Antiqua" w:eastAsiaTheme="minorEastAsia" w:hAnsi="Book Antiqua" w:cstheme="minorBidi"/>
          <w:sz w:val="22"/>
        </w:rPr>
        <w:t xml:space="preserve">47,8%) </w:t>
      </w:r>
      <w:r w:rsidR="0063251A">
        <w:rPr>
          <w:rFonts w:ascii="Book Antiqua" w:eastAsiaTheme="minorEastAsia" w:hAnsi="Book Antiqua" w:cstheme="minorBidi"/>
          <w:sz w:val="22"/>
        </w:rPr>
        <w:t xml:space="preserve">et </w:t>
      </w:r>
      <w:r w:rsidR="007940D0">
        <w:rPr>
          <w:rFonts w:ascii="Book Antiqua" w:eastAsiaTheme="minorEastAsia" w:hAnsi="Book Antiqua" w:cstheme="minorBidi"/>
          <w:sz w:val="22"/>
        </w:rPr>
        <w:t>Ziguinchor (46,9%).</w:t>
      </w:r>
    </w:p>
    <w:p w:rsidR="00FC6FDC" w:rsidRPr="00FC6FDC" w:rsidRDefault="00FC6FDC" w:rsidP="00FC6FDC">
      <w:pPr>
        <w:pStyle w:val="Lgende"/>
        <w:keepNext/>
        <w:jc w:val="center"/>
        <w:rPr>
          <w:color w:val="auto"/>
        </w:rPr>
      </w:pPr>
      <w:bookmarkStart w:id="158" w:name="_Toc523313778"/>
      <w:r w:rsidRPr="00FC6FDC">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95</w:t>
      </w:r>
      <w:r w:rsidR="000D65F2">
        <w:rPr>
          <w:color w:val="auto"/>
        </w:rPr>
        <w:fldChar w:fldCharType="end"/>
      </w:r>
      <w:r w:rsidRPr="00FC6FDC">
        <w:rPr>
          <w:color w:val="auto"/>
        </w:rPr>
        <w:t xml:space="preserve"> : Appréciation des unités sur la capacité d'écoute de leur conseiller selon les régions</w:t>
      </w:r>
      <w:bookmarkEnd w:id="158"/>
    </w:p>
    <w:p w:rsidR="00533316" w:rsidRPr="00D358B7" w:rsidRDefault="00F44BC9" w:rsidP="00D358B7">
      <w:pPr>
        <w:spacing w:after="200" w:line="276" w:lineRule="auto"/>
        <w:jc w:val="center"/>
        <w:rPr>
          <w:rFonts w:ascii="Book Antiqua" w:eastAsiaTheme="minorEastAsia" w:hAnsi="Book Antiqua" w:cstheme="minorBidi"/>
          <w:sz w:val="22"/>
        </w:rPr>
      </w:pPr>
      <w:r w:rsidRPr="00AE3DF1">
        <w:rPr>
          <w:noProof/>
        </w:rPr>
        <w:drawing>
          <wp:inline distT="0" distB="0" distL="0" distR="0">
            <wp:extent cx="4578350" cy="2895600"/>
            <wp:effectExtent l="19050" t="0" r="12700" b="0"/>
            <wp:docPr id="226" name="Graphique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F15E34" w:rsidRPr="009B26F2" w:rsidRDefault="00000B63" w:rsidP="00FD0BEC">
      <w:pPr>
        <w:spacing w:after="200" w:line="276" w:lineRule="auto"/>
        <w:contextualSpacing/>
        <w:jc w:val="both"/>
        <w:rPr>
          <w:rFonts w:ascii="Book Antiqua" w:eastAsiaTheme="minorEastAsia" w:hAnsi="Book Antiqua" w:cstheme="minorBidi"/>
          <w:sz w:val="22"/>
          <w:szCs w:val="22"/>
        </w:rPr>
      </w:pPr>
      <w:r w:rsidRPr="009B26F2">
        <w:rPr>
          <w:rFonts w:ascii="Book Antiqua" w:eastAsiaTheme="minorEastAsia" w:hAnsi="Book Antiqua" w:cstheme="minorBidi"/>
          <w:sz w:val="22"/>
          <w:szCs w:val="22"/>
        </w:rPr>
        <w:t>L’examen des résultats montre que l’absence de contact avec</w:t>
      </w:r>
      <w:r w:rsidR="00D358B7">
        <w:rPr>
          <w:rFonts w:ascii="Book Antiqua" w:eastAsiaTheme="minorEastAsia" w:hAnsi="Book Antiqua" w:cstheme="minorBidi"/>
          <w:sz w:val="22"/>
          <w:szCs w:val="22"/>
        </w:rPr>
        <w:t xml:space="preserve"> </w:t>
      </w:r>
      <w:r w:rsidRPr="009B26F2">
        <w:rPr>
          <w:rFonts w:ascii="Book Antiqua" w:eastAsiaTheme="minorEastAsia" w:hAnsi="Book Antiqua" w:cstheme="minorBidi"/>
          <w:sz w:val="22"/>
          <w:szCs w:val="22"/>
        </w:rPr>
        <w:t>le conseiller en banque décroit</w:t>
      </w:r>
      <w:r w:rsidR="00D358B7">
        <w:rPr>
          <w:rFonts w:ascii="Book Antiqua" w:eastAsiaTheme="minorEastAsia" w:hAnsi="Book Antiqua" w:cstheme="minorBidi"/>
          <w:sz w:val="22"/>
          <w:szCs w:val="22"/>
        </w:rPr>
        <w:t xml:space="preserve"> </w:t>
      </w:r>
      <w:r w:rsidRPr="009B26F2">
        <w:rPr>
          <w:rFonts w:ascii="Book Antiqua" w:eastAsiaTheme="minorEastAsia" w:hAnsi="Book Antiqua" w:cstheme="minorBidi"/>
          <w:sz w:val="22"/>
          <w:szCs w:val="22"/>
        </w:rPr>
        <w:t xml:space="preserve">en fonction de la taille des unités à l’exception de </w:t>
      </w:r>
      <w:r w:rsidR="00036143" w:rsidRPr="009B26F2">
        <w:rPr>
          <w:rFonts w:ascii="Book Antiqua" w:eastAsiaTheme="minorEastAsia" w:hAnsi="Book Antiqua" w:cstheme="minorBidi"/>
          <w:sz w:val="22"/>
          <w:szCs w:val="22"/>
        </w:rPr>
        <w:t>celles</w:t>
      </w:r>
      <w:r w:rsidRPr="009B26F2">
        <w:rPr>
          <w:rFonts w:ascii="Book Antiqua" w:eastAsiaTheme="minorEastAsia" w:hAnsi="Book Antiqua" w:cstheme="minorBidi"/>
          <w:sz w:val="22"/>
          <w:szCs w:val="22"/>
        </w:rPr>
        <w:t xml:space="preserve"> ayant un chiffre d’affaire supérieur à un milliard</w:t>
      </w:r>
      <w:r w:rsidR="00F04D52">
        <w:rPr>
          <w:rFonts w:ascii="Book Antiqua" w:eastAsiaTheme="minorEastAsia" w:hAnsi="Book Antiqua" w:cstheme="minorBidi"/>
          <w:sz w:val="22"/>
          <w:szCs w:val="22"/>
        </w:rPr>
        <w:t xml:space="preserve"> de FCFA</w:t>
      </w:r>
      <w:r w:rsidRPr="009B26F2">
        <w:rPr>
          <w:rFonts w:ascii="Book Antiqua" w:eastAsiaTheme="minorEastAsia" w:hAnsi="Book Antiqua" w:cstheme="minorBidi"/>
          <w:sz w:val="22"/>
          <w:szCs w:val="22"/>
        </w:rPr>
        <w:t xml:space="preserve">. En effet, les entités dont </w:t>
      </w:r>
      <w:r w:rsidR="00036143" w:rsidRPr="009B26F2">
        <w:rPr>
          <w:rFonts w:ascii="Book Antiqua" w:eastAsiaTheme="minorEastAsia" w:hAnsi="Book Antiqua" w:cstheme="minorBidi"/>
          <w:sz w:val="22"/>
          <w:szCs w:val="22"/>
        </w:rPr>
        <w:t xml:space="preserve">l’activité commerciale </w:t>
      </w:r>
      <w:r w:rsidRPr="009B26F2">
        <w:rPr>
          <w:rFonts w:ascii="Book Antiqua" w:eastAsiaTheme="minorEastAsia" w:hAnsi="Book Antiqua" w:cstheme="minorBidi"/>
          <w:sz w:val="22"/>
          <w:szCs w:val="22"/>
        </w:rPr>
        <w:t>est inférieur</w:t>
      </w:r>
      <w:r w:rsidR="00036143" w:rsidRPr="009B26F2">
        <w:rPr>
          <w:rFonts w:ascii="Book Antiqua" w:eastAsiaTheme="minorEastAsia" w:hAnsi="Book Antiqua" w:cstheme="minorBidi"/>
          <w:sz w:val="22"/>
          <w:szCs w:val="22"/>
        </w:rPr>
        <w:t>e</w:t>
      </w:r>
      <w:r w:rsidRPr="009B26F2">
        <w:rPr>
          <w:rFonts w:ascii="Book Antiqua" w:eastAsiaTheme="minorEastAsia" w:hAnsi="Book Antiqua" w:cstheme="minorBidi"/>
          <w:sz w:val="22"/>
          <w:szCs w:val="22"/>
        </w:rPr>
        <w:t xml:space="preserve"> à 10 millions déclarent à 24,5% ne</w:t>
      </w:r>
      <w:r w:rsidR="00036143" w:rsidRPr="009B26F2">
        <w:rPr>
          <w:rFonts w:ascii="Book Antiqua" w:eastAsiaTheme="minorEastAsia" w:hAnsi="Book Antiqua" w:cstheme="minorBidi"/>
          <w:sz w:val="22"/>
          <w:szCs w:val="22"/>
        </w:rPr>
        <w:t xml:space="preserve"> pas rencontrer leur conseiller contre des proportions de 14,6% pour celles de la tranche des 10-50 millions ; 11,5% pour la tranche des</w:t>
      </w:r>
      <w:r w:rsidR="00F04D52">
        <w:rPr>
          <w:rFonts w:ascii="Book Antiqua" w:eastAsiaTheme="minorEastAsia" w:hAnsi="Book Antiqua" w:cstheme="minorBidi"/>
          <w:sz w:val="22"/>
          <w:szCs w:val="22"/>
        </w:rPr>
        <w:t xml:space="preserve"> </w:t>
      </w:r>
      <w:r w:rsidR="00036143" w:rsidRPr="009B26F2">
        <w:rPr>
          <w:rFonts w:ascii="Book Antiqua" w:eastAsiaTheme="minorEastAsia" w:hAnsi="Book Antiqua" w:cstheme="minorBidi"/>
          <w:sz w:val="22"/>
          <w:szCs w:val="22"/>
        </w:rPr>
        <w:t>50-100 millions et 5,1% pour les unités se situant entre 100 et 500 millions ; enfin, les unités dont le chiffre d’affaire est entre 500 millions et 1 milliard affichent un taux de 1,7%.</w:t>
      </w:r>
    </w:p>
    <w:p w:rsidR="00FC6FDC" w:rsidRPr="00FC6FDC" w:rsidRDefault="00FC6FDC" w:rsidP="00FD0BEC">
      <w:pPr>
        <w:pStyle w:val="Lgende"/>
        <w:keepNext/>
        <w:spacing w:line="276" w:lineRule="auto"/>
        <w:jc w:val="center"/>
        <w:rPr>
          <w:color w:val="auto"/>
        </w:rPr>
      </w:pPr>
      <w:bookmarkStart w:id="159" w:name="_Toc523313779"/>
      <w:r w:rsidRPr="00FC6FDC">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96</w:t>
      </w:r>
      <w:r w:rsidR="000D65F2">
        <w:rPr>
          <w:color w:val="auto"/>
        </w:rPr>
        <w:fldChar w:fldCharType="end"/>
      </w:r>
      <w:r w:rsidRPr="00FC6FDC">
        <w:rPr>
          <w:color w:val="auto"/>
        </w:rPr>
        <w:t xml:space="preserve"> : Proportion des unités n'ayant pas rencontré leur conseiller selon la taille</w:t>
      </w:r>
      <w:bookmarkEnd w:id="159"/>
    </w:p>
    <w:p w:rsidR="00F15E34" w:rsidRDefault="00F44BC9" w:rsidP="00FD0BEC">
      <w:pPr>
        <w:spacing w:after="200" w:line="276" w:lineRule="auto"/>
        <w:jc w:val="center"/>
        <w:rPr>
          <w:rFonts w:ascii="Book Antiqua" w:eastAsiaTheme="minorEastAsia" w:hAnsi="Book Antiqua" w:cstheme="minorBidi"/>
        </w:rPr>
      </w:pPr>
      <w:r w:rsidRPr="00AE3DF1">
        <w:rPr>
          <w:noProof/>
        </w:rPr>
        <w:drawing>
          <wp:inline distT="0" distB="0" distL="0" distR="0">
            <wp:extent cx="5004435" cy="2590800"/>
            <wp:effectExtent l="19050" t="0" r="24765" b="0"/>
            <wp:docPr id="233" name="Graphique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936F68" w:rsidRPr="009B26F2" w:rsidRDefault="001D5863" w:rsidP="00FD0BEC">
      <w:pPr>
        <w:spacing w:after="200" w:line="276" w:lineRule="auto"/>
        <w:jc w:val="both"/>
        <w:rPr>
          <w:rFonts w:ascii="Book Antiqua" w:eastAsiaTheme="minorEastAsia" w:hAnsi="Book Antiqua" w:cstheme="minorBidi"/>
          <w:sz w:val="22"/>
          <w:szCs w:val="22"/>
        </w:rPr>
      </w:pPr>
      <w:r w:rsidRPr="009B26F2">
        <w:rPr>
          <w:rFonts w:ascii="Book Antiqua" w:eastAsiaTheme="minorEastAsia" w:hAnsi="Book Antiqua" w:cstheme="minorBidi"/>
          <w:sz w:val="22"/>
          <w:szCs w:val="22"/>
        </w:rPr>
        <w:lastRenderedPageBreak/>
        <w:t xml:space="preserve">Parmi les unités ayant rencontré leur conseiller, il est observé </w:t>
      </w:r>
      <w:r w:rsidR="00936F68" w:rsidRPr="009B26F2">
        <w:rPr>
          <w:rFonts w:ascii="Book Antiqua" w:eastAsiaTheme="minorEastAsia" w:hAnsi="Book Antiqua" w:cstheme="minorBidi"/>
          <w:sz w:val="22"/>
          <w:szCs w:val="22"/>
        </w:rPr>
        <w:t>en moyenne d</w:t>
      </w:r>
      <w:r w:rsidRPr="009B26F2">
        <w:rPr>
          <w:rFonts w:ascii="Book Antiqua" w:eastAsiaTheme="minorEastAsia" w:hAnsi="Book Antiqua" w:cstheme="minorBidi"/>
          <w:sz w:val="22"/>
          <w:szCs w:val="22"/>
        </w:rPr>
        <w:t xml:space="preserve">es niveaux d’insatisfaction </w:t>
      </w:r>
      <w:r w:rsidR="00936F68" w:rsidRPr="009B26F2">
        <w:rPr>
          <w:rFonts w:ascii="Book Antiqua" w:eastAsiaTheme="minorEastAsia" w:hAnsi="Book Antiqua" w:cstheme="minorBidi"/>
          <w:sz w:val="22"/>
          <w:szCs w:val="22"/>
        </w:rPr>
        <w:t xml:space="preserve">de 25,8% pour celles </w:t>
      </w:r>
      <w:r w:rsidRPr="009B26F2">
        <w:rPr>
          <w:rFonts w:ascii="Book Antiqua" w:eastAsiaTheme="minorEastAsia" w:hAnsi="Book Antiqua" w:cstheme="minorBidi"/>
          <w:sz w:val="22"/>
          <w:szCs w:val="22"/>
        </w:rPr>
        <w:t>dont le CA est inférieur à 50 millions</w:t>
      </w:r>
      <w:r w:rsidR="00936F68" w:rsidRPr="009B26F2">
        <w:rPr>
          <w:rFonts w:ascii="Book Antiqua" w:eastAsiaTheme="minorEastAsia" w:hAnsi="Book Antiqua" w:cstheme="minorBidi"/>
          <w:sz w:val="22"/>
          <w:szCs w:val="22"/>
        </w:rPr>
        <w:t> ;</w:t>
      </w:r>
      <w:r w:rsidR="00FC6FDC">
        <w:rPr>
          <w:rFonts w:ascii="Book Antiqua" w:eastAsiaTheme="minorEastAsia" w:hAnsi="Book Antiqua" w:cstheme="minorBidi"/>
          <w:sz w:val="22"/>
          <w:szCs w:val="22"/>
        </w:rPr>
        <w:t xml:space="preserve"> </w:t>
      </w:r>
      <w:r w:rsidR="00936F68" w:rsidRPr="009B26F2">
        <w:rPr>
          <w:rFonts w:ascii="Book Antiqua" w:eastAsiaTheme="minorEastAsia" w:hAnsi="Book Antiqua" w:cstheme="minorBidi"/>
          <w:sz w:val="22"/>
          <w:szCs w:val="22"/>
        </w:rPr>
        <w:t xml:space="preserve">29,0% chez les entités dont </w:t>
      </w:r>
      <w:r w:rsidRPr="009B26F2">
        <w:rPr>
          <w:rFonts w:ascii="Book Antiqua" w:eastAsiaTheme="minorEastAsia" w:hAnsi="Book Antiqua" w:cstheme="minorBidi"/>
          <w:sz w:val="22"/>
          <w:szCs w:val="22"/>
        </w:rPr>
        <w:t xml:space="preserve">la tranche </w:t>
      </w:r>
      <w:r w:rsidR="00936F68" w:rsidRPr="009B26F2">
        <w:rPr>
          <w:rFonts w:ascii="Book Antiqua" w:eastAsiaTheme="minorEastAsia" w:hAnsi="Book Antiqua" w:cstheme="minorBidi"/>
          <w:sz w:val="22"/>
          <w:szCs w:val="22"/>
        </w:rPr>
        <w:t xml:space="preserve">se situe entre </w:t>
      </w:r>
      <w:r w:rsidRPr="009B26F2">
        <w:rPr>
          <w:rFonts w:ascii="Book Antiqua" w:eastAsiaTheme="minorEastAsia" w:hAnsi="Book Antiqua" w:cstheme="minorBidi"/>
          <w:sz w:val="22"/>
          <w:szCs w:val="22"/>
        </w:rPr>
        <w:t xml:space="preserve">50 </w:t>
      </w:r>
      <w:r w:rsidR="00936F68" w:rsidRPr="009B26F2">
        <w:rPr>
          <w:rFonts w:ascii="Book Antiqua" w:eastAsiaTheme="minorEastAsia" w:hAnsi="Book Antiqua" w:cstheme="minorBidi"/>
          <w:sz w:val="22"/>
          <w:szCs w:val="22"/>
        </w:rPr>
        <w:t>et</w:t>
      </w:r>
      <w:r w:rsidRPr="009B26F2">
        <w:rPr>
          <w:rFonts w:ascii="Book Antiqua" w:eastAsiaTheme="minorEastAsia" w:hAnsi="Book Antiqua" w:cstheme="minorBidi"/>
          <w:sz w:val="22"/>
          <w:szCs w:val="22"/>
        </w:rPr>
        <w:t xml:space="preserve"> 500 millions </w:t>
      </w:r>
      <w:r w:rsidR="00936F68" w:rsidRPr="009B26F2">
        <w:rPr>
          <w:rFonts w:ascii="Book Antiqua" w:eastAsiaTheme="minorEastAsia" w:hAnsi="Book Antiqua" w:cstheme="minorBidi"/>
          <w:sz w:val="22"/>
          <w:szCs w:val="22"/>
        </w:rPr>
        <w:t>et 23,6%.pour celles au-dessus de 500 millions.</w:t>
      </w:r>
    </w:p>
    <w:p w:rsidR="00FC6FDC" w:rsidRPr="00FC6FDC" w:rsidRDefault="00FC6FDC" w:rsidP="00FD0BEC">
      <w:pPr>
        <w:pStyle w:val="Lgende"/>
        <w:keepNext/>
        <w:spacing w:line="276" w:lineRule="auto"/>
        <w:jc w:val="center"/>
        <w:rPr>
          <w:color w:val="auto"/>
        </w:rPr>
      </w:pPr>
      <w:bookmarkStart w:id="160" w:name="_Toc523313780"/>
      <w:r w:rsidRPr="00FC6FDC">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97</w:t>
      </w:r>
      <w:r w:rsidR="000D65F2">
        <w:rPr>
          <w:color w:val="auto"/>
        </w:rPr>
        <w:fldChar w:fldCharType="end"/>
      </w:r>
      <w:r w:rsidRPr="00FC6FDC">
        <w:rPr>
          <w:color w:val="auto"/>
        </w:rPr>
        <w:t xml:space="preserve"> : Appréciation des unités sur la capacité d'écoute de leur conseiller selon la taille</w:t>
      </w:r>
      <w:bookmarkEnd w:id="160"/>
    </w:p>
    <w:p w:rsidR="001D5863" w:rsidRDefault="00F44BC9" w:rsidP="00FD0BEC">
      <w:pPr>
        <w:spacing w:after="200" w:line="276" w:lineRule="auto"/>
        <w:jc w:val="center"/>
        <w:rPr>
          <w:rFonts w:ascii="Book Antiqua" w:eastAsiaTheme="minorEastAsia" w:hAnsi="Book Antiqua" w:cstheme="minorBidi"/>
        </w:rPr>
      </w:pPr>
      <w:r w:rsidRPr="00AE3DF1">
        <w:rPr>
          <w:noProof/>
        </w:rPr>
        <w:drawing>
          <wp:inline distT="0" distB="0" distL="0" distR="0">
            <wp:extent cx="5151755" cy="3124200"/>
            <wp:effectExtent l="19050" t="0" r="10795" b="0"/>
            <wp:docPr id="235" name="Graphique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D76B9E" w:rsidRPr="009B26F2" w:rsidRDefault="0090137A" w:rsidP="00FD0BEC">
      <w:pPr>
        <w:spacing w:after="200" w:line="276" w:lineRule="auto"/>
        <w:jc w:val="both"/>
        <w:rPr>
          <w:rFonts w:ascii="Book Antiqua" w:eastAsiaTheme="minorEastAsia" w:hAnsi="Book Antiqua" w:cstheme="minorBidi"/>
          <w:sz w:val="22"/>
          <w:szCs w:val="22"/>
        </w:rPr>
      </w:pPr>
      <w:r w:rsidRPr="009B26F2">
        <w:rPr>
          <w:rFonts w:ascii="Book Antiqua" w:eastAsiaTheme="minorEastAsia" w:hAnsi="Book Antiqua" w:cstheme="minorBidi"/>
          <w:sz w:val="22"/>
          <w:szCs w:val="22"/>
        </w:rPr>
        <w:t>L’absence de contact avec le conseiller est plus prononcé</w:t>
      </w:r>
      <w:r w:rsidR="00D76B9E" w:rsidRPr="009B26F2">
        <w:rPr>
          <w:rFonts w:ascii="Book Antiqua" w:eastAsiaTheme="minorEastAsia" w:hAnsi="Book Antiqua" w:cstheme="minorBidi"/>
          <w:sz w:val="22"/>
          <w:szCs w:val="22"/>
        </w:rPr>
        <w:t>e</w:t>
      </w:r>
      <w:r w:rsidRPr="009B26F2">
        <w:rPr>
          <w:rFonts w:ascii="Book Antiqua" w:eastAsiaTheme="minorEastAsia" w:hAnsi="Book Antiqua" w:cstheme="minorBidi"/>
          <w:sz w:val="22"/>
          <w:szCs w:val="22"/>
        </w:rPr>
        <w:t xml:space="preserve"> chez les unités issues du secteur informel avec une proportion de 29,3% contre 14,9% pour les entités du secteur moderne.</w:t>
      </w:r>
    </w:p>
    <w:p w:rsidR="0090137A" w:rsidRPr="009B26F2" w:rsidRDefault="00D76B9E" w:rsidP="00FD0BEC">
      <w:pPr>
        <w:spacing w:after="200" w:line="276" w:lineRule="auto"/>
        <w:jc w:val="both"/>
        <w:rPr>
          <w:rFonts w:ascii="Book Antiqua" w:eastAsiaTheme="minorEastAsia" w:hAnsi="Book Antiqua" w:cstheme="minorBidi"/>
          <w:sz w:val="22"/>
          <w:szCs w:val="22"/>
        </w:rPr>
      </w:pPr>
      <w:r w:rsidRPr="009B26F2">
        <w:rPr>
          <w:rFonts w:ascii="Book Antiqua" w:eastAsiaTheme="minorEastAsia" w:hAnsi="Book Antiqua" w:cstheme="minorBidi"/>
          <w:sz w:val="22"/>
          <w:szCs w:val="22"/>
        </w:rPr>
        <w:t>S’agissant de la qualité de l’écoute du conseiller, les appréciations négatives affichent des niveaux quasiment similaires chez les unités informelles (27,9%) et formelle (26,2%).</w:t>
      </w:r>
    </w:p>
    <w:p w:rsidR="00FC6FDC" w:rsidRPr="00FC6FDC" w:rsidRDefault="00FC6FDC" w:rsidP="00FD0BEC">
      <w:pPr>
        <w:pStyle w:val="Lgende"/>
        <w:keepNext/>
        <w:spacing w:line="276" w:lineRule="auto"/>
        <w:jc w:val="center"/>
        <w:rPr>
          <w:color w:val="auto"/>
        </w:rPr>
      </w:pPr>
      <w:bookmarkStart w:id="161" w:name="_Toc523313781"/>
      <w:r w:rsidRPr="00FC6FDC">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98</w:t>
      </w:r>
      <w:r w:rsidR="000D65F2">
        <w:rPr>
          <w:color w:val="auto"/>
        </w:rPr>
        <w:fldChar w:fldCharType="end"/>
      </w:r>
      <w:r w:rsidRPr="00FC6FDC">
        <w:rPr>
          <w:color w:val="auto"/>
        </w:rPr>
        <w:t xml:space="preserve"> : Appréciation des unités sur la capacité d'écoute de leur conseiller selon la nature de l'activité</w:t>
      </w:r>
      <w:bookmarkEnd w:id="161"/>
    </w:p>
    <w:p w:rsidR="0090137A" w:rsidRPr="007B7466" w:rsidRDefault="00F44BC9" w:rsidP="00FD0BEC">
      <w:pPr>
        <w:spacing w:after="200" w:line="276" w:lineRule="auto"/>
        <w:jc w:val="center"/>
        <w:rPr>
          <w:rFonts w:ascii="Book Antiqua" w:eastAsiaTheme="minorEastAsia" w:hAnsi="Book Antiqua" w:cstheme="minorBidi"/>
          <w:sz w:val="22"/>
        </w:rPr>
      </w:pPr>
      <w:r w:rsidRPr="00AE3DF1">
        <w:rPr>
          <w:noProof/>
        </w:rPr>
        <w:drawing>
          <wp:inline distT="0" distB="0" distL="0" distR="0">
            <wp:extent cx="4572000" cy="2363066"/>
            <wp:effectExtent l="19050" t="0" r="19050" b="0"/>
            <wp:docPr id="258" name="Graphique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D76B9E" w:rsidRDefault="00ED7DF7"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Selon les enquêtés, le contact avec le conseiller clientèle ne semble pas bien établi notamment chez les unités exerçant dans l’Artisanat, l’Agriculture et le Commerce qui déclarent n’avoir jamais rencontré leur conseiller à des taux respectifs de 37,1%, 21,7% et 20,2%.</w:t>
      </w:r>
    </w:p>
    <w:p w:rsidR="00533316" w:rsidRPr="007B7466" w:rsidRDefault="00533316" w:rsidP="00FD0BEC">
      <w:pPr>
        <w:spacing w:after="200" w:line="276" w:lineRule="auto"/>
        <w:jc w:val="both"/>
        <w:rPr>
          <w:rFonts w:ascii="Book Antiqua" w:eastAsiaTheme="minorEastAsia" w:hAnsi="Book Antiqua" w:cstheme="minorBidi"/>
          <w:sz w:val="22"/>
        </w:rPr>
      </w:pPr>
      <w:r w:rsidRPr="007B7466">
        <w:rPr>
          <w:rFonts w:ascii="Book Antiqua" w:eastAsiaTheme="minorEastAsia" w:hAnsi="Book Antiqua" w:cstheme="minorBidi"/>
          <w:sz w:val="22"/>
        </w:rPr>
        <w:lastRenderedPageBreak/>
        <w:t xml:space="preserve">L’analyse de l’opinion des </w:t>
      </w:r>
      <w:r w:rsidR="00AA6175">
        <w:rPr>
          <w:rFonts w:ascii="Book Antiqua" w:eastAsiaTheme="minorEastAsia" w:hAnsi="Book Antiqua" w:cstheme="minorBidi"/>
          <w:sz w:val="22"/>
        </w:rPr>
        <w:t>entités</w:t>
      </w:r>
      <w:r w:rsidR="00D358B7">
        <w:rPr>
          <w:rFonts w:ascii="Book Antiqua" w:eastAsiaTheme="minorEastAsia" w:hAnsi="Book Antiqua" w:cstheme="minorBidi"/>
          <w:sz w:val="22"/>
        </w:rPr>
        <w:t xml:space="preserve"> </w:t>
      </w:r>
      <w:r w:rsidRPr="007B7466">
        <w:rPr>
          <w:rFonts w:ascii="Book Antiqua" w:eastAsiaTheme="minorEastAsia" w:hAnsi="Book Antiqua" w:cstheme="minorBidi"/>
          <w:sz w:val="22"/>
        </w:rPr>
        <w:t>sur la capacité d’écoute du conseiller suivant le secteur d’activité fait ressortir</w:t>
      </w:r>
      <w:r w:rsidR="00AA0F24">
        <w:rPr>
          <w:rFonts w:ascii="Book Antiqua" w:eastAsiaTheme="minorEastAsia" w:hAnsi="Book Antiqua" w:cstheme="minorBidi"/>
          <w:sz w:val="22"/>
        </w:rPr>
        <w:t xml:space="preserve"> des taux d’insatisfaction élevés dans les </w:t>
      </w:r>
      <w:r w:rsidRPr="007B7466">
        <w:rPr>
          <w:rFonts w:ascii="Book Antiqua" w:eastAsiaTheme="minorEastAsia" w:hAnsi="Book Antiqua" w:cstheme="minorBidi"/>
          <w:sz w:val="22"/>
        </w:rPr>
        <w:t>l’Agriculture</w:t>
      </w:r>
      <w:r w:rsidR="00AA0F24">
        <w:rPr>
          <w:rFonts w:ascii="Book Antiqua" w:eastAsiaTheme="minorEastAsia" w:hAnsi="Book Antiqua" w:cstheme="minorBidi"/>
          <w:sz w:val="22"/>
        </w:rPr>
        <w:t xml:space="preserve"> (43,1%), les BTP (29,10%), l’Artisanat (28,6%) et le Commerce (26,1%).</w:t>
      </w:r>
      <w:r w:rsidR="007A064A">
        <w:rPr>
          <w:rFonts w:ascii="Book Antiqua" w:eastAsiaTheme="minorEastAsia" w:hAnsi="Book Antiqua" w:cstheme="minorBidi"/>
          <w:sz w:val="22"/>
        </w:rPr>
        <w:t xml:space="preserve"> </w:t>
      </w:r>
      <w:r w:rsidR="00AA0F24">
        <w:rPr>
          <w:rFonts w:ascii="Book Antiqua" w:eastAsiaTheme="minorEastAsia" w:hAnsi="Book Antiqua" w:cstheme="minorBidi"/>
          <w:sz w:val="22"/>
        </w:rPr>
        <w:t xml:space="preserve">L’Industrie et les Services affichent </w:t>
      </w:r>
      <w:r w:rsidR="00AF29B3">
        <w:rPr>
          <w:rFonts w:ascii="Book Antiqua" w:eastAsiaTheme="minorEastAsia" w:hAnsi="Book Antiqua" w:cstheme="minorBidi"/>
          <w:sz w:val="22"/>
        </w:rPr>
        <w:t>l</w:t>
      </w:r>
      <w:r w:rsidR="00AA0F24">
        <w:rPr>
          <w:rFonts w:ascii="Book Antiqua" w:eastAsiaTheme="minorEastAsia" w:hAnsi="Book Antiqua" w:cstheme="minorBidi"/>
          <w:sz w:val="22"/>
        </w:rPr>
        <w:t xml:space="preserve">es taux de satisfaction </w:t>
      </w:r>
      <w:r w:rsidR="00AF29B3">
        <w:rPr>
          <w:rFonts w:ascii="Book Antiqua" w:eastAsiaTheme="minorEastAsia" w:hAnsi="Book Antiqua" w:cstheme="minorBidi"/>
          <w:sz w:val="22"/>
        </w:rPr>
        <w:t xml:space="preserve">les plus élevés qui s’établissent respectivement à </w:t>
      </w:r>
      <w:r w:rsidR="00AA0F24">
        <w:rPr>
          <w:rFonts w:ascii="Book Antiqua" w:eastAsiaTheme="minorEastAsia" w:hAnsi="Book Antiqua" w:cstheme="minorBidi"/>
          <w:sz w:val="22"/>
        </w:rPr>
        <w:t>76,5% et 77,6%.</w:t>
      </w:r>
    </w:p>
    <w:p w:rsidR="00FC6FDC" w:rsidRPr="00FC6FDC" w:rsidRDefault="00FC6FDC" w:rsidP="00FD0BEC">
      <w:pPr>
        <w:pStyle w:val="Lgende"/>
        <w:keepNext/>
        <w:spacing w:line="276" w:lineRule="auto"/>
        <w:jc w:val="center"/>
        <w:rPr>
          <w:color w:val="auto"/>
        </w:rPr>
      </w:pPr>
      <w:bookmarkStart w:id="162" w:name="_Toc523313782"/>
      <w:r w:rsidRPr="00FC6FDC">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99</w:t>
      </w:r>
      <w:r w:rsidR="000D65F2">
        <w:rPr>
          <w:color w:val="auto"/>
        </w:rPr>
        <w:fldChar w:fldCharType="end"/>
      </w:r>
      <w:r w:rsidRPr="00FC6FDC">
        <w:rPr>
          <w:color w:val="auto"/>
        </w:rPr>
        <w:t xml:space="preserve"> : Appréciation des unités sur la capacité d'écoute de leur conseiller selon le secteur d'activité</w:t>
      </w:r>
      <w:bookmarkEnd w:id="162"/>
    </w:p>
    <w:p w:rsidR="009B26F2" w:rsidRPr="009B26F2" w:rsidRDefault="00F44BC9" w:rsidP="00FD0BEC">
      <w:pPr>
        <w:keepNext/>
        <w:spacing w:after="200" w:line="276" w:lineRule="auto"/>
        <w:jc w:val="center"/>
        <w:rPr>
          <w:rFonts w:asciiTheme="minorHAnsi" w:eastAsiaTheme="minorEastAsia" w:hAnsiTheme="minorHAnsi" w:cstheme="minorBidi"/>
          <w:sz w:val="22"/>
          <w:szCs w:val="22"/>
        </w:rPr>
      </w:pPr>
      <w:r w:rsidRPr="00AE3DF1">
        <w:rPr>
          <w:noProof/>
        </w:rPr>
        <w:drawing>
          <wp:inline distT="0" distB="0" distL="0" distR="0">
            <wp:extent cx="4572000" cy="2743200"/>
            <wp:effectExtent l="19050" t="0" r="19050" b="0"/>
            <wp:docPr id="259" name="Graphique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533316" w:rsidRPr="007A064A" w:rsidRDefault="00533316" w:rsidP="00531C35">
      <w:pPr>
        <w:keepNext/>
        <w:keepLines/>
        <w:spacing w:before="360" w:after="240" w:line="276" w:lineRule="auto"/>
        <w:ind w:firstLine="567"/>
        <w:outlineLvl w:val="2"/>
        <w:rPr>
          <w:rFonts w:ascii="Book Antiqua" w:eastAsiaTheme="majorEastAsia" w:hAnsi="Book Antiqua" w:cstheme="majorBidi"/>
          <w:b/>
          <w:bCs/>
          <w:sz w:val="22"/>
          <w:szCs w:val="22"/>
        </w:rPr>
      </w:pPr>
      <w:bookmarkStart w:id="163" w:name="_Toc523322063"/>
      <w:r w:rsidRPr="007A064A">
        <w:rPr>
          <w:rFonts w:ascii="Book Antiqua" w:eastAsiaTheme="majorEastAsia" w:hAnsi="Book Antiqua" w:cstheme="majorBidi"/>
          <w:b/>
          <w:bCs/>
          <w:sz w:val="22"/>
          <w:szCs w:val="22"/>
        </w:rPr>
        <w:t>V.1.3. Avis des clients sur la qualité de l’accueil du personnel de l’agence</w:t>
      </w:r>
      <w:bookmarkEnd w:id="163"/>
    </w:p>
    <w:p w:rsidR="00533316" w:rsidRPr="007A064A" w:rsidRDefault="00533316" w:rsidP="00FD0BEC">
      <w:pPr>
        <w:spacing w:after="200" w:line="276" w:lineRule="auto"/>
        <w:jc w:val="both"/>
        <w:rPr>
          <w:rFonts w:ascii="Book Antiqua" w:eastAsiaTheme="minorEastAsia" w:hAnsi="Book Antiqua" w:cstheme="minorBidi"/>
          <w:sz w:val="22"/>
          <w:szCs w:val="22"/>
        </w:rPr>
      </w:pPr>
      <w:r w:rsidRPr="007A064A">
        <w:rPr>
          <w:rFonts w:ascii="Book Antiqua" w:eastAsiaTheme="minorEastAsia" w:hAnsi="Book Antiqua" w:cstheme="minorBidi"/>
          <w:sz w:val="22"/>
          <w:szCs w:val="22"/>
        </w:rPr>
        <w:t xml:space="preserve">La </w:t>
      </w:r>
      <w:r w:rsidR="007B7466" w:rsidRPr="007A064A">
        <w:rPr>
          <w:rFonts w:ascii="Book Antiqua" w:eastAsiaTheme="minorEastAsia" w:hAnsi="Book Antiqua" w:cstheme="minorBidi"/>
          <w:sz w:val="22"/>
          <w:szCs w:val="22"/>
        </w:rPr>
        <w:t>quasi-totalité</w:t>
      </w:r>
      <w:r w:rsidRPr="007A064A">
        <w:rPr>
          <w:rFonts w:ascii="Book Antiqua" w:eastAsiaTheme="minorEastAsia" w:hAnsi="Book Antiqua" w:cstheme="minorBidi"/>
          <w:sz w:val="22"/>
          <w:szCs w:val="22"/>
        </w:rPr>
        <w:t xml:space="preserve"> des unités enquêtées apprécie positivement la qualité de l’accueil du personnel. En effet, </w:t>
      </w:r>
      <w:r w:rsidR="009A27F7" w:rsidRPr="007A064A">
        <w:rPr>
          <w:rFonts w:ascii="Book Antiqua" w:eastAsiaTheme="minorEastAsia" w:hAnsi="Book Antiqua" w:cstheme="minorBidi"/>
          <w:sz w:val="22"/>
          <w:szCs w:val="22"/>
        </w:rPr>
        <w:t xml:space="preserve">une proportion de </w:t>
      </w:r>
      <w:r w:rsidRPr="007A064A">
        <w:rPr>
          <w:rFonts w:ascii="Book Antiqua" w:eastAsiaTheme="minorEastAsia" w:hAnsi="Book Antiqua" w:cstheme="minorBidi"/>
          <w:sz w:val="22"/>
          <w:szCs w:val="22"/>
        </w:rPr>
        <w:t>92,3% juge « courtois » voire « très courtois » le personnel du « front office»</w:t>
      </w:r>
      <w:r w:rsidR="009A27F7" w:rsidRPr="007A064A">
        <w:rPr>
          <w:rFonts w:ascii="Book Antiqua" w:eastAsiaTheme="minorEastAsia" w:hAnsi="Book Antiqua" w:cstheme="minorBidi"/>
          <w:sz w:val="22"/>
          <w:szCs w:val="22"/>
        </w:rPr>
        <w:t xml:space="preserve"> de leur </w:t>
      </w:r>
      <w:r w:rsidR="00E34421" w:rsidRPr="007A064A">
        <w:rPr>
          <w:rFonts w:ascii="Book Antiqua" w:eastAsiaTheme="minorEastAsia" w:hAnsi="Book Antiqua" w:cstheme="minorBidi"/>
          <w:sz w:val="22"/>
          <w:szCs w:val="22"/>
        </w:rPr>
        <w:t>agence</w:t>
      </w:r>
      <w:r w:rsidRPr="007A064A">
        <w:rPr>
          <w:rFonts w:ascii="Book Antiqua" w:eastAsiaTheme="minorEastAsia" w:hAnsi="Book Antiqua" w:cstheme="minorBidi"/>
          <w:sz w:val="22"/>
          <w:szCs w:val="22"/>
        </w:rPr>
        <w:t>.</w:t>
      </w:r>
    </w:p>
    <w:p w:rsidR="00FC6FDC" w:rsidRPr="00FC6FDC" w:rsidRDefault="00FC6FDC" w:rsidP="00FD0BEC">
      <w:pPr>
        <w:pStyle w:val="Lgende"/>
        <w:keepNext/>
        <w:spacing w:line="276" w:lineRule="auto"/>
        <w:jc w:val="center"/>
        <w:rPr>
          <w:color w:val="auto"/>
        </w:rPr>
      </w:pPr>
      <w:bookmarkStart w:id="164" w:name="_Toc523313783"/>
      <w:r w:rsidRPr="00FC6FDC">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100</w:t>
      </w:r>
      <w:r w:rsidR="000D65F2">
        <w:rPr>
          <w:color w:val="auto"/>
        </w:rPr>
        <w:fldChar w:fldCharType="end"/>
      </w:r>
      <w:r w:rsidRPr="00FC6FDC">
        <w:rPr>
          <w:color w:val="auto"/>
        </w:rPr>
        <w:t>: Avis des unités sur la qualité de l'accueil du personnel du front office de l'agence bancaire</w:t>
      </w:r>
      <w:bookmarkEnd w:id="164"/>
    </w:p>
    <w:p w:rsidR="00533316" w:rsidRPr="00751AB7" w:rsidRDefault="00F44BC9" w:rsidP="00FD0BEC">
      <w:pPr>
        <w:keepNext/>
        <w:spacing w:after="200" w:line="276" w:lineRule="auto"/>
        <w:jc w:val="center"/>
        <w:rPr>
          <w:rFonts w:asciiTheme="minorHAnsi" w:eastAsiaTheme="minorEastAsia" w:hAnsiTheme="minorHAnsi" w:cstheme="minorBidi"/>
          <w:sz w:val="22"/>
          <w:szCs w:val="22"/>
        </w:rPr>
      </w:pPr>
      <w:r w:rsidRPr="00AE3DF1">
        <w:rPr>
          <w:noProof/>
        </w:rPr>
        <w:drawing>
          <wp:inline distT="0" distB="0" distL="0" distR="0">
            <wp:extent cx="4570763" cy="2523506"/>
            <wp:effectExtent l="19050" t="0" r="20287" b="0"/>
            <wp:docPr id="260" name="Graphique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260C9" w:rsidRPr="00FC6FDC" w:rsidRDefault="00533316" w:rsidP="00FD0BEC">
      <w:pPr>
        <w:spacing w:after="200" w:line="276" w:lineRule="auto"/>
        <w:jc w:val="both"/>
        <w:rPr>
          <w:rFonts w:ascii="Book Antiqua" w:eastAsiaTheme="minorEastAsia" w:hAnsi="Book Antiqua" w:cstheme="minorBidi"/>
          <w:sz w:val="22"/>
        </w:rPr>
      </w:pPr>
      <w:r w:rsidRPr="00214838">
        <w:rPr>
          <w:rFonts w:ascii="Book Antiqua" w:eastAsiaTheme="minorEastAsia" w:hAnsi="Book Antiqua" w:cstheme="minorBidi"/>
          <w:sz w:val="22"/>
        </w:rPr>
        <w:t xml:space="preserve">L’analyse de l’opinion des </w:t>
      </w:r>
      <w:r w:rsidR="00E34421">
        <w:rPr>
          <w:rFonts w:ascii="Book Antiqua" w:eastAsiaTheme="minorEastAsia" w:hAnsi="Book Antiqua" w:cstheme="minorBidi"/>
          <w:sz w:val="22"/>
        </w:rPr>
        <w:t>entités</w:t>
      </w:r>
      <w:r w:rsidR="00D358B7">
        <w:rPr>
          <w:rFonts w:ascii="Book Antiqua" w:eastAsiaTheme="minorEastAsia" w:hAnsi="Book Antiqua" w:cstheme="minorBidi"/>
          <w:sz w:val="22"/>
        </w:rPr>
        <w:t xml:space="preserve"> </w:t>
      </w:r>
      <w:r w:rsidRPr="00214838">
        <w:rPr>
          <w:rFonts w:ascii="Book Antiqua" w:eastAsiaTheme="minorEastAsia" w:hAnsi="Book Antiqua" w:cstheme="minorBidi"/>
          <w:sz w:val="22"/>
        </w:rPr>
        <w:t xml:space="preserve">sur la qualité de l’accueil suivant les régions confirme </w:t>
      </w:r>
      <w:r w:rsidR="00E34421">
        <w:rPr>
          <w:rFonts w:ascii="Book Antiqua" w:eastAsiaTheme="minorEastAsia" w:hAnsi="Book Antiqua" w:cstheme="minorBidi"/>
          <w:sz w:val="22"/>
        </w:rPr>
        <w:t xml:space="preserve">la </w:t>
      </w:r>
      <w:r w:rsidRPr="00214838">
        <w:rPr>
          <w:rFonts w:ascii="Book Antiqua" w:eastAsiaTheme="minorEastAsia" w:hAnsi="Book Antiqua" w:cstheme="minorBidi"/>
          <w:sz w:val="22"/>
        </w:rPr>
        <w:t>même tendance avec des niveaux de satisfaction globalement élevé</w:t>
      </w:r>
      <w:r w:rsidR="00E34421">
        <w:rPr>
          <w:rFonts w:ascii="Book Antiqua" w:eastAsiaTheme="minorEastAsia" w:hAnsi="Book Antiqua" w:cstheme="minorBidi"/>
          <w:sz w:val="22"/>
        </w:rPr>
        <w:t>s dans tou</w:t>
      </w:r>
      <w:r w:rsidR="00CD5748">
        <w:rPr>
          <w:rFonts w:ascii="Book Antiqua" w:eastAsiaTheme="minorEastAsia" w:hAnsi="Book Antiqua" w:cstheme="minorBidi"/>
          <w:sz w:val="22"/>
        </w:rPr>
        <w:t>tes les localités :</w:t>
      </w:r>
      <w:r w:rsidRPr="00214838">
        <w:rPr>
          <w:rFonts w:ascii="Book Antiqua" w:eastAsiaTheme="minorEastAsia" w:hAnsi="Book Antiqua" w:cstheme="minorBidi"/>
          <w:sz w:val="22"/>
        </w:rPr>
        <w:t xml:space="preserve"> le taux de satisfaction le plus bas  est observé à </w:t>
      </w:r>
      <w:proofErr w:type="spellStart"/>
      <w:r w:rsidRPr="00214838">
        <w:rPr>
          <w:rFonts w:ascii="Book Antiqua" w:eastAsiaTheme="minorEastAsia" w:hAnsi="Book Antiqua" w:cstheme="minorBidi"/>
          <w:sz w:val="22"/>
        </w:rPr>
        <w:t>Sédhiou</w:t>
      </w:r>
      <w:proofErr w:type="spellEnd"/>
      <w:r w:rsidR="00D358B7">
        <w:rPr>
          <w:rFonts w:ascii="Book Antiqua" w:eastAsiaTheme="minorEastAsia" w:hAnsi="Book Antiqua" w:cstheme="minorBidi"/>
          <w:sz w:val="22"/>
        </w:rPr>
        <w:t xml:space="preserve"> </w:t>
      </w:r>
      <w:r w:rsidR="00E34421">
        <w:rPr>
          <w:rFonts w:ascii="Book Antiqua" w:eastAsiaTheme="minorEastAsia" w:hAnsi="Book Antiqua" w:cstheme="minorBidi"/>
          <w:sz w:val="22"/>
        </w:rPr>
        <w:t>avec</w:t>
      </w:r>
      <w:r w:rsidRPr="00214838">
        <w:rPr>
          <w:rFonts w:ascii="Book Antiqua" w:eastAsiaTheme="minorEastAsia" w:hAnsi="Book Antiqua" w:cstheme="minorBidi"/>
          <w:sz w:val="22"/>
        </w:rPr>
        <w:t xml:space="preserve">  63,8%</w:t>
      </w:r>
      <w:r w:rsidR="007B643F">
        <w:rPr>
          <w:rFonts w:ascii="Book Antiqua" w:eastAsiaTheme="minorEastAsia" w:hAnsi="Book Antiqua" w:cstheme="minorBidi"/>
          <w:sz w:val="22"/>
        </w:rPr>
        <w:t>.</w:t>
      </w:r>
    </w:p>
    <w:p w:rsidR="00FC6FDC" w:rsidRPr="00C84262" w:rsidRDefault="00FC6FDC" w:rsidP="00FD0BEC">
      <w:pPr>
        <w:pStyle w:val="Lgende"/>
        <w:keepNext/>
        <w:spacing w:line="276" w:lineRule="auto"/>
        <w:jc w:val="center"/>
        <w:rPr>
          <w:color w:val="auto"/>
        </w:rPr>
      </w:pPr>
      <w:bookmarkStart w:id="165" w:name="_Toc523313784"/>
      <w:r w:rsidRPr="00C84262">
        <w:rPr>
          <w:color w:val="auto"/>
        </w:rPr>
        <w:lastRenderedPageBreak/>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101</w:t>
      </w:r>
      <w:r w:rsidR="000D65F2">
        <w:rPr>
          <w:color w:val="auto"/>
        </w:rPr>
        <w:fldChar w:fldCharType="end"/>
      </w:r>
      <w:r w:rsidRPr="00C84262">
        <w:rPr>
          <w:color w:val="auto"/>
        </w:rPr>
        <w:t xml:space="preserve"> : Avis des unités sur la qualité de l'accueil du personnel du front office de l'agence selon les régions</w:t>
      </w:r>
      <w:bookmarkEnd w:id="165"/>
    </w:p>
    <w:p w:rsidR="00533316" w:rsidRPr="009B26F2" w:rsidRDefault="00533316" w:rsidP="00FD0BEC">
      <w:pPr>
        <w:keepNext/>
        <w:spacing w:after="200" w:line="276" w:lineRule="auto"/>
        <w:jc w:val="center"/>
        <w:rPr>
          <w:rFonts w:asciiTheme="minorHAnsi" w:eastAsiaTheme="minorEastAsia" w:hAnsiTheme="minorHAnsi" w:cstheme="minorBidi"/>
          <w:sz w:val="22"/>
          <w:szCs w:val="22"/>
        </w:rPr>
      </w:pPr>
      <w:r w:rsidRPr="00533316">
        <w:rPr>
          <w:rFonts w:ascii="Book Antiqua" w:eastAsiaTheme="minorEastAsia" w:hAnsi="Book Antiqua" w:cstheme="minorBidi"/>
          <w:noProof/>
        </w:rPr>
        <w:drawing>
          <wp:inline distT="0" distB="0" distL="0" distR="0">
            <wp:extent cx="4505821" cy="2995970"/>
            <wp:effectExtent l="19050" t="0" r="28079" b="0"/>
            <wp:docPr id="86" name="Graphique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533316" w:rsidRPr="00214838" w:rsidRDefault="00533316" w:rsidP="00FD0BEC">
      <w:pPr>
        <w:spacing w:before="240" w:after="240" w:line="276" w:lineRule="auto"/>
        <w:jc w:val="both"/>
        <w:rPr>
          <w:rFonts w:ascii="Book Antiqua" w:eastAsiaTheme="minorEastAsia" w:hAnsi="Book Antiqua" w:cstheme="minorBidi"/>
          <w:sz w:val="22"/>
        </w:rPr>
      </w:pPr>
      <w:r w:rsidRPr="00214838">
        <w:rPr>
          <w:rFonts w:ascii="Book Antiqua" w:eastAsiaTheme="minorEastAsia" w:hAnsi="Book Antiqua" w:cstheme="minorBidi"/>
          <w:sz w:val="22"/>
        </w:rPr>
        <w:t xml:space="preserve">L’analyse basée sur la nature de l’activité ne fait pas ressortir de </w:t>
      </w:r>
      <w:r w:rsidR="007B643F">
        <w:rPr>
          <w:rFonts w:ascii="Book Antiqua" w:eastAsiaTheme="minorEastAsia" w:hAnsi="Book Antiqua" w:cstheme="minorBidi"/>
          <w:sz w:val="22"/>
        </w:rPr>
        <w:t>différence</w:t>
      </w:r>
      <w:r w:rsidR="00D358B7">
        <w:rPr>
          <w:rFonts w:ascii="Book Antiqua" w:eastAsiaTheme="minorEastAsia" w:hAnsi="Book Antiqua" w:cstheme="minorBidi"/>
          <w:sz w:val="22"/>
        </w:rPr>
        <w:t xml:space="preserve"> </w:t>
      </w:r>
      <w:r w:rsidRPr="00214838">
        <w:rPr>
          <w:rFonts w:ascii="Book Antiqua" w:eastAsiaTheme="minorEastAsia" w:hAnsi="Book Antiqua" w:cstheme="minorBidi"/>
          <w:sz w:val="22"/>
        </w:rPr>
        <w:t xml:space="preserve">significative d’appréciation </w:t>
      </w:r>
      <w:r w:rsidR="007B643F">
        <w:rPr>
          <w:rFonts w:ascii="Book Antiqua" w:eastAsiaTheme="minorEastAsia" w:hAnsi="Book Antiqua" w:cstheme="minorBidi"/>
          <w:sz w:val="22"/>
        </w:rPr>
        <w:t>entre</w:t>
      </w:r>
      <w:r w:rsidR="00D358B7">
        <w:rPr>
          <w:rFonts w:ascii="Book Antiqua" w:eastAsiaTheme="minorEastAsia" w:hAnsi="Book Antiqua" w:cstheme="minorBidi"/>
          <w:sz w:val="22"/>
        </w:rPr>
        <w:t xml:space="preserve"> </w:t>
      </w:r>
      <w:r w:rsidRPr="00214838">
        <w:rPr>
          <w:rFonts w:ascii="Book Antiqua" w:eastAsiaTheme="minorEastAsia" w:hAnsi="Book Antiqua" w:cstheme="minorBidi"/>
          <w:sz w:val="22"/>
        </w:rPr>
        <w:t xml:space="preserve">les unités enquêtées du secteur formel </w:t>
      </w:r>
      <w:r w:rsidR="007B643F">
        <w:rPr>
          <w:rFonts w:ascii="Book Antiqua" w:eastAsiaTheme="minorEastAsia" w:hAnsi="Book Antiqua" w:cstheme="minorBidi"/>
          <w:sz w:val="22"/>
        </w:rPr>
        <w:t>et celles exerçant dans l</w:t>
      </w:r>
      <w:r w:rsidRPr="00214838">
        <w:rPr>
          <w:rFonts w:ascii="Book Antiqua" w:eastAsiaTheme="minorEastAsia" w:hAnsi="Book Antiqua" w:cstheme="minorBidi"/>
          <w:sz w:val="22"/>
        </w:rPr>
        <w:t xml:space="preserve">’informel </w:t>
      </w:r>
      <w:r w:rsidR="007B643F">
        <w:rPr>
          <w:rFonts w:ascii="Book Antiqua" w:eastAsiaTheme="minorEastAsia" w:hAnsi="Book Antiqua" w:cstheme="minorBidi"/>
          <w:sz w:val="22"/>
        </w:rPr>
        <w:t>avec</w:t>
      </w:r>
      <w:r w:rsidRPr="00214838">
        <w:rPr>
          <w:rFonts w:ascii="Book Antiqua" w:eastAsiaTheme="minorEastAsia" w:hAnsi="Book Antiqua" w:cstheme="minorBidi"/>
          <w:sz w:val="22"/>
        </w:rPr>
        <w:t xml:space="preserve"> des taux de satisfaction quasiment similaire de 92</w:t>
      </w:r>
      <w:r w:rsidR="007B643F">
        <w:rPr>
          <w:rFonts w:ascii="Book Antiqua" w:eastAsiaTheme="minorEastAsia" w:hAnsi="Book Antiqua" w:cstheme="minorBidi"/>
          <w:sz w:val="22"/>
        </w:rPr>
        <w:t>,0</w:t>
      </w:r>
      <w:r w:rsidRPr="00214838">
        <w:rPr>
          <w:rFonts w:ascii="Book Antiqua" w:eastAsiaTheme="minorEastAsia" w:hAnsi="Book Antiqua" w:cstheme="minorBidi"/>
          <w:sz w:val="22"/>
        </w:rPr>
        <w:t>%.</w:t>
      </w:r>
    </w:p>
    <w:p w:rsidR="00533316" w:rsidRPr="00531C35" w:rsidRDefault="00533316" w:rsidP="00531C35">
      <w:pPr>
        <w:keepNext/>
        <w:keepLines/>
        <w:spacing w:before="240" w:after="240" w:line="276" w:lineRule="auto"/>
        <w:ind w:left="1134" w:hanging="567"/>
        <w:outlineLvl w:val="2"/>
        <w:rPr>
          <w:rFonts w:ascii="Book Antiqua" w:eastAsiaTheme="majorEastAsia" w:hAnsi="Book Antiqua" w:cstheme="majorBidi"/>
          <w:b/>
          <w:bCs/>
          <w:sz w:val="22"/>
          <w:szCs w:val="22"/>
        </w:rPr>
      </w:pPr>
      <w:bookmarkStart w:id="166" w:name="_Toc523322064"/>
      <w:r w:rsidRPr="00531C35">
        <w:rPr>
          <w:rFonts w:ascii="Book Antiqua" w:eastAsiaTheme="majorEastAsia" w:hAnsi="Book Antiqua" w:cstheme="majorBidi"/>
          <w:b/>
          <w:bCs/>
          <w:sz w:val="22"/>
          <w:szCs w:val="22"/>
        </w:rPr>
        <w:t>V.1.4. Qualité de la gestion du compte</w:t>
      </w:r>
      <w:bookmarkEnd w:id="166"/>
    </w:p>
    <w:p w:rsidR="00533316" w:rsidRPr="001C34B8" w:rsidRDefault="00533316" w:rsidP="00FD0BEC">
      <w:pPr>
        <w:spacing w:before="240" w:after="240" w:line="276" w:lineRule="auto"/>
        <w:jc w:val="both"/>
        <w:rPr>
          <w:rFonts w:ascii="Book Antiqua" w:eastAsiaTheme="minorEastAsia" w:hAnsi="Book Antiqua" w:cstheme="minorBidi"/>
          <w:sz w:val="22"/>
        </w:rPr>
      </w:pPr>
      <w:r w:rsidRPr="001C34B8">
        <w:rPr>
          <w:rFonts w:ascii="Book Antiqua" w:eastAsiaTheme="minorEastAsia" w:hAnsi="Book Antiqua" w:cstheme="minorBidi"/>
          <w:sz w:val="22"/>
        </w:rPr>
        <w:t xml:space="preserve">Le niveau de satisfaction </w:t>
      </w:r>
      <w:r w:rsidR="00F85DFD">
        <w:rPr>
          <w:rFonts w:ascii="Book Antiqua" w:eastAsiaTheme="minorEastAsia" w:hAnsi="Book Antiqua" w:cstheme="minorBidi"/>
          <w:sz w:val="22"/>
        </w:rPr>
        <w:t xml:space="preserve">par rapport à </w:t>
      </w:r>
      <w:r w:rsidRPr="001C34B8">
        <w:rPr>
          <w:rFonts w:ascii="Book Antiqua" w:eastAsiaTheme="minorEastAsia" w:hAnsi="Book Antiqua" w:cstheme="minorBidi"/>
          <w:sz w:val="22"/>
        </w:rPr>
        <w:t xml:space="preserve"> la gestion du compte </w:t>
      </w:r>
      <w:r w:rsidR="004153A2">
        <w:rPr>
          <w:rFonts w:ascii="Book Antiqua" w:eastAsiaTheme="minorEastAsia" w:hAnsi="Book Antiqua" w:cstheme="minorBidi"/>
          <w:sz w:val="22"/>
        </w:rPr>
        <w:t>varie suivant</w:t>
      </w:r>
      <w:r w:rsidRPr="001C34B8">
        <w:rPr>
          <w:rFonts w:ascii="Book Antiqua" w:eastAsiaTheme="minorEastAsia" w:hAnsi="Book Antiqua" w:cstheme="minorBidi"/>
          <w:sz w:val="22"/>
        </w:rPr>
        <w:t xml:space="preserve"> les </w:t>
      </w:r>
      <w:r w:rsidR="004153A2">
        <w:rPr>
          <w:rFonts w:ascii="Book Antiqua" w:eastAsiaTheme="minorEastAsia" w:hAnsi="Book Antiqua" w:cstheme="minorBidi"/>
          <w:sz w:val="22"/>
        </w:rPr>
        <w:t>unités</w:t>
      </w:r>
      <w:r w:rsidR="00D358B7">
        <w:rPr>
          <w:rFonts w:ascii="Book Antiqua" w:eastAsiaTheme="minorEastAsia" w:hAnsi="Book Antiqua" w:cstheme="minorBidi"/>
          <w:sz w:val="22"/>
        </w:rPr>
        <w:t xml:space="preserve"> </w:t>
      </w:r>
      <w:r w:rsidRPr="001C34B8">
        <w:rPr>
          <w:rFonts w:ascii="Book Antiqua" w:eastAsiaTheme="minorEastAsia" w:hAnsi="Book Antiqua" w:cstheme="minorBidi"/>
          <w:sz w:val="22"/>
        </w:rPr>
        <w:t xml:space="preserve">interrogées. </w:t>
      </w:r>
      <w:r w:rsidR="004153A2">
        <w:rPr>
          <w:rFonts w:ascii="Book Antiqua" w:eastAsiaTheme="minorEastAsia" w:hAnsi="Book Antiqua" w:cstheme="minorBidi"/>
          <w:sz w:val="22"/>
        </w:rPr>
        <w:t>Une proportion d</w:t>
      </w:r>
      <w:r w:rsidRPr="001C34B8">
        <w:rPr>
          <w:rFonts w:ascii="Book Antiqua" w:eastAsiaTheme="minorEastAsia" w:hAnsi="Book Antiqua" w:cstheme="minorBidi"/>
          <w:sz w:val="22"/>
        </w:rPr>
        <w:t xml:space="preserve">e 63,4% </w:t>
      </w:r>
      <w:r w:rsidR="00F62E6A">
        <w:rPr>
          <w:rFonts w:ascii="Book Antiqua" w:eastAsiaTheme="minorEastAsia" w:hAnsi="Book Antiqua" w:cstheme="minorBidi"/>
          <w:sz w:val="22"/>
        </w:rPr>
        <w:t xml:space="preserve">des entités </w:t>
      </w:r>
      <w:r w:rsidRPr="001C34B8">
        <w:rPr>
          <w:rFonts w:ascii="Book Antiqua" w:eastAsiaTheme="minorEastAsia" w:hAnsi="Book Antiqua" w:cstheme="minorBidi"/>
          <w:sz w:val="22"/>
        </w:rPr>
        <w:t xml:space="preserve">estiment que </w:t>
      </w:r>
      <w:r w:rsidR="004153A2">
        <w:rPr>
          <w:rFonts w:ascii="Book Antiqua" w:eastAsiaTheme="minorEastAsia" w:hAnsi="Book Antiqua" w:cstheme="minorBidi"/>
          <w:sz w:val="22"/>
        </w:rPr>
        <w:t xml:space="preserve">leur compte est géré au mieux de leurs intérêts </w:t>
      </w:r>
      <w:r w:rsidRPr="001C34B8">
        <w:rPr>
          <w:rFonts w:ascii="Book Antiqua" w:eastAsiaTheme="minorEastAsia" w:hAnsi="Book Antiqua" w:cstheme="minorBidi"/>
          <w:sz w:val="22"/>
        </w:rPr>
        <w:t xml:space="preserve">contre 36, 6% qui </w:t>
      </w:r>
      <w:r w:rsidR="004153A2">
        <w:rPr>
          <w:rFonts w:ascii="Book Antiqua" w:eastAsiaTheme="minorEastAsia" w:hAnsi="Book Antiqua" w:cstheme="minorBidi"/>
          <w:sz w:val="22"/>
        </w:rPr>
        <w:t xml:space="preserve"> sont d’avis contraire</w:t>
      </w:r>
      <w:r w:rsidRPr="001C34B8">
        <w:rPr>
          <w:rFonts w:ascii="Book Antiqua" w:eastAsiaTheme="minorEastAsia" w:hAnsi="Book Antiqua" w:cstheme="minorBidi"/>
          <w:sz w:val="22"/>
        </w:rPr>
        <w:t xml:space="preserve">. </w:t>
      </w:r>
    </w:p>
    <w:p w:rsidR="00FC6FDC" w:rsidRPr="00C84262" w:rsidRDefault="00FC6FDC" w:rsidP="00FD0BEC">
      <w:pPr>
        <w:pStyle w:val="Lgende"/>
        <w:keepNext/>
        <w:spacing w:line="276" w:lineRule="auto"/>
        <w:jc w:val="center"/>
        <w:rPr>
          <w:color w:val="auto"/>
        </w:rPr>
      </w:pPr>
      <w:bookmarkStart w:id="167" w:name="_Toc523313785"/>
      <w:r w:rsidRPr="00C84262">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102</w:t>
      </w:r>
      <w:r w:rsidR="000D65F2">
        <w:rPr>
          <w:color w:val="auto"/>
        </w:rPr>
        <w:fldChar w:fldCharType="end"/>
      </w:r>
      <w:r w:rsidRPr="00C84262">
        <w:rPr>
          <w:color w:val="auto"/>
        </w:rPr>
        <w:t xml:space="preserve"> : Appréciation des unités sur la gestion de leur compte principal</w:t>
      </w:r>
      <w:bookmarkEnd w:id="167"/>
    </w:p>
    <w:p w:rsidR="00533316" w:rsidRPr="009B26F2" w:rsidRDefault="00F44BC9" w:rsidP="00FD0BEC">
      <w:pPr>
        <w:keepNext/>
        <w:spacing w:after="200" w:line="276" w:lineRule="auto"/>
        <w:jc w:val="center"/>
        <w:rPr>
          <w:rFonts w:asciiTheme="minorHAnsi" w:eastAsiaTheme="minorEastAsia" w:hAnsiTheme="minorHAnsi" w:cstheme="minorBidi"/>
          <w:sz w:val="22"/>
          <w:szCs w:val="22"/>
        </w:rPr>
      </w:pPr>
      <w:r w:rsidRPr="00AE3DF1">
        <w:rPr>
          <w:noProof/>
        </w:rPr>
        <w:drawing>
          <wp:inline distT="0" distB="0" distL="0" distR="0">
            <wp:extent cx="4572000" cy="2743200"/>
            <wp:effectExtent l="19050" t="0" r="19050" b="0"/>
            <wp:docPr id="270" name="Graphique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533316" w:rsidRPr="001C34B8" w:rsidRDefault="004153A2"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L’</w:t>
      </w:r>
      <w:r w:rsidR="00533316" w:rsidRPr="001C34B8">
        <w:rPr>
          <w:rFonts w:ascii="Book Antiqua" w:eastAsiaTheme="minorEastAsia" w:hAnsi="Book Antiqua" w:cstheme="minorBidi"/>
          <w:sz w:val="22"/>
        </w:rPr>
        <w:t xml:space="preserve">analyse </w:t>
      </w:r>
      <w:r>
        <w:rPr>
          <w:rFonts w:ascii="Book Antiqua" w:eastAsiaTheme="minorEastAsia" w:hAnsi="Book Antiqua" w:cstheme="minorBidi"/>
          <w:sz w:val="22"/>
        </w:rPr>
        <w:t xml:space="preserve">des résultats </w:t>
      </w:r>
      <w:r w:rsidR="00F62E6A">
        <w:rPr>
          <w:rFonts w:ascii="Book Antiqua" w:eastAsiaTheme="minorEastAsia" w:hAnsi="Book Antiqua" w:cstheme="minorBidi"/>
          <w:sz w:val="22"/>
        </w:rPr>
        <w:t>sur la qualité de la gestion des comptes suivant</w:t>
      </w:r>
      <w:r w:rsidR="00D358B7">
        <w:rPr>
          <w:rFonts w:ascii="Book Antiqua" w:eastAsiaTheme="minorEastAsia" w:hAnsi="Book Antiqua" w:cstheme="minorBidi"/>
          <w:sz w:val="22"/>
        </w:rPr>
        <w:t xml:space="preserve"> </w:t>
      </w:r>
      <w:r w:rsidR="00533316" w:rsidRPr="001C34B8">
        <w:rPr>
          <w:rFonts w:ascii="Book Antiqua" w:eastAsiaTheme="minorEastAsia" w:hAnsi="Book Antiqua" w:cstheme="minorBidi"/>
          <w:sz w:val="22"/>
        </w:rPr>
        <w:t xml:space="preserve">les régions fait apparaître un sentiment de satisfaction chez les </w:t>
      </w:r>
      <w:r>
        <w:rPr>
          <w:rFonts w:ascii="Book Antiqua" w:eastAsiaTheme="minorEastAsia" w:hAnsi="Book Antiqua" w:cstheme="minorBidi"/>
          <w:sz w:val="22"/>
        </w:rPr>
        <w:t xml:space="preserve">unités </w:t>
      </w:r>
      <w:r w:rsidR="00533316" w:rsidRPr="001C34B8">
        <w:rPr>
          <w:rFonts w:ascii="Book Antiqua" w:eastAsiaTheme="minorEastAsia" w:hAnsi="Book Antiqua" w:cstheme="minorBidi"/>
          <w:sz w:val="22"/>
        </w:rPr>
        <w:t xml:space="preserve">interrogées à Matam, Saint louis, Louga et Thiès où il est observé des taux respectifs de 90,2%, 87,7%, 86,0% et 85,6%. Par contre, des perceptions </w:t>
      </w:r>
      <w:r w:rsidR="00533316" w:rsidRPr="001C34B8">
        <w:rPr>
          <w:rFonts w:ascii="Book Antiqua" w:eastAsiaTheme="minorEastAsia" w:hAnsi="Book Antiqua" w:cstheme="minorBidi"/>
          <w:sz w:val="22"/>
        </w:rPr>
        <w:lastRenderedPageBreak/>
        <w:t xml:space="preserve">négatives sont </w:t>
      </w:r>
      <w:r w:rsidR="00F62E6A">
        <w:rPr>
          <w:rFonts w:ascii="Book Antiqua" w:eastAsiaTheme="minorEastAsia" w:hAnsi="Book Antiqua" w:cstheme="minorBidi"/>
          <w:sz w:val="22"/>
        </w:rPr>
        <w:t xml:space="preserve">observées </w:t>
      </w:r>
      <w:r w:rsidR="00533316" w:rsidRPr="001C34B8">
        <w:rPr>
          <w:rFonts w:ascii="Book Antiqua" w:eastAsiaTheme="minorEastAsia" w:hAnsi="Book Antiqua" w:cstheme="minorBidi"/>
          <w:sz w:val="22"/>
        </w:rPr>
        <w:t xml:space="preserve">dans les régions de </w:t>
      </w:r>
      <w:proofErr w:type="spellStart"/>
      <w:r w:rsidR="00533316" w:rsidRPr="001C34B8">
        <w:rPr>
          <w:rFonts w:ascii="Book Antiqua" w:eastAsiaTheme="minorEastAsia" w:hAnsi="Book Antiqua" w:cstheme="minorBidi"/>
          <w:sz w:val="22"/>
        </w:rPr>
        <w:t>Sédhiou</w:t>
      </w:r>
      <w:proofErr w:type="spellEnd"/>
      <w:r w:rsidR="00533316" w:rsidRPr="001C34B8">
        <w:rPr>
          <w:rFonts w:ascii="Book Antiqua" w:eastAsiaTheme="minorEastAsia" w:hAnsi="Book Antiqua" w:cstheme="minorBidi"/>
          <w:sz w:val="22"/>
        </w:rPr>
        <w:t xml:space="preserve"> (63,8%), </w:t>
      </w:r>
      <w:proofErr w:type="spellStart"/>
      <w:r w:rsidR="00FC6FDC" w:rsidRPr="001C34B8">
        <w:rPr>
          <w:rFonts w:ascii="Book Antiqua" w:eastAsiaTheme="minorEastAsia" w:hAnsi="Book Antiqua" w:cstheme="minorBidi"/>
          <w:sz w:val="22"/>
        </w:rPr>
        <w:t>Kaffrine</w:t>
      </w:r>
      <w:proofErr w:type="spellEnd"/>
      <w:r w:rsidR="00533316" w:rsidRPr="001C34B8">
        <w:rPr>
          <w:rFonts w:ascii="Book Antiqua" w:eastAsiaTheme="minorEastAsia" w:hAnsi="Book Antiqua" w:cstheme="minorBidi"/>
          <w:sz w:val="22"/>
        </w:rPr>
        <w:t xml:space="preserve"> (55,9%)</w:t>
      </w:r>
      <w:r w:rsidR="00F62E6A">
        <w:rPr>
          <w:rFonts w:ascii="Book Antiqua" w:eastAsiaTheme="minorEastAsia" w:hAnsi="Book Antiqua" w:cstheme="minorBidi"/>
          <w:sz w:val="22"/>
        </w:rPr>
        <w:t>,</w:t>
      </w:r>
      <w:r w:rsidR="00CD5748">
        <w:rPr>
          <w:rFonts w:ascii="Book Antiqua" w:eastAsiaTheme="minorEastAsia" w:hAnsi="Book Antiqua" w:cstheme="minorBidi"/>
          <w:sz w:val="22"/>
        </w:rPr>
        <w:t xml:space="preserve"> Kédougou (52,4%)</w:t>
      </w:r>
      <w:r w:rsidR="00751AB7">
        <w:rPr>
          <w:rFonts w:ascii="Book Antiqua" w:eastAsiaTheme="minorEastAsia" w:hAnsi="Book Antiqua" w:cstheme="minorBidi"/>
          <w:sz w:val="22"/>
        </w:rPr>
        <w:t>,</w:t>
      </w:r>
      <w:r w:rsidR="00751AB7" w:rsidRPr="001C34B8">
        <w:rPr>
          <w:rFonts w:ascii="Book Antiqua" w:eastAsiaTheme="minorEastAsia" w:hAnsi="Book Antiqua" w:cstheme="minorBidi"/>
          <w:sz w:val="22"/>
        </w:rPr>
        <w:t xml:space="preserve"> Tambacounda</w:t>
      </w:r>
      <w:r w:rsidR="00533316" w:rsidRPr="001C34B8">
        <w:rPr>
          <w:rFonts w:ascii="Book Antiqua" w:eastAsiaTheme="minorEastAsia" w:hAnsi="Book Antiqua" w:cstheme="minorBidi"/>
          <w:sz w:val="22"/>
        </w:rPr>
        <w:t xml:space="preserve"> (51,6%) </w:t>
      </w:r>
      <w:r w:rsidR="00F62E6A">
        <w:rPr>
          <w:rFonts w:ascii="Book Antiqua" w:eastAsiaTheme="minorEastAsia" w:hAnsi="Book Antiqua" w:cstheme="minorBidi"/>
          <w:sz w:val="22"/>
        </w:rPr>
        <w:t xml:space="preserve">et </w:t>
      </w:r>
      <w:r w:rsidR="00533316" w:rsidRPr="001C34B8">
        <w:rPr>
          <w:rFonts w:ascii="Book Antiqua" w:eastAsiaTheme="minorEastAsia" w:hAnsi="Book Antiqua" w:cstheme="minorBidi"/>
          <w:sz w:val="22"/>
        </w:rPr>
        <w:t>Kaolack (48,4%)</w:t>
      </w:r>
      <w:r w:rsidR="007B73EA">
        <w:rPr>
          <w:rFonts w:ascii="Book Antiqua" w:eastAsiaTheme="minorEastAsia" w:hAnsi="Book Antiqua" w:cstheme="minorBidi"/>
          <w:sz w:val="22"/>
        </w:rPr>
        <w:t>.</w:t>
      </w:r>
      <w:r w:rsidR="00533316" w:rsidRPr="001C34B8">
        <w:rPr>
          <w:rFonts w:ascii="Book Antiqua" w:eastAsiaTheme="minorEastAsia" w:hAnsi="Book Antiqua" w:cstheme="minorBidi"/>
          <w:sz w:val="22"/>
        </w:rPr>
        <w:t xml:space="preserve"> </w:t>
      </w:r>
    </w:p>
    <w:p w:rsidR="0012259E" w:rsidRPr="00C84262" w:rsidRDefault="0012259E" w:rsidP="00FD0BEC">
      <w:pPr>
        <w:pStyle w:val="Lgende"/>
        <w:keepNext/>
        <w:spacing w:line="276" w:lineRule="auto"/>
        <w:jc w:val="center"/>
        <w:rPr>
          <w:color w:val="auto"/>
        </w:rPr>
      </w:pPr>
      <w:bookmarkStart w:id="168" w:name="_Toc523313786"/>
      <w:r w:rsidRPr="00C84262">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103</w:t>
      </w:r>
      <w:r w:rsidR="000D65F2">
        <w:rPr>
          <w:color w:val="auto"/>
        </w:rPr>
        <w:fldChar w:fldCharType="end"/>
      </w:r>
      <w:r w:rsidRPr="00C84262">
        <w:rPr>
          <w:color w:val="auto"/>
        </w:rPr>
        <w:t xml:space="preserve"> : Appréciation des unités sur la gestion de leur compte principal selon les régions</w:t>
      </w:r>
      <w:bookmarkEnd w:id="168"/>
    </w:p>
    <w:p w:rsidR="00533316" w:rsidRPr="00533316" w:rsidRDefault="00533316" w:rsidP="00FD0BEC">
      <w:pPr>
        <w:keepNext/>
        <w:spacing w:after="200" w:line="276" w:lineRule="auto"/>
        <w:jc w:val="center"/>
        <w:rPr>
          <w:rFonts w:asciiTheme="minorHAnsi" w:eastAsiaTheme="minorEastAsia" w:hAnsiTheme="minorHAnsi" w:cstheme="minorBidi"/>
          <w:sz w:val="22"/>
          <w:szCs w:val="22"/>
        </w:rPr>
      </w:pPr>
      <w:r w:rsidRPr="00533316">
        <w:rPr>
          <w:rFonts w:ascii="Book Antiqua" w:eastAsiaTheme="minorEastAsia" w:hAnsi="Book Antiqua" w:cstheme="minorBidi"/>
          <w:noProof/>
        </w:rPr>
        <w:drawing>
          <wp:inline distT="0" distB="0" distL="0" distR="0">
            <wp:extent cx="4837764" cy="3170919"/>
            <wp:effectExtent l="19050" t="0" r="19986" b="0"/>
            <wp:docPr id="90" name="Graphique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7A0892" w:rsidRPr="004039E2" w:rsidRDefault="0023705C" w:rsidP="00FD0BEC">
      <w:pPr>
        <w:spacing w:before="240" w:after="240" w:line="276" w:lineRule="auto"/>
        <w:jc w:val="both"/>
        <w:rPr>
          <w:rFonts w:ascii="Book Antiqua" w:eastAsiaTheme="minorEastAsia" w:hAnsi="Book Antiqua" w:cstheme="minorBidi"/>
          <w:sz w:val="22"/>
          <w:szCs w:val="22"/>
        </w:rPr>
      </w:pPr>
      <w:r w:rsidRPr="00751AB7">
        <w:rPr>
          <w:rFonts w:ascii="Book Antiqua" w:eastAsiaTheme="minorEastAsia" w:hAnsi="Book Antiqua" w:cstheme="minorBidi"/>
          <w:sz w:val="22"/>
          <w:szCs w:val="22"/>
        </w:rPr>
        <w:t>L’appréciation selon la nature de l’activité des unités met en évidence des tendances similaires concernant la qualité de la gestion de leur compte par leur banque principale avec des taux de satisfaction de 63,7% et 62,9% respectivement pour le secteur formel et le secteur informel.</w:t>
      </w:r>
    </w:p>
    <w:p w:rsidR="00BF2AC1" w:rsidRPr="004039E2" w:rsidRDefault="003977A5" w:rsidP="00FD0BEC">
      <w:pPr>
        <w:spacing w:before="240" w:after="240" w:line="276" w:lineRule="auto"/>
        <w:jc w:val="both"/>
        <w:rPr>
          <w:rFonts w:ascii="Book Antiqua" w:eastAsiaTheme="minorEastAsia" w:hAnsi="Book Antiqua" w:cstheme="minorBidi"/>
          <w:sz w:val="22"/>
          <w:szCs w:val="22"/>
        </w:rPr>
      </w:pPr>
      <w:r w:rsidRPr="004039E2">
        <w:rPr>
          <w:rFonts w:ascii="Book Antiqua" w:eastAsiaTheme="minorEastAsia" w:hAnsi="Book Antiqua" w:cstheme="minorBidi"/>
          <w:sz w:val="22"/>
          <w:szCs w:val="22"/>
        </w:rPr>
        <w:t>L’exploitation des opinions recueillies selon le secteur d’activité fait apparaitre globalement des niveaux de satisfaction élevés concernant la qualité de la gestion des comptes</w:t>
      </w:r>
      <w:r w:rsidR="00965302" w:rsidRPr="004039E2">
        <w:rPr>
          <w:rFonts w:ascii="Book Antiqua" w:eastAsiaTheme="minorEastAsia" w:hAnsi="Book Antiqua" w:cstheme="minorBidi"/>
          <w:sz w:val="22"/>
          <w:szCs w:val="22"/>
        </w:rPr>
        <w:t xml:space="preserve"> avec plus de 57,0% pour chacun des secteurs</w:t>
      </w:r>
      <w:r w:rsidRPr="004039E2">
        <w:rPr>
          <w:rFonts w:ascii="Book Antiqua" w:eastAsiaTheme="minorEastAsia" w:hAnsi="Book Antiqua" w:cstheme="minorBidi"/>
          <w:sz w:val="22"/>
          <w:szCs w:val="22"/>
        </w:rPr>
        <w:t xml:space="preserve">. </w:t>
      </w:r>
    </w:p>
    <w:p w:rsidR="00D03173" w:rsidRPr="00D03173" w:rsidRDefault="00D03173" w:rsidP="00FD0BEC">
      <w:pPr>
        <w:pStyle w:val="Lgende"/>
        <w:keepNext/>
        <w:spacing w:line="276" w:lineRule="auto"/>
        <w:jc w:val="center"/>
        <w:rPr>
          <w:color w:val="auto"/>
        </w:rPr>
      </w:pPr>
      <w:bookmarkStart w:id="169" w:name="_Toc523313787"/>
      <w:r w:rsidRPr="00D03173">
        <w:rPr>
          <w:color w:val="auto"/>
        </w:rPr>
        <w:t xml:space="preserve">Figure </w:t>
      </w:r>
      <w:r w:rsidR="000D65F2">
        <w:rPr>
          <w:color w:val="auto"/>
        </w:rPr>
        <w:fldChar w:fldCharType="begin"/>
      </w:r>
      <w:r w:rsidR="002708B0">
        <w:rPr>
          <w:color w:val="auto"/>
        </w:rPr>
        <w:instrText xml:space="preserve"> SEQ Figure \* ARABIC </w:instrText>
      </w:r>
      <w:r w:rsidR="000D65F2">
        <w:rPr>
          <w:color w:val="auto"/>
        </w:rPr>
        <w:fldChar w:fldCharType="separate"/>
      </w:r>
      <w:r w:rsidR="000F780F">
        <w:rPr>
          <w:noProof/>
          <w:color w:val="auto"/>
        </w:rPr>
        <w:t>104</w:t>
      </w:r>
      <w:r w:rsidR="000D65F2">
        <w:rPr>
          <w:color w:val="auto"/>
        </w:rPr>
        <w:fldChar w:fldCharType="end"/>
      </w:r>
      <w:r w:rsidRPr="00D03173">
        <w:rPr>
          <w:color w:val="auto"/>
        </w:rPr>
        <w:t xml:space="preserve"> : Appréciation des unités sur la gestion de leur compte principal selon les secteurs d'activités</w:t>
      </w:r>
      <w:bookmarkEnd w:id="169"/>
    </w:p>
    <w:p w:rsidR="00E912FD" w:rsidRPr="00533316" w:rsidRDefault="00BF2AC1" w:rsidP="00FD0BEC">
      <w:pPr>
        <w:spacing w:after="200" w:line="276" w:lineRule="auto"/>
        <w:jc w:val="both"/>
        <w:rPr>
          <w:rFonts w:ascii="Book Antiqua" w:eastAsiaTheme="minorEastAsia" w:hAnsi="Book Antiqua" w:cstheme="minorBidi"/>
        </w:rPr>
      </w:pPr>
      <w:r>
        <w:rPr>
          <w:noProof/>
        </w:rPr>
        <w:drawing>
          <wp:inline distT="0" distB="0" distL="0" distR="0">
            <wp:extent cx="5976340" cy="2719449"/>
            <wp:effectExtent l="19050" t="0" r="24410" b="4701"/>
            <wp:docPr id="269" name="Graphique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533316" w:rsidRPr="00533316" w:rsidRDefault="00533316" w:rsidP="00705D65">
      <w:pPr>
        <w:keepNext/>
        <w:keepLines/>
        <w:spacing w:after="120" w:line="276" w:lineRule="auto"/>
        <w:ind w:firstLine="284"/>
        <w:outlineLvl w:val="1"/>
        <w:rPr>
          <w:rFonts w:ascii="Book Antiqua" w:eastAsiaTheme="majorEastAsia" w:hAnsi="Book Antiqua" w:cstheme="majorBidi"/>
          <w:b/>
          <w:bCs/>
          <w:sz w:val="22"/>
          <w:szCs w:val="26"/>
        </w:rPr>
      </w:pPr>
      <w:bookmarkStart w:id="170" w:name="_Toc523322065"/>
      <w:r w:rsidRPr="00533316">
        <w:rPr>
          <w:rFonts w:ascii="Book Antiqua" w:eastAsiaTheme="majorEastAsia" w:hAnsi="Book Antiqua" w:cstheme="majorBidi"/>
          <w:b/>
          <w:bCs/>
          <w:sz w:val="22"/>
          <w:szCs w:val="26"/>
        </w:rPr>
        <w:lastRenderedPageBreak/>
        <w:t>V.2. Qualité des informations fournies</w:t>
      </w:r>
      <w:bookmarkEnd w:id="170"/>
    </w:p>
    <w:p w:rsidR="00533316" w:rsidRPr="007A0892" w:rsidRDefault="00533316" w:rsidP="00705D65">
      <w:pPr>
        <w:keepNext/>
        <w:keepLines/>
        <w:spacing w:before="120" w:line="276" w:lineRule="auto"/>
        <w:ind w:firstLine="567"/>
        <w:outlineLvl w:val="2"/>
        <w:rPr>
          <w:rFonts w:ascii="Book Antiqua" w:eastAsiaTheme="majorEastAsia" w:hAnsi="Book Antiqua" w:cstheme="majorBidi"/>
          <w:b/>
          <w:bCs/>
          <w:sz w:val="22"/>
          <w:szCs w:val="22"/>
        </w:rPr>
      </w:pPr>
      <w:bookmarkStart w:id="171" w:name="_Toc523322066"/>
      <w:r w:rsidRPr="007A0892">
        <w:rPr>
          <w:rFonts w:ascii="Book Antiqua" w:eastAsiaTheme="majorEastAsia" w:hAnsi="Book Antiqua" w:cstheme="majorBidi"/>
          <w:b/>
          <w:bCs/>
          <w:sz w:val="22"/>
          <w:szCs w:val="22"/>
        </w:rPr>
        <w:t xml:space="preserve">V.2.1. Opinions des </w:t>
      </w:r>
      <w:r w:rsidR="00965302" w:rsidRPr="007A0892">
        <w:rPr>
          <w:rFonts w:ascii="Book Antiqua" w:eastAsiaTheme="majorEastAsia" w:hAnsi="Book Antiqua" w:cstheme="majorBidi"/>
          <w:b/>
          <w:bCs/>
          <w:sz w:val="22"/>
          <w:szCs w:val="22"/>
        </w:rPr>
        <w:t>unités</w:t>
      </w:r>
      <w:r w:rsidR="00D358B7" w:rsidRPr="007A0892">
        <w:rPr>
          <w:rFonts w:ascii="Book Antiqua" w:eastAsiaTheme="majorEastAsia" w:hAnsi="Book Antiqua" w:cstheme="majorBidi"/>
          <w:b/>
          <w:bCs/>
          <w:sz w:val="22"/>
          <w:szCs w:val="22"/>
        </w:rPr>
        <w:t xml:space="preserve"> </w:t>
      </w:r>
      <w:r w:rsidRPr="007A0892">
        <w:rPr>
          <w:rFonts w:ascii="Book Antiqua" w:eastAsiaTheme="majorEastAsia" w:hAnsi="Book Antiqua" w:cstheme="majorBidi"/>
          <w:b/>
          <w:bCs/>
          <w:sz w:val="22"/>
          <w:szCs w:val="22"/>
        </w:rPr>
        <w:t xml:space="preserve">sur la qualité de l’information </w:t>
      </w:r>
      <w:r w:rsidR="00965302" w:rsidRPr="007A0892">
        <w:rPr>
          <w:rFonts w:ascii="Book Antiqua" w:eastAsiaTheme="majorEastAsia" w:hAnsi="Book Antiqua" w:cstheme="majorBidi"/>
          <w:b/>
          <w:bCs/>
          <w:sz w:val="22"/>
          <w:szCs w:val="22"/>
        </w:rPr>
        <w:t>tarifaire</w:t>
      </w:r>
      <w:bookmarkEnd w:id="171"/>
    </w:p>
    <w:p w:rsidR="00533316" w:rsidRDefault="00533316" w:rsidP="00705D65">
      <w:pPr>
        <w:spacing w:before="120" w:line="276" w:lineRule="auto"/>
        <w:jc w:val="both"/>
        <w:rPr>
          <w:rFonts w:ascii="Book Antiqua" w:eastAsiaTheme="minorEastAsia" w:hAnsi="Book Antiqua" w:cstheme="minorBidi"/>
          <w:sz w:val="22"/>
        </w:rPr>
      </w:pPr>
      <w:r w:rsidRPr="00491E4B">
        <w:rPr>
          <w:rFonts w:ascii="Book Antiqua" w:eastAsiaTheme="minorEastAsia" w:hAnsi="Book Antiqua" w:cstheme="minorBidi"/>
          <w:sz w:val="22"/>
        </w:rPr>
        <w:t xml:space="preserve">A l’examen des opinions des enquêtés, il apparait que 68,0% sont informés des conditions tarifaires au moment de l’ouverture de leur compte bancaire contre 32,0% qui affirment le contraire. </w:t>
      </w:r>
    </w:p>
    <w:p w:rsidR="007819A4" w:rsidRDefault="00527AF2" w:rsidP="00FD0BEC">
      <w:pPr>
        <w:spacing w:before="240" w:line="276" w:lineRule="auto"/>
        <w:jc w:val="both"/>
        <w:rPr>
          <w:rFonts w:ascii="Book Antiqua" w:eastAsiaTheme="minorEastAsia" w:hAnsi="Book Antiqua" w:cstheme="minorBidi"/>
          <w:sz w:val="22"/>
        </w:rPr>
      </w:pPr>
      <w:r>
        <w:rPr>
          <w:rFonts w:ascii="Book Antiqua" w:eastAsiaTheme="minorEastAsia" w:hAnsi="Book Antiqua" w:cstheme="minorBidi"/>
          <w:sz w:val="22"/>
        </w:rPr>
        <w:t xml:space="preserve">La </w:t>
      </w:r>
      <w:r w:rsidR="007B73EA">
        <w:rPr>
          <w:rFonts w:ascii="Book Antiqua" w:eastAsiaTheme="minorEastAsia" w:hAnsi="Book Antiqua" w:cstheme="minorBidi"/>
          <w:sz w:val="22"/>
        </w:rPr>
        <w:t xml:space="preserve">communication </w:t>
      </w:r>
      <w:r>
        <w:rPr>
          <w:rFonts w:ascii="Book Antiqua" w:eastAsiaTheme="minorEastAsia" w:hAnsi="Book Antiqua" w:cstheme="minorBidi"/>
          <w:sz w:val="22"/>
        </w:rPr>
        <w:t xml:space="preserve">de l’information préalable sur les conditions tarifaires ne semble pas encore systématique à l’endroit des unités localisées dans les régions de </w:t>
      </w:r>
      <w:proofErr w:type="spellStart"/>
      <w:r>
        <w:rPr>
          <w:rFonts w:ascii="Book Antiqua" w:eastAsiaTheme="minorEastAsia" w:hAnsi="Book Antiqua" w:cstheme="minorBidi"/>
          <w:sz w:val="22"/>
        </w:rPr>
        <w:t>Sédhiou</w:t>
      </w:r>
      <w:proofErr w:type="spellEnd"/>
      <w:r>
        <w:rPr>
          <w:rFonts w:ascii="Book Antiqua" w:eastAsiaTheme="minorEastAsia" w:hAnsi="Book Antiqua" w:cstheme="minorBidi"/>
          <w:sz w:val="22"/>
        </w:rPr>
        <w:t xml:space="preserve">, </w:t>
      </w:r>
      <w:proofErr w:type="spellStart"/>
      <w:r>
        <w:rPr>
          <w:rFonts w:ascii="Book Antiqua" w:eastAsiaTheme="minorEastAsia" w:hAnsi="Book Antiqua" w:cstheme="minorBidi"/>
          <w:sz w:val="22"/>
        </w:rPr>
        <w:t>Fatick</w:t>
      </w:r>
      <w:proofErr w:type="spellEnd"/>
      <w:r>
        <w:rPr>
          <w:rFonts w:ascii="Book Antiqua" w:eastAsiaTheme="minorEastAsia" w:hAnsi="Book Antiqua" w:cstheme="minorBidi"/>
          <w:sz w:val="22"/>
        </w:rPr>
        <w:t xml:space="preserve">, Ziguinchor ou </w:t>
      </w:r>
      <w:proofErr w:type="spellStart"/>
      <w:r>
        <w:rPr>
          <w:rFonts w:ascii="Book Antiqua" w:eastAsiaTheme="minorEastAsia" w:hAnsi="Book Antiqua" w:cstheme="minorBidi"/>
          <w:sz w:val="22"/>
        </w:rPr>
        <w:t>Kaffrine</w:t>
      </w:r>
      <w:proofErr w:type="spellEnd"/>
      <w:r>
        <w:rPr>
          <w:rFonts w:ascii="Book Antiqua" w:eastAsiaTheme="minorEastAsia" w:hAnsi="Book Antiqua" w:cstheme="minorBidi"/>
          <w:sz w:val="22"/>
        </w:rPr>
        <w:t xml:space="preserve"> </w:t>
      </w:r>
      <w:r w:rsidR="007B73EA">
        <w:rPr>
          <w:rFonts w:ascii="Book Antiqua" w:eastAsiaTheme="minorEastAsia" w:hAnsi="Book Antiqua" w:cstheme="minorBidi"/>
          <w:sz w:val="22"/>
        </w:rPr>
        <w:t>avec</w:t>
      </w:r>
      <w:r>
        <w:rPr>
          <w:rFonts w:ascii="Book Antiqua" w:eastAsiaTheme="minorEastAsia" w:hAnsi="Book Antiqua" w:cstheme="minorBidi"/>
          <w:sz w:val="22"/>
        </w:rPr>
        <w:t xml:space="preserve"> des taux</w:t>
      </w:r>
      <w:r w:rsidR="007B73EA">
        <w:rPr>
          <w:rFonts w:ascii="Book Antiqua" w:eastAsiaTheme="minorEastAsia" w:hAnsi="Book Antiqua" w:cstheme="minorBidi"/>
          <w:sz w:val="22"/>
        </w:rPr>
        <w:t xml:space="preserve"> de récriminations</w:t>
      </w:r>
      <w:r>
        <w:rPr>
          <w:rFonts w:ascii="Book Antiqua" w:eastAsiaTheme="minorEastAsia" w:hAnsi="Book Antiqua" w:cstheme="minorBidi"/>
          <w:sz w:val="22"/>
        </w:rPr>
        <w:t xml:space="preserve"> respectifs de 55,3%, 50,0%, 42,3% et 41,2%.</w:t>
      </w:r>
    </w:p>
    <w:p w:rsidR="002708B0" w:rsidRPr="00705D65" w:rsidRDefault="002708B0" w:rsidP="00705D65">
      <w:pPr>
        <w:pStyle w:val="Lgende"/>
        <w:keepNext/>
        <w:spacing w:before="120" w:line="276" w:lineRule="auto"/>
        <w:jc w:val="center"/>
        <w:rPr>
          <w:color w:val="auto"/>
        </w:rPr>
      </w:pPr>
      <w:bookmarkStart w:id="172" w:name="_Toc523313788"/>
      <w:r w:rsidRPr="00705D65">
        <w:rPr>
          <w:color w:val="auto"/>
        </w:rPr>
        <w:t xml:space="preserve">Figure </w:t>
      </w:r>
      <w:r w:rsidR="000D65F2" w:rsidRPr="00705D65">
        <w:rPr>
          <w:color w:val="auto"/>
        </w:rPr>
        <w:fldChar w:fldCharType="begin"/>
      </w:r>
      <w:r w:rsidR="000D65F2" w:rsidRPr="00705D65">
        <w:rPr>
          <w:color w:val="auto"/>
        </w:rPr>
        <w:instrText xml:space="preserve"> SEQ Figure \* ARABIC </w:instrText>
      </w:r>
      <w:r w:rsidR="000D65F2" w:rsidRPr="00705D65">
        <w:rPr>
          <w:color w:val="auto"/>
        </w:rPr>
        <w:fldChar w:fldCharType="separate"/>
      </w:r>
      <w:r w:rsidR="000F780F" w:rsidRPr="00705D65">
        <w:rPr>
          <w:color w:val="auto"/>
        </w:rPr>
        <w:t>105</w:t>
      </w:r>
      <w:r w:rsidR="000D65F2" w:rsidRPr="00705D65">
        <w:rPr>
          <w:color w:val="auto"/>
        </w:rPr>
        <w:fldChar w:fldCharType="end"/>
      </w:r>
      <w:r w:rsidRPr="00705D65">
        <w:rPr>
          <w:color w:val="auto"/>
        </w:rPr>
        <w:t xml:space="preserve"> : Proportion des unités ayant été informées des conditions tarifaires selon les régions</w:t>
      </w:r>
      <w:bookmarkEnd w:id="172"/>
    </w:p>
    <w:p w:rsidR="007819A4" w:rsidRDefault="00F44BC9" w:rsidP="00FD0BEC">
      <w:pPr>
        <w:spacing w:after="200" w:line="276" w:lineRule="auto"/>
        <w:jc w:val="center"/>
        <w:rPr>
          <w:rFonts w:ascii="Book Antiqua" w:eastAsiaTheme="minorEastAsia" w:hAnsi="Book Antiqua" w:cstheme="minorBidi"/>
          <w:sz w:val="22"/>
        </w:rPr>
      </w:pPr>
      <w:r w:rsidRPr="00AE3DF1">
        <w:rPr>
          <w:noProof/>
        </w:rPr>
        <w:drawing>
          <wp:inline distT="0" distB="0" distL="0" distR="0">
            <wp:extent cx="4802505" cy="2533650"/>
            <wp:effectExtent l="19050" t="0" r="17145" b="0"/>
            <wp:docPr id="64" name="Graphique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7A0892" w:rsidRDefault="0059394B" w:rsidP="00FD0BEC">
      <w:pPr>
        <w:spacing w:before="240" w:after="240" w:line="276" w:lineRule="auto"/>
        <w:jc w:val="both"/>
        <w:rPr>
          <w:rFonts w:ascii="Book Antiqua" w:eastAsiaTheme="minorEastAsia" w:hAnsi="Book Antiqua" w:cstheme="minorBidi"/>
          <w:sz w:val="22"/>
        </w:rPr>
      </w:pPr>
      <w:r>
        <w:rPr>
          <w:rFonts w:ascii="Book Antiqua" w:eastAsiaTheme="minorEastAsia" w:hAnsi="Book Antiqua" w:cstheme="minorBidi"/>
          <w:sz w:val="22"/>
        </w:rPr>
        <w:t>Selon la nature de l’activité, l’opinion des enquêtés</w:t>
      </w:r>
      <w:r w:rsidR="00D358B7">
        <w:rPr>
          <w:rFonts w:ascii="Book Antiqua" w:eastAsiaTheme="minorEastAsia" w:hAnsi="Book Antiqua" w:cstheme="minorBidi"/>
          <w:sz w:val="22"/>
        </w:rPr>
        <w:t xml:space="preserve"> </w:t>
      </w:r>
      <w:r>
        <w:rPr>
          <w:rFonts w:ascii="Book Antiqua" w:eastAsiaTheme="minorEastAsia" w:hAnsi="Book Antiqua" w:cstheme="minorBidi"/>
          <w:sz w:val="22"/>
        </w:rPr>
        <w:t>sur la communication des conditions tarifaires révèle un écart d’appréciation entre les unités informelles et celles relevant du secteur moderne pour lesquelles</w:t>
      </w:r>
      <w:r w:rsidR="00D358B7">
        <w:rPr>
          <w:rFonts w:ascii="Book Antiqua" w:eastAsiaTheme="minorEastAsia" w:hAnsi="Book Antiqua" w:cstheme="minorBidi"/>
          <w:sz w:val="22"/>
        </w:rPr>
        <w:t xml:space="preserve"> </w:t>
      </w:r>
      <w:r>
        <w:rPr>
          <w:rFonts w:ascii="Book Antiqua" w:eastAsiaTheme="minorEastAsia" w:hAnsi="Book Antiqua" w:cstheme="minorBidi"/>
          <w:sz w:val="22"/>
        </w:rPr>
        <w:t>il est observé des taux d’insatisfaction respectifs de 35,4% et de 30,6%.</w:t>
      </w:r>
    </w:p>
    <w:p w:rsidR="004B0B31" w:rsidRDefault="004B0B31" w:rsidP="00FD0BEC">
      <w:pPr>
        <w:spacing w:before="240" w:after="240" w:line="276" w:lineRule="auto"/>
        <w:jc w:val="both"/>
        <w:rPr>
          <w:rFonts w:ascii="Book Antiqua" w:eastAsiaTheme="minorEastAsia" w:hAnsi="Book Antiqua" w:cstheme="minorBidi"/>
          <w:sz w:val="22"/>
        </w:rPr>
      </w:pPr>
      <w:r>
        <w:rPr>
          <w:rFonts w:ascii="Book Antiqua" w:eastAsiaTheme="minorEastAsia" w:hAnsi="Book Antiqua" w:cstheme="minorBidi"/>
          <w:sz w:val="22"/>
        </w:rPr>
        <w:t>Concernant la qualité des informations tarifaires fournies, une proportion élevée des unités jugent incomplète (49,4%) voire très incomplètes (10,2%) ces informations.</w:t>
      </w:r>
    </w:p>
    <w:p w:rsidR="002708B0" w:rsidRPr="002708B0" w:rsidRDefault="002708B0" w:rsidP="00FD0BEC">
      <w:pPr>
        <w:pStyle w:val="Lgende"/>
        <w:keepNext/>
        <w:spacing w:line="276" w:lineRule="auto"/>
        <w:jc w:val="center"/>
        <w:rPr>
          <w:color w:val="auto"/>
        </w:rPr>
      </w:pPr>
      <w:bookmarkStart w:id="173" w:name="_Toc523313789"/>
      <w:r w:rsidRPr="002708B0">
        <w:rPr>
          <w:color w:val="auto"/>
        </w:rPr>
        <w:t xml:space="preserve">Figure </w:t>
      </w:r>
      <w:r w:rsidR="000D65F2" w:rsidRPr="002708B0">
        <w:rPr>
          <w:color w:val="auto"/>
        </w:rPr>
        <w:fldChar w:fldCharType="begin"/>
      </w:r>
      <w:r w:rsidRPr="002708B0">
        <w:rPr>
          <w:color w:val="auto"/>
        </w:rPr>
        <w:instrText xml:space="preserve"> SEQ Figure \* ARABIC </w:instrText>
      </w:r>
      <w:r w:rsidR="000D65F2" w:rsidRPr="002708B0">
        <w:rPr>
          <w:color w:val="auto"/>
        </w:rPr>
        <w:fldChar w:fldCharType="separate"/>
      </w:r>
      <w:r w:rsidR="000F780F">
        <w:rPr>
          <w:noProof/>
          <w:color w:val="auto"/>
        </w:rPr>
        <w:t>106</w:t>
      </w:r>
      <w:r w:rsidR="000D65F2" w:rsidRPr="002708B0">
        <w:rPr>
          <w:color w:val="auto"/>
        </w:rPr>
        <w:fldChar w:fldCharType="end"/>
      </w:r>
      <w:r w:rsidRPr="002708B0">
        <w:rPr>
          <w:color w:val="auto"/>
        </w:rPr>
        <w:t xml:space="preserve"> : Appréciation des unités sur la qualité des informations tarifaires fournies par leur banque</w:t>
      </w:r>
      <w:bookmarkEnd w:id="173"/>
    </w:p>
    <w:p w:rsidR="00CB693B" w:rsidRDefault="00F44BC9" w:rsidP="00FD0BEC">
      <w:pPr>
        <w:spacing w:after="200" w:line="276" w:lineRule="auto"/>
        <w:jc w:val="center"/>
        <w:rPr>
          <w:rFonts w:ascii="Book Antiqua" w:eastAsiaTheme="minorEastAsia" w:hAnsi="Book Antiqua" w:cstheme="minorBidi"/>
          <w:sz w:val="22"/>
        </w:rPr>
      </w:pPr>
      <w:r w:rsidRPr="00AE3DF1">
        <w:rPr>
          <w:noProof/>
        </w:rPr>
        <w:drawing>
          <wp:inline distT="0" distB="0" distL="0" distR="0">
            <wp:extent cx="4743450" cy="2438400"/>
            <wp:effectExtent l="19050" t="0" r="19050" b="0"/>
            <wp:docPr id="65" name="Graphique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D03173" w:rsidRPr="002708B0" w:rsidRDefault="00533316" w:rsidP="00FD0BEC">
      <w:pPr>
        <w:spacing w:after="200" w:line="276" w:lineRule="auto"/>
        <w:jc w:val="both"/>
        <w:rPr>
          <w:rFonts w:ascii="Book Antiqua" w:eastAsiaTheme="minorEastAsia" w:hAnsi="Book Antiqua" w:cstheme="minorBidi"/>
          <w:sz w:val="22"/>
        </w:rPr>
      </w:pPr>
      <w:r w:rsidRPr="00491E4B">
        <w:rPr>
          <w:rFonts w:ascii="Book Antiqua" w:eastAsiaTheme="minorEastAsia" w:hAnsi="Book Antiqua" w:cstheme="minorBidi"/>
          <w:sz w:val="22"/>
        </w:rPr>
        <w:lastRenderedPageBreak/>
        <w:t xml:space="preserve">L’analyse de l’opinion des </w:t>
      </w:r>
      <w:r w:rsidR="00456E9E">
        <w:rPr>
          <w:rFonts w:ascii="Book Antiqua" w:eastAsiaTheme="minorEastAsia" w:hAnsi="Book Antiqua" w:cstheme="minorBidi"/>
          <w:sz w:val="22"/>
        </w:rPr>
        <w:t>unités</w:t>
      </w:r>
      <w:r w:rsidR="00D358B7">
        <w:rPr>
          <w:rFonts w:ascii="Book Antiqua" w:eastAsiaTheme="minorEastAsia" w:hAnsi="Book Antiqua" w:cstheme="minorBidi"/>
          <w:sz w:val="22"/>
        </w:rPr>
        <w:t xml:space="preserve"> </w:t>
      </w:r>
      <w:r w:rsidRPr="00491E4B">
        <w:rPr>
          <w:rFonts w:ascii="Book Antiqua" w:eastAsiaTheme="minorEastAsia" w:hAnsi="Book Antiqua" w:cstheme="minorBidi"/>
          <w:sz w:val="22"/>
        </w:rPr>
        <w:t xml:space="preserve">sur la qualité de l’information </w:t>
      </w:r>
      <w:r w:rsidR="00456E9E">
        <w:rPr>
          <w:rFonts w:ascii="Book Antiqua" w:eastAsiaTheme="minorEastAsia" w:hAnsi="Book Antiqua" w:cstheme="minorBidi"/>
          <w:sz w:val="22"/>
        </w:rPr>
        <w:t xml:space="preserve">tarifaire </w:t>
      </w:r>
      <w:r w:rsidRPr="00491E4B">
        <w:rPr>
          <w:rFonts w:ascii="Book Antiqua" w:eastAsiaTheme="minorEastAsia" w:hAnsi="Book Antiqua" w:cstheme="minorBidi"/>
          <w:sz w:val="22"/>
        </w:rPr>
        <w:t xml:space="preserve">suivant les régions montre </w:t>
      </w:r>
      <w:r w:rsidR="00C34F36">
        <w:rPr>
          <w:rFonts w:ascii="Book Antiqua" w:eastAsiaTheme="minorEastAsia" w:hAnsi="Book Antiqua" w:cstheme="minorBidi"/>
          <w:sz w:val="22"/>
        </w:rPr>
        <w:t>des niveaux d</w:t>
      </w:r>
      <w:r w:rsidR="00110CA2">
        <w:rPr>
          <w:rFonts w:ascii="Book Antiqua" w:eastAsiaTheme="minorEastAsia" w:hAnsi="Book Antiqua" w:cstheme="minorBidi"/>
          <w:sz w:val="22"/>
        </w:rPr>
        <w:t>’in</w:t>
      </w:r>
      <w:r w:rsidR="00C34F36">
        <w:rPr>
          <w:rFonts w:ascii="Book Antiqua" w:eastAsiaTheme="minorEastAsia" w:hAnsi="Book Antiqua" w:cstheme="minorBidi"/>
          <w:sz w:val="22"/>
        </w:rPr>
        <w:t xml:space="preserve">satisfaction très élevés </w:t>
      </w:r>
      <w:r w:rsidRPr="00491E4B">
        <w:rPr>
          <w:rFonts w:ascii="Book Antiqua" w:eastAsiaTheme="minorEastAsia" w:hAnsi="Book Antiqua" w:cstheme="minorBidi"/>
          <w:sz w:val="22"/>
        </w:rPr>
        <w:t xml:space="preserve">dans les régions de </w:t>
      </w:r>
      <w:proofErr w:type="spellStart"/>
      <w:r w:rsidR="00110CA2">
        <w:rPr>
          <w:rFonts w:ascii="Book Antiqua" w:eastAsiaTheme="minorEastAsia" w:hAnsi="Book Antiqua" w:cstheme="minorBidi"/>
          <w:sz w:val="22"/>
        </w:rPr>
        <w:t>Kaffrine</w:t>
      </w:r>
      <w:proofErr w:type="spellEnd"/>
      <w:r w:rsidR="00110CA2">
        <w:rPr>
          <w:rFonts w:ascii="Book Antiqua" w:eastAsiaTheme="minorEastAsia" w:hAnsi="Book Antiqua" w:cstheme="minorBidi"/>
          <w:sz w:val="22"/>
        </w:rPr>
        <w:t xml:space="preserve"> (82,8%), Diourbel (81,3%), Kaolack (75,9%), Kédougou (74,5%) et </w:t>
      </w:r>
      <w:proofErr w:type="spellStart"/>
      <w:r w:rsidR="00110CA2">
        <w:rPr>
          <w:rFonts w:ascii="Book Antiqua" w:eastAsiaTheme="minorEastAsia" w:hAnsi="Book Antiqua" w:cstheme="minorBidi"/>
          <w:sz w:val="22"/>
        </w:rPr>
        <w:t>Fatick</w:t>
      </w:r>
      <w:proofErr w:type="spellEnd"/>
      <w:r w:rsidR="00110CA2">
        <w:rPr>
          <w:rFonts w:ascii="Book Antiqua" w:eastAsiaTheme="minorEastAsia" w:hAnsi="Book Antiqua" w:cstheme="minorBidi"/>
          <w:sz w:val="22"/>
        </w:rPr>
        <w:t xml:space="preserve"> (69,2%). </w:t>
      </w:r>
    </w:p>
    <w:p w:rsidR="002708B0" w:rsidRPr="002708B0" w:rsidRDefault="002708B0" w:rsidP="00FD0BEC">
      <w:pPr>
        <w:pStyle w:val="Lgende"/>
        <w:keepNext/>
        <w:spacing w:line="276" w:lineRule="auto"/>
        <w:jc w:val="center"/>
        <w:rPr>
          <w:color w:val="auto"/>
        </w:rPr>
      </w:pPr>
      <w:bookmarkStart w:id="174" w:name="_Toc523313790"/>
      <w:r w:rsidRPr="002708B0">
        <w:rPr>
          <w:color w:val="auto"/>
        </w:rPr>
        <w:t xml:space="preserve">Figure </w:t>
      </w:r>
      <w:r w:rsidR="000D65F2" w:rsidRPr="002708B0">
        <w:rPr>
          <w:color w:val="auto"/>
        </w:rPr>
        <w:fldChar w:fldCharType="begin"/>
      </w:r>
      <w:r w:rsidRPr="002708B0">
        <w:rPr>
          <w:color w:val="auto"/>
        </w:rPr>
        <w:instrText xml:space="preserve"> SEQ Figure \* ARABIC </w:instrText>
      </w:r>
      <w:r w:rsidR="000D65F2" w:rsidRPr="002708B0">
        <w:rPr>
          <w:color w:val="auto"/>
        </w:rPr>
        <w:fldChar w:fldCharType="separate"/>
      </w:r>
      <w:r w:rsidR="000F780F">
        <w:rPr>
          <w:noProof/>
          <w:color w:val="auto"/>
        </w:rPr>
        <w:t>107</w:t>
      </w:r>
      <w:r w:rsidR="000D65F2" w:rsidRPr="002708B0">
        <w:rPr>
          <w:color w:val="auto"/>
        </w:rPr>
        <w:fldChar w:fldCharType="end"/>
      </w:r>
      <w:r w:rsidRPr="002708B0">
        <w:rPr>
          <w:color w:val="auto"/>
        </w:rPr>
        <w:t xml:space="preserve"> : Appréciation des unités sur la qualité des informations tarifaires selon les régions</w:t>
      </w:r>
      <w:bookmarkEnd w:id="174"/>
    </w:p>
    <w:p w:rsidR="00110CA2" w:rsidRPr="00533316" w:rsidRDefault="00F44BC9" w:rsidP="00FD0BEC">
      <w:pPr>
        <w:spacing w:after="200" w:line="276" w:lineRule="auto"/>
        <w:jc w:val="center"/>
        <w:rPr>
          <w:rFonts w:ascii="Book Antiqua" w:eastAsiaTheme="minorEastAsia" w:hAnsi="Book Antiqua" w:cstheme="minorBidi"/>
        </w:rPr>
      </w:pPr>
      <w:r w:rsidRPr="00AE3DF1">
        <w:rPr>
          <w:noProof/>
        </w:rPr>
        <w:drawing>
          <wp:inline distT="0" distB="0" distL="0" distR="0">
            <wp:extent cx="4813300" cy="2952750"/>
            <wp:effectExtent l="19050" t="0" r="25400" b="0"/>
            <wp:docPr id="67" name="Graphique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8C6462" w:rsidRPr="009B26F2" w:rsidRDefault="00C362E6" w:rsidP="00FD0BEC">
      <w:pPr>
        <w:spacing w:after="200" w:line="276" w:lineRule="auto"/>
        <w:contextualSpacing/>
        <w:jc w:val="both"/>
        <w:rPr>
          <w:rFonts w:ascii="Book Antiqua" w:eastAsiaTheme="minorEastAsia" w:hAnsi="Book Antiqua" w:cstheme="minorBidi"/>
          <w:sz w:val="22"/>
          <w:szCs w:val="22"/>
        </w:rPr>
      </w:pPr>
      <w:r w:rsidRPr="009B26F2">
        <w:rPr>
          <w:rFonts w:ascii="Book Antiqua" w:eastAsiaTheme="minorEastAsia" w:hAnsi="Book Antiqua" w:cstheme="minorBidi"/>
          <w:sz w:val="22"/>
          <w:szCs w:val="22"/>
        </w:rPr>
        <w:t>L’appréciation des unités sur la qualité des informations tarifaires fournies laisse transparaitre des niveaux élevés de récrimination pour les unités du secteur formel comme pour celles du secteur informel avec toutefois un sentiment d’insatisfaction plus prononcé chez les unités informelles qui déclarent à 67,1% incomplètes voire très incomplètes ces informations contre 56,7% pour celles du secteur formel.</w:t>
      </w:r>
    </w:p>
    <w:p w:rsidR="002708B0" w:rsidRPr="002708B0" w:rsidRDefault="002708B0" w:rsidP="00FD0BEC">
      <w:pPr>
        <w:pStyle w:val="Lgende"/>
        <w:keepNext/>
        <w:spacing w:line="276" w:lineRule="auto"/>
        <w:jc w:val="center"/>
        <w:rPr>
          <w:color w:val="auto"/>
        </w:rPr>
      </w:pPr>
      <w:bookmarkStart w:id="175" w:name="_Toc523313791"/>
      <w:r w:rsidRPr="002708B0">
        <w:rPr>
          <w:color w:val="auto"/>
        </w:rPr>
        <w:t xml:space="preserve">Figure </w:t>
      </w:r>
      <w:r w:rsidR="000D65F2" w:rsidRPr="002708B0">
        <w:rPr>
          <w:color w:val="auto"/>
        </w:rPr>
        <w:fldChar w:fldCharType="begin"/>
      </w:r>
      <w:r w:rsidRPr="002708B0">
        <w:rPr>
          <w:color w:val="auto"/>
        </w:rPr>
        <w:instrText xml:space="preserve"> SEQ Figure \* ARABIC </w:instrText>
      </w:r>
      <w:r w:rsidR="000D65F2" w:rsidRPr="002708B0">
        <w:rPr>
          <w:color w:val="auto"/>
        </w:rPr>
        <w:fldChar w:fldCharType="separate"/>
      </w:r>
      <w:r w:rsidR="000F780F">
        <w:rPr>
          <w:noProof/>
          <w:color w:val="auto"/>
        </w:rPr>
        <w:t>108</w:t>
      </w:r>
      <w:r w:rsidR="000D65F2" w:rsidRPr="002708B0">
        <w:rPr>
          <w:color w:val="auto"/>
        </w:rPr>
        <w:fldChar w:fldCharType="end"/>
      </w:r>
      <w:r w:rsidRPr="002708B0">
        <w:rPr>
          <w:color w:val="auto"/>
        </w:rPr>
        <w:t xml:space="preserve"> : Appréciation des unités sur la qualité des informations tarifaires selon la nature de l'activité</w:t>
      </w:r>
      <w:bookmarkEnd w:id="175"/>
    </w:p>
    <w:p w:rsidR="00533316" w:rsidRPr="00533316" w:rsidRDefault="00F44BC9" w:rsidP="00FD0BEC">
      <w:pPr>
        <w:spacing w:after="200" w:line="276" w:lineRule="auto"/>
        <w:jc w:val="center"/>
        <w:rPr>
          <w:rFonts w:ascii="Book Antiqua" w:eastAsiaTheme="minorEastAsia" w:hAnsi="Book Antiqua" w:cstheme="minorBidi"/>
        </w:rPr>
      </w:pPr>
      <w:r w:rsidRPr="00AE3DF1">
        <w:rPr>
          <w:noProof/>
        </w:rPr>
        <w:drawing>
          <wp:inline distT="0" distB="0" distL="0" distR="0">
            <wp:extent cx="4572000" cy="2705100"/>
            <wp:effectExtent l="19050" t="0" r="19050" b="0"/>
            <wp:docPr id="69" name="Graphique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533316" w:rsidRPr="002708B0" w:rsidRDefault="00533316" w:rsidP="00531C35">
      <w:pPr>
        <w:keepNext/>
        <w:keepLines/>
        <w:spacing w:before="240" w:after="240" w:line="276" w:lineRule="auto"/>
        <w:ind w:firstLine="567"/>
        <w:outlineLvl w:val="2"/>
        <w:rPr>
          <w:rFonts w:ascii="Book Antiqua" w:eastAsiaTheme="majorEastAsia" w:hAnsi="Book Antiqua" w:cstheme="majorBidi"/>
          <w:b/>
          <w:bCs/>
          <w:sz w:val="22"/>
          <w:szCs w:val="22"/>
        </w:rPr>
      </w:pPr>
      <w:bookmarkStart w:id="176" w:name="_Toc523322067"/>
      <w:r w:rsidRPr="002708B0">
        <w:rPr>
          <w:rFonts w:ascii="Book Antiqua" w:eastAsiaTheme="majorEastAsia" w:hAnsi="Book Antiqua" w:cstheme="majorBidi"/>
          <w:b/>
          <w:bCs/>
          <w:sz w:val="22"/>
          <w:szCs w:val="22"/>
        </w:rPr>
        <w:lastRenderedPageBreak/>
        <w:t>V.2.2.</w:t>
      </w:r>
      <w:r w:rsidR="00A3302F" w:rsidRPr="002708B0">
        <w:rPr>
          <w:rFonts w:ascii="Book Antiqua" w:eastAsiaTheme="majorEastAsia" w:hAnsi="Book Antiqua" w:cstheme="majorBidi"/>
          <w:b/>
          <w:bCs/>
          <w:sz w:val="22"/>
          <w:szCs w:val="22"/>
        </w:rPr>
        <w:t xml:space="preserve"> </w:t>
      </w:r>
      <w:r w:rsidRPr="002708B0">
        <w:rPr>
          <w:rFonts w:ascii="Book Antiqua" w:eastAsiaTheme="majorEastAsia" w:hAnsi="Book Antiqua" w:cstheme="majorBidi"/>
          <w:b/>
          <w:bCs/>
          <w:sz w:val="22"/>
          <w:szCs w:val="22"/>
        </w:rPr>
        <w:t>Qualité des informations fournies aux clients sur leurs obligations</w:t>
      </w:r>
      <w:bookmarkEnd w:id="176"/>
    </w:p>
    <w:p w:rsidR="00A93016" w:rsidRDefault="00533316" w:rsidP="00FD0BEC">
      <w:pPr>
        <w:spacing w:after="200" w:line="276" w:lineRule="auto"/>
        <w:jc w:val="both"/>
        <w:rPr>
          <w:rFonts w:ascii="Book Antiqua" w:eastAsiaTheme="minorEastAsia" w:hAnsi="Book Antiqua" w:cstheme="minorBidi"/>
          <w:sz w:val="22"/>
        </w:rPr>
      </w:pPr>
      <w:r w:rsidRPr="00A13A27">
        <w:rPr>
          <w:rFonts w:ascii="Book Antiqua" w:eastAsiaTheme="minorEastAsia" w:hAnsi="Book Antiqua" w:cstheme="minorBidi"/>
          <w:sz w:val="22"/>
        </w:rPr>
        <w:t xml:space="preserve">Il ressort de l’analyse des </w:t>
      </w:r>
      <w:r w:rsidR="000018C5">
        <w:rPr>
          <w:rFonts w:ascii="Book Antiqua" w:eastAsiaTheme="minorEastAsia" w:hAnsi="Book Antiqua" w:cstheme="minorBidi"/>
          <w:sz w:val="22"/>
        </w:rPr>
        <w:t>opinions</w:t>
      </w:r>
      <w:r w:rsidRPr="00A13A27">
        <w:rPr>
          <w:rFonts w:ascii="Book Antiqua" w:eastAsiaTheme="minorEastAsia" w:hAnsi="Book Antiqua" w:cstheme="minorBidi"/>
          <w:sz w:val="22"/>
        </w:rPr>
        <w:t xml:space="preserve"> des </w:t>
      </w:r>
      <w:r w:rsidR="000018C5">
        <w:rPr>
          <w:rFonts w:ascii="Book Antiqua" w:eastAsiaTheme="minorEastAsia" w:hAnsi="Book Antiqua" w:cstheme="minorBidi"/>
          <w:sz w:val="22"/>
        </w:rPr>
        <w:t>enquêtés qu’une proportion importante</w:t>
      </w:r>
      <w:r w:rsidR="00D358B7">
        <w:rPr>
          <w:rFonts w:ascii="Book Antiqua" w:eastAsiaTheme="minorEastAsia" w:hAnsi="Book Antiqua" w:cstheme="minorBidi"/>
          <w:sz w:val="22"/>
        </w:rPr>
        <w:t xml:space="preserve"> </w:t>
      </w:r>
      <w:r w:rsidR="000018C5">
        <w:rPr>
          <w:rFonts w:ascii="Book Antiqua" w:eastAsiaTheme="minorEastAsia" w:hAnsi="Book Antiqua" w:cstheme="minorBidi"/>
          <w:sz w:val="22"/>
        </w:rPr>
        <w:t>des unités (</w:t>
      </w:r>
      <w:r w:rsidRPr="00A13A27">
        <w:rPr>
          <w:rFonts w:ascii="Book Antiqua" w:eastAsiaTheme="minorEastAsia" w:hAnsi="Book Antiqua" w:cstheme="minorBidi"/>
          <w:sz w:val="22"/>
        </w:rPr>
        <w:t>81,0%</w:t>
      </w:r>
      <w:r w:rsidR="000018C5">
        <w:rPr>
          <w:rFonts w:ascii="Book Antiqua" w:eastAsiaTheme="minorEastAsia" w:hAnsi="Book Antiqua" w:cstheme="minorBidi"/>
          <w:sz w:val="22"/>
        </w:rPr>
        <w:t xml:space="preserve">) déclarent </w:t>
      </w:r>
      <w:r w:rsidRPr="00A13A27">
        <w:rPr>
          <w:rFonts w:ascii="Book Antiqua" w:eastAsiaTheme="minorEastAsia" w:hAnsi="Book Antiqua" w:cstheme="minorBidi"/>
          <w:sz w:val="22"/>
        </w:rPr>
        <w:t>avoir été informé</w:t>
      </w:r>
      <w:r w:rsidR="000018C5">
        <w:rPr>
          <w:rFonts w:ascii="Book Antiqua" w:eastAsiaTheme="minorEastAsia" w:hAnsi="Book Antiqua" w:cstheme="minorBidi"/>
          <w:sz w:val="22"/>
        </w:rPr>
        <w:t>es</w:t>
      </w:r>
      <w:r w:rsidRPr="00A13A27">
        <w:rPr>
          <w:rFonts w:ascii="Book Antiqua" w:eastAsiaTheme="minorEastAsia" w:hAnsi="Book Antiqua" w:cstheme="minorBidi"/>
          <w:sz w:val="22"/>
        </w:rPr>
        <w:t xml:space="preserve"> de leurs obligations au moment de l’entrée en relation avec leur banque</w:t>
      </w:r>
      <w:r w:rsidR="000018C5">
        <w:rPr>
          <w:rFonts w:ascii="Book Antiqua" w:eastAsiaTheme="minorEastAsia" w:hAnsi="Book Antiqua" w:cstheme="minorBidi"/>
          <w:sz w:val="22"/>
        </w:rPr>
        <w:t xml:space="preserve"> principale</w:t>
      </w:r>
      <w:r w:rsidRPr="00A13A27">
        <w:rPr>
          <w:rFonts w:ascii="Book Antiqua" w:eastAsiaTheme="minorEastAsia" w:hAnsi="Book Antiqua" w:cstheme="minorBidi"/>
          <w:sz w:val="22"/>
        </w:rPr>
        <w:t xml:space="preserve">. </w:t>
      </w:r>
    </w:p>
    <w:p w:rsidR="002708B0" w:rsidRPr="00D0133E" w:rsidRDefault="002708B0" w:rsidP="00FD0BEC">
      <w:pPr>
        <w:pStyle w:val="Lgende"/>
        <w:keepNext/>
        <w:spacing w:line="276" w:lineRule="auto"/>
        <w:jc w:val="center"/>
        <w:rPr>
          <w:color w:val="auto"/>
        </w:rPr>
      </w:pPr>
      <w:bookmarkStart w:id="177" w:name="_Toc523313792"/>
      <w:r w:rsidRPr="00D0133E">
        <w:rPr>
          <w:color w:val="auto"/>
        </w:rPr>
        <w:t xml:space="preserve">Figure </w:t>
      </w:r>
      <w:r w:rsidR="000D65F2" w:rsidRPr="00D0133E">
        <w:rPr>
          <w:color w:val="auto"/>
        </w:rPr>
        <w:fldChar w:fldCharType="begin"/>
      </w:r>
      <w:r w:rsidRPr="00D0133E">
        <w:rPr>
          <w:color w:val="auto"/>
        </w:rPr>
        <w:instrText xml:space="preserve"> SEQ Figure \* ARABIC </w:instrText>
      </w:r>
      <w:r w:rsidR="000D65F2" w:rsidRPr="00D0133E">
        <w:rPr>
          <w:color w:val="auto"/>
        </w:rPr>
        <w:fldChar w:fldCharType="separate"/>
      </w:r>
      <w:r w:rsidR="000F780F">
        <w:rPr>
          <w:noProof/>
          <w:color w:val="auto"/>
        </w:rPr>
        <w:t>109</w:t>
      </w:r>
      <w:r w:rsidR="000D65F2" w:rsidRPr="00D0133E">
        <w:rPr>
          <w:color w:val="auto"/>
        </w:rPr>
        <w:fldChar w:fldCharType="end"/>
      </w:r>
      <w:r w:rsidRPr="00D0133E">
        <w:rPr>
          <w:color w:val="auto"/>
        </w:rPr>
        <w:t xml:space="preserve"> : Proportion des unités informées de leurs obligations à l'ouverture de leur compte</w:t>
      </w:r>
      <w:bookmarkEnd w:id="177"/>
    </w:p>
    <w:p w:rsidR="00A93016" w:rsidRDefault="00A93016" w:rsidP="00FD0BEC">
      <w:pPr>
        <w:spacing w:after="200" w:line="276" w:lineRule="auto"/>
        <w:jc w:val="center"/>
        <w:rPr>
          <w:rFonts w:ascii="Book Antiqua" w:eastAsiaTheme="minorEastAsia" w:hAnsi="Book Antiqua" w:cstheme="minorBidi"/>
          <w:sz w:val="22"/>
        </w:rPr>
      </w:pPr>
      <w:r>
        <w:rPr>
          <w:noProof/>
        </w:rPr>
        <w:drawing>
          <wp:inline distT="0" distB="0" distL="0" distR="0">
            <wp:extent cx="4569526" cy="2392878"/>
            <wp:effectExtent l="19050" t="0" r="21524" b="7422"/>
            <wp:docPr id="274" name="Graphique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925A7" w:rsidRDefault="00533316" w:rsidP="00FD0BEC">
      <w:pPr>
        <w:spacing w:after="200" w:line="276" w:lineRule="auto"/>
        <w:jc w:val="both"/>
        <w:rPr>
          <w:rFonts w:ascii="Book Antiqua" w:eastAsiaTheme="minorEastAsia" w:hAnsi="Book Antiqua" w:cstheme="minorBidi"/>
          <w:sz w:val="22"/>
        </w:rPr>
      </w:pPr>
      <w:r w:rsidRPr="00A13A27">
        <w:rPr>
          <w:rFonts w:ascii="Book Antiqua" w:eastAsiaTheme="minorEastAsia" w:hAnsi="Book Antiqua" w:cstheme="minorBidi"/>
          <w:sz w:val="22"/>
        </w:rPr>
        <w:t xml:space="preserve">L’analyse </w:t>
      </w:r>
      <w:r w:rsidR="00E925A7">
        <w:rPr>
          <w:rFonts w:ascii="Book Antiqua" w:eastAsiaTheme="minorEastAsia" w:hAnsi="Book Antiqua" w:cstheme="minorBidi"/>
          <w:sz w:val="22"/>
        </w:rPr>
        <w:t xml:space="preserve">croisée entre </w:t>
      </w:r>
      <w:r w:rsidRPr="00A13A27">
        <w:rPr>
          <w:rFonts w:ascii="Book Antiqua" w:eastAsiaTheme="minorEastAsia" w:hAnsi="Book Antiqua" w:cstheme="minorBidi"/>
          <w:sz w:val="22"/>
        </w:rPr>
        <w:t xml:space="preserve">l’opinion des </w:t>
      </w:r>
      <w:r w:rsidR="00E925A7">
        <w:rPr>
          <w:rFonts w:ascii="Book Antiqua" w:eastAsiaTheme="minorEastAsia" w:hAnsi="Book Antiqua" w:cstheme="minorBidi"/>
          <w:sz w:val="22"/>
        </w:rPr>
        <w:t>unités</w:t>
      </w:r>
      <w:r w:rsidR="00D358B7">
        <w:rPr>
          <w:rFonts w:ascii="Book Antiqua" w:eastAsiaTheme="minorEastAsia" w:hAnsi="Book Antiqua" w:cstheme="minorBidi"/>
          <w:sz w:val="22"/>
        </w:rPr>
        <w:t xml:space="preserve"> </w:t>
      </w:r>
      <w:r w:rsidR="00E925A7">
        <w:rPr>
          <w:rFonts w:ascii="Book Antiqua" w:eastAsiaTheme="minorEastAsia" w:hAnsi="Book Antiqua" w:cstheme="minorBidi"/>
          <w:sz w:val="22"/>
        </w:rPr>
        <w:t xml:space="preserve">par rapport aux </w:t>
      </w:r>
      <w:r w:rsidRPr="00A13A27">
        <w:rPr>
          <w:rFonts w:ascii="Book Antiqua" w:eastAsiaTheme="minorEastAsia" w:hAnsi="Book Antiqua" w:cstheme="minorBidi"/>
          <w:sz w:val="22"/>
        </w:rPr>
        <w:t xml:space="preserve">informations fournies sur leurs obligations </w:t>
      </w:r>
      <w:r w:rsidR="00E925A7">
        <w:rPr>
          <w:rFonts w:ascii="Book Antiqua" w:eastAsiaTheme="minorEastAsia" w:hAnsi="Book Antiqua" w:cstheme="minorBidi"/>
          <w:sz w:val="22"/>
        </w:rPr>
        <w:t xml:space="preserve">et la localisation géographique </w:t>
      </w:r>
      <w:r w:rsidRPr="00A13A27">
        <w:rPr>
          <w:rFonts w:ascii="Book Antiqua" w:eastAsiaTheme="minorEastAsia" w:hAnsi="Book Antiqua" w:cstheme="minorBidi"/>
          <w:sz w:val="22"/>
        </w:rPr>
        <w:t xml:space="preserve">révèle </w:t>
      </w:r>
      <w:r w:rsidR="00E925A7">
        <w:rPr>
          <w:rFonts w:ascii="Book Antiqua" w:eastAsiaTheme="minorEastAsia" w:hAnsi="Book Antiqua" w:cstheme="minorBidi"/>
          <w:sz w:val="22"/>
        </w:rPr>
        <w:t xml:space="preserve">globalement </w:t>
      </w:r>
      <w:r w:rsidRPr="00A13A27">
        <w:rPr>
          <w:rFonts w:ascii="Book Antiqua" w:eastAsiaTheme="minorEastAsia" w:hAnsi="Book Antiqua" w:cstheme="minorBidi"/>
          <w:sz w:val="22"/>
        </w:rPr>
        <w:t xml:space="preserve">un sentiment de satisfaction </w:t>
      </w:r>
      <w:r w:rsidR="00E925A7">
        <w:rPr>
          <w:rFonts w:ascii="Book Antiqua" w:eastAsiaTheme="minorEastAsia" w:hAnsi="Book Antiqua" w:cstheme="minorBidi"/>
          <w:sz w:val="22"/>
        </w:rPr>
        <w:t>dans les différentes localités</w:t>
      </w:r>
      <w:r w:rsidRPr="00A13A27">
        <w:rPr>
          <w:rFonts w:ascii="Book Antiqua" w:eastAsiaTheme="minorEastAsia" w:hAnsi="Book Antiqua" w:cstheme="minorBidi"/>
          <w:sz w:val="22"/>
        </w:rPr>
        <w:t>. En effet, les régions de Tambacounda, Matam, Kaolack et Thiès affichent des taux supérieurs à 93</w:t>
      </w:r>
      <w:r w:rsidR="00E925A7">
        <w:rPr>
          <w:rFonts w:ascii="Book Antiqua" w:eastAsiaTheme="minorEastAsia" w:hAnsi="Book Antiqua" w:cstheme="minorBidi"/>
          <w:sz w:val="22"/>
        </w:rPr>
        <w:t>,0</w:t>
      </w:r>
      <w:r w:rsidRPr="00A13A27">
        <w:rPr>
          <w:rFonts w:ascii="Book Antiqua" w:eastAsiaTheme="minorEastAsia" w:hAnsi="Book Antiqua" w:cstheme="minorBidi"/>
          <w:sz w:val="22"/>
        </w:rPr>
        <w:t xml:space="preserve"> %</w:t>
      </w:r>
      <w:r w:rsidR="00E925A7">
        <w:rPr>
          <w:rFonts w:ascii="Book Antiqua" w:eastAsiaTheme="minorEastAsia" w:hAnsi="Book Antiqua" w:cstheme="minorBidi"/>
          <w:sz w:val="22"/>
        </w:rPr>
        <w:t> ;</w:t>
      </w:r>
      <w:r w:rsidR="00D358B7">
        <w:rPr>
          <w:rFonts w:ascii="Book Antiqua" w:eastAsiaTheme="minorEastAsia" w:hAnsi="Book Antiqua" w:cstheme="minorBidi"/>
          <w:sz w:val="22"/>
        </w:rPr>
        <w:t xml:space="preserve"> </w:t>
      </w:r>
      <w:r w:rsidRPr="00A13A27">
        <w:rPr>
          <w:rFonts w:ascii="Book Antiqua" w:eastAsiaTheme="minorEastAsia" w:hAnsi="Book Antiqua" w:cstheme="minorBidi"/>
          <w:sz w:val="22"/>
        </w:rPr>
        <w:t xml:space="preserve">Kolda et </w:t>
      </w:r>
      <w:proofErr w:type="spellStart"/>
      <w:r w:rsidRPr="00A13A27">
        <w:rPr>
          <w:rFonts w:ascii="Book Antiqua" w:eastAsiaTheme="minorEastAsia" w:hAnsi="Book Antiqua" w:cstheme="minorBidi"/>
          <w:sz w:val="22"/>
        </w:rPr>
        <w:t>Fatick</w:t>
      </w:r>
      <w:proofErr w:type="spellEnd"/>
      <w:r w:rsidRPr="00A13A27">
        <w:rPr>
          <w:rFonts w:ascii="Book Antiqua" w:eastAsiaTheme="minorEastAsia" w:hAnsi="Book Antiqua" w:cstheme="minorBidi"/>
          <w:sz w:val="22"/>
        </w:rPr>
        <w:t xml:space="preserve"> ressortent avec des taux respectifs de 65,9%et 65,0%. </w:t>
      </w:r>
    </w:p>
    <w:p w:rsidR="00533316" w:rsidRPr="00A13A27" w:rsidRDefault="00E925A7"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 xml:space="preserve">Toutefois, il est observé un pic </w:t>
      </w:r>
      <w:r w:rsidR="00533316" w:rsidRPr="00A13A27">
        <w:rPr>
          <w:rFonts w:ascii="Book Antiqua" w:eastAsiaTheme="minorEastAsia" w:hAnsi="Book Antiqua" w:cstheme="minorBidi"/>
          <w:sz w:val="22"/>
        </w:rPr>
        <w:t xml:space="preserve">d’insatisfaction dans la région de Ziguinchor où près de 48,5 % des </w:t>
      </w:r>
      <w:r w:rsidR="00802642">
        <w:rPr>
          <w:rFonts w:ascii="Book Antiqua" w:eastAsiaTheme="minorEastAsia" w:hAnsi="Book Antiqua" w:cstheme="minorBidi"/>
          <w:sz w:val="22"/>
        </w:rPr>
        <w:t>unités</w:t>
      </w:r>
      <w:r w:rsidR="00D358B7">
        <w:rPr>
          <w:rFonts w:ascii="Book Antiqua" w:eastAsiaTheme="minorEastAsia" w:hAnsi="Book Antiqua" w:cstheme="minorBidi"/>
          <w:sz w:val="22"/>
        </w:rPr>
        <w:t xml:space="preserve"> </w:t>
      </w:r>
      <w:r w:rsidR="00533316" w:rsidRPr="00A13A27">
        <w:rPr>
          <w:rFonts w:ascii="Book Antiqua" w:eastAsiaTheme="minorEastAsia" w:hAnsi="Book Antiqua" w:cstheme="minorBidi"/>
          <w:sz w:val="22"/>
        </w:rPr>
        <w:t>enquêtées déclarent n’avoir pas été informées de leurs obligations</w:t>
      </w:r>
      <w:r w:rsidR="00802642">
        <w:rPr>
          <w:rFonts w:ascii="Book Antiqua" w:eastAsiaTheme="minorEastAsia" w:hAnsi="Book Antiqua" w:cstheme="minorBidi"/>
          <w:sz w:val="22"/>
        </w:rPr>
        <w:t xml:space="preserve"> par leur banque</w:t>
      </w:r>
      <w:r w:rsidR="00533316" w:rsidRPr="00A13A27">
        <w:rPr>
          <w:rFonts w:ascii="Book Antiqua" w:eastAsiaTheme="minorEastAsia" w:hAnsi="Book Antiqua" w:cstheme="minorBidi"/>
          <w:sz w:val="22"/>
        </w:rPr>
        <w:t>.</w:t>
      </w:r>
    </w:p>
    <w:p w:rsidR="002708B0" w:rsidRPr="00D0133E" w:rsidRDefault="002708B0" w:rsidP="00FD0BEC">
      <w:pPr>
        <w:pStyle w:val="Lgende"/>
        <w:keepNext/>
        <w:spacing w:line="276" w:lineRule="auto"/>
        <w:jc w:val="center"/>
        <w:rPr>
          <w:color w:val="auto"/>
        </w:rPr>
      </w:pPr>
      <w:bookmarkStart w:id="178" w:name="_Toc523313793"/>
      <w:r w:rsidRPr="00D0133E">
        <w:rPr>
          <w:color w:val="auto"/>
        </w:rPr>
        <w:t xml:space="preserve">Figure </w:t>
      </w:r>
      <w:r w:rsidR="000D65F2" w:rsidRPr="00D0133E">
        <w:rPr>
          <w:color w:val="auto"/>
        </w:rPr>
        <w:fldChar w:fldCharType="begin"/>
      </w:r>
      <w:r w:rsidRPr="00D0133E">
        <w:rPr>
          <w:color w:val="auto"/>
        </w:rPr>
        <w:instrText xml:space="preserve"> SEQ Figure \* ARABIC </w:instrText>
      </w:r>
      <w:r w:rsidR="000D65F2" w:rsidRPr="00D0133E">
        <w:rPr>
          <w:color w:val="auto"/>
        </w:rPr>
        <w:fldChar w:fldCharType="separate"/>
      </w:r>
      <w:r w:rsidR="000F780F">
        <w:rPr>
          <w:noProof/>
          <w:color w:val="auto"/>
        </w:rPr>
        <w:t>110</w:t>
      </w:r>
      <w:r w:rsidR="000D65F2" w:rsidRPr="00D0133E">
        <w:rPr>
          <w:color w:val="auto"/>
        </w:rPr>
        <w:fldChar w:fldCharType="end"/>
      </w:r>
      <w:r w:rsidRPr="00D0133E">
        <w:rPr>
          <w:color w:val="auto"/>
        </w:rPr>
        <w:t>: Proportion des unités informées de leurs obligations selon les régions</w:t>
      </w:r>
      <w:bookmarkEnd w:id="178"/>
    </w:p>
    <w:p w:rsidR="00533316" w:rsidRPr="00533316" w:rsidRDefault="00533316" w:rsidP="00FD0BEC">
      <w:pPr>
        <w:keepNext/>
        <w:spacing w:after="200" w:line="276" w:lineRule="auto"/>
        <w:jc w:val="center"/>
        <w:rPr>
          <w:rFonts w:asciiTheme="minorHAnsi" w:eastAsiaTheme="minorEastAsia" w:hAnsiTheme="minorHAnsi" w:cstheme="minorBidi"/>
          <w:sz w:val="22"/>
          <w:szCs w:val="22"/>
        </w:rPr>
      </w:pPr>
      <w:r w:rsidRPr="00533316">
        <w:rPr>
          <w:rFonts w:ascii="Book Antiqua" w:eastAsiaTheme="minorEastAsia" w:hAnsi="Book Antiqua" w:cstheme="minorBidi"/>
          <w:noProof/>
        </w:rPr>
        <w:drawing>
          <wp:inline distT="0" distB="0" distL="0" distR="0">
            <wp:extent cx="4937089" cy="3055818"/>
            <wp:effectExtent l="19050" t="0" r="15911" b="0"/>
            <wp:docPr id="92" name="Graphique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751AB7" w:rsidRDefault="00751AB7" w:rsidP="00FD0BEC">
      <w:pPr>
        <w:spacing w:after="200" w:line="276" w:lineRule="auto"/>
        <w:jc w:val="both"/>
        <w:rPr>
          <w:rFonts w:ascii="Book Antiqua" w:eastAsiaTheme="minorEastAsia" w:hAnsi="Book Antiqua" w:cstheme="minorBidi"/>
          <w:sz w:val="22"/>
          <w:szCs w:val="22"/>
        </w:rPr>
      </w:pPr>
    </w:p>
    <w:p w:rsidR="0032446A" w:rsidRPr="009B26F2" w:rsidRDefault="0032446A" w:rsidP="00FD0BEC">
      <w:pPr>
        <w:spacing w:after="200" w:line="276" w:lineRule="auto"/>
        <w:jc w:val="both"/>
        <w:rPr>
          <w:rFonts w:ascii="Book Antiqua" w:eastAsiaTheme="minorEastAsia" w:hAnsi="Book Antiqua" w:cstheme="minorBidi"/>
          <w:sz w:val="22"/>
          <w:szCs w:val="22"/>
        </w:rPr>
      </w:pPr>
      <w:r w:rsidRPr="009B26F2">
        <w:rPr>
          <w:rFonts w:ascii="Book Antiqua" w:eastAsiaTheme="minorEastAsia" w:hAnsi="Book Antiqua" w:cstheme="minorBidi"/>
          <w:sz w:val="22"/>
          <w:szCs w:val="22"/>
        </w:rPr>
        <w:lastRenderedPageBreak/>
        <w:t>Une analyse de l’information sur les obligations contractuelles des unités basée sur la nature de l’activité montre une disparité d’appréciation entre le secteur formel qui déclare ne pas être informé de ses obligations</w:t>
      </w:r>
      <w:r w:rsidR="00D358B7">
        <w:rPr>
          <w:rFonts w:ascii="Book Antiqua" w:eastAsiaTheme="minorEastAsia" w:hAnsi="Book Antiqua" w:cstheme="minorBidi"/>
          <w:sz w:val="22"/>
          <w:szCs w:val="22"/>
        </w:rPr>
        <w:t xml:space="preserve"> </w:t>
      </w:r>
      <w:r w:rsidRPr="009B26F2">
        <w:rPr>
          <w:rFonts w:ascii="Book Antiqua" w:eastAsiaTheme="minorEastAsia" w:hAnsi="Book Antiqua" w:cstheme="minorBidi"/>
          <w:sz w:val="22"/>
          <w:szCs w:val="22"/>
        </w:rPr>
        <w:t xml:space="preserve">par la banque à un taux de 17,9% contre une proportion de 21,6% pour le secteur informel. </w:t>
      </w:r>
    </w:p>
    <w:p w:rsidR="007A05CB" w:rsidRPr="007030BD" w:rsidRDefault="007A05CB" w:rsidP="00FD0BEC">
      <w:pPr>
        <w:pStyle w:val="Lgende"/>
        <w:keepNext/>
        <w:spacing w:line="276" w:lineRule="auto"/>
        <w:jc w:val="center"/>
        <w:rPr>
          <w:color w:val="auto"/>
        </w:rPr>
      </w:pPr>
      <w:bookmarkStart w:id="179" w:name="_Toc523313794"/>
      <w:r w:rsidRPr="007030BD">
        <w:rPr>
          <w:color w:val="auto"/>
        </w:rPr>
        <w:t xml:space="preserve">Figure </w:t>
      </w:r>
      <w:r w:rsidR="000D65F2" w:rsidRPr="007030BD">
        <w:rPr>
          <w:color w:val="auto"/>
        </w:rPr>
        <w:fldChar w:fldCharType="begin"/>
      </w:r>
      <w:r w:rsidRPr="007030BD">
        <w:rPr>
          <w:color w:val="auto"/>
        </w:rPr>
        <w:instrText xml:space="preserve"> SEQ Figure \* ARABIC </w:instrText>
      </w:r>
      <w:r w:rsidR="000D65F2" w:rsidRPr="007030BD">
        <w:rPr>
          <w:color w:val="auto"/>
        </w:rPr>
        <w:fldChar w:fldCharType="separate"/>
      </w:r>
      <w:r w:rsidR="000F780F">
        <w:rPr>
          <w:noProof/>
          <w:color w:val="auto"/>
        </w:rPr>
        <w:t>111</w:t>
      </w:r>
      <w:r w:rsidR="000D65F2" w:rsidRPr="007030BD">
        <w:rPr>
          <w:color w:val="auto"/>
        </w:rPr>
        <w:fldChar w:fldCharType="end"/>
      </w:r>
      <w:r w:rsidRPr="007030BD">
        <w:rPr>
          <w:color w:val="auto"/>
        </w:rPr>
        <w:t xml:space="preserve"> : Proportion des unités informées de leurs obligations selon la nature de l'activité</w:t>
      </w:r>
      <w:bookmarkEnd w:id="179"/>
    </w:p>
    <w:p w:rsidR="00533316" w:rsidRPr="00751AB7" w:rsidRDefault="00F44BC9" w:rsidP="00FD0BEC">
      <w:pPr>
        <w:spacing w:after="200" w:line="276" w:lineRule="auto"/>
        <w:jc w:val="center"/>
        <w:rPr>
          <w:rFonts w:ascii="Book Antiqua" w:eastAsiaTheme="minorEastAsia" w:hAnsi="Book Antiqua" w:cstheme="minorBidi"/>
        </w:rPr>
      </w:pPr>
      <w:r w:rsidRPr="00AE3DF1">
        <w:rPr>
          <w:noProof/>
        </w:rPr>
        <w:drawing>
          <wp:inline distT="0" distB="0" distL="0" distR="0">
            <wp:extent cx="4572000" cy="2743200"/>
            <wp:effectExtent l="19050" t="0" r="19050" b="0"/>
            <wp:docPr id="265" name="Graphique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1B4111" w:rsidRDefault="00A732B0"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Parmi les unités informées de leurs obligations au moment de l’ouverture de leur compte, une majorité (59,6</w:t>
      </w:r>
      <w:r w:rsidR="001B4111" w:rsidRPr="00A13A27">
        <w:rPr>
          <w:rFonts w:ascii="Book Antiqua" w:eastAsiaTheme="minorEastAsia" w:hAnsi="Book Antiqua" w:cstheme="minorBidi"/>
          <w:sz w:val="22"/>
        </w:rPr>
        <w:t>%</w:t>
      </w:r>
      <w:r>
        <w:rPr>
          <w:rFonts w:ascii="Book Antiqua" w:eastAsiaTheme="minorEastAsia" w:hAnsi="Book Antiqua" w:cstheme="minorBidi"/>
          <w:sz w:val="22"/>
        </w:rPr>
        <w:t>)</w:t>
      </w:r>
      <w:r w:rsidR="001B4111" w:rsidRPr="00A13A27">
        <w:rPr>
          <w:rFonts w:ascii="Book Antiqua" w:eastAsiaTheme="minorEastAsia" w:hAnsi="Book Antiqua" w:cstheme="minorBidi"/>
          <w:sz w:val="22"/>
        </w:rPr>
        <w:t xml:space="preserve"> estime </w:t>
      </w:r>
      <w:r w:rsidRPr="00A13A27">
        <w:rPr>
          <w:rFonts w:ascii="Book Antiqua" w:eastAsiaTheme="minorEastAsia" w:hAnsi="Book Antiqua" w:cstheme="minorBidi"/>
          <w:sz w:val="22"/>
        </w:rPr>
        <w:t>« incomplèt</w:t>
      </w:r>
      <w:r>
        <w:rPr>
          <w:rFonts w:ascii="Book Antiqua" w:eastAsiaTheme="minorEastAsia" w:hAnsi="Book Antiqua" w:cstheme="minorBidi"/>
          <w:sz w:val="22"/>
        </w:rPr>
        <w:t xml:space="preserve">es » voire « très incomplètes » </w:t>
      </w:r>
      <w:r w:rsidR="001B4111" w:rsidRPr="00A13A27">
        <w:rPr>
          <w:rFonts w:ascii="Book Antiqua" w:eastAsiaTheme="minorEastAsia" w:hAnsi="Book Antiqua" w:cstheme="minorBidi"/>
          <w:sz w:val="22"/>
        </w:rPr>
        <w:t xml:space="preserve">les informations qui leur sont </w:t>
      </w:r>
      <w:r>
        <w:rPr>
          <w:rFonts w:ascii="Book Antiqua" w:eastAsiaTheme="minorEastAsia" w:hAnsi="Book Antiqua" w:cstheme="minorBidi"/>
          <w:sz w:val="22"/>
        </w:rPr>
        <w:t>fournies.</w:t>
      </w:r>
    </w:p>
    <w:p w:rsidR="007A05CB" w:rsidRPr="007030BD" w:rsidRDefault="007A05CB" w:rsidP="00FD0BEC">
      <w:pPr>
        <w:pStyle w:val="Lgende"/>
        <w:keepNext/>
        <w:spacing w:line="276" w:lineRule="auto"/>
        <w:jc w:val="center"/>
        <w:rPr>
          <w:color w:val="auto"/>
        </w:rPr>
      </w:pPr>
      <w:bookmarkStart w:id="180" w:name="_Toc523313795"/>
      <w:r w:rsidRPr="007030BD">
        <w:rPr>
          <w:color w:val="auto"/>
        </w:rPr>
        <w:t xml:space="preserve">Figure </w:t>
      </w:r>
      <w:r w:rsidR="000D65F2" w:rsidRPr="007030BD">
        <w:rPr>
          <w:color w:val="auto"/>
        </w:rPr>
        <w:fldChar w:fldCharType="begin"/>
      </w:r>
      <w:r w:rsidRPr="007030BD">
        <w:rPr>
          <w:color w:val="auto"/>
        </w:rPr>
        <w:instrText xml:space="preserve"> SEQ Figure \* ARABIC </w:instrText>
      </w:r>
      <w:r w:rsidR="000D65F2" w:rsidRPr="007030BD">
        <w:rPr>
          <w:color w:val="auto"/>
        </w:rPr>
        <w:fldChar w:fldCharType="separate"/>
      </w:r>
      <w:r w:rsidR="000F780F">
        <w:rPr>
          <w:noProof/>
          <w:color w:val="auto"/>
        </w:rPr>
        <w:t>112</w:t>
      </w:r>
      <w:r w:rsidR="000D65F2" w:rsidRPr="007030BD">
        <w:rPr>
          <w:color w:val="auto"/>
        </w:rPr>
        <w:fldChar w:fldCharType="end"/>
      </w:r>
      <w:r w:rsidRPr="007030BD">
        <w:rPr>
          <w:color w:val="auto"/>
        </w:rPr>
        <w:t xml:space="preserve"> : Appréciation des unités sur la qualité de l'information sur leurs obligations</w:t>
      </w:r>
      <w:bookmarkEnd w:id="180"/>
    </w:p>
    <w:p w:rsidR="001B4111" w:rsidRPr="00A13A27" w:rsidRDefault="00F44BC9" w:rsidP="00FD0BEC">
      <w:pPr>
        <w:spacing w:after="200" w:line="276" w:lineRule="auto"/>
        <w:jc w:val="center"/>
        <w:rPr>
          <w:rFonts w:ascii="Book Antiqua" w:eastAsiaTheme="minorEastAsia" w:hAnsi="Book Antiqua" w:cstheme="minorBidi"/>
          <w:sz w:val="22"/>
        </w:rPr>
      </w:pPr>
      <w:r w:rsidRPr="00AE3DF1">
        <w:rPr>
          <w:noProof/>
        </w:rPr>
        <w:drawing>
          <wp:inline distT="0" distB="0" distL="0" distR="0">
            <wp:extent cx="4572000" cy="2743200"/>
            <wp:effectExtent l="19050" t="0" r="19050" b="0"/>
            <wp:docPr id="70" name="Graphique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33316" w:rsidRPr="00A13A27" w:rsidRDefault="00CE53A9"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 xml:space="preserve">L’examen </w:t>
      </w:r>
      <w:r w:rsidR="001554BC">
        <w:rPr>
          <w:rFonts w:ascii="Book Antiqua" w:eastAsiaTheme="minorEastAsia" w:hAnsi="Book Antiqua" w:cstheme="minorBidi"/>
          <w:sz w:val="22"/>
        </w:rPr>
        <w:t>selon les régions</w:t>
      </w:r>
      <w:r w:rsidR="00D358B7">
        <w:rPr>
          <w:rFonts w:ascii="Book Antiqua" w:eastAsiaTheme="minorEastAsia" w:hAnsi="Book Antiqua" w:cstheme="minorBidi"/>
          <w:sz w:val="22"/>
        </w:rPr>
        <w:t xml:space="preserve"> </w:t>
      </w:r>
      <w:r>
        <w:rPr>
          <w:rFonts w:ascii="Book Antiqua" w:eastAsiaTheme="minorEastAsia" w:hAnsi="Book Antiqua" w:cstheme="minorBidi"/>
          <w:sz w:val="22"/>
        </w:rPr>
        <w:t xml:space="preserve">des opinions des unités sur </w:t>
      </w:r>
      <w:r w:rsidR="00533316" w:rsidRPr="00A13A27">
        <w:rPr>
          <w:rFonts w:ascii="Book Antiqua" w:eastAsiaTheme="minorEastAsia" w:hAnsi="Book Antiqua" w:cstheme="minorBidi"/>
          <w:sz w:val="22"/>
        </w:rPr>
        <w:t xml:space="preserve">la qualité des informations </w:t>
      </w:r>
      <w:r>
        <w:rPr>
          <w:rFonts w:ascii="Book Antiqua" w:eastAsiaTheme="minorEastAsia" w:hAnsi="Book Antiqua" w:cstheme="minorBidi"/>
          <w:sz w:val="22"/>
        </w:rPr>
        <w:t xml:space="preserve">relatives à leurs </w:t>
      </w:r>
      <w:r w:rsidR="00533316" w:rsidRPr="00A13A27">
        <w:rPr>
          <w:rFonts w:ascii="Book Antiqua" w:eastAsiaTheme="minorEastAsia" w:hAnsi="Book Antiqua" w:cstheme="minorBidi"/>
          <w:sz w:val="22"/>
        </w:rPr>
        <w:t xml:space="preserve">obligations fait apparaître un sentiment d’insatisfaction </w:t>
      </w:r>
      <w:r w:rsidR="001554BC">
        <w:rPr>
          <w:rFonts w:ascii="Book Antiqua" w:eastAsiaTheme="minorEastAsia" w:hAnsi="Book Antiqua" w:cstheme="minorBidi"/>
          <w:sz w:val="22"/>
        </w:rPr>
        <w:t>suivant des proportions relativement élevées</w:t>
      </w:r>
      <w:r w:rsidR="00D358B7">
        <w:rPr>
          <w:rFonts w:ascii="Book Antiqua" w:eastAsiaTheme="minorEastAsia" w:hAnsi="Book Antiqua" w:cstheme="minorBidi"/>
          <w:sz w:val="22"/>
        </w:rPr>
        <w:t xml:space="preserve"> </w:t>
      </w:r>
      <w:r w:rsidR="00533316" w:rsidRPr="00A13A27">
        <w:rPr>
          <w:rFonts w:ascii="Book Antiqua" w:eastAsiaTheme="minorEastAsia" w:hAnsi="Book Antiqua" w:cstheme="minorBidi"/>
          <w:sz w:val="22"/>
        </w:rPr>
        <w:t xml:space="preserve">dans </w:t>
      </w:r>
      <w:r>
        <w:rPr>
          <w:rFonts w:ascii="Book Antiqua" w:eastAsiaTheme="minorEastAsia" w:hAnsi="Book Antiqua" w:cstheme="minorBidi"/>
          <w:sz w:val="22"/>
        </w:rPr>
        <w:t>certaines</w:t>
      </w:r>
      <w:r w:rsidR="00D358B7">
        <w:rPr>
          <w:rFonts w:ascii="Book Antiqua" w:eastAsiaTheme="minorEastAsia" w:hAnsi="Book Antiqua" w:cstheme="minorBidi"/>
          <w:sz w:val="22"/>
        </w:rPr>
        <w:t xml:space="preserve"> </w:t>
      </w:r>
      <w:r>
        <w:rPr>
          <w:rFonts w:ascii="Book Antiqua" w:eastAsiaTheme="minorEastAsia" w:hAnsi="Book Antiqua" w:cstheme="minorBidi"/>
          <w:sz w:val="22"/>
        </w:rPr>
        <w:t>localités</w:t>
      </w:r>
      <w:r w:rsidR="00D358B7">
        <w:rPr>
          <w:rFonts w:ascii="Book Antiqua" w:eastAsiaTheme="minorEastAsia" w:hAnsi="Book Antiqua" w:cstheme="minorBidi"/>
          <w:sz w:val="22"/>
        </w:rPr>
        <w:t xml:space="preserve"> </w:t>
      </w:r>
      <w:r>
        <w:rPr>
          <w:rFonts w:ascii="Book Antiqua" w:eastAsiaTheme="minorEastAsia" w:hAnsi="Book Antiqua" w:cstheme="minorBidi"/>
          <w:sz w:val="22"/>
        </w:rPr>
        <w:t>telles que</w:t>
      </w:r>
      <w:r w:rsidR="00533316" w:rsidRPr="00A13A27">
        <w:rPr>
          <w:rFonts w:ascii="Book Antiqua" w:eastAsiaTheme="minorEastAsia" w:hAnsi="Book Antiqua" w:cstheme="minorBidi"/>
          <w:sz w:val="22"/>
        </w:rPr>
        <w:t xml:space="preserve"> Tambacounda</w:t>
      </w:r>
      <w:r>
        <w:rPr>
          <w:rFonts w:ascii="Book Antiqua" w:eastAsiaTheme="minorEastAsia" w:hAnsi="Book Antiqua" w:cstheme="minorBidi"/>
          <w:sz w:val="22"/>
        </w:rPr>
        <w:t xml:space="preserve">, </w:t>
      </w:r>
      <w:proofErr w:type="spellStart"/>
      <w:r>
        <w:rPr>
          <w:rFonts w:ascii="Book Antiqua" w:eastAsiaTheme="minorEastAsia" w:hAnsi="Book Antiqua" w:cstheme="minorBidi"/>
          <w:sz w:val="22"/>
        </w:rPr>
        <w:t>Kaffrine</w:t>
      </w:r>
      <w:proofErr w:type="spellEnd"/>
      <w:r>
        <w:rPr>
          <w:rFonts w:ascii="Book Antiqua" w:eastAsiaTheme="minorEastAsia" w:hAnsi="Book Antiqua" w:cstheme="minorBidi"/>
          <w:sz w:val="22"/>
        </w:rPr>
        <w:t xml:space="preserve">, Diourbel et </w:t>
      </w:r>
      <w:proofErr w:type="spellStart"/>
      <w:r w:rsidR="001554BC">
        <w:rPr>
          <w:rFonts w:ascii="Book Antiqua" w:eastAsiaTheme="minorEastAsia" w:hAnsi="Book Antiqua" w:cstheme="minorBidi"/>
          <w:sz w:val="22"/>
        </w:rPr>
        <w:t>Sédhiou</w:t>
      </w:r>
      <w:proofErr w:type="spellEnd"/>
      <w:r w:rsidR="00D358B7">
        <w:rPr>
          <w:rFonts w:ascii="Book Antiqua" w:eastAsiaTheme="minorEastAsia" w:hAnsi="Book Antiqua" w:cstheme="minorBidi"/>
          <w:sz w:val="22"/>
        </w:rPr>
        <w:t xml:space="preserve"> </w:t>
      </w:r>
      <w:r>
        <w:rPr>
          <w:rFonts w:ascii="Book Antiqua" w:eastAsiaTheme="minorEastAsia" w:hAnsi="Book Antiqua" w:cstheme="minorBidi"/>
          <w:sz w:val="22"/>
        </w:rPr>
        <w:t xml:space="preserve">qui affichent respectivement  des taux de </w:t>
      </w:r>
      <w:r w:rsidR="00533316" w:rsidRPr="00A13A27">
        <w:rPr>
          <w:rFonts w:ascii="Book Antiqua" w:eastAsiaTheme="minorEastAsia" w:hAnsi="Book Antiqua" w:cstheme="minorBidi"/>
          <w:sz w:val="22"/>
        </w:rPr>
        <w:t>83, 3%</w:t>
      </w:r>
      <w:r>
        <w:rPr>
          <w:rFonts w:ascii="Book Antiqua" w:eastAsiaTheme="minorEastAsia" w:hAnsi="Book Antiqua" w:cstheme="minorBidi"/>
          <w:sz w:val="22"/>
        </w:rPr>
        <w:t>, 82,8%, 81,3% et 81,1%.</w:t>
      </w:r>
    </w:p>
    <w:p w:rsidR="0061681B" w:rsidRPr="007030BD" w:rsidRDefault="0061681B" w:rsidP="00FD0BEC">
      <w:pPr>
        <w:pStyle w:val="Lgende"/>
        <w:keepNext/>
        <w:spacing w:line="276" w:lineRule="auto"/>
        <w:jc w:val="center"/>
        <w:rPr>
          <w:color w:val="auto"/>
        </w:rPr>
      </w:pPr>
      <w:bookmarkStart w:id="181" w:name="_Toc523313796"/>
      <w:r w:rsidRPr="007030BD">
        <w:rPr>
          <w:color w:val="auto"/>
        </w:rPr>
        <w:lastRenderedPageBreak/>
        <w:t xml:space="preserve">Figure </w:t>
      </w:r>
      <w:r w:rsidR="000D65F2" w:rsidRPr="007030BD">
        <w:rPr>
          <w:color w:val="auto"/>
        </w:rPr>
        <w:fldChar w:fldCharType="begin"/>
      </w:r>
      <w:r w:rsidRPr="007030BD">
        <w:rPr>
          <w:color w:val="auto"/>
        </w:rPr>
        <w:instrText xml:space="preserve"> SEQ Figure \* ARABIC </w:instrText>
      </w:r>
      <w:r w:rsidR="000D65F2" w:rsidRPr="007030BD">
        <w:rPr>
          <w:color w:val="auto"/>
        </w:rPr>
        <w:fldChar w:fldCharType="separate"/>
      </w:r>
      <w:r w:rsidR="000F780F">
        <w:rPr>
          <w:noProof/>
          <w:color w:val="auto"/>
        </w:rPr>
        <w:t>113</w:t>
      </w:r>
      <w:r w:rsidR="000D65F2" w:rsidRPr="007030BD">
        <w:rPr>
          <w:color w:val="auto"/>
        </w:rPr>
        <w:fldChar w:fldCharType="end"/>
      </w:r>
      <w:r w:rsidRPr="007030BD">
        <w:rPr>
          <w:color w:val="auto"/>
        </w:rPr>
        <w:t xml:space="preserve"> : Appréciation des unités sur la qualité de l'information sur leurs obligations selon les régions</w:t>
      </w:r>
      <w:bookmarkEnd w:id="181"/>
    </w:p>
    <w:p w:rsidR="00602506" w:rsidRPr="00602506" w:rsidRDefault="00533316" w:rsidP="00FD0BEC">
      <w:pPr>
        <w:keepNext/>
        <w:spacing w:after="200" w:line="276" w:lineRule="auto"/>
        <w:jc w:val="center"/>
        <w:rPr>
          <w:rFonts w:asciiTheme="minorHAnsi" w:eastAsiaTheme="minorEastAsia" w:hAnsiTheme="minorHAnsi" w:cstheme="minorBidi"/>
          <w:sz w:val="22"/>
          <w:szCs w:val="22"/>
        </w:rPr>
      </w:pPr>
      <w:r w:rsidRPr="00533316">
        <w:rPr>
          <w:rFonts w:ascii="Book Antiqua" w:eastAsiaTheme="minorEastAsia" w:hAnsi="Book Antiqua" w:cstheme="minorBidi"/>
          <w:noProof/>
        </w:rPr>
        <w:drawing>
          <wp:inline distT="0" distB="0" distL="0" distR="0">
            <wp:extent cx="5600700" cy="3073400"/>
            <wp:effectExtent l="19050" t="0" r="19050" b="0"/>
            <wp:docPr id="93" name="Graphique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A324DA" w:rsidRPr="00602506" w:rsidRDefault="00945564" w:rsidP="00FD0BEC">
      <w:pPr>
        <w:spacing w:after="200" w:line="276" w:lineRule="auto"/>
        <w:contextualSpacing/>
        <w:jc w:val="both"/>
        <w:rPr>
          <w:rFonts w:ascii="Book Antiqua" w:eastAsiaTheme="minorEastAsia" w:hAnsi="Book Antiqua" w:cstheme="minorBidi"/>
          <w:sz w:val="22"/>
          <w:szCs w:val="22"/>
        </w:rPr>
      </w:pPr>
      <w:r w:rsidRPr="00602506">
        <w:rPr>
          <w:rFonts w:ascii="Book Antiqua" w:eastAsiaTheme="minorEastAsia" w:hAnsi="Book Antiqua" w:cstheme="minorBidi"/>
          <w:sz w:val="22"/>
          <w:szCs w:val="22"/>
        </w:rPr>
        <w:t>Selon la nature de l’activité, il ressort à l’examen des opinions des unités la même tendance d’appréciation négative sur la qualité de l’information concernant les obligations contractuelles avec toutefois un niveau de récrimination plus prononcé chez les unités informelles qui affichent un taux de 67,1% contre 56,7% pour celles issues du secteur moderne.</w:t>
      </w:r>
    </w:p>
    <w:p w:rsidR="0061681B" w:rsidRPr="007030BD" w:rsidRDefault="0061681B" w:rsidP="00FD0BEC">
      <w:pPr>
        <w:pStyle w:val="Lgende"/>
        <w:keepNext/>
        <w:spacing w:line="276" w:lineRule="auto"/>
        <w:jc w:val="center"/>
        <w:rPr>
          <w:color w:val="auto"/>
        </w:rPr>
      </w:pPr>
      <w:bookmarkStart w:id="182" w:name="_Toc523313797"/>
      <w:r w:rsidRPr="007030BD">
        <w:rPr>
          <w:color w:val="auto"/>
        </w:rPr>
        <w:t xml:space="preserve">Figure </w:t>
      </w:r>
      <w:r w:rsidR="000D65F2" w:rsidRPr="007030BD">
        <w:rPr>
          <w:color w:val="auto"/>
        </w:rPr>
        <w:fldChar w:fldCharType="begin"/>
      </w:r>
      <w:r w:rsidRPr="007030BD">
        <w:rPr>
          <w:color w:val="auto"/>
        </w:rPr>
        <w:instrText xml:space="preserve"> SEQ Figure \* ARABIC </w:instrText>
      </w:r>
      <w:r w:rsidR="000D65F2" w:rsidRPr="007030BD">
        <w:rPr>
          <w:color w:val="auto"/>
        </w:rPr>
        <w:fldChar w:fldCharType="separate"/>
      </w:r>
      <w:r w:rsidR="000F780F">
        <w:rPr>
          <w:noProof/>
          <w:color w:val="auto"/>
        </w:rPr>
        <w:t>114</w:t>
      </w:r>
      <w:r w:rsidR="000D65F2" w:rsidRPr="007030BD">
        <w:rPr>
          <w:color w:val="auto"/>
        </w:rPr>
        <w:fldChar w:fldCharType="end"/>
      </w:r>
      <w:r w:rsidRPr="007030BD">
        <w:rPr>
          <w:color w:val="auto"/>
        </w:rPr>
        <w:t xml:space="preserve"> : Appréciation des unités sur la qualité de l'information sur leurs informations selon la nature de l'activité</w:t>
      </w:r>
      <w:bookmarkEnd w:id="182"/>
    </w:p>
    <w:p w:rsidR="00533316" w:rsidRPr="00A13A27" w:rsidRDefault="00A324DA" w:rsidP="00FD0BEC">
      <w:pPr>
        <w:spacing w:after="200" w:line="276" w:lineRule="auto"/>
        <w:jc w:val="center"/>
        <w:rPr>
          <w:rFonts w:ascii="Book Antiqua" w:eastAsiaTheme="minorEastAsia" w:hAnsi="Book Antiqua" w:cstheme="minorBidi"/>
          <w:sz w:val="22"/>
        </w:rPr>
      </w:pPr>
      <w:r>
        <w:rPr>
          <w:noProof/>
        </w:rPr>
        <w:drawing>
          <wp:inline distT="0" distB="0" distL="0" distR="0">
            <wp:extent cx="5567680" cy="2819400"/>
            <wp:effectExtent l="19050" t="0" r="13970" b="0"/>
            <wp:docPr id="279" name="Graphique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33316" w:rsidRDefault="00533316" w:rsidP="00531C35">
      <w:pPr>
        <w:keepNext/>
        <w:keepLines/>
        <w:spacing w:before="360" w:after="120" w:line="276" w:lineRule="auto"/>
        <w:ind w:firstLine="284"/>
        <w:outlineLvl w:val="1"/>
        <w:rPr>
          <w:rFonts w:ascii="Book Antiqua" w:eastAsiaTheme="majorEastAsia" w:hAnsi="Book Antiqua" w:cstheme="majorBidi"/>
          <w:b/>
          <w:bCs/>
          <w:sz w:val="22"/>
          <w:szCs w:val="26"/>
        </w:rPr>
      </w:pPr>
      <w:bookmarkStart w:id="183" w:name="_Toc523322068"/>
      <w:r w:rsidRPr="00533316">
        <w:rPr>
          <w:rFonts w:ascii="Book Antiqua" w:eastAsiaTheme="majorEastAsia" w:hAnsi="Book Antiqua" w:cstheme="majorBidi"/>
          <w:b/>
          <w:bCs/>
          <w:sz w:val="22"/>
          <w:szCs w:val="26"/>
        </w:rPr>
        <w:t>V.3. Satisfaction sur le suivi des réclamations</w:t>
      </w:r>
      <w:bookmarkEnd w:id="183"/>
    </w:p>
    <w:p w:rsidR="00A75F0B" w:rsidRDefault="00411351" w:rsidP="00FD0BEC">
      <w:pPr>
        <w:spacing w:line="276" w:lineRule="auto"/>
        <w:jc w:val="both"/>
        <w:rPr>
          <w:rFonts w:ascii="Book Antiqua" w:eastAsiaTheme="majorEastAsia" w:hAnsi="Book Antiqua" w:cstheme="majorBidi"/>
          <w:bCs/>
          <w:sz w:val="22"/>
          <w:szCs w:val="26"/>
        </w:rPr>
      </w:pPr>
      <w:bookmarkStart w:id="184" w:name="_Toc493010975"/>
      <w:r>
        <w:rPr>
          <w:rFonts w:ascii="Book Antiqua" w:eastAsiaTheme="majorEastAsia" w:hAnsi="Book Antiqua" w:cstheme="majorBidi"/>
          <w:bCs/>
          <w:sz w:val="22"/>
          <w:szCs w:val="26"/>
        </w:rPr>
        <w:t>L’analyse de la satisfaction sur le suivi des réclamations se traduit par un examen de</w:t>
      </w:r>
      <w:r w:rsidR="006E4492">
        <w:rPr>
          <w:rFonts w:ascii="Book Antiqua" w:eastAsiaTheme="majorEastAsia" w:hAnsi="Book Antiqua" w:cstheme="majorBidi"/>
          <w:bCs/>
          <w:sz w:val="22"/>
          <w:szCs w:val="26"/>
        </w:rPr>
        <w:t xml:space="preserve"> la</w:t>
      </w:r>
      <w:r>
        <w:rPr>
          <w:rFonts w:ascii="Book Antiqua" w:eastAsiaTheme="majorEastAsia" w:hAnsi="Book Antiqua" w:cstheme="majorBidi"/>
          <w:bCs/>
          <w:sz w:val="22"/>
          <w:szCs w:val="26"/>
        </w:rPr>
        <w:t xml:space="preserve"> fréquence  </w:t>
      </w:r>
      <w:r w:rsidR="006E4492">
        <w:rPr>
          <w:rFonts w:ascii="Book Antiqua" w:eastAsiaTheme="majorEastAsia" w:hAnsi="Book Antiqua" w:cstheme="majorBidi"/>
          <w:bCs/>
          <w:sz w:val="22"/>
          <w:szCs w:val="26"/>
        </w:rPr>
        <w:t>et</w:t>
      </w:r>
      <w:r w:rsidR="00D358B7">
        <w:rPr>
          <w:rFonts w:ascii="Book Antiqua" w:eastAsiaTheme="majorEastAsia" w:hAnsi="Book Antiqua" w:cstheme="majorBidi"/>
          <w:bCs/>
          <w:sz w:val="22"/>
          <w:szCs w:val="26"/>
        </w:rPr>
        <w:t xml:space="preserve"> </w:t>
      </w:r>
      <w:r w:rsidR="00207C98">
        <w:rPr>
          <w:rFonts w:ascii="Book Antiqua" w:eastAsiaTheme="majorEastAsia" w:hAnsi="Book Antiqua" w:cstheme="majorBidi"/>
          <w:bCs/>
          <w:sz w:val="22"/>
          <w:szCs w:val="26"/>
        </w:rPr>
        <w:t xml:space="preserve">de la </w:t>
      </w:r>
      <w:r>
        <w:rPr>
          <w:rFonts w:ascii="Book Antiqua" w:eastAsiaTheme="majorEastAsia" w:hAnsi="Book Antiqua" w:cstheme="majorBidi"/>
          <w:bCs/>
          <w:sz w:val="22"/>
          <w:szCs w:val="26"/>
        </w:rPr>
        <w:t xml:space="preserve">typologie des réclamations formulées et des litiges </w:t>
      </w:r>
      <w:r w:rsidR="006E4492">
        <w:rPr>
          <w:rFonts w:ascii="Book Antiqua" w:eastAsiaTheme="majorEastAsia" w:hAnsi="Book Antiqua" w:cstheme="majorBidi"/>
          <w:bCs/>
          <w:sz w:val="22"/>
          <w:szCs w:val="26"/>
        </w:rPr>
        <w:t xml:space="preserve">ainsi que la qualité de </w:t>
      </w:r>
      <w:r w:rsidR="00207C98">
        <w:rPr>
          <w:rFonts w:ascii="Book Antiqua" w:eastAsiaTheme="majorEastAsia" w:hAnsi="Book Antiqua" w:cstheme="majorBidi"/>
          <w:bCs/>
          <w:sz w:val="22"/>
          <w:szCs w:val="26"/>
        </w:rPr>
        <w:t xml:space="preserve">leur </w:t>
      </w:r>
      <w:r w:rsidR="006E4492">
        <w:rPr>
          <w:rFonts w:ascii="Book Antiqua" w:eastAsiaTheme="majorEastAsia" w:hAnsi="Book Antiqua" w:cstheme="majorBidi"/>
          <w:bCs/>
          <w:sz w:val="22"/>
          <w:szCs w:val="26"/>
        </w:rPr>
        <w:t>suivi</w:t>
      </w:r>
      <w:r w:rsidR="00207C98">
        <w:rPr>
          <w:rFonts w:ascii="Book Antiqua" w:eastAsiaTheme="majorEastAsia" w:hAnsi="Book Antiqua" w:cstheme="majorBidi"/>
          <w:bCs/>
          <w:sz w:val="22"/>
          <w:szCs w:val="26"/>
        </w:rPr>
        <w:t>.</w:t>
      </w:r>
      <w:bookmarkEnd w:id="184"/>
    </w:p>
    <w:p w:rsidR="00A75F0B" w:rsidRPr="00AE3DF1" w:rsidRDefault="00A75F0B" w:rsidP="00FD0BEC">
      <w:pPr>
        <w:keepNext/>
        <w:keepLines/>
        <w:spacing w:before="120" w:after="80" w:line="276" w:lineRule="auto"/>
        <w:contextualSpacing/>
        <w:jc w:val="both"/>
        <w:outlineLvl w:val="1"/>
        <w:rPr>
          <w:rFonts w:ascii="Book Antiqua" w:eastAsiaTheme="majorEastAsia" w:hAnsi="Book Antiqua" w:cstheme="majorBidi"/>
          <w:bCs/>
          <w:sz w:val="22"/>
          <w:szCs w:val="26"/>
        </w:rPr>
      </w:pPr>
    </w:p>
    <w:p w:rsidR="00FD0BEC" w:rsidRDefault="00FD0BEC">
      <w:pPr>
        <w:spacing w:after="200" w:line="276" w:lineRule="auto"/>
        <w:rPr>
          <w:rFonts w:ascii="Book Antiqua" w:eastAsiaTheme="majorEastAsia" w:hAnsi="Book Antiqua" w:cstheme="majorBidi"/>
          <w:b/>
          <w:bCs/>
          <w:sz w:val="22"/>
          <w:szCs w:val="26"/>
        </w:rPr>
      </w:pPr>
      <w:bookmarkStart w:id="185" w:name="_Toc523322069"/>
      <w:r>
        <w:rPr>
          <w:rFonts w:ascii="Book Antiqua" w:eastAsiaTheme="majorEastAsia" w:hAnsi="Book Antiqua" w:cstheme="majorBidi"/>
          <w:b/>
          <w:bCs/>
          <w:sz w:val="22"/>
          <w:szCs w:val="26"/>
        </w:rPr>
        <w:br w:type="page"/>
      </w:r>
    </w:p>
    <w:p w:rsidR="00533316" w:rsidRPr="00FD0BEC" w:rsidRDefault="00533316" w:rsidP="00531C35">
      <w:pPr>
        <w:keepNext/>
        <w:keepLines/>
        <w:spacing w:before="240" w:after="240" w:line="276" w:lineRule="auto"/>
        <w:ind w:firstLine="567"/>
        <w:outlineLvl w:val="2"/>
        <w:rPr>
          <w:rFonts w:ascii="Book Antiqua" w:eastAsiaTheme="majorEastAsia" w:hAnsi="Book Antiqua" w:cstheme="majorBidi"/>
          <w:b/>
          <w:bCs/>
          <w:sz w:val="22"/>
          <w:szCs w:val="26"/>
        </w:rPr>
      </w:pPr>
      <w:r w:rsidRPr="00FD0BEC">
        <w:rPr>
          <w:rFonts w:ascii="Book Antiqua" w:eastAsiaTheme="majorEastAsia" w:hAnsi="Book Antiqua" w:cstheme="majorBidi"/>
          <w:b/>
          <w:bCs/>
          <w:sz w:val="22"/>
          <w:szCs w:val="26"/>
        </w:rPr>
        <w:lastRenderedPageBreak/>
        <w:t xml:space="preserve">V.3.1. </w:t>
      </w:r>
      <w:r w:rsidR="006E4492" w:rsidRPr="00FD0BEC">
        <w:rPr>
          <w:rFonts w:ascii="Book Antiqua" w:eastAsiaTheme="majorEastAsia" w:hAnsi="Book Antiqua" w:cstheme="majorBidi"/>
          <w:b/>
          <w:bCs/>
          <w:sz w:val="22"/>
          <w:szCs w:val="26"/>
        </w:rPr>
        <w:t xml:space="preserve">Fréquence et </w:t>
      </w:r>
      <w:r w:rsidR="00A75F0B" w:rsidRPr="00FD0BEC">
        <w:rPr>
          <w:rFonts w:ascii="Book Antiqua" w:eastAsiaTheme="majorEastAsia" w:hAnsi="Book Antiqua" w:cstheme="majorBidi"/>
          <w:b/>
          <w:bCs/>
          <w:sz w:val="22"/>
          <w:szCs w:val="26"/>
        </w:rPr>
        <w:t>t</w:t>
      </w:r>
      <w:r w:rsidRPr="00FD0BEC">
        <w:rPr>
          <w:rFonts w:ascii="Book Antiqua" w:eastAsiaTheme="majorEastAsia" w:hAnsi="Book Antiqua" w:cstheme="majorBidi"/>
          <w:b/>
          <w:bCs/>
          <w:sz w:val="22"/>
          <w:szCs w:val="26"/>
        </w:rPr>
        <w:t>ypologie des réclamations formulées et des litiges</w:t>
      </w:r>
      <w:bookmarkEnd w:id="185"/>
    </w:p>
    <w:p w:rsidR="00C71BD5" w:rsidRDefault="00C71BD5"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Par réclam</w:t>
      </w:r>
      <w:r w:rsidR="00434405">
        <w:rPr>
          <w:rFonts w:ascii="Book Antiqua" w:eastAsiaTheme="minorEastAsia" w:hAnsi="Book Antiqua" w:cstheme="minorBidi"/>
          <w:sz w:val="22"/>
        </w:rPr>
        <w:t xml:space="preserve">ation, il est entendu la </w:t>
      </w:r>
      <w:r w:rsidR="00071D0A">
        <w:rPr>
          <w:rFonts w:ascii="Book Antiqua" w:eastAsiaTheme="minorEastAsia" w:hAnsi="Book Antiqua" w:cstheme="minorBidi"/>
          <w:sz w:val="22"/>
        </w:rPr>
        <w:t xml:space="preserve">contestation d’un service offert auquel le client estime avoir droit et </w:t>
      </w:r>
      <w:r w:rsidR="00434405">
        <w:rPr>
          <w:rFonts w:ascii="Book Antiqua" w:eastAsiaTheme="minorEastAsia" w:hAnsi="Book Antiqua" w:cstheme="minorBidi"/>
          <w:sz w:val="22"/>
        </w:rPr>
        <w:t xml:space="preserve">dont il demande la réparation </w:t>
      </w:r>
      <w:r w:rsidR="00071D0A">
        <w:rPr>
          <w:rFonts w:ascii="Book Antiqua" w:eastAsiaTheme="minorEastAsia" w:hAnsi="Book Antiqua" w:cstheme="minorBidi"/>
          <w:sz w:val="22"/>
        </w:rPr>
        <w:t xml:space="preserve">du préjudice </w:t>
      </w:r>
      <w:r w:rsidR="00434405">
        <w:rPr>
          <w:rFonts w:ascii="Book Antiqua" w:eastAsiaTheme="minorEastAsia" w:hAnsi="Book Antiqua" w:cstheme="minorBidi"/>
          <w:sz w:val="22"/>
        </w:rPr>
        <w:t>auprès de son opérateur bancaire.</w:t>
      </w:r>
    </w:p>
    <w:p w:rsidR="00605DC2" w:rsidRPr="0061681B" w:rsidRDefault="00207C98"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L’explo</w:t>
      </w:r>
      <w:r w:rsidR="00D358B7">
        <w:rPr>
          <w:rFonts w:ascii="Book Antiqua" w:eastAsiaTheme="minorEastAsia" w:hAnsi="Book Antiqua" w:cstheme="minorBidi"/>
          <w:sz w:val="22"/>
        </w:rPr>
        <w:t>itation des résultats de l’ESUB</w:t>
      </w:r>
      <w:r>
        <w:rPr>
          <w:rFonts w:ascii="Book Antiqua" w:eastAsiaTheme="minorEastAsia" w:hAnsi="Book Antiqua" w:cstheme="minorBidi"/>
          <w:sz w:val="22"/>
        </w:rPr>
        <w:t xml:space="preserve"> révèle qu’une proportion de </w:t>
      </w:r>
      <w:r w:rsidRPr="00A13A27">
        <w:rPr>
          <w:rFonts w:ascii="Book Antiqua" w:eastAsiaTheme="minorEastAsia" w:hAnsi="Book Antiqua" w:cstheme="minorBidi"/>
          <w:sz w:val="22"/>
        </w:rPr>
        <w:t xml:space="preserve">29, 6% </w:t>
      </w:r>
      <w:r>
        <w:rPr>
          <w:rFonts w:ascii="Book Antiqua" w:eastAsiaTheme="minorEastAsia" w:hAnsi="Book Antiqua" w:cstheme="minorBidi"/>
          <w:sz w:val="22"/>
        </w:rPr>
        <w:t>des unités interrogées déclare avoir formulé au moins une réclamation auprès de leur banque principale.</w:t>
      </w:r>
    </w:p>
    <w:p w:rsidR="0061681B" w:rsidRPr="007030BD" w:rsidRDefault="0061681B" w:rsidP="00FD0BEC">
      <w:pPr>
        <w:pStyle w:val="Lgende"/>
        <w:keepNext/>
        <w:spacing w:line="276" w:lineRule="auto"/>
        <w:jc w:val="center"/>
        <w:rPr>
          <w:color w:val="auto"/>
        </w:rPr>
      </w:pPr>
      <w:bookmarkStart w:id="186" w:name="_Toc523313798"/>
      <w:r w:rsidRPr="007030BD">
        <w:rPr>
          <w:color w:val="auto"/>
        </w:rPr>
        <w:t xml:space="preserve">Figure </w:t>
      </w:r>
      <w:r w:rsidR="000D65F2" w:rsidRPr="007030BD">
        <w:rPr>
          <w:color w:val="auto"/>
        </w:rPr>
        <w:fldChar w:fldCharType="begin"/>
      </w:r>
      <w:r w:rsidRPr="007030BD">
        <w:rPr>
          <w:color w:val="auto"/>
        </w:rPr>
        <w:instrText xml:space="preserve"> SEQ Figure \* ARABIC </w:instrText>
      </w:r>
      <w:r w:rsidR="000D65F2" w:rsidRPr="007030BD">
        <w:rPr>
          <w:color w:val="auto"/>
        </w:rPr>
        <w:fldChar w:fldCharType="separate"/>
      </w:r>
      <w:r w:rsidR="000F780F">
        <w:rPr>
          <w:noProof/>
          <w:color w:val="auto"/>
        </w:rPr>
        <w:t>115</w:t>
      </w:r>
      <w:r w:rsidR="000D65F2" w:rsidRPr="007030BD">
        <w:rPr>
          <w:color w:val="auto"/>
        </w:rPr>
        <w:fldChar w:fldCharType="end"/>
      </w:r>
      <w:r w:rsidRPr="007030BD">
        <w:rPr>
          <w:color w:val="auto"/>
        </w:rPr>
        <w:t xml:space="preserve"> : Proportion des unités ayant formulé une réclamation auprès de leur banque principale</w:t>
      </w:r>
      <w:bookmarkEnd w:id="186"/>
    </w:p>
    <w:p w:rsidR="00207C98" w:rsidRDefault="00F44BC9" w:rsidP="00FD0BEC">
      <w:pPr>
        <w:spacing w:after="200" w:line="276" w:lineRule="auto"/>
        <w:jc w:val="center"/>
        <w:rPr>
          <w:rFonts w:ascii="Book Antiqua" w:eastAsiaTheme="minorEastAsia" w:hAnsi="Book Antiqua" w:cstheme="minorBidi"/>
          <w:sz w:val="22"/>
        </w:rPr>
      </w:pPr>
      <w:r w:rsidRPr="00AE3DF1">
        <w:rPr>
          <w:noProof/>
        </w:rPr>
        <w:drawing>
          <wp:inline distT="0" distB="0" distL="0" distR="0">
            <wp:extent cx="4279900" cy="2400300"/>
            <wp:effectExtent l="19050" t="0" r="25400" b="0"/>
            <wp:docPr id="266" name="Graphique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FF6D43" w:rsidRDefault="00207C98"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 xml:space="preserve">Parmi </w:t>
      </w:r>
      <w:r w:rsidR="00FF6D43">
        <w:rPr>
          <w:rFonts w:ascii="Book Antiqua" w:eastAsiaTheme="minorEastAsia" w:hAnsi="Book Antiqua" w:cstheme="minorBidi"/>
          <w:sz w:val="22"/>
        </w:rPr>
        <w:t>les</w:t>
      </w:r>
      <w:r>
        <w:rPr>
          <w:rFonts w:ascii="Book Antiqua" w:eastAsiaTheme="minorEastAsia" w:hAnsi="Book Antiqua" w:cstheme="minorBidi"/>
          <w:sz w:val="22"/>
        </w:rPr>
        <w:t xml:space="preserve"> unités</w:t>
      </w:r>
      <w:r w:rsidR="00FF6D43">
        <w:rPr>
          <w:rFonts w:ascii="Book Antiqua" w:eastAsiaTheme="minorEastAsia" w:hAnsi="Book Antiqua" w:cstheme="minorBidi"/>
          <w:sz w:val="22"/>
        </w:rPr>
        <w:t xml:space="preserve"> ayant formulé au moins une réclamation,</w:t>
      </w:r>
      <w:r w:rsidR="00D358B7">
        <w:rPr>
          <w:rFonts w:ascii="Book Antiqua" w:eastAsiaTheme="minorEastAsia" w:hAnsi="Book Antiqua" w:cstheme="minorBidi"/>
          <w:sz w:val="22"/>
        </w:rPr>
        <w:t xml:space="preserve"> </w:t>
      </w:r>
      <w:r>
        <w:rPr>
          <w:rFonts w:ascii="Book Antiqua" w:eastAsiaTheme="minorEastAsia" w:hAnsi="Book Antiqua" w:cstheme="minorBidi"/>
          <w:sz w:val="22"/>
        </w:rPr>
        <w:t>60,2</w:t>
      </w:r>
      <w:r w:rsidRPr="00A13A27">
        <w:rPr>
          <w:rFonts w:ascii="Book Antiqua" w:eastAsiaTheme="minorEastAsia" w:hAnsi="Book Antiqua" w:cstheme="minorBidi"/>
          <w:sz w:val="22"/>
        </w:rPr>
        <w:t xml:space="preserve">% </w:t>
      </w:r>
      <w:r w:rsidR="00FF6D43">
        <w:rPr>
          <w:rFonts w:ascii="Book Antiqua" w:eastAsiaTheme="minorEastAsia" w:hAnsi="Book Antiqua" w:cstheme="minorBidi"/>
          <w:sz w:val="22"/>
        </w:rPr>
        <w:t xml:space="preserve">en </w:t>
      </w:r>
      <w:r>
        <w:rPr>
          <w:rFonts w:ascii="Book Antiqua" w:eastAsiaTheme="minorEastAsia" w:hAnsi="Book Antiqua" w:cstheme="minorBidi"/>
          <w:sz w:val="22"/>
        </w:rPr>
        <w:t>o</w:t>
      </w:r>
      <w:r w:rsidR="00FF6D43">
        <w:rPr>
          <w:rFonts w:ascii="Book Antiqua" w:eastAsiaTheme="minorEastAsia" w:hAnsi="Book Antiqua" w:cstheme="minorBidi"/>
          <w:sz w:val="22"/>
        </w:rPr>
        <w:t xml:space="preserve">nt effectué </w:t>
      </w:r>
      <w:r>
        <w:rPr>
          <w:rFonts w:ascii="Book Antiqua" w:eastAsiaTheme="minorEastAsia" w:hAnsi="Book Antiqua" w:cstheme="minorBidi"/>
          <w:sz w:val="22"/>
        </w:rPr>
        <w:t>une</w:t>
      </w:r>
      <w:r w:rsidR="00FF6D43">
        <w:rPr>
          <w:rFonts w:ascii="Book Antiqua" w:eastAsiaTheme="minorEastAsia" w:hAnsi="Book Antiqua" w:cstheme="minorBidi"/>
          <w:sz w:val="22"/>
        </w:rPr>
        <w:t xml:space="preserve"> (01)</w:t>
      </w:r>
      <w:r>
        <w:rPr>
          <w:rFonts w:ascii="Book Antiqua" w:eastAsiaTheme="minorEastAsia" w:hAnsi="Book Antiqua" w:cstheme="minorBidi"/>
          <w:sz w:val="22"/>
        </w:rPr>
        <w:t xml:space="preserve"> seule</w:t>
      </w:r>
      <w:r w:rsidR="00FF6D43">
        <w:rPr>
          <w:rFonts w:ascii="Book Antiqua" w:eastAsiaTheme="minorEastAsia" w:hAnsi="Book Antiqua" w:cstheme="minorBidi"/>
          <w:sz w:val="22"/>
        </w:rPr>
        <w:t xml:space="preserve"> fois</w:t>
      </w:r>
      <w:r>
        <w:rPr>
          <w:rFonts w:ascii="Book Antiqua" w:eastAsiaTheme="minorEastAsia" w:hAnsi="Book Antiqua" w:cstheme="minorBidi"/>
          <w:sz w:val="22"/>
        </w:rPr>
        <w:t xml:space="preserve">, </w:t>
      </w:r>
      <w:r w:rsidR="00FF6D43">
        <w:rPr>
          <w:rFonts w:ascii="Book Antiqua" w:eastAsiaTheme="minorEastAsia" w:hAnsi="Book Antiqua" w:cstheme="minorBidi"/>
          <w:sz w:val="22"/>
        </w:rPr>
        <w:t xml:space="preserve">contre des proportions de </w:t>
      </w:r>
      <w:r w:rsidR="00304D45">
        <w:rPr>
          <w:rFonts w:ascii="Book Antiqua" w:eastAsiaTheme="minorEastAsia" w:hAnsi="Book Antiqua" w:cstheme="minorBidi"/>
          <w:sz w:val="22"/>
        </w:rPr>
        <w:t>13,0</w:t>
      </w:r>
      <w:r w:rsidR="00304D45" w:rsidRPr="00A13A27">
        <w:rPr>
          <w:rFonts w:ascii="Book Antiqua" w:eastAsiaTheme="minorEastAsia" w:hAnsi="Book Antiqua" w:cstheme="minorBidi"/>
          <w:sz w:val="22"/>
        </w:rPr>
        <w:t>%</w:t>
      </w:r>
      <w:r w:rsidR="00FF6D43">
        <w:rPr>
          <w:rFonts w:ascii="Book Antiqua" w:eastAsiaTheme="minorEastAsia" w:hAnsi="Book Antiqua" w:cstheme="minorBidi"/>
          <w:sz w:val="22"/>
        </w:rPr>
        <w:t xml:space="preserve">à deux (02) reprises et  </w:t>
      </w:r>
      <w:r w:rsidR="00304D45">
        <w:rPr>
          <w:rFonts w:ascii="Book Antiqua" w:eastAsiaTheme="minorEastAsia" w:hAnsi="Book Antiqua" w:cstheme="minorBidi"/>
          <w:sz w:val="22"/>
        </w:rPr>
        <w:t xml:space="preserve">26,8% </w:t>
      </w:r>
      <w:r w:rsidRPr="00A13A27">
        <w:rPr>
          <w:rFonts w:ascii="Book Antiqua" w:eastAsiaTheme="minorEastAsia" w:hAnsi="Book Antiqua" w:cstheme="minorBidi"/>
          <w:sz w:val="22"/>
        </w:rPr>
        <w:t>plus de deux fois</w:t>
      </w:r>
      <w:r w:rsidR="00FF6D43">
        <w:rPr>
          <w:rFonts w:ascii="Book Antiqua" w:eastAsiaTheme="minorEastAsia" w:hAnsi="Book Antiqua" w:cstheme="minorBidi"/>
          <w:sz w:val="22"/>
        </w:rPr>
        <w:t>.</w:t>
      </w:r>
    </w:p>
    <w:p w:rsidR="0061681B" w:rsidRPr="0061681B" w:rsidRDefault="0061681B" w:rsidP="00FD0BEC">
      <w:pPr>
        <w:pStyle w:val="Lgende"/>
        <w:keepNext/>
        <w:spacing w:line="276" w:lineRule="auto"/>
        <w:jc w:val="center"/>
        <w:rPr>
          <w:color w:val="auto"/>
        </w:rPr>
      </w:pPr>
      <w:bookmarkStart w:id="187" w:name="_Toc523313799"/>
      <w:r w:rsidRPr="0061681B">
        <w:rPr>
          <w:color w:val="auto"/>
        </w:rPr>
        <w:t xml:space="preserve">Figure </w:t>
      </w:r>
      <w:r w:rsidR="000D65F2" w:rsidRPr="0061681B">
        <w:rPr>
          <w:color w:val="auto"/>
        </w:rPr>
        <w:fldChar w:fldCharType="begin"/>
      </w:r>
      <w:r w:rsidRPr="0061681B">
        <w:rPr>
          <w:color w:val="auto"/>
        </w:rPr>
        <w:instrText xml:space="preserve"> SEQ Figure \* ARABIC </w:instrText>
      </w:r>
      <w:r w:rsidR="000D65F2" w:rsidRPr="0061681B">
        <w:rPr>
          <w:color w:val="auto"/>
        </w:rPr>
        <w:fldChar w:fldCharType="separate"/>
      </w:r>
      <w:r w:rsidR="000F780F">
        <w:rPr>
          <w:noProof/>
          <w:color w:val="auto"/>
        </w:rPr>
        <w:t>116</w:t>
      </w:r>
      <w:r w:rsidR="000D65F2" w:rsidRPr="0061681B">
        <w:rPr>
          <w:color w:val="auto"/>
        </w:rPr>
        <w:fldChar w:fldCharType="end"/>
      </w:r>
      <w:r w:rsidRPr="0061681B">
        <w:rPr>
          <w:color w:val="auto"/>
        </w:rPr>
        <w:t xml:space="preserve"> : Fréquence de survenance des réclamations formulées par les unités</w:t>
      </w:r>
      <w:bookmarkEnd w:id="187"/>
    </w:p>
    <w:p w:rsidR="00FF6D43" w:rsidRDefault="00F44BC9" w:rsidP="00FD0BEC">
      <w:pPr>
        <w:spacing w:after="200" w:line="276" w:lineRule="auto"/>
        <w:jc w:val="center"/>
        <w:rPr>
          <w:rFonts w:ascii="Book Antiqua" w:eastAsiaTheme="minorEastAsia" w:hAnsi="Book Antiqua" w:cstheme="minorBidi"/>
          <w:sz w:val="22"/>
        </w:rPr>
      </w:pPr>
      <w:r w:rsidRPr="00AE3DF1">
        <w:rPr>
          <w:noProof/>
        </w:rPr>
        <w:drawing>
          <wp:inline distT="0" distB="0" distL="0" distR="0">
            <wp:extent cx="4572000" cy="2743200"/>
            <wp:effectExtent l="19050" t="0" r="19050" b="0"/>
            <wp:docPr id="267" name="Graphique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A75F0B" w:rsidRDefault="00A75F0B" w:rsidP="00FD0BEC">
      <w:pPr>
        <w:spacing w:after="200" w:line="276" w:lineRule="auto"/>
        <w:rPr>
          <w:rFonts w:ascii="Book Antiqua" w:eastAsiaTheme="minorEastAsia" w:hAnsi="Book Antiqua" w:cstheme="minorBidi"/>
          <w:sz w:val="22"/>
        </w:rPr>
      </w:pPr>
      <w:r>
        <w:rPr>
          <w:rFonts w:ascii="Book Antiqua" w:eastAsiaTheme="minorEastAsia" w:hAnsi="Book Antiqua" w:cstheme="minorBidi"/>
          <w:sz w:val="22"/>
        </w:rPr>
        <w:br w:type="page"/>
      </w:r>
    </w:p>
    <w:p w:rsidR="00F76CF7" w:rsidRPr="00A13A27" w:rsidRDefault="00F76CF7"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lastRenderedPageBreak/>
        <w:t>L’analyse de la typologie des réclamations place au premier plan l</w:t>
      </w:r>
      <w:r w:rsidRPr="00A13A27">
        <w:rPr>
          <w:rFonts w:ascii="Book Antiqua" w:eastAsiaTheme="minorEastAsia" w:hAnsi="Book Antiqua" w:cstheme="minorBidi"/>
          <w:sz w:val="22"/>
        </w:rPr>
        <w:t xml:space="preserve">a facturation d’un service </w:t>
      </w:r>
      <w:r>
        <w:rPr>
          <w:rFonts w:ascii="Book Antiqua" w:eastAsiaTheme="minorEastAsia" w:hAnsi="Book Antiqua" w:cstheme="minorBidi"/>
          <w:sz w:val="22"/>
        </w:rPr>
        <w:t>comme</w:t>
      </w:r>
      <w:r w:rsidRPr="00A13A27">
        <w:rPr>
          <w:rFonts w:ascii="Book Antiqua" w:eastAsiaTheme="minorEastAsia" w:hAnsi="Book Antiqua" w:cstheme="minorBidi"/>
          <w:sz w:val="22"/>
        </w:rPr>
        <w:t xml:space="preserve"> la cause la plus récurrente avec un taux de 28,4%, suivi du déficit d’information, de la contestation</w:t>
      </w:r>
      <w:r>
        <w:rPr>
          <w:rFonts w:ascii="Book Antiqua" w:eastAsiaTheme="minorEastAsia" w:hAnsi="Book Antiqua" w:cstheme="minorBidi"/>
          <w:sz w:val="22"/>
        </w:rPr>
        <w:t xml:space="preserve"> d’écritures sur le </w:t>
      </w:r>
      <w:r w:rsidRPr="00A13A27">
        <w:rPr>
          <w:rFonts w:ascii="Book Antiqua" w:eastAsiaTheme="minorEastAsia" w:hAnsi="Book Antiqua" w:cstheme="minorBidi"/>
          <w:sz w:val="22"/>
        </w:rPr>
        <w:t>relevé</w:t>
      </w:r>
      <w:r w:rsidR="00A75F0B">
        <w:rPr>
          <w:rFonts w:ascii="Book Antiqua" w:eastAsiaTheme="minorEastAsia" w:hAnsi="Book Antiqua" w:cstheme="minorBidi"/>
          <w:sz w:val="22"/>
        </w:rPr>
        <w:t xml:space="preserve"> de compte</w:t>
      </w:r>
      <w:r w:rsidRPr="00A13A27">
        <w:rPr>
          <w:rFonts w:ascii="Book Antiqua" w:eastAsiaTheme="minorEastAsia" w:hAnsi="Book Antiqua" w:cstheme="minorBidi"/>
          <w:sz w:val="22"/>
        </w:rPr>
        <w:t xml:space="preserve"> et de l’absence de diligence qui affichent des taux respectifs de 22,1%, 19, 6% et 18,8%.</w:t>
      </w:r>
    </w:p>
    <w:p w:rsidR="0061681B" w:rsidRPr="007030BD" w:rsidRDefault="0061681B" w:rsidP="00FD0BEC">
      <w:pPr>
        <w:pStyle w:val="Lgende"/>
        <w:keepNext/>
        <w:spacing w:line="276" w:lineRule="auto"/>
        <w:jc w:val="center"/>
        <w:rPr>
          <w:color w:val="auto"/>
        </w:rPr>
      </w:pPr>
      <w:bookmarkStart w:id="188" w:name="_Toc523313800"/>
      <w:r w:rsidRPr="007030BD">
        <w:rPr>
          <w:color w:val="auto"/>
        </w:rPr>
        <w:t xml:space="preserve">Figure </w:t>
      </w:r>
      <w:r w:rsidR="000D65F2" w:rsidRPr="007030BD">
        <w:rPr>
          <w:color w:val="auto"/>
        </w:rPr>
        <w:fldChar w:fldCharType="begin"/>
      </w:r>
      <w:r w:rsidRPr="007030BD">
        <w:rPr>
          <w:color w:val="auto"/>
        </w:rPr>
        <w:instrText xml:space="preserve"> SEQ Figure \* ARABIC </w:instrText>
      </w:r>
      <w:r w:rsidR="000D65F2" w:rsidRPr="007030BD">
        <w:rPr>
          <w:color w:val="auto"/>
        </w:rPr>
        <w:fldChar w:fldCharType="separate"/>
      </w:r>
      <w:r w:rsidR="000F780F">
        <w:rPr>
          <w:noProof/>
          <w:color w:val="auto"/>
        </w:rPr>
        <w:t>117</w:t>
      </w:r>
      <w:r w:rsidR="000D65F2" w:rsidRPr="007030BD">
        <w:rPr>
          <w:color w:val="auto"/>
        </w:rPr>
        <w:fldChar w:fldCharType="end"/>
      </w:r>
      <w:r w:rsidRPr="007030BD">
        <w:rPr>
          <w:color w:val="auto"/>
        </w:rPr>
        <w:t xml:space="preserve"> : Typologie des réclamations formulées par les unités enquêtées</w:t>
      </w:r>
      <w:bookmarkEnd w:id="188"/>
    </w:p>
    <w:p w:rsidR="00225EFC" w:rsidRPr="00A13A27" w:rsidRDefault="00F44BC9" w:rsidP="00FD0BEC">
      <w:pPr>
        <w:spacing w:after="200" w:line="276" w:lineRule="auto"/>
        <w:jc w:val="center"/>
        <w:rPr>
          <w:rFonts w:ascii="Book Antiqua" w:eastAsiaTheme="minorEastAsia" w:hAnsi="Book Antiqua" w:cstheme="minorBidi"/>
          <w:sz w:val="22"/>
        </w:rPr>
      </w:pPr>
      <w:r w:rsidRPr="00AE3DF1">
        <w:rPr>
          <w:noProof/>
        </w:rPr>
        <w:drawing>
          <wp:inline distT="0" distB="0" distL="0" distR="0">
            <wp:extent cx="4572000" cy="2743200"/>
            <wp:effectExtent l="19050" t="0" r="19050" b="0"/>
            <wp:docPr id="268" name="Graphique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C71BD5" w:rsidRPr="00AE3DF1" w:rsidRDefault="00047DDD" w:rsidP="00FD0BEC">
      <w:pPr>
        <w:spacing w:after="200" w:line="276" w:lineRule="auto"/>
        <w:contextualSpacing/>
        <w:jc w:val="both"/>
        <w:rPr>
          <w:rFonts w:ascii="Book Antiqua" w:eastAsiaTheme="minorEastAsia" w:hAnsi="Book Antiqua" w:cstheme="minorBidi"/>
          <w:sz w:val="22"/>
        </w:rPr>
      </w:pPr>
      <w:r>
        <w:rPr>
          <w:rFonts w:ascii="Book Antiqua" w:eastAsiaTheme="minorEastAsia" w:hAnsi="Book Antiqua" w:cstheme="minorBidi"/>
          <w:sz w:val="22"/>
        </w:rPr>
        <w:t>Le croisement des statistiques ayant trait à la survenance des réclamations formulées par les unités avec le secteur d’activité met en exergue divers niveaux de récriminations. En effet, les secteurs de l’</w:t>
      </w:r>
      <w:r w:rsidR="00CD5748">
        <w:rPr>
          <w:rFonts w:ascii="Book Antiqua" w:eastAsiaTheme="minorEastAsia" w:hAnsi="Book Antiqua" w:cstheme="minorBidi"/>
          <w:sz w:val="22"/>
        </w:rPr>
        <w:t>Industrie</w:t>
      </w:r>
      <w:r>
        <w:rPr>
          <w:rFonts w:ascii="Book Antiqua" w:eastAsiaTheme="minorEastAsia" w:hAnsi="Book Antiqua" w:cstheme="minorBidi"/>
          <w:sz w:val="22"/>
        </w:rPr>
        <w:t xml:space="preserve">, des Services et des BTP viennent en </w:t>
      </w:r>
      <w:r w:rsidR="000C63E8">
        <w:rPr>
          <w:rFonts w:ascii="Book Antiqua" w:eastAsiaTheme="minorEastAsia" w:hAnsi="Book Antiqua" w:cstheme="minorBidi"/>
          <w:sz w:val="22"/>
        </w:rPr>
        <w:t>pole</w:t>
      </w:r>
      <w:r>
        <w:rPr>
          <w:rFonts w:ascii="Book Antiqua" w:eastAsiaTheme="minorEastAsia" w:hAnsi="Book Antiqua" w:cstheme="minorBidi"/>
          <w:sz w:val="22"/>
        </w:rPr>
        <w:t xml:space="preserve"> position avec des taux respectifs de 39,5%, 33,6% et 30,5%. Les plus faibles taux sont observés dans l’Agriculture (10,9%) et l’Artisanat (16,6%). </w:t>
      </w:r>
    </w:p>
    <w:p w:rsidR="0061681B" w:rsidRPr="0061681B" w:rsidRDefault="0061681B" w:rsidP="00FD0BEC">
      <w:pPr>
        <w:pStyle w:val="Lgende"/>
        <w:keepNext/>
        <w:spacing w:line="276" w:lineRule="auto"/>
        <w:jc w:val="center"/>
        <w:rPr>
          <w:color w:val="auto"/>
        </w:rPr>
      </w:pPr>
      <w:bookmarkStart w:id="189" w:name="_Toc523313801"/>
      <w:r w:rsidRPr="0061681B">
        <w:rPr>
          <w:color w:val="auto"/>
        </w:rPr>
        <w:t xml:space="preserve">Figure </w:t>
      </w:r>
      <w:r w:rsidR="000D65F2" w:rsidRPr="0061681B">
        <w:rPr>
          <w:color w:val="auto"/>
        </w:rPr>
        <w:fldChar w:fldCharType="begin"/>
      </w:r>
      <w:r w:rsidRPr="0061681B">
        <w:rPr>
          <w:color w:val="auto"/>
        </w:rPr>
        <w:instrText xml:space="preserve"> SEQ Figure \* ARABIC </w:instrText>
      </w:r>
      <w:r w:rsidR="000D65F2" w:rsidRPr="0061681B">
        <w:rPr>
          <w:color w:val="auto"/>
        </w:rPr>
        <w:fldChar w:fldCharType="separate"/>
      </w:r>
      <w:r w:rsidR="000F780F">
        <w:rPr>
          <w:noProof/>
          <w:color w:val="auto"/>
        </w:rPr>
        <w:t>118</w:t>
      </w:r>
      <w:r w:rsidR="000D65F2" w:rsidRPr="0061681B">
        <w:rPr>
          <w:color w:val="auto"/>
        </w:rPr>
        <w:fldChar w:fldCharType="end"/>
      </w:r>
      <w:r w:rsidRPr="0061681B">
        <w:rPr>
          <w:color w:val="auto"/>
        </w:rPr>
        <w:t xml:space="preserve"> : Fréquence de survenance des réclamations formulées par les unités selon les secteurs d'activité</w:t>
      </w:r>
      <w:bookmarkEnd w:id="189"/>
    </w:p>
    <w:p w:rsidR="00101752" w:rsidRDefault="00F44BC9" w:rsidP="00FD0BEC">
      <w:pPr>
        <w:spacing w:after="200" w:line="276" w:lineRule="auto"/>
        <w:jc w:val="center"/>
        <w:rPr>
          <w:rFonts w:ascii="Book Antiqua" w:eastAsiaTheme="minorEastAsia" w:hAnsi="Book Antiqua" w:cstheme="minorBidi"/>
          <w:b/>
          <w:sz w:val="22"/>
        </w:rPr>
      </w:pPr>
      <w:r w:rsidRPr="00AE3DF1">
        <w:rPr>
          <w:noProof/>
        </w:rPr>
        <w:drawing>
          <wp:inline distT="0" distB="0" distL="0" distR="0">
            <wp:extent cx="4572000" cy="2743200"/>
            <wp:effectExtent l="19050" t="0" r="19050" b="0"/>
            <wp:docPr id="276" name="Graphique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560EE8" w:rsidRPr="00AE3DF1" w:rsidRDefault="00EC7C0C" w:rsidP="00FD0BEC">
      <w:pPr>
        <w:spacing w:after="200" w:line="276" w:lineRule="auto"/>
        <w:rPr>
          <w:rFonts w:ascii="Book Antiqua" w:eastAsiaTheme="minorEastAsia" w:hAnsi="Book Antiqua" w:cstheme="minorBidi"/>
          <w:sz w:val="22"/>
        </w:rPr>
      </w:pPr>
      <w:r>
        <w:rPr>
          <w:rFonts w:ascii="Book Antiqua" w:eastAsiaTheme="minorEastAsia" w:hAnsi="Book Antiqua" w:cstheme="minorBidi"/>
          <w:sz w:val="22"/>
        </w:rPr>
        <w:t>Selon la nature de l’activité, la récurrence des complaintes formulées par les unités issues du secteur formel est plus marquée avec un taux de 33,3% contre une proportion de 20,5% pour l’informel.</w:t>
      </w:r>
    </w:p>
    <w:p w:rsidR="0061681B" w:rsidRPr="0061681B" w:rsidRDefault="0061681B" w:rsidP="00FD0BEC">
      <w:pPr>
        <w:pStyle w:val="Lgende"/>
        <w:keepNext/>
        <w:spacing w:line="276" w:lineRule="auto"/>
        <w:jc w:val="center"/>
        <w:rPr>
          <w:color w:val="auto"/>
        </w:rPr>
      </w:pPr>
      <w:bookmarkStart w:id="190" w:name="_Toc523313802"/>
      <w:r w:rsidRPr="0061681B">
        <w:rPr>
          <w:color w:val="auto"/>
        </w:rPr>
        <w:lastRenderedPageBreak/>
        <w:t xml:space="preserve">Figure </w:t>
      </w:r>
      <w:r w:rsidR="000D65F2" w:rsidRPr="0061681B">
        <w:rPr>
          <w:color w:val="auto"/>
        </w:rPr>
        <w:fldChar w:fldCharType="begin"/>
      </w:r>
      <w:r w:rsidRPr="0061681B">
        <w:rPr>
          <w:color w:val="auto"/>
        </w:rPr>
        <w:instrText xml:space="preserve"> SEQ Figure \* ARABIC </w:instrText>
      </w:r>
      <w:r w:rsidR="000D65F2" w:rsidRPr="0061681B">
        <w:rPr>
          <w:color w:val="auto"/>
        </w:rPr>
        <w:fldChar w:fldCharType="separate"/>
      </w:r>
      <w:r w:rsidR="000F780F">
        <w:rPr>
          <w:noProof/>
          <w:color w:val="auto"/>
        </w:rPr>
        <w:t>119</w:t>
      </w:r>
      <w:r w:rsidR="000D65F2" w:rsidRPr="0061681B">
        <w:rPr>
          <w:color w:val="auto"/>
        </w:rPr>
        <w:fldChar w:fldCharType="end"/>
      </w:r>
      <w:r w:rsidRPr="0061681B">
        <w:rPr>
          <w:color w:val="auto"/>
        </w:rPr>
        <w:t xml:space="preserve"> : Fréquence de survenance des réclamations formulées par les unités selon la nature de l'activité</w:t>
      </w:r>
      <w:bookmarkEnd w:id="190"/>
    </w:p>
    <w:p w:rsidR="00101752" w:rsidRDefault="00F44BC9" w:rsidP="00FD0BEC">
      <w:pPr>
        <w:spacing w:after="200" w:line="276" w:lineRule="auto"/>
        <w:jc w:val="center"/>
        <w:rPr>
          <w:rFonts w:ascii="Book Antiqua" w:eastAsiaTheme="minorEastAsia" w:hAnsi="Book Antiqua" w:cstheme="minorBidi"/>
          <w:b/>
          <w:sz w:val="22"/>
        </w:rPr>
      </w:pPr>
      <w:r w:rsidRPr="00AE3DF1">
        <w:rPr>
          <w:noProof/>
        </w:rPr>
        <w:drawing>
          <wp:inline distT="0" distB="0" distL="0" distR="0">
            <wp:extent cx="4572000" cy="2743200"/>
            <wp:effectExtent l="19050" t="0" r="19050" b="0"/>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560EE8" w:rsidRPr="00751AB7" w:rsidRDefault="00EC7C0C" w:rsidP="00FD0BEC">
      <w:pPr>
        <w:spacing w:after="200" w:line="276" w:lineRule="auto"/>
        <w:contextualSpacing/>
        <w:jc w:val="both"/>
        <w:rPr>
          <w:rFonts w:ascii="Book Antiqua" w:eastAsiaTheme="minorEastAsia" w:hAnsi="Book Antiqua" w:cstheme="minorBidi"/>
          <w:sz w:val="22"/>
        </w:rPr>
      </w:pPr>
      <w:r>
        <w:rPr>
          <w:rFonts w:ascii="Book Antiqua" w:eastAsiaTheme="minorEastAsia" w:hAnsi="Book Antiqua" w:cstheme="minorBidi"/>
          <w:sz w:val="22"/>
        </w:rPr>
        <w:t xml:space="preserve">Sur un autre registre, une corrélation semble se dessiner entre la taille des unités enquêtées et la fréquence des réclamations. En effet, plus le chiffre d’affaire est élevé, plus les unités sont enclines à </w:t>
      </w:r>
      <w:r w:rsidR="005E2491">
        <w:rPr>
          <w:rFonts w:ascii="Book Antiqua" w:eastAsiaTheme="minorEastAsia" w:hAnsi="Book Antiqua" w:cstheme="minorBidi"/>
          <w:sz w:val="22"/>
        </w:rPr>
        <w:t>formuler des réclamations auprès de leur banque principale.</w:t>
      </w:r>
      <w:r w:rsidR="004039E2">
        <w:rPr>
          <w:rFonts w:ascii="Book Antiqua" w:eastAsiaTheme="minorEastAsia" w:hAnsi="Book Antiqua" w:cstheme="minorBidi"/>
          <w:sz w:val="22"/>
        </w:rPr>
        <w:t xml:space="preserve"> </w:t>
      </w:r>
      <w:r w:rsidR="005E2491">
        <w:rPr>
          <w:rFonts w:ascii="Book Antiqua" w:eastAsiaTheme="minorEastAsia" w:hAnsi="Book Antiqua" w:cstheme="minorBidi"/>
          <w:sz w:val="22"/>
        </w:rPr>
        <w:t>Les unités se situant dans la tranche inférieure à 10 millions</w:t>
      </w:r>
      <w:r w:rsidR="00A75F0B">
        <w:rPr>
          <w:rFonts w:ascii="Book Antiqua" w:eastAsiaTheme="minorEastAsia" w:hAnsi="Book Antiqua" w:cstheme="minorBidi"/>
          <w:sz w:val="22"/>
        </w:rPr>
        <w:t xml:space="preserve"> FCFA</w:t>
      </w:r>
      <w:r w:rsidR="005E2491">
        <w:rPr>
          <w:rFonts w:ascii="Book Antiqua" w:eastAsiaTheme="minorEastAsia" w:hAnsi="Book Antiqua" w:cstheme="minorBidi"/>
          <w:sz w:val="22"/>
        </w:rPr>
        <w:t xml:space="preserve"> ressortent avec une proportion de 23,0% contre 26,7% pour celles de la tranche 10-50 millions, 36,5% pour les 50-100 millions, 45,3% pour les 100-500 millions, 50,0% les 500 millions-1 milliard et 73,6% pour les unité</w:t>
      </w:r>
      <w:r w:rsidR="00ED47FE">
        <w:rPr>
          <w:rFonts w:ascii="Book Antiqua" w:eastAsiaTheme="minorEastAsia" w:hAnsi="Book Antiqua" w:cstheme="minorBidi"/>
          <w:sz w:val="22"/>
        </w:rPr>
        <w:t>s</w:t>
      </w:r>
      <w:r w:rsidR="005E2491">
        <w:rPr>
          <w:rFonts w:ascii="Book Antiqua" w:eastAsiaTheme="minorEastAsia" w:hAnsi="Book Antiqua" w:cstheme="minorBidi"/>
          <w:sz w:val="22"/>
        </w:rPr>
        <w:t xml:space="preserve"> ayant un chiffre d’affaire supérieur à 1 milliard.</w:t>
      </w:r>
    </w:p>
    <w:p w:rsidR="0061681B" w:rsidRPr="007030BD" w:rsidRDefault="0061681B" w:rsidP="00FD0BEC">
      <w:pPr>
        <w:pStyle w:val="Lgende"/>
        <w:keepNext/>
        <w:spacing w:line="276" w:lineRule="auto"/>
        <w:jc w:val="center"/>
        <w:rPr>
          <w:color w:val="auto"/>
        </w:rPr>
      </w:pPr>
      <w:bookmarkStart w:id="191" w:name="_Toc523313803"/>
      <w:r w:rsidRPr="007030BD">
        <w:rPr>
          <w:color w:val="auto"/>
        </w:rPr>
        <w:t xml:space="preserve">Figure </w:t>
      </w:r>
      <w:r w:rsidR="000D65F2" w:rsidRPr="007030BD">
        <w:rPr>
          <w:color w:val="auto"/>
        </w:rPr>
        <w:fldChar w:fldCharType="begin"/>
      </w:r>
      <w:r w:rsidRPr="007030BD">
        <w:rPr>
          <w:color w:val="auto"/>
        </w:rPr>
        <w:instrText xml:space="preserve"> SEQ Figure \* ARABIC </w:instrText>
      </w:r>
      <w:r w:rsidR="000D65F2" w:rsidRPr="007030BD">
        <w:rPr>
          <w:color w:val="auto"/>
        </w:rPr>
        <w:fldChar w:fldCharType="separate"/>
      </w:r>
      <w:r w:rsidR="000F780F">
        <w:rPr>
          <w:noProof/>
          <w:color w:val="auto"/>
        </w:rPr>
        <w:t>120</w:t>
      </w:r>
      <w:r w:rsidR="000D65F2" w:rsidRPr="007030BD">
        <w:rPr>
          <w:color w:val="auto"/>
        </w:rPr>
        <w:fldChar w:fldCharType="end"/>
      </w:r>
      <w:r w:rsidRPr="007030BD">
        <w:rPr>
          <w:color w:val="auto"/>
        </w:rPr>
        <w:t xml:space="preserve"> : Fréquence de survenance des réclamations formulées par les unités selon la taille des unités</w:t>
      </w:r>
      <w:bookmarkEnd w:id="191"/>
    </w:p>
    <w:p w:rsidR="007C0DAE" w:rsidRPr="00A13A27" w:rsidRDefault="00F44BC9" w:rsidP="00FD0BEC">
      <w:pPr>
        <w:spacing w:after="200" w:line="276" w:lineRule="auto"/>
        <w:jc w:val="center"/>
        <w:rPr>
          <w:rFonts w:ascii="Book Antiqua" w:eastAsiaTheme="minorEastAsia" w:hAnsi="Book Antiqua" w:cstheme="minorBidi"/>
          <w:b/>
          <w:sz w:val="22"/>
        </w:rPr>
      </w:pPr>
      <w:r w:rsidRPr="00AE3DF1">
        <w:rPr>
          <w:noProof/>
        </w:rPr>
        <w:drawing>
          <wp:inline distT="0" distB="0" distL="0" distR="0">
            <wp:extent cx="5156200" cy="2774950"/>
            <wp:effectExtent l="19050" t="0" r="25400" b="6350"/>
            <wp:docPr id="275" name="Graphique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CA7C2C" w:rsidRDefault="00CA7C2C">
      <w:pPr>
        <w:spacing w:after="200" w:line="276" w:lineRule="auto"/>
        <w:rPr>
          <w:rFonts w:ascii="Book Antiqua" w:eastAsiaTheme="majorEastAsia" w:hAnsi="Book Antiqua" w:cstheme="majorBidi"/>
          <w:b/>
          <w:bCs/>
          <w:sz w:val="22"/>
          <w:szCs w:val="22"/>
        </w:rPr>
      </w:pPr>
      <w:r>
        <w:rPr>
          <w:rFonts w:ascii="Book Antiqua" w:eastAsiaTheme="majorEastAsia" w:hAnsi="Book Antiqua" w:cstheme="majorBidi"/>
          <w:b/>
          <w:bCs/>
          <w:sz w:val="22"/>
          <w:szCs w:val="22"/>
        </w:rPr>
        <w:br w:type="page"/>
      </w:r>
    </w:p>
    <w:p w:rsidR="00533316" w:rsidRPr="00CA7C2C" w:rsidRDefault="00533316" w:rsidP="0066697B">
      <w:pPr>
        <w:spacing w:before="240" w:after="240" w:line="276" w:lineRule="auto"/>
        <w:ind w:firstLine="567"/>
        <w:rPr>
          <w:rFonts w:ascii="Book Antiqua" w:eastAsiaTheme="majorEastAsia" w:hAnsi="Book Antiqua" w:cstheme="majorBidi"/>
          <w:b/>
          <w:bCs/>
          <w:sz w:val="22"/>
          <w:szCs w:val="22"/>
        </w:rPr>
      </w:pPr>
      <w:r w:rsidRPr="00CA7C2C">
        <w:rPr>
          <w:rFonts w:ascii="Book Antiqua" w:eastAsiaTheme="majorEastAsia" w:hAnsi="Book Antiqua" w:cstheme="majorBidi"/>
          <w:b/>
          <w:bCs/>
          <w:sz w:val="22"/>
          <w:szCs w:val="22"/>
        </w:rPr>
        <w:lastRenderedPageBreak/>
        <w:t>V.3.2. Qualité du suivi des réclamations</w:t>
      </w:r>
    </w:p>
    <w:p w:rsidR="00533316" w:rsidRDefault="00ED47FE" w:rsidP="00FD0BEC">
      <w:pPr>
        <w:spacing w:after="200" w:line="276" w:lineRule="auto"/>
        <w:contextualSpacing/>
        <w:jc w:val="both"/>
        <w:rPr>
          <w:rFonts w:ascii="Book Antiqua" w:eastAsiaTheme="minorEastAsia" w:hAnsi="Book Antiqua" w:cstheme="minorBidi"/>
          <w:sz w:val="22"/>
        </w:rPr>
      </w:pPr>
      <w:r>
        <w:rPr>
          <w:rFonts w:ascii="Book Antiqua" w:eastAsiaTheme="minorEastAsia" w:hAnsi="Book Antiqua" w:cstheme="minorBidi"/>
          <w:sz w:val="22"/>
        </w:rPr>
        <w:t>Parmi les unités ayant formulé des réclamations (</w:t>
      </w:r>
      <w:r w:rsidR="009972DD">
        <w:rPr>
          <w:rFonts w:ascii="Book Antiqua" w:eastAsiaTheme="minorEastAsia" w:hAnsi="Book Antiqua" w:cstheme="minorBidi"/>
          <w:sz w:val="22"/>
        </w:rPr>
        <w:t>29,6%)</w:t>
      </w:r>
      <w:r>
        <w:rPr>
          <w:rFonts w:ascii="Book Antiqua" w:eastAsiaTheme="minorEastAsia" w:hAnsi="Book Antiqua" w:cstheme="minorBidi"/>
          <w:sz w:val="22"/>
        </w:rPr>
        <w:t xml:space="preserve">, </w:t>
      </w:r>
      <w:r w:rsidR="009972DD">
        <w:rPr>
          <w:rFonts w:ascii="Book Antiqua" w:eastAsiaTheme="minorEastAsia" w:hAnsi="Book Antiqua" w:cstheme="minorBidi"/>
          <w:sz w:val="22"/>
        </w:rPr>
        <w:t xml:space="preserve">il ressort </w:t>
      </w:r>
      <w:r w:rsidR="00533316" w:rsidRPr="00A13A27">
        <w:rPr>
          <w:rFonts w:ascii="Book Antiqua" w:eastAsiaTheme="minorEastAsia" w:hAnsi="Book Antiqua" w:cstheme="minorBidi"/>
          <w:sz w:val="22"/>
        </w:rPr>
        <w:t xml:space="preserve">un écart </w:t>
      </w:r>
      <w:r w:rsidR="009972DD">
        <w:rPr>
          <w:rFonts w:ascii="Book Antiqua" w:eastAsiaTheme="minorEastAsia" w:hAnsi="Book Antiqua" w:cstheme="minorBidi"/>
          <w:sz w:val="22"/>
        </w:rPr>
        <w:t xml:space="preserve">d’appréciation </w:t>
      </w:r>
      <w:r w:rsidR="00533316" w:rsidRPr="00A13A27">
        <w:rPr>
          <w:rFonts w:ascii="Book Antiqua" w:eastAsiaTheme="minorEastAsia" w:hAnsi="Book Antiqua" w:cstheme="minorBidi"/>
          <w:sz w:val="22"/>
        </w:rPr>
        <w:t xml:space="preserve">marginal en faveur de celles qui ont  exprimé un jugement favorable </w:t>
      </w:r>
      <w:r w:rsidR="009972DD">
        <w:rPr>
          <w:rFonts w:ascii="Book Antiqua" w:eastAsiaTheme="minorEastAsia" w:hAnsi="Book Antiqua" w:cstheme="minorBidi"/>
          <w:sz w:val="22"/>
        </w:rPr>
        <w:t>sur la qualité du suivi des réclamations vis-à-vis de leur</w:t>
      </w:r>
      <w:r w:rsidR="00533316" w:rsidRPr="00A13A27">
        <w:rPr>
          <w:rFonts w:ascii="Book Antiqua" w:eastAsiaTheme="minorEastAsia" w:hAnsi="Book Antiqua" w:cstheme="minorBidi"/>
          <w:sz w:val="22"/>
        </w:rPr>
        <w:t xml:space="preserve"> banque</w:t>
      </w:r>
      <w:r w:rsidR="009972DD">
        <w:rPr>
          <w:rFonts w:ascii="Book Antiqua" w:eastAsiaTheme="minorEastAsia" w:hAnsi="Book Antiqua" w:cstheme="minorBidi"/>
          <w:sz w:val="22"/>
        </w:rPr>
        <w:t xml:space="preserve"> principale</w:t>
      </w:r>
      <w:r w:rsidR="00533316" w:rsidRPr="00A13A27">
        <w:rPr>
          <w:rFonts w:ascii="Book Antiqua" w:eastAsiaTheme="minorEastAsia" w:hAnsi="Book Antiqua" w:cstheme="minorBidi"/>
          <w:sz w:val="22"/>
        </w:rPr>
        <w:t xml:space="preserve">. En effet, </w:t>
      </w:r>
      <w:r w:rsidR="002C4F8F">
        <w:rPr>
          <w:rFonts w:ascii="Book Antiqua" w:eastAsiaTheme="minorEastAsia" w:hAnsi="Book Antiqua" w:cstheme="minorBidi"/>
          <w:sz w:val="22"/>
        </w:rPr>
        <w:t>une proportion de</w:t>
      </w:r>
      <w:r w:rsidR="00533316" w:rsidRPr="00A13A27">
        <w:rPr>
          <w:rFonts w:ascii="Book Antiqua" w:eastAsiaTheme="minorEastAsia" w:hAnsi="Book Antiqua" w:cstheme="minorBidi"/>
          <w:sz w:val="22"/>
        </w:rPr>
        <w:t xml:space="preserve"> 51,2% des personnes morales enquêtées </w:t>
      </w:r>
      <w:r w:rsidR="002C4F8F">
        <w:rPr>
          <w:rFonts w:ascii="Book Antiqua" w:eastAsiaTheme="minorEastAsia" w:hAnsi="Book Antiqua" w:cstheme="minorBidi"/>
          <w:sz w:val="22"/>
        </w:rPr>
        <w:t>jugent</w:t>
      </w:r>
      <w:r w:rsidR="00533316" w:rsidRPr="00A13A27">
        <w:rPr>
          <w:rFonts w:ascii="Book Antiqua" w:eastAsiaTheme="minorEastAsia" w:hAnsi="Book Antiqua" w:cstheme="minorBidi"/>
          <w:sz w:val="22"/>
        </w:rPr>
        <w:t>« bonne » voire « très bonne » les diligences apportées au traitement de leur requête contre 48, 9% qui estiment le contraire.</w:t>
      </w:r>
    </w:p>
    <w:p w:rsidR="00941B3F" w:rsidRPr="00941B3F" w:rsidRDefault="00941B3F" w:rsidP="00FD0BEC">
      <w:pPr>
        <w:pStyle w:val="Lgende"/>
        <w:keepNext/>
        <w:spacing w:line="276" w:lineRule="auto"/>
        <w:jc w:val="center"/>
        <w:rPr>
          <w:color w:val="auto"/>
        </w:rPr>
      </w:pPr>
      <w:bookmarkStart w:id="192" w:name="_Toc523313804"/>
      <w:r w:rsidRPr="00941B3F">
        <w:rPr>
          <w:color w:val="auto"/>
        </w:rPr>
        <w:t xml:space="preserve">Figure </w:t>
      </w:r>
      <w:r w:rsidR="000D65F2" w:rsidRPr="00941B3F">
        <w:rPr>
          <w:color w:val="auto"/>
        </w:rPr>
        <w:fldChar w:fldCharType="begin"/>
      </w:r>
      <w:r w:rsidRPr="00941B3F">
        <w:rPr>
          <w:color w:val="auto"/>
        </w:rPr>
        <w:instrText xml:space="preserve"> SEQ Figure \* ARABIC </w:instrText>
      </w:r>
      <w:r w:rsidR="000D65F2" w:rsidRPr="00941B3F">
        <w:rPr>
          <w:color w:val="auto"/>
        </w:rPr>
        <w:fldChar w:fldCharType="separate"/>
      </w:r>
      <w:r w:rsidR="000F780F">
        <w:rPr>
          <w:noProof/>
          <w:color w:val="auto"/>
        </w:rPr>
        <w:t>121</w:t>
      </w:r>
      <w:r w:rsidR="000D65F2" w:rsidRPr="00941B3F">
        <w:rPr>
          <w:color w:val="auto"/>
        </w:rPr>
        <w:fldChar w:fldCharType="end"/>
      </w:r>
      <w:r w:rsidRPr="00941B3F">
        <w:rPr>
          <w:color w:val="auto"/>
        </w:rPr>
        <w:t xml:space="preserve"> : Appréciation des unités sur la qualité du suivi de leurs réclamations</w:t>
      </w:r>
      <w:bookmarkEnd w:id="192"/>
    </w:p>
    <w:p w:rsidR="0061681B" w:rsidRDefault="00F44BC9" w:rsidP="00FD0BEC">
      <w:pPr>
        <w:spacing w:after="200" w:line="276" w:lineRule="auto"/>
        <w:jc w:val="center"/>
        <w:rPr>
          <w:rFonts w:ascii="Book Antiqua" w:eastAsiaTheme="minorEastAsia" w:hAnsi="Book Antiqua" w:cstheme="minorBidi"/>
          <w:sz w:val="22"/>
        </w:rPr>
      </w:pPr>
      <w:r w:rsidRPr="00AE3DF1">
        <w:rPr>
          <w:noProof/>
        </w:rPr>
        <w:drawing>
          <wp:inline distT="0" distB="0" distL="0" distR="0">
            <wp:extent cx="4015105" cy="2333625"/>
            <wp:effectExtent l="19050" t="0" r="23495" b="0"/>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560EE8" w:rsidRDefault="000F08D5" w:rsidP="00FD0BEC">
      <w:pPr>
        <w:spacing w:after="200" w:line="276" w:lineRule="auto"/>
        <w:contextualSpacing/>
        <w:rPr>
          <w:rFonts w:ascii="Book Antiqua" w:eastAsiaTheme="minorEastAsia" w:hAnsi="Book Antiqua" w:cstheme="minorBidi"/>
          <w:sz w:val="22"/>
        </w:rPr>
      </w:pPr>
      <w:r>
        <w:rPr>
          <w:rFonts w:ascii="Book Antiqua" w:eastAsiaTheme="minorEastAsia" w:hAnsi="Book Antiqua" w:cstheme="minorBidi"/>
          <w:sz w:val="22"/>
        </w:rPr>
        <w:t xml:space="preserve">L’analyse </w:t>
      </w:r>
      <w:r w:rsidR="005C20BB">
        <w:rPr>
          <w:rFonts w:ascii="Book Antiqua" w:eastAsiaTheme="minorEastAsia" w:hAnsi="Book Antiqua" w:cstheme="minorBidi"/>
          <w:sz w:val="22"/>
        </w:rPr>
        <w:t xml:space="preserve">selon le secteur d’activité révèle une très forte insatisfaction sur la qualité du suivi des réclamations pour l’Agriculture avec un taux de 81,8%. Elle est suivie des secteurs du BTP et de l’Industrie qui enregistrent des proportions respectives de 60,0% et 53,3%. </w:t>
      </w:r>
    </w:p>
    <w:p w:rsidR="00941B3F" w:rsidRPr="00941B3F" w:rsidRDefault="00941B3F" w:rsidP="00FD0BEC">
      <w:pPr>
        <w:pStyle w:val="Lgende"/>
        <w:keepNext/>
        <w:spacing w:line="276" w:lineRule="auto"/>
        <w:jc w:val="center"/>
        <w:rPr>
          <w:color w:val="auto"/>
        </w:rPr>
      </w:pPr>
      <w:bookmarkStart w:id="193" w:name="_Toc523313805"/>
      <w:r w:rsidRPr="00941B3F">
        <w:rPr>
          <w:color w:val="auto"/>
        </w:rPr>
        <w:t xml:space="preserve">Figure </w:t>
      </w:r>
      <w:r w:rsidR="000D65F2" w:rsidRPr="00941B3F">
        <w:rPr>
          <w:color w:val="auto"/>
        </w:rPr>
        <w:fldChar w:fldCharType="begin"/>
      </w:r>
      <w:r w:rsidRPr="00941B3F">
        <w:rPr>
          <w:color w:val="auto"/>
        </w:rPr>
        <w:instrText xml:space="preserve"> SEQ Figure \* ARABIC </w:instrText>
      </w:r>
      <w:r w:rsidR="000D65F2" w:rsidRPr="00941B3F">
        <w:rPr>
          <w:color w:val="auto"/>
        </w:rPr>
        <w:fldChar w:fldCharType="separate"/>
      </w:r>
      <w:r w:rsidR="000F780F">
        <w:rPr>
          <w:noProof/>
          <w:color w:val="auto"/>
        </w:rPr>
        <w:t>122</w:t>
      </w:r>
      <w:r w:rsidR="000D65F2" w:rsidRPr="00941B3F">
        <w:rPr>
          <w:color w:val="auto"/>
        </w:rPr>
        <w:fldChar w:fldCharType="end"/>
      </w:r>
      <w:r w:rsidRPr="00941B3F">
        <w:rPr>
          <w:color w:val="auto"/>
        </w:rPr>
        <w:t xml:space="preserve"> : Appréciation des unités sur la qualité du suivi de leurs réclamations selon le secteur d'activité</w:t>
      </w:r>
      <w:bookmarkEnd w:id="193"/>
    </w:p>
    <w:p w:rsidR="005C20BB" w:rsidRDefault="00F44BC9" w:rsidP="00FD0BEC">
      <w:pPr>
        <w:spacing w:after="200" w:line="276" w:lineRule="auto"/>
        <w:jc w:val="center"/>
        <w:rPr>
          <w:rFonts w:ascii="Book Antiqua" w:eastAsiaTheme="minorEastAsia" w:hAnsi="Book Antiqua" w:cstheme="minorBidi"/>
          <w:sz w:val="22"/>
        </w:rPr>
      </w:pPr>
      <w:r w:rsidRPr="00AE3DF1">
        <w:rPr>
          <w:noProof/>
        </w:rPr>
        <w:drawing>
          <wp:inline distT="0" distB="0" distL="0" distR="0">
            <wp:extent cx="4572000" cy="2390775"/>
            <wp:effectExtent l="19050" t="0" r="19050" b="0"/>
            <wp:docPr id="63" name="Graphique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2C4F8F" w:rsidRDefault="005C20BB" w:rsidP="00FD0BEC">
      <w:pPr>
        <w:spacing w:after="200" w:line="276" w:lineRule="auto"/>
        <w:contextualSpacing/>
        <w:rPr>
          <w:rFonts w:ascii="Book Antiqua" w:eastAsiaTheme="minorEastAsia" w:hAnsi="Book Antiqua" w:cstheme="minorBidi"/>
          <w:sz w:val="22"/>
        </w:rPr>
      </w:pPr>
      <w:r>
        <w:rPr>
          <w:rFonts w:ascii="Book Antiqua" w:eastAsiaTheme="minorEastAsia" w:hAnsi="Book Antiqua" w:cstheme="minorBidi"/>
          <w:sz w:val="22"/>
        </w:rPr>
        <w:t>S’agissant de la nature de l’activité, la qualité du suivi des réclamations est plus déplorée par les unités du secteur informel (58,8%) que celles issues du secteur moderne (46,3%).</w:t>
      </w:r>
    </w:p>
    <w:p w:rsidR="00941B3F" w:rsidRPr="00941B3F" w:rsidRDefault="00941B3F" w:rsidP="00FD0BEC">
      <w:pPr>
        <w:pStyle w:val="Lgende"/>
        <w:keepNext/>
        <w:spacing w:line="276" w:lineRule="auto"/>
        <w:jc w:val="center"/>
        <w:rPr>
          <w:color w:val="auto"/>
        </w:rPr>
      </w:pPr>
      <w:bookmarkStart w:id="194" w:name="_Toc523313806"/>
      <w:r w:rsidRPr="00941B3F">
        <w:rPr>
          <w:color w:val="auto"/>
        </w:rPr>
        <w:lastRenderedPageBreak/>
        <w:t xml:space="preserve">Figure </w:t>
      </w:r>
      <w:r w:rsidR="000D65F2" w:rsidRPr="00941B3F">
        <w:rPr>
          <w:color w:val="auto"/>
        </w:rPr>
        <w:fldChar w:fldCharType="begin"/>
      </w:r>
      <w:r w:rsidRPr="00941B3F">
        <w:rPr>
          <w:color w:val="auto"/>
        </w:rPr>
        <w:instrText xml:space="preserve"> SEQ Figure \* ARABIC </w:instrText>
      </w:r>
      <w:r w:rsidR="000D65F2" w:rsidRPr="00941B3F">
        <w:rPr>
          <w:color w:val="auto"/>
        </w:rPr>
        <w:fldChar w:fldCharType="separate"/>
      </w:r>
      <w:r w:rsidR="000F780F">
        <w:rPr>
          <w:noProof/>
          <w:color w:val="auto"/>
        </w:rPr>
        <w:t>123</w:t>
      </w:r>
      <w:r w:rsidR="000D65F2" w:rsidRPr="00941B3F">
        <w:rPr>
          <w:color w:val="auto"/>
        </w:rPr>
        <w:fldChar w:fldCharType="end"/>
      </w:r>
      <w:r w:rsidRPr="00941B3F">
        <w:rPr>
          <w:color w:val="auto"/>
        </w:rPr>
        <w:t xml:space="preserve"> : Appréciation des unités sur la qualité du suivi de leurs réclamations selon la nature de l'activité</w:t>
      </w:r>
      <w:bookmarkEnd w:id="194"/>
    </w:p>
    <w:p w:rsidR="00111A92" w:rsidRPr="00A13A27" w:rsidRDefault="00F44BC9" w:rsidP="00FD0BEC">
      <w:pPr>
        <w:spacing w:after="200" w:line="276" w:lineRule="auto"/>
        <w:jc w:val="center"/>
        <w:rPr>
          <w:rFonts w:ascii="Book Antiqua" w:eastAsiaTheme="minorEastAsia" w:hAnsi="Book Antiqua" w:cstheme="minorBidi"/>
          <w:sz w:val="22"/>
        </w:rPr>
      </w:pPr>
      <w:r w:rsidRPr="00AE3DF1">
        <w:rPr>
          <w:noProof/>
        </w:rPr>
        <w:drawing>
          <wp:inline distT="0" distB="0" distL="0" distR="0">
            <wp:extent cx="4572000" cy="2447925"/>
            <wp:effectExtent l="19050" t="0" r="19050" b="0"/>
            <wp:docPr id="273" name="Graphique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C71BD5" w:rsidRPr="00533316" w:rsidRDefault="00C71BD5" w:rsidP="0066697B">
      <w:pPr>
        <w:keepNext/>
        <w:keepLines/>
        <w:spacing w:before="240" w:after="240" w:line="276" w:lineRule="auto"/>
        <w:ind w:firstLine="567"/>
        <w:outlineLvl w:val="2"/>
        <w:rPr>
          <w:rFonts w:ascii="Book Antiqua" w:eastAsiaTheme="majorEastAsia" w:hAnsi="Book Antiqua" w:cstheme="majorBidi"/>
          <w:b/>
          <w:bCs/>
          <w:sz w:val="20"/>
          <w:szCs w:val="22"/>
        </w:rPr>
      </w:pPr>
      <w:bookmarkStart w:id="195" w:name="_Toc523322070"/>
      <w:r w:rsidRPr="00533316">
        <w:rPr>
          <w:rFonts w:ascii="Book Antiqua" w:eastAsiaTheme="majorEastAsia" w:hAnsi="Book Antiqua" w:cstheme="majorBidi"/>
          <w:b/>
          <w:bCs/>
          <w:sz w:val="20"/>
          <w:szCs w:val="22"/>
        </w:rPr>
        <w:t>V.3.</w:t>
      </w:r>
      <w:r>
        <w:rPr>
          <w:rFonts w:ascii="Book Antiqua" w:eastAsiaTheme="majorEastAsia" w:hAnsi="Book Antiqua" w:cstheme="majorBidi"/>
          <w:b/>
          <w:bCs/>
          <w:sz w:val="20"/>
          <w:szCs w:val="22"/>
        </w:rPr>
        <w:t>3</w:t>
      </w:r>
      <w:r w:rsidRPr="00533316">
        <w:rPr>
          <w:rFonts w:ascii="Book Antiqua" w:eastAsiaTheme="majorEastAsia" w:hAnsi="Book Antiqua" w:cstheme="majorBidi"/>
          <w:b/>
          <w:bCs/>
          <w:sz w:val="20"/>
          <w:szCs w:val="22"/>
        </w:rPr>
        <w:t xml:space="preserve">. </w:t>
      </w:r>
      <w:r>
        <w:rPr>
          <w:rFonts w:ascii="Book Antiqua" w:eastAsiaTheme="majorEastAsia" w:hAnsi="Book Antiqua" w:cstheme="majorBidi"/>
          <w:b/>
          <w:bCs/>
          <w:sz w:val="20"/>
          <w:szCs w:val="22"/>
        </w:rPr>
        <w:t>Litiges</w:t>
      </w:r>
      <w:bookmarkEnd w:id="195"/>
    </w:p>
    <w:p w:rsidR="009260C9" w:rsidRDefault="002A2270"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 xml:space="preserve">On parle de litige lorsque le client ne parvient pas à obtenir à l’amiable au sein de la banque la reconnaissance d’une prérogative qu’il croit avoir et envisage de recourir à d’autres voies externes de règlement. </w:t>
      </w:r>
    </w:p>
    <w:p w:rsidR="009260C9" w:rsidRDefault="00956A9D"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 xml:space="preserve">L’exploitation des résultats de l’ESUB laisse transparaitre une très faible proportion des unités ayant eu connu un litige avec leur banque principale. En effet, seul 5% de l’échantillon concerné déclare </w:t>
      </w:r>
      <w:r w:rsidR="00A47483">
        <w:rPr>
          <w:rFonts w:ascii="Book Antiqua" w:eastAsiaTheme="minorEastAsia" w:hAnsi="Book Antiqua" w:cstheme="minorBidi"/>
          <w:sz w:val="22"/>
        </w:rPr>
        <w:t>avoir utilisé</w:t>
      </w:r>
      <w:r w:rsidR="004039E2">
        <w:rPr>
          <w:rFonts w:ascii="Book Antiqua" w:eastAsiaTheme="minorEastAsia" w:hAnsi="Book Antiqua" w:cstheme="minorBidi"/>
          <w:sz w:val="22"/>
        </w:rPr>
        <w:t xml:space="preserve"> </w:t>
      </w:r>
      <w:r>
        <w:rPr>
          <w:rFonts w:ascii="Book Antiqua" w:eastAsiaTheme="minorEastAsia" w:hAnsi="Book Antiqua" w:cstheme="minorBidi"/>
          <w:sz w:val="22"/>
        </w:rPr>
        <w:t>une voie de recours externe</w:t>
      </w:r>
      <w:r w:rsidR="00A47483">
        <w:rPr>
          <w:rFonts w:ascii="Book Antiqua" w:eastAsiaTheme="minorEastAsia" w:hAnsi="Book Antiqua" w:cstheme="minorBidi"/>
          <w:sz w:val="22"/>
        </w:rPr>
        <w:t xml:space="preserve"> en vue de la prise en charge de leur requête. </w:t>
      </w:r>
    </w:p>
    <w:p w:rsidR="00941B3F" w:rsidRPr="00941B3F" w:rsidRDefault="00941B3F" w:rsidP="00FD0BEC">
      <w:pPr>
        <w:pStyle w:val="Lgende"/>
        <w:keepNext/>
        <w:spacing w:line="276" w:lineRule="auto"/>
        <w:jc w:val="center"/>
        <w:rPr>
          <w:color w:val="auto"/>
        </w:rPr>
      </w:pPr>
      <w:bookmarkStart w:id="196" w:name="_Toc523313807"/>
      <w:r w:rsidRPr="00941B3F">
        <w:rPr>
          <w:color w:val="auto"/>
        </w:rPr>
        <w:t xml:space="preserve">Figure </w:t>
      </w:r>
      <w:r w:rsidR="000D65F2" w:rsidRPr="00941B3F">
        <w:rPr>
          <w:color w:val="auto"/>
        </w:rPr>
        <w:fldChar w:fldCharType="begin"/>
      </w:r>
      <w:r w:rsidRPr="00941B3F">
        <w:rPr>
          <w:color w:val="auto"/>
        </w:rPr>
        <w:instrText xml:space="preserve"> SEQ Figure \* ARABIC </w:instrText>
      </w:r>
      <w:r w:rsidR="000D65F2" w:rsidRPr="00941B3F">
        <w:rPr>
          <w:color w:val="auto"/>
        </w:rPr>
        <w:fldChar w:fldCharType="separate"/>
      </w:r>
      <w:r w:rsidR="000F780F">
        <w:rPr>
          <w:noProof/>
          <w:color w:val="auto"/>
        </w:rPr>
        <w:t>124</w:t>
      </w:r>
      <w:r w:rsidR="000D65F2" w:rsidRPr="00941B3F">
        <w:rPr>
          <w:color w:val="auto"/>
        </w:rPr>
        <w:fldChar w:fldCharType="end"/>
      </w:r>
      <w:r w:rsidRPr="00941B3F">
        <w:rPr>
          <w:color w:val="auto"/>
        </w:rPr>
        <w:t xml:space="preserve"> : Proportion des unités ayant eu un litige avec leur banque principale</w:t>
      </w:r>
      <w:bookmarkEnd w:id="196"/>
    </w:p>
    <w:p w:rsidR="002A2270" w:rsidRDefault="00F44BC9" w:rsidP="00FD0BEC">
      <w:pPr>
        <w:spacing w:after="200" w:line="276" w:lineRule="auto"/>
        <w:jc w:val="center"/>
        <w:rPr>
          <w:rFonts w:ascii="Book Antiqua" w:eastAsiaTheme="minorEastAsia" w:hAnsi="Book Antiqua" w:cstheme="minorBidi"/>
          <w:sz w:val="22"/>
        </w:rPr>
      </w:pPr>
      <w:r w:rsidRPr="00AE3DF1">
        <w:rPr>
          <w:noProof/>
        </w:rPr>
        <w:drawing>
          <wp:inline distT="0" distB="0" distL="0" distR="0">
            <wp:extent cx="4326890" cy="2590800"/>
            <wp:effectExtent l="19050" t="0" r="16510" b="0"/>
            <wp:docPr id="71" name="Graphique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2E0FB6" w:rsidRDefault="00DE677D"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 xml:space="preserve">L’analyse de la fréquence de survenance des litiges selon les régions place au premier plan les localités de </w:t>
      </w:r>
      <w:proofErr w:type="spellStart"/>
      <w:r>
        <w:rPr>
          <w:rFonts w:ascii="Book Antiqua" w:eastAsiaTheme="minorEastAsia" w:hAnsi="Book Antiqua" w:cstheme="minorBidi"/>
          <w:sz w:val="22"/>
        </w:rPr>
        <w:t>Sédhiou</w:t>
      </w:r>
      <w:proofErr w:type="spellEnd"/>
      <w:r>
        <w:rPr>
          <w:rFonts w:ascii="Book Antiqua" w:eastAsiaTheme="minorEastAsia" w:hAnsi="Book Antiqua" w:cstheme="minorBidi"/>
          <w:sz w:val="22"/>
        </w:rPr>
        <w:t xml:space="preserve">, Ziguinchor, </w:t>
      </w:r>
      <w:proofErr w:type="spellStart"/>
      <w:r>
        <w:rPr>
          <w:rFonts w:ascii="Book Antiqua" w:eastAsiaTheme="minorEastAsia" w:hAnsi="Book Antiqua" w:cstheme="minorBidi"/>
          <w:sz w:val="22"/>
        </w:rPr>
        <w:t>Fatick</w:t>
      </w:r>
      <w:proofErr w:type="spellEnd"/>
      <w:r>
        <w:rPr>
          <w:rFonts w:ascii="Book Antiqua" w:eastAsiaTheme="minorEastAsia" w:hAnsi="Book Antiqua" w:cstheme="minorBidi"/>
          <w:sz w:val="22"/>
        </w:rPr>
        <w:t xml:space="preserve"> et Louga où les unités déclarent avoir recouru à une voie de règlement externe à des taux respectifs de 29,8%, 13,4%,</w:t>
      </w:r>
      <w:r w:rsidR="004039E2">
        <w:rPr>
          <w:rFonts w:ascii="Book Antiqua" w:eastAsiaTheme="minorEastAsia" w:hAnsi="Book Antiqua" w:cstheme="minorBidi"/>
          <w:sz w:val="22"/>
        </w:rPr>
        <w:t xml:space="preserve"> </w:t>
      </w:r>
      <w:r>
        <w:rPr>
          <w:rFonts w:ascii="Book Antiqua" w:eastAsiaTheme="minorEastAsia" w:hAnsi="Book Antiqua" w:cstheme="minorBidi"/>
          <w:sz w:val="22"/>
        </w:rPr>
        <w:t>10,0% et 7,0%.</w:t>
      </w:r>
    </w:p>
    <w:p w:rsidR="002E0FB6" w:rsidRDefault="00DE677D" w:rsidP="00FD0BEC">
      <w:pPr>
        <w:spacing w:after="200" w:line="276" w:lineRule="auto"/>
        <w:rPr>
          <w:rFonts w:ascii="Book Antiqua" w:eastAsiaTheme="minorEastAsia" w:hAnsi="Book Antiqua" w:cstheme="minorBidi"/>
          <w:sz w:val="22"/>
        </w:rPr>
      </w:pPr>
      <w:r>
        <w:rPr>
          <w:rFonts w:ascii="Book Antiqua" w:eastAsiaTheme="minorEastAsia" w:hAnsi="Book Antiqua" w:cstheme="minorBidi"/>
          <w:sz w:val="22"/>
        </w:rPr>
        <w:t xml:space="preserve">Les autres régions notamment </w:t>
      </w:r>
      <w:r w:rsidR="002E0FB6">
        <w:rPr>
          <w:rFonts w:ascii="Book Antiqua" w:eastAsiaTheme="minorEastAsia" w:hAnsi="Book Antiqua" w:cstheme="minorBidi"/>
          <w:sz w:val="22"/>
        </w:rPr>
        <w:t>Tambacounda (1,6%) et Dakar (3,8%) se singularisent par le caractère marginal des litiges déclarés par les unités enquêtées.</w:t>
      </w:r>
    </w:p>
    <w:p w:rsidR="00941B3F" w:rsidRPr="00941B3F" w:rsidRDefault="00941B3F" w:rsidP="00FD0BEC">
      <w:pPr>
        <w:pStyle w:val="Lgende"/>
        <w:keepNext/>
        <w:spacing w:line="276" w:lineRule="auto"/>
        <w:jc w:val="center"/>
        <w:rPr>
          <w:color w:val="auto"/>
        </w:rPr>
      </w:pPr>
      <w:bookmarkStart w:id="197" w:name="_Toc523313808"/>
      <w:r w:rsidRPr="00941B3F">
        <w:rPr>
          <w:color w:val="auto"/>
        </w:rPr>
        <w:lastRenderedPageBreak/>
        <w:t xml:space="preserve">Figure </w:t>
      </w:r>
      <w:r w:rsidR="000D65F2" w:rsidRPr="00941B3F">
        <w:rPr>
          <w:color w:val="auto"/>
        </w:rPr>
        <w:fldChar w:fldCharType="begin"/>
      </w:r>
      <w:r w:rsidRPr="00941B3F">
        <w:rPr>
          <w:color w:val="auto"/>
        </w:rPr>
        <w:instrText xml:space="preserve"> SEQ Figure \* ARABIC </w:instrText>
      </w:r>
      <w:r w:rsidR="000D65F2" w:rsidRPr="00941B3F">
        <w:rPr>
          <w:color w:val="auto"/>
        </w:rPr>
        <w:fldChar w:fldCharType="separate"/>
      </w:r>
      <w:r w:rsidR="000F780F">
        <w:rPr>
          <w:noProof/>
          <w:color w:val="auto"/>
        </w:rPr>
        <w:t>125</w:t>
      </w:r>
      <w:r w:rsidR="000D65F2" w:rsidRPr="00941B3F">
        <w:rPr>
          <w:color w:val="auto"/>
        </w:rPr>
        <w:fldChar w:fldCharType="end"/>
      </w:r>
      <w:r w:rsidRPr="00941B3F">
        <w:rPr>
          <w:color w:val="auto"/>
        </w:rPr>
        <w:t xml:space="preserve"> : Proportion des unités ayant eu un litige avec leur banque principale selon les régions</w:t>
      </w:r>
      <w:bookmarkEnd w:id="197"/>
    </w:p>
    <w:p w:rsidR="00BB32BC" w:rsidRDefault="00F44BC9" w:rsidP="00FD0BEC">
      <w:pPr>
        <w:spacing w:after="200" w:line="276" w:lineRule="auto"/>
        <w:jc w:val="center"/>
        <w:rPr>
          <w:rFonts w:ascii="Book Antiqua" w:eastAsiaTheme="minorEastAsia" w:hAnsi="Book Antiqua" w:cstheme="minorBidi"/>
          <w:sz w:val="22"/>
        </w:rPr>
      </w:pPr>
      <w:r>
        <w:rPr>
          <w:noProof/>
        </w:rPr>
        <w:drawing>
          <wp:inline distT="0" distB="0" distL="0" distR="0">
            <wp:extent cx="4710112" cy="2684145"/>
            <wp:effectExtent l="19050" t="0" r="14288" b="1905"/>
            <wp:docPr id="72" name="Graphique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343F4C" w:rsidRDefault="00EB1932" w:rsidP="00FD0BEC">
      <w:pPr>
        <w:spacing w:after="200" w:line="276" w:lineRule="auto"/>
        <w:jc w:val="both"/>
        <w:rPr>
          <w:rFonts w:ascii="Book Antiqua" w:eastAsiaTheme="minorEastAsia" w:hAnsi="Book Antiqua" w:cstheme="minorBidi"/>
          <w:sz w:val="22"/>
        </w:rPr>
      </w:pPr>
      <w:r>
        <w:rPr>
          <w:rFonts w:ascii="Book Antiqua" w:eastAsiaTheme="minorEastAsia" w:hAnsi="Book Antiqua" w:cstheme="minorBidi"/>
          <w:sz w:val="22"/>
        </w:rPr>
        <w:t xml:space="preserve">La répartition des cas de litiges déclarés par les unités suivant la nature de l’activité met en exergue une fréquence de survenance plus soutenue dans le secteur moderne qui ressort avec un taux de 5,6% contre </w:t>
      </w:r>
      <w:r w:rsidR="000E1CA0">
        <w:rPr>
          <w:rFonts w:ascii="Book Antiqua" w:eastAsiaTheme="minorEastAsia" w:hAnsi="Book Antiqua" w:cstheme="minorBidi"/>
          <w:sz w:val="22"/>
        </w:rPr>
        <w:t>une</w:t>
      </w:r>
      <w:r>
        <w:rPr>
          <w:rFonts w:ascii="Book Antiqua" w:eastAsiaTheme="minorEastAsia" w:hAnsi="Book Antiqua" w:cstheme="minorBidi"/>
          <w:sz w:val="22"/>
        </w:rPr>
        <w:t xml:space="preserve"> proportion de 3,3% pour le secteur informel. </w:t>
      </w:r>
    </w:p>
    <w:p w:rsidR="00343F4C" w:rsidRDefault="00343F4C" w:rsidP="00FD0BEC">
      <w:pPr>
        <w:spacing w:after="200" w:line="276" w:lineRule="auto"/>
        <w:rPr>
          <w:rFonts w:ascii="Book Antiqua" w:eastAsiaTheme="minorEastAsia" w:hAnsi="Book Antiqua" w:cstheme="minorBidi"/>
          <w:sz w:val="22"/>
        </w:rPr>
      </w:pPr>
      <w:r>
        <w:rPr>
          <w:rFonts w:ascii="Book Antiqua" w:eastAsiaTheme="minorEastAsia" w:hAnsi="Book Antiqua" w:cstheme="minorBidi"/>
          <w:sz w:val="22"/>
        </w:rPr>
        <w:t>Une répartition des motifs à l’origine des cas de litiges fait apparaitre la prééminence du cout des services, du déficit d’information et du prélèvement indu qui affichent des taux respectifs de 27,8%, 24,3% et 20,1%. Les autres principales causes identifiées concernent l’interprétation divergente (13,9%) et la non-conformité des produits (6,3%).</w:t>
      </w:r>
    </w:p>
    <w:p w:rsidR="00941B3F" w:rsidRPr="00941B3F" w:rsidRDefault="00941B3F" w:rsidP="00FD0BEC">
      <w:pPr>
        <w:pStyle w:val="Lgende"/>
        <w:keepNext/>
        <w:spacing w:line="276" w:lineRule="auto"/>
        <w:jc w:val="center"/>
        <w:rPr>
          <w:color w:val="auto"/>
        </w:rPr>
      </w:pPr>
      <w:bookmarkStart w:id="198" w:name="_Toc523313809"/>
      <w:r w:rsidRPr="00941B3F">
        <w:rPr>
          <w:color w:val="auto"/>
        </w:rPr>
        <w:t xml:space="preserve">Figure </w:t>
      </w:r>
      <w:r w:rsidR="000D65F2" w:rsidRPr="00941B3F">
        <w:rPr>
          <w:color w:val="auto"/>
        </w:rPr>
        <w:fldChar w:fldCharType="begin"/>
      </w:r>
      <w:r w:rsidRPr="00941B3F">
        <w:rPr>
          <w:color w:val="auto"/>
        </w:rPr>
        <w:instrText xml:space="preserve"> SEQ Figure \* ARABIC </w:instrText>
      </w:r>
      <w:r w:rsidR="000D65F2" w:rsidRPr="00941B3F">
        <w:rPr>
          <w:color w:val="auto"/>
        </w:rPr>
        <w:fldChar w:fldCharType="separate"/>
      </w:r>
      <w:r w:rsidR="000F780F">
        <w:rPr>
          <w:noProof/>
          <w:color w:val="auto"/>
        </w:rPr>
        <w:t>126</w:t>
      </w:r>
      <w:r w:rsidR="000D65F2" w:rsidRPr="00941B3F">
        <w:rPr>
          <w:color w:val="auto"/>
        </w:rPr>
        <w:fldChar w:fldCharType="end"/>
      </w:r>
      <w:r w:rsidRPr="00941B3F">
        <w:rPr>
          <w:color w:val="auto"/>
        </w:rPr>
        <w:t xml:space="preserve"> : Répartition des motifs à l'origine des cas de litiges chez les unités enquêtées</w:t>
      </w:r>
      <w:bookmarkEnd w:id="198"/>
    </w:p>
    <w:p w:rsidR="002E0FB6" w:rsidRDefault="00F44BC9" w:rsidP="00FD0BEC">
      <w:pPr>
        <w:spacing w:after="200" w:line="276" w:lineRule="auto"/>
        <w:jc w:val="center"/>
        <w:rPr>
          <w:rFonts w:ascii="Book Antiqua" w:eastAsiaTheme="minorEastAsia" w:hAnsi="Book Antiqua" w:cstheme="minorBidi"/>
          <w:sz w:val="22"/>
        </w:rPr>
      </w:pPr>
      <w:r>
        <w:rPr>
          <w:noProof/>
        </w:rPr>
        <w:drawing>
          <wp:inline distT="0" distB="0" distL="0" distR="0">
            <wp:extent cx="4991100" cy="3195637"/>
            <wp:effectExtent l="19050" t="0" r="19050" b="4763"/>
            <wp:docPr id="74" name="Graphique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EB1932" w:rsidRDefault="00EB1932" w:rsidP="00FD0BEC">
      <w:pPr>
        <w:spacing w:after="200" w:line="276" w:lineRule="auto"/>
        <w:rPr>
          <w:rFonts w:ascii="Book Antiqua" w:eastAsiaTheme="minorEastAsia" w:hAnsi="Book Antiqua" w:cstheme="minorBidi"/>
          <w:sz w:val="22"/>
        </w:rPr>
      </w:pPr>
    </w:p>
    <w:p w:rsidR="002A2270" w:rsidRDefault="002A2270" w:rsidP="00FD0BEC">
      <w:pPr>
        <w:spacing w:after="200" w:line="276" w:lineRule="auto"/>
        <w:rPr>
          <w:rFonts w:ascii="Book Antiqua" w:eastAsiaTheme="minorEastAsia" w:hAnsi="Book Antiqua" w:cstheme="minorBidi"/>
          <w:sz w:val="22"/>
        </w:rPr>
      </w:pPr>
    </w:p>
    <w:p w:rsidR="00C4641D" w:rsidRDefault="00C4641D" w:rsidP="00C4641D">
      <w:pPr>
        <w:tabs>
          <w:tab w:val="left" w:pos="-720"/>
        </w:tabs>
        <w:suppressAutoHyphens/>
        <w:spacing w:line="312" w:lineRule="auto"/>
        <w:jc w:val="both"/>
        <w:rPr>
          <w:rFonts w:ascii="Arial" w:hAnsi="Arial" w:cs="Arial"/>
          <w:b/>
          <w:sz w:val="22"/>
          <w:szCs w:val="22"/>
        </w:rPr>
      </w:pPr>
    </w:p>
    <w:p w:rsidR="00C4641D" w:rsidRDefault="00C4641D" w:rsidP="00C4641D">
      <w:pPr>
        <w:tabs>
          <w:tab w:val="left" w:pos="-720"/>
        </w:tabs>
        <w:suppressAutoHyphens/>
        <w:spacing w:line="312" w:lineRule="auto"/>
        <w:jc w:val="both"/>
        <w:rPr>
          <w:rFonts w:ascii="Arial" w:hAnsi="Arial" w:cs="Arial"/>
          <w:b/>
          <w:sz w:val="22"/>
          <w:szCs w:val="22"/>
        </w:rPr>
      </w:pPr>
    </w:p>
    <w:p w:rsidR="004039E2" w:rsidRDefault="004039E2" w:rsidP="00C4641D">
      <w:pPr>
        <w:tabs>
          <w:tab w:val="left" w:pos="-720"/>
        </w:tabs>
        <w:suppressAutoHyphens/>
        <w:spacing w:line="312" w:lineRule="auto"/>
        <w:jc w:val="both"/>
        <w:rPr>
          <w:rFonts w:ascii="Arial" w:hAnsi="Arial" w:cs="Arial"/>
          <w:b/>
          <w:sz w:val="22"/>
          <w:szCs w:val="22"/>
        </w:rPr>
      </w:pPr>
    </w:p>
    <w:p w:rsidR="004039E2" w:rsidRDefault="004039E2" w:rsidP="00C4641D">
      <w:pPr>
        <w:tabs>
          <w:tab w:val="left" w:pos="-720"/>
        </w:tabs>
        <w:suppressAutoHyphens/>
        <w:spacing w:line="312" w:lineRule="auto"/>
        <w:jc w:val="both"/>
        <w:rPr>
          <w:rFonts w:ascii="Arial" w:hAnsi="Arial" w:cs="Arial"/>
          <w:b/>
          <w:sz w:val="22"/>
          <w:szCs w:val="22"/>
        </w:rPr>
      </w:pPr>
    </w:p>
    <w:p w:rsidR="004039E2" w:rsidRDefault="004039E2" w:rsidP="00C4641D">
      <w:pPr>
        <w:tabs>
          <w:tab w:val="left" w:pos="-720"/>
        </w:tabs>
        <w:suppressAutoHyphens/>
        <w:spacing w:line="312" w:lineRule="auto"/>
        <w:jc w:val="both"/>
        <w:rPr>
          <w:rFonts w:ascii="Arial" w:hAnsi="Arial" w:cs="Arial"/>
          <w:b/>
          <w:sz w:val="22"/>
          <w:szCs w:val="22"/>
        </w:rPr>
      </w:pPr>
    </w:p>
    <w:p w:rsidR="004039E2" w:rsidRDefault="004039E2" w:rsidP="00C4641D">
      <w:pPr>
        <w:tabs>
          <w:tab w:val="left" w:pos="-720"/>
        </w:tabs>
        <w:suppressAutoHyphens/>
        <w:spacing w:line="312" w:lineRule="auto"/>
        <w:jc w:val="both"/>
        <w:rPr>
          <w:rFonts w:ascii="Arial" w:hAnsi="Arial" w:cs="Arial"/>
          <w:b/>
          <w:sz w:val="22"/>
          <w:szCs w:val="22"/>
        </w:rPr>
      </w:pPr>
    </w:p>
    <w:p w:rsidR="004039E2" w:rsidRDefault="004039E2" w:rsidP="00C4641D">
      <w:pPr>
        <w:tabs>
          <w:tab w:val="left" w:pos="-720"/>
        </w:tabs>
        <w:suppressAutoHyphens/>
        <w:spacing w:line="312" w:lineRule="auto"/>
        <w:jc w:val="both"/>
        <w:rPr>
          <w:rFonts w:ascii="Arial" w:hAnsi="Arial" w:cs="Arial"/>
          <w:b/>
          <w:sz w:val="22"/>
          <w:szCs w:val="22"/>
        </w:rPr>
      </w:pPr>
    </w:p>
    <w:p w:rsidR="004039E2" w:rsidRDefault="004039E2" w:rsidP="00C4641D">
      <w:pPr>
        <w:tabs>
          <w:tab w:val="left" w:pos="-720"/>
        </w:tabs>
        <w:suppressAutoHyphens/>
        <w:spacing w:line="312" w:lineRule="auto"/>
        <w:jc w:val="both"/>
        <w:rPr>
          <w:rFonts w:ascii="Arial" w:hAnsi="Arial" w:cs="Arial"/>
          <w:b/>
          <w:sz w:val="22"/>
          <w:szCs w:val="22"/>
        </w:rPr>
      </w:pPr>
    </w:p>
    <w:p w:rsidR="004039E2" w:rsidRDefault="004039E2" w:rsidP="00C4641D">
      <w:pPr>
        <w:tabs>
          <w:tab w:val="left" w:pos="-720"/>
        </w:tabs>
        <w:suppressAutoHyphens/>
        <w:spacing w:line="312" w:lineRule="auto"/>
        <w:jc w:val="both"/>
        <w:rPr>
          <w:rFonts w:ascii="Arial" w:hAnsi="Arial" w:cs="Arial"/>
          <w:b/>
          <w:sz w:val="22"/>
          <w:szCs w:val="22"/>
        </w:rPr>
      </w:pPr>
    </w:p>
    <w:p w:rsidR="004039E2" w:rsidRDefault="004039E2" w:rsidP="00C4641D">
      <w:pPr>
        <w:tabs>
          <w:tab w:val="left" w:pos="-720"/>
        </w:tabs>
        <w:suppressAutoHyphens/>
        <w:spacing w:line="312" w:lineRule="auto"/>
        <w:jc w:val="both"/>
        <w:rPr>
          <w:rFonts w:ascii="Arial" w:hAnsi="Arial" w:cs="Arial"/>
          <w:b/>
          <w:sz w:val="22"/>
          <w:szCs w:val="22"/>
        </w:rPr>
      </w:pPr>
    </w:p>
    <w:p w:rsidR="004039E2" w:rsidRPr="001E4A60" w:rsidRDefault="004039E2" w:rsidP="00C4641D">
      <w:pPr>
        <w:tabs>
          <w:tab w:val="left" w:pos="-720"/>
        </w:tabs>
        <w:suppressAutoHyphens/>
        <w:spacing w:line="312" w:lineRule="auto"/>
        <w:jc w:val="both"/>
        <w:rPr>
          <w:rFonts w:ascii="Arial" w:hAnsi="Arial" w:cs="Arial"/>
          <w:b/>
          <w:sz w:val="48"/>
          <w:szCs w:val="48"/>
        </w:rPr>
      </w:pPr>
    </w:p>
    <w:p w:rsidR="004039E2" w:rsidRDefault="004039E2" w:rsidP="00C4641D">
      <w:pPr>
        <w:tabs>
          <w:tab w:val="left" w:pos="-720"/>
        </w:tabs>
        <w:suppressAutoHyphens/>
        <w:spacing w:line="312" w:lineRule="auto"/>
        <w:jc w:val="both"/>
        <w:rPr>
          <w:rFonts w:ascii="Arial" w:hAnsi="Arial" w:cs="Arial"/>
          <w:b/>
          <w:sz w:val="22"/>
          <w:szCs w:val="22"/>
        </w:rPr>
      </w:pPr>
    </w:p>
    <w:p w:rsidR="004039E2" w:rsidRDefault="004039E2" w:rsidP="00C4641D">
      <w:pPr>
        <w:tabs>
          <w:tab w:val="left" w:pos="-720"/>
        </w:tabs>
        <w:suppressAutoHyphens/>
        <w:spacing w:line="312" w:lineRule="auto"/>
        <w:jc w:val="both"/>
        <w:rPr>
          <w:rFonts w:ascii="Arial" w:hAnsi="Arial" w:cs="Arial"/>
          <w:b/>
          <w:sz w:val="22"/>
          <w:szCs w:val="22"/>
        </w:rPr>
      </w:pPr>
    </w:p>
    <w:p w:rsidR="004039E2" w:rsidRDefault="004039E2" w:rsidP="00C4641D">
      <w:pPr>
        <w:tabs>
          <w:tab w:val="left" w:pos="-720"/>
        </w:tabs>
        <w:suppressAutoHyphens/>
        <w:spacing w:line="312" w:lineRule="auto"/>
        <w:jc w:val="both"/>
        <w:rPr>
          <w:rFonts w:ascii="Arial" w:hAnsi="Arial" w:cs="Arial"/>
          <w:b/>
          <w:sz w:val="22"/>
          <w:szCs w:val="22"/>
        </w:rPr>
      </w:pPr>
    </w:p>
    <w:p w:rsidR="004039E2" w:rsidRDefault="004039E2" w:rsidP="00C4641D">
      <w:pPr>
        <w:tabs>
          <w:tab w:val="left" w:pos="-720"/>
        </w:tabs>
        <w:suppressAutoHyphens/>
        <w:spacing w:line="312" w:lineRule="auto"/>
        <w:jc w:val="both"/>
        <w:rPr>
          <w:rFonts w:ascii="Arial" w:hAnsi="Arial" w:cs="Arial"/>
          <w:b/>
          <w:sz w:val="22"/>
          <w:szCs w:val="22"/>
        </w:rPr>
      </w:pPr>
    </w:p>
    <w:p w:rsidR="004039E2" w:rsidRDefault="004039E2" w:rsidP="00C4641D">
      <w:pPr>
        <w:tabs>
          <w:tab w:val="left" w:pos="-720"/>
        </w:tabs>
        <w:suppressAutoHyphens/>
        <w:spacing w:line="312" w:lineRule="auto"/>
        <w:jc w:val="both"/>
        <w:rPr>
          <w:rFonts w:ascii="Arial" w:hAnsi="Arial" w:cs="Arial"/>
          <w:b/>
          <w:sz w:val="22"/>
          <w:szCs w:val="22"/>
        </w:rPr>
      </w:pPr>
    </w:p>
    <w:p w:rsidR="00C4641D" w:rsidRDefault="00C4641D" w:rsidP="00C4641D">
      <w:pPr>
        <w:tabs>
          <w:tab w:val="left" w:pos="-720"/>
        </w:tabs>
        <w:suppressAutoHyphens/>
        <w:spacing w:line="312" w:lineRule="auto"/>
        <w:jc w:val="both"/>
        <w:rPr>
          <w:rFonts w:ascii="Arial" w:hAnsi="Arial" w:cs="Arial"/>
          <w:b/>
          <w:sz w:val="22"/>
          <w:szCs w:val="22"/>
        </w:rPr>
      </w:pPr>
    </w:p>
    <w:p w:rsidR="00C15F31" w:rsidRDefault="001E4A60">
      <w:pPr>
        <w:spacing w:after="200" w:line="276" w:lineRule="auto"/>
        <w:rPr>
          <w:rFonts w:ascii="Arial" w:hAnsi="Arial" w:cs="Arial"/>
          <w:b/>
          <w:sz w:val="22"/>
          <w:szCs w:val="22"/>
        </w:rPr>
      </w:pPr>
      <w:r>
        <w:rPr>
          <w:rFonts w:ascii="Arial" w:hAnsi="Arial" w:cs="Arial"/>
          <w:b/>
          <w:noProof/>
          <w:sz w:val="22"/>
          <w:szCs w:val="22"/>
        </w:rPr>
        <w:pict>
          <v:shape id="_x0000_s1029" type="#_x0000_t202" style="position:absolute;margin-left:9.95pt;margin-top:11.7pt;width:502.75pt;height:90.2pt;z-index:251661312;mso-width-relative:margin;mso-height-relative:margin" strokeweight="3pt">
            <v:textbox style="mso-next-textbox:#_x0000_s1029">
              <w:txbxContent>
                <w:p w:rsidR="003C6676" w:rsidRDefault="003C6676" w:rsidP="001E4A60">
                  <w:pPr>
                    <w:spacing w:before="120"/>
                    <w:jc w:val="center"/>
                    <w:rPr>
                      <w:rFonts w:ascii="Book Antiqua" w:hAnsi="Book Antiqua"/>
                      <w:b/>
                      <w:color w:val="000000" w:themeColor="text1"/>
                      <w:sz w:val="48"/>
                      <w:szCs w:val="48"/>
                    </w:rPr>
                  </w:pPr>
                  <w:r w:rsidRPr="001E4A60">
                    <w:rPr>
                      <w:rFonts w:ascii="Book Antiqua" w:hAnsi="Book Antiqua"/>
                      <w:b/>
                      <w:color w:val="000000" w:themeColor="text1"/>
                      <w:sz w:val="48"/>
                      <w:szCs w:val="48"/>
                    </w:rPr>
                    <w:t>2</w:t>
                  </w:r>
                  <w:r w:rsidRPr="001E4A60">
                    <w:rPr>
                      <w:rFonts w:ascii="Book Antiqua" w:hAnsi="Book Antiqua"/>
                      <w:b/>
                      <w:color w:val="000000" w:themeColor="text1"/>
                      <w:sz w:val="48"/>
                      <w:szCs w:val="48"/>
                      <w:vertAlign w:val="superscript"/>
                    </w:rPr>
                    <w:t>ème</w:t>
                  </w:r>
                  <w:r w:rsidRPr="001E4A60">
                    <w:rPr>
                      <w:rFonts w:ascii="Book Antiqua" w:hAnsi="Book Antiqua"/>
                      <w:b/>
                      <w:color w:val="000000" w:themeColor="text1"/>
                      <w:sz w:val="48"/>
                      <w:szCs w:val="48"/>
                    </w:rPr>
                    <w:t xml:space="preserve"> PARTIE : </w:t>
                  </w:r>
                </w:p>
                <w:p w:rsidR="003C6676" w:rsidRPr="001E4A60" w:rsidRDefault="003C6676" w:rsidP="001E4A60">
                  <w:pPr>
                    <w:spacing w:before="120"/>
                    <w:jc w:val="center"/>
                    <w:rPr>
                      <w:rFonts w:ascii="Book Antiqua" w:hAnsi="Book Antiqua"/>
                      <w:b/>
                      <w:color w:val="000000" w:themeColor="text1"/>
                      <w:sz w:val="48"/>
                      <w:szCs w:val="48"/>
                    </w:rPr>
                  </w:pPr>
                  <w:r w:rsidRPr="001E4A60">
                    <w:rPr>
                      <w:rFonts w:ascii="Book Antiqua" w:hAnsi="Book Antiqua"/>
                      <w:b/>
                      <w:color w:val="000000" w:themeColor="text1"/>
                      <w:sz w:val="48"/>
                      <w:szCs w:val="48"/>
                    </w:rPr>
                    <w:t>VOLET « PERSONNES PHYSIQUES »</w:t>
                  </w:r>
                </w:p>
              </w:txbxContent>
            </v:textbox>
          </v:shape>
        </w:pict>
      </w:r>
    </w:p>
    <w:p w:rsidR="00C15F31" w:rsidRDefault="00C15F31">
      <w:pPr>
        <w:spacing w:after="200" w:line="276" w:lineRule="auto"/>
        <w:rPr>
          <w:rFonts w:ascii="Arial" w:hAnsi="Arial" w:cs="Arial"/>
          <w:b/>
          <w:sz w:val="22"/>
          <w:szCs w:val="22"/>
        </w:rPr>
      </w:pPr>
    </w:p>
    <w:p w:rsidR="00C15F31" w:rsidRDefault="00C15F31">
      <w:pPr>
        <w:spacing w:after="200" w:line="276" w:lineRule="auto"/>
        <w:rPr>
          <w:rFonts w:ascii="Arial" w:hAnsi="Arial" w:cs="Arial"/>
          <w:b/>
          <w:sz w:val="22"/>
          <w:szCs w:val="22"/>
        </w:rPr>
      </w:pPr>
      <w:r>
        <w:rPr>
          <w:rFonts w:ascii="Arial" w:hAnsi="Arial" w:cs="Arial"/>
          <w:b/>
          <w:sz w:val="22"/>
          <w:szCs w:val="22"/>
        </w:rPr>
        <w:br w:type="page"/>
      </w:r>
    </w:p>
    <w:p w:rsidR="003E611C" w:rsidRDefault="003E611C" w:rsidP="003E611C">
      <w:pPr>
        <w:tabs>
          <w:tab w:val="left" w:pos="-720"/>
        </w:tabs>
        <w:suppressAutoHyphens/>
        <w:spacing w:line="312" w:lineRule="auto"/>
        <w:jc w:val="center"/>
        <w:outlineLvl w:val="0"/>
        <w:rPr>
          <w:rFonts w:ascii="Arial" w:hAnsi="Arial" w:cs="Arial"/>
          <w:b/>
          <w:sz w:val="22"/>
          <w:szCs w:val="22"/>
        </w:rPr>
      </w:pPr>
      <w:bookmarkStart w:id="199" w:name="_Toc289159145"/>
      <w:bookmarkStart w:id="200" w:name="_Toc523322072"/>
      <w:r w:rsidRPr="00DF58D0">
        <w:rPr>
          <w:rFonts w:ascii="Arial" w:hAnsi="Arial" w:cs="Arial"/>
          <w:b/>
          <w:sz w:val="22"/>
          <w:szCs w:val="22"/>
        </w:rPr>
        <w:lastRenderedPageBreak/>
        <w:t>TABLEAU SYNOPTIQUE DES PRINCIPAUX INDICATEURS DE SATISFACTION</w:t>
      </w:r>
      <w:bookmarkEnd w:id="199"/>
      <w:bookmarkEnd w:id="200"/>
    </w:p>
    <w:p w:rsidR="003E611C" w:rsidRPr="00DE1009" w:rsidRDefault="003E611C" w:rsidP="003E611C">
      <w:pPr>
        <w:tabs>
          <w:tab w:val="left" w:pos="-720"/>
        </w:tabs>
        <w:suppressAutoHyphens/>
        <w:spacing w:line="312" w:lineRule="auto"/>
        <w:jc w:val="center"/>
        <w:outlineLvl w:val="0"/>
        <w:rPr>
          <w:rFonts w:ascii="Arial" w:hAnsi="Arial" w:cs="Arial"/>
          <w:b/>
          <w:sz w:val="8"/>
          <w:szCs w:val="22"/>
        </w:rPr>
      </w:pPr>
    </w:p>
    <w:tbl>
      <w:tblPr>
        <w:tblW w:w="1091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13"/>
        <w:gridCol w:w="5519"/>
        <w:gridCol w:w="992"/>
        <w:gridCol w:w="991"/>
      </w:tblGrid>
      <w:tr w:rsidR="00987EE0" w:rsidRPr="00987EE0" w:rsidTr="00987EE0">
        <w:trPr>
          <w:trHeight w:val="391"/>
        </w:trPr>
        <w:tc>
          <w:tcPr>
            <w:tcW w:w="3554" w:type="dxa"/>
            <w:vMerge w:val="restart"/>
            <w:shd w:val="clear" w:color="auto" w:fill="auto"/>
            <w:vAlign w:val="center"/>
            <w:hideMark/>
          </w:tcPr>
          <w:p w:rsidR="00987EE0" w:rsidRPr="00987EE0" w:rsidRDefault="00175346" w:rsidP="00E0197C">
            <w:pPr>
              <w:jc w:val="center"/>
              <w:rPr>
                <w:rFonts w:ascii="Arial" w:hAnsi="Arial" w:cs="Arial"/>
                <w:b/>
                <w:bCs/>
                <w:color w:val="000000"/>
                <w:sz w:val="18"/>
                <w:szCs w:val="18"/>
              </w:rPr>
            </w:pPr>
            <w:r w:rsidRPr="00987EE0">
              <w:rPr>
                <w:rFonts w:ascii="Arial" w:hAnsi="Arial" w:cs="Arial"/>
                <w:b/>
                <w:bCs/>
                <w:color w:val="000000"/>
                <w:sz w:val="18"/>
                <w:szCs w:val="18"/>
              </w:rPr>
              <w:t>INDICATEURS</w:t>
            </w:r>
          </w:p>
        </w:tc>
        <w:tc>
          <w:tcPr>
            <w:tcW w:w="5519" w:type="dxa"/>
            <w:vMerge w:val="restart"/>
            <w:shd w:val="clear" w:color="auto" w:fill="auto"/>
            <w:noWrap/>
            <w:vAlign w:val="center"/>
            <w:hideMark/>
          </w:tcPr>
          <w:p w:rsidR="00987EE0" w:rsidRPr="00987EE0" w:rsidRDefault="00175346" w:rsidP="00E0197C">
            <w:pPr>
              <w:jc w:val="center"/>
              <w:rPr>
                <w:rFonts w:ascii="Arial" w:hAnsi="Arial" w:cs="Arial"/>
                <w:b/>
                <w:bCs/>
                <w:color w:val="000000"/>
                <w:sz w:val="18"/>
                <w:szCs w:val="18"/>
              </w:rPr>
            </w:pPr>
            <w:r w:rsidRPr="00987EE0">
              <w:rPr>
                <w:rFonts w:ascii="Arial" w:hAnsi="Arial" w:cs="Arial"/>
                <w:b/>
                <w:bCs/>
                <w:color w:val="000000"/>
                <w:sz w:val="18"/>
                <w:szCs w:val="18"/>
              </w:rPr>
              <w:t>FORMULE</w:t>
            </w:r>
            <w:r>
              <w:rPr>
                <w:rFonts w:ascii="Arial" w:hAnsi="Arial" w:cs="Arial"/>
                <w:b/>
                <w:bCs/>
                <w:color w:val="000000"/>
                <w:sz w:val="18"/>
                <w:szCs w:val="18"/>
              </w:rPr>
              <w:t>S</w:t>
            </w:r>
          </w:p>
        </w:tc>
        <w:tc>
          <w:tcPr>
            <w:tcW w:w="1842" w:type="dxa"/>
            <w:gridSpan w:val="2"/>
            <w:vMerge w:val="restart"/>
            <w:shd w:val="clear" w:color="auto" w:fill="auto"/>
            <w:noWrap/>
            <w:vAlign w:val="center"/>
            <w:hideMark/>
          </w:tcPr>
          <w:p w:rsidR="00987EE0" w:rsidRPr="00987EE0" w:rsidRDefault="00175346" w:rsidP="00E0197C">
            <w:pPr>
              <w:jc w:val="center"/>
              <w:rPr>
                <w:rFonts w:ascii="Arial" w:hAnsi="Arial" w:cs="Arial"/>
                <w:b/>
                <w:bCs/>
                <w:color w:val="000000"/>
                <w:sz w:val="18"/>
                <w:szCs w:val="18"/>
              </w:rPr>
            </w:pPr>
            <w:r w:rsidRPr="00987EE0">
              <w:rPr>
                <w:rFonts w:ascii="Arial" w:hAnsi="Arial" w:cs="Arial"/>
                <w:b/>
                <w:bCs/>
                <w:color w:val="000000"/>
                <w:sz w:val="18"/>
                <w:szCs w:val="18"/>
              </w:rPr>
              <w:t>ENQUETES</w:t>
            </w:r>
          </w:p>
        </w:tc>
      </w:tr>
      <w:tr w:rsidR="00987EE0" w:rsidRPr="00987EE0" w:rsidTr="00175346">
        <w:trPr>
          <w:trHeight w:val="207"/>
        </w:trPr>
        <w:tc>
          <w:tcPr>
            <w:tcW w:w="3554" w:type="dxa"/>
            <w:vMerge/>
            <w:vAlign w:val="center"/>
            <w:hideMark/>
          </w:tcPr>
          <w:p w:rsidR="00987EE0" w:rsidRPr="00987EE0" w:rsidRDefault="00987EE0" w:rsidP="00E0197C">
            <w:pPr>
              <w:rPr>
                <w:rFonts w:ascii="Arial" w:hAnsi="Arial" w:cs="Arial"/>
                <w:b/>
                <w:bCs/>
                <w:color w:val="000000"/>
                <w:sz w:val="18"/>
                <w:szCs w:val="18"/>
              </w:rPr>
            </w:pPr>
          </w:p>
        </w:tc>
        <w:tc>
          <w:tcPr>
            <w:tcW w:w="5519" w:type="dxa"/>
            <w:vMerge/>
            <w:vAlign w:val="center"/>
            <w:hideMark/>
          </w:tcPr>
          <w:p w:rsidR="00987EE0" w:rsidRPr="00987EE0" w:rsidRDefault="00987EE0" w:rsidP="00E0197C">
            <w:pPr>
              <w:rPr>
                <w:rFonts w:ascii="Arial" w:hAnsi="Arial" w:cs="Arial"/>
                <w:b/>
                <w:bCs/>
                <w:color w:val="000000"/>
                <w:sz w:val="18"/>
                <w:szCs w:val="18"/>
              </w:rPr>
            </w:pPr>
          </w:p>
        </w:tc>
        <w:tc>
          <w:tcPr>
            <w:tcW w:w="1842" w:type="dxa"/>
            <w:gridSpan w:val="2"/>
            <w:vMerge/>
            <w:vAlign w:val="center"/>
            <w:hideMark/>
          </w:tcPr>
          <w:p w:rsidR="00987EE0" w:rsidRPr="00987EE0" w:rsidRDefault="00987EE0" w:rsidP="00E0197C">
            <w:pPr>
              <w:rPr>
                <w:rFonts w:ascii="Arial" w:hAnsi="Arial" w:cs="Arial"/>
                <w:b/>
                <w:bCs/>
                <w:color w:val="000000"/>
                <w:sz w:val="18"/>
                <w:szCs w:val="18"/>
              </w:rPr>
            </w:pPr>
          </w:p>
        </w:tc>
      </w:tr>
      <w:tr w:rsidR="00987EE0" w:rsidRPr="00987EE0" w:rsidTr="00987EE0">
        <w:trPr>
          <w:trHeight w:val="380"/>
        </w:trPr>
        <w:tc>
          <w:tcPr>
            <w:tcW w:w="9073" w:type="dxa"/>
            <w:gridSpan w:val="2"/>
            <w:shd w:val="clear" w:color="000000" w:fill="C5D9F1"/>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SATISFACTION SUR L'OFFRE DE SERVICES</w:t>
            </w:r>
          </w:p>
        </w:tc>
        <w:tc>
          <w:tcPr>
            <w:tcW w:w="992" w:type="dxa"/>
            <w:shd w:val="clear" w:color="auto" w:fill="C6D9F1" w:themeFill="text2" w:themeFillTint="33"/>
            <w:noWrap/>
            <w:vAlign w:val="center"/>
            <w:hideMark/>
          </w:tcPr>
          <w:p w:rsidR="00987EE0" w:rsidRPr="00987EE0" w:rsidRDefault="00987EE0" w:rsidP="00987EE0">
            <w:pPr>
              <w:jc w:val="center"/>
              <w:rPr>
                <w:rFonts w:ascii="Arial" w:hAnsi="Arial" w:cs="Arial"/>
                <w:b/>
                <w:bCs/>
                <w:color w:val="000000"/>
                <w:sz w:val="18"/>
                <w:szCs w:val="18"/>
              </w:rPr>
            </w:pPr>
            <w:r w:rsidRPr="00987EE0">
              <w:rPr>
                <w:rFonts w:ascii="Arial" w:hAnsi="Arial" w:cs="Arial"/>
                <w:b/>
                <w:bCs/>
                <w:color w:val="000000"/>
                <w:sz w:val="18"/>
                <w:szCs w:val="18"/>
              </w:rPr>
              <w:t xml:space="preserve">2010 </w:t>
            </w:r>
          </w:p>
        </w:tc>
        <w:tc>
          <w:tcPr>
            <w:tcW w:w="850" w:type="dxa"/>
            <w:shd w:val="clear" w:color="auto" w:fill="C6D9F1" w:themeFill="text2" w:themeFillTint="33"/>
            <w:noWrap/>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2015/2016</w:t>
            </w:r>
          </w:p>
        </w:tc>
      </w:tr>
      <w:tr w:rsidR="00987EE0" w:rsidRPr="00987EE0" w:rsidTr="00941B3F">
        <w:trPr>
          <w:trHeight w:val="286"/>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le nombre des agences bancaires</w:t>
            </w:r>
          </w:p>
        </w:tc>
        <w:tc>
          <w:tcPr>
            <w:tcW w:w="5519" w:type="dxa"/>
            <w:shd w:val="clear" w:color="auto" w:fill="auto"/>
            <w:vAlign w:val="bottom"/>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(Effectif de "Très suffisant" + "Suffisant") / (Effectif de "Très suffisant" +"Suffisant" + "Non Suffi</w:t>
            </w:r>
            <w:r w:rsidR="00D0133E">
              <w:rPr>
                <w:rFonts w:ascii="Arial" w:hAnsi="Arial" w:cs="Arial"/>
                <w:color w:val="000000"/>
                <w:sz w:val="18"/>
                <w:szCs w:val="18"/>
              </w:rPr>
              <w:t>sant" + "Pas du tout Suffisant"</w:t>
            </w:r>
            <w:r w:rsidRPr="00987EE0">
              <w:rPr>
                <w:rFonts w:ascii="Arial" w:hAnsi="Arial" w:cs="Arial"/>
                <w:color w:val="000000"/>
                <w:sz w:val="18"/>
                <w:szCs w:val="18"/>
              </w:rPr>
              <w:t>)</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sz w:val="18"/>
                <w:szCs w:val="18"/>
              </w:rPr>
            </w:pPr>
            <w:r w:rsidRPr="00175346">
              <w:rPr>
                <w:rFonts w:ascii="Arial" w:hAnsi="Arial" w:cs="Arial"/>
                <w:sz w:val="18"/>
                <w:szCs w:val="18"/>
              </w:rPr>
              <w:t>64,5%</w:t>
            </w:r>
          </w:p>
        </w:tc>
        <w:tc>
          <w:tcPr>
            <w:tcW w:w="850"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47,3%</w:t>
            </w:r>
          </w:p>
        </w:tc>
      </w:tr>
      <w:tr w:rsidR="00987EE0" w:rsidRPr="00987EE0" w:rsidTr="00941B3F">
        <w:trPr>
          <w:trHeight w:val="214"/>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le nombre de caisses fonctionnelles</w:t>
            </w:r>
          </w:p>
        </w:tc>
        <w:tc>
          <w:tcPr>
            <w:tcW w:w="5519" w:type="dxa"/>
            <w:shd w:val="clear" w:color="auto" w:fill="auto"/>
            <w:vAlign w:val="bottom"/>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(Effectif de "Très suffisant" + "Suffisant") / (Effectif de "Très suffisant" +"Suffisant" + "Non Suffi</w:t>
            </w:r>
            <w:r w:rsidR="00D0133E">
              <w:rPr>
                <w:rFonts w:ascii="Arial" w:hAnsi="Arial" w:cs="Arial"/>
                <w:color w:val="000000"/>
                <w:sz w:val="18"/>
                <w:szCs w:val="18"/>
              </w:rPr>
              <w:t>sant" + "Pas du tout Suffisant"</w:t>
            </w:r>
            <w:r w:rsidRPr="00987EE0">
              <w:rPr>
                <w:rFonts w:ascii="Arial" w:hAnsi="Arial" w:cs="Arial"/>
                <w:color w:val="000000"/>
                <w:sz w:val="18"/>
                <w:szCs w:val="18"/>
              </w:rPr>
              <w:t>)</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47,5%</w:t>
            </w:r>
          </w:p>
        </w:tc>
        <w:tc>
          <w:tcPr>
            <w:tcW w:w="850"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34,4%</w:t>
            </w:r>
          </w:p>
        </w:tc>
      </w:tr>
      <w:tr w:rsidR="00987EE0" w:rsidRPr="00987EE0" w:rsidTr="00941B3F">
        <w:trPr>
          <w:trHeight w:val="298"/>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la durée de traitement des opérations de caisse</w:t>
            </w:r>
          </w:p>
        </w:tc>
        <w:tc>
          <w:tcPr>
            <w:tcW w:w="5519" w:type="dxa"/>
            <w:shd w:val="clear" w:color="auto" w:fill="auto"/>
            <w:vAlign w:val="bottom"/>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(Effectif de "Très satisfaisante" + "Satisfaisante") / (Effectif de "Très satisfaisante" +"Satisfaisante" + "Non satisfaisante</w:t>
            </w:r>
            <w:r w:rsidR="00D0133E">
              <w:rPr>
                <w:rFonts w:ascii="Arial" w:hAnsi="Arial" w:cs="Arial"/>
                <w:color w:val="000000"/>
                <w:sz w:val="18"/>
                <w:szCs w:val="18"/>
              </w:rPr>
              <w:t>" + "Pas du tout satisfaisante"</w:t>
            </w:r>
            <w:r w:rsidRPr="00987EE0">
              <w:rPr>
                <w:rFonts w:ascii="Arial" w:hAnsi="Arial" w:cs="Arial"/>
                <w:color w:val="000000"/>
                <w:sz w:val="18"/>
                <w:szCs w:val="18"/>
              </w:rPr>
              <w:t>)</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58,2%</w:t>
            </w:r>
          </w:p>
        </w:tc>
        <w:tc>
          <w:tcPr>
            <w:tcW w:w="850"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43,2%</w:t>
            </w:r>
          </w:p>
        </w:tc>
      </w:tr>
      <w:tr w:rsidR="00987EE0" w:rsidRPr="00987EE0" w:rsidTr="00941B3F">
        <w:trPr>
          <w:trHeight w:val="70"/>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Pourcentage de clients possédant une carte bancaire</w:t>
            </w:r>
          </w:p>
        </w:tc>
        <w:tc>
          <w:tcPr>
            <w:tcW w:w="5519" w:type="dxa"/>
            <w:shd w:val="clear" w:color="auto" w:fill="auto"/>
            <w:vAlign w:val="bottom"/>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Nombre de clients possédant une carte de leur banque principale / Nombre de clients de cette banque principale</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72,8%</w:t>
            </w:r>
          </w:p>
        </w:tc>
        <w:tc>
          <w:tcPr>
            <w:tcW w:w="850"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73,2%</w:t>
            </w:r>
          </w:p>
        </w:tc>
      </w:tr>
      <w:tr w:rsidR="00987EE0" w:rsidRPr="00987EE0" w:rsidTr="00941B3F">
        <w:trPr>
          <w:trHeight w:val="144"/>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le nombre de GAB</w:t>
            </w:r>
          </w:p>
        </w:tc>
        <w:tc>
          <w:tcPr>
            <w:tcW w:w="5519" w:type="dxa"/>
            <w:shd w:val="clear" w:color="auto" w:fill="auto"/>
            <w:vAlign w:val="bottom"/>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(Effectif de "Très suffisant" + "Suffisant") / (Effectif de "Très suffisant" +"Suffisant" + "Non Suffi</w:t>
            </w:r>
            <w:r w:rsidR="00D0133E">
              <w:rPr>
                <w:rFonts w:ascii="Arial" w:hAnsi="Arial" w:cs="Arial"/>
                <w:color w:val="000000"/>
                <w:sz w:val="18"/>
                <w:szCs w:val="18"/>
              </w:rPr>
              <w:t>sant" + "Pas du tout Suffisant"</w:t>
            </w:r>
            <w:r w:rsidRPr="00987EE0">
              <w:rPr>
                <w:rFonts w:ascii="Arial" w:hAnsi="Arial" w:cs="Arial"/>
                <w:color w:val="000000"/>
                <w:sz w:val="18"/>
                <w:szCs w:val="18"/>
              </w:rPr>
              <w:t>)</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58,2%</w:t>
            </w:r>
          </w:p>
        </w:tc>
        <w:tc>
          <w:tcPr>
            <w:tcW w:w="850"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49,8%</w:t>
            </w:r>
          </w:p>
        </w:tc>
      </w:tr>
      <w:tr w:rsidR="00987EE0" w:rsidRPr="00987EE0" w:rsidTr="00941B3F">
        <w:trPr>
          <w:trHeight w:val="123"/>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la répartition des GAB</w:t>
            </w:r>
          </w:p>
        </w:tc>
        <w:tc>
          <w:tcPr>
            <w:tcW w:w="5519" w:type="dxa"/>
            <w:shd w:val="clear" w:color="auto" w:fill="auto"/>
            <w:vAlign w:val="bottom"/>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(Effectif de "Très bonne" + "Bonne") / (Effectif de "Très Bonne" +"Bonne"</w:t>
            </w:r>
            <w:r w:rsidR="00D0133E">
              <w:rPr>
                <w:rFonts w:ascii="Arial" w:hAnsi="Arial" w:cs="Arial"/>
                <w:color w:val="000000"/>
                <w:sz w:val="18"/>
                <w:szCs w:val="18"/>
              </w:rPr>
              <w:t xml:space="preserve"> + "Mauvaise" + "Très mauvaise"</w:t>
            </w:r>
            <w:r w:rsidRPr="00987EE0">
              <w:rPr>
                <w:rFonts w:ascii="Arial" w:hAnsi="Arial" w:cs="Arial"/>
                <w:color w:val="000000"/>
                <w:sz w:val="18"/>
                <w:szCs w:val="18"/>
              </w:rPr>
              <w:t>)</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61,9%</w:t>
            </w:r>
          </w:p>
        </w:tc>
        <w:tc>
          <w:tcPr>
            <w:tcW w:w="850"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51,5%</w:t>
            </w:r>
          </w:p>
        </w:tc>
      </w:tr>
      <w:tr w:rsidR="00987EE0" w:rsidRPr="00987EE0" w:rsidTr="00941B3F">
        <w:trPr>
          <w:trHeight w:val="468"/>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le fonctionnement des GAB</w:t>
            </w:r>
          </w:p>
        </w:tc>
        <w:tc>
          <w:tcPr>
            <w:tcW w:w="5519" w:type="dxa"/>
            <w:shd w:val="clear" w:color="auto" w:fill="auto"/>
            <w:vAlign w:val="bottom"/>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(Effectif de "Rarement en panne" + "Jamais en panne") / ( Effectif de "Très Souvent en panne" +"Souvent en panne" + "Rarement en panne" + "Jamais en panne" )</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41,8%</w:t>
            </w:r>
          </w:p>
        </w:tc>
        <w:tc>
          <w:tcPr>
            <w:tcW w:w="850" w:type="dxa"/>
            <w:shd w:val="clear" w:color="auto" w:fill="FFFFFF" w:themeFill="background1"/>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38,1%</w:t>
            </w:r>
          </w:p>
        </w:tc>
      </w:tr>
      <w:tr w:rsidR="00987EE0" w:rsidRPr="00987EE0" w:rsidTr="00941B3F">
        <w:trPr>
          <w:trHeight w:val="208"/>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la sécurité des GAB</w:t>
            </w:r>
          </w:p>
        </w:tc>
        <w:tc>
          <w:tcPr>
            <w:tcW w:w="5519" w:type="dxa"/>
            <w:shd w:val="clear" w:color="auto" w:fill="auto"/>
            <w:vAlign w:val="bottom"/>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(Effectif de "Très sécurisé" + "Sécurisé") / (Effectif de "Très sécurisé" +"Sécurisé" + "Non sécurisé" + "Très mal sécurisé</w:t>
            </w:r>
            <w:r w:rsidR="00D0133E">
              <w:rPr>
                <w:rFonts w:ascii="Arial" w:hAnsi="Arial" w:cs="Arial"/>
                <w:color w:val="000000"/>
                <w:sz w:val="18"/>
                <w:szCs w:val="18"/>
              </w:rPr>
              <w:t>"</w:t>
            </w:r>
            <w:r w:rsidRPr="00987EE0">
              <w:rPr>
                <w:rFonts w:ascii="Arial" w:hAnsi="Arial" w:cs="Arial"/>
                <w:color w:val="000000"/>
                <w:sz w:val="18"/>
                <w:szCs w:val="18"/>
              </w:rPr>
              <w:t>)</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83,6%</w:t>
            </w:r>
          </w:p>
        </w:tc>
        <w:tc>
          <w:tcPr>
            <w:tcW w:w="850"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98,2%</w:t>
            </w:r>
          </w:p>
        </w:tc>
      </w:tr>
      <w:tr w:rsidR="00987EE0" w:rsidRPr="00987EE0" w:rsidTr="00941B3F">
        <w:trPr>
          <w:trHeight w:val="328"/>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le délai de renouvellement de la carte bancaire</w:t>
            </w:r>
          </w:p>
        </w:tc>
        <w:tc>
          <w:tcPr>
            <w:tcW w:w="5519" w:type="dxa"/>
            <w:shd w:val="clear" w:color="auto" w:fill="auto"/>
            <w:vAlign w:val="bottom"/>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(Effectif de "Très Correct" + "Correct") / ( Effectif de "Très long +"Lon</w:t>
            </w:r>
            <w:r w:rsidR="00D0133E">
              <w:rPr>
                <w:rFonts w:ascii="Arial" w:hAnsi="Arial" w:cs="Arial"/>
                <w:color w:val="000000"/>
                <w:sz w:val="18"/>
                <w:szCs w:val="18"/>
              </w:rPr>
              <w:t>g" + "Très Correct" + "Correct"</w:t>
            </w:r>
            <w:r w:rsidRPr="00987EE0">
              <w:rPr>
                <w:rFonts w:ascii="Arial" w:hAnsi="Arial" w:cs="Arial"/>
                <w:color w:val="000000"/>
                <w:sz w:val="18"/>
                <w:szCs w:val="18"/>
              </w:rPr>
              <w:t>)</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54,6%</w:t>
            </w:r>
          </w:p>
        </w:tc>
        <w:tc>
          <w:tcPr>
            <w:tcW w:w="850"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80,5%</w:t>
            </w:r>
          </w:p>
        </w:tc>
      </w:tr>
      <w:tr w:rsidR="00987EE0" w:rsidRPr="00987EE0" w:rsidTr="00941B3F">
        <w:trPr>
          <w:trHeight w:val="582"/>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Pourcentage des clients ayant émis des virements domestiques lors des trois dernières années</w:t>
            </w:r>
          </w:p>
        </w:tc>
        <w:tc>
          <w:tcPr>
            <w:tcW w:w="5519" w:type="dxa"/>
            <w:shd w:val="clear" w:color="auto" w:fill="auto"/>
            <w:vAlign w:val="center"/>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(Effectif de "Oui") / (Effectif</w:t>
            </w:r>
            <w:r>
              <w:rPr>
                <w:rFonts w:ascii="Arial" w:hAnsi="Arial" w:cs="Arial"/>
                <w:color w:val="000000"/>
                <w:sz w:val="18"/>
                <w:szCs w:val="18"/>
              </w:rPr>
              <w:t xml:space="preserve"> de "Oui + "Non"</w:t>
            </w:r>
            <w:r w:rsidRPr="00987EE0">
              <w:rPr>
                <w:rFonts w:ascii="Arial" w:hAnsi="Arial" w:cs="Arial"/>
                <w:color w:val="000000"/>
                <w:sz w:val="18"/>
                <w:szCs w:val="18"/>
              </w:rPr>
              <w:t>)</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22,2%</w:t>
            </w:r>
          </w:p>
        </w:tc>
        <w:tc>
          <w:tcPr>
            <w:tcW w:w="850"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11,1%</w:t>
            </w:r>
          </w:p>
        </w:tc>
      </w:tr>
      <w:tr w:rsidR="00987EE0" w:rsidRPr="00987EE0" w:rsidTr="00941B3F">
        <w:trPr>
          <w:trHeight w:val="92"/>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la durée de traitement des virements domestiques</w:t>
            </w:r>
          </w:p>
        </w:tc>
        <w:tc>
          <w:tcPr>
            <w:tcW w:w="5519" w:type="dxa"/>
            <w:shd w:val="clear" w:color="auto" w:fill="auto"/>
            <w:vAlign w:val="bottom"/>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(Effectif de "Acceptable" + "Courte") / ( Effectif de "Très long +"Long" +  "Acceptable" + "Courte")</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73,9%</w:t>
            </w:r>
          </w:p>
        </w:tc>
        <w:tc>
          <w:tcPr>
            <w:tcW w:w="850"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70,9%</w:t>
            </w:r>
          </w:p>
        </w:tc>
      </w:tr>
      <w:tr w:rsidR="00987EE0" w:rsidRPr="00987EE0" w:rsidTr="00941B3F">
        <w:trPr>
          <w:trHeight w:val="102"/>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Pourcentage des clients ayant émis des transferts vers l'étranger lors des trois dernières années</w:t>
            </w:r>
          </w:p>
        </w:tc>
        <w:tc>
          <w:tcPr>
            <w:tcW w:w="5519" w:type="dxa"/>
            <w:shd w:val="clear" w:color="auto" w:fill="auto"/>
            <w:vAlign w:val="center"/>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(Effectif de "Oui") / (Effectif</w:t>
            </w:r>
            <w:r>
              <w:rPr>
                <w:rFonts w:ascii="Arial" w:hAnsi="Arial" w:cs="Arial"/>
                <w:color w:val="000000"/>
                <w:sz w:val="18"/>
                <w:szCs w:val="18"/>
              </w:rPr>
              <w:t xml:space="preserve"> de "Oui + "Non"</w:t>
            </w:r>
            <w:r w:rsidRPr="00987EE0">
              <w:rPr>
                <w:rFonts w:ascii="Arial" w:hAnsi="Arial" w:cs="Arial"/>
                <w:color w:val="000000"/>
                <w:sz w:val="18"/>
                <w:szCs w:val="18"/>
              </w:rPr>
              <w:t>)</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9,0%</w:t>
            </w:r>
          </w:p>
        </w:tc>
        <w:tc>
          <w:tcPr>
            <w:tcW w:w="850"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4,9%</w:t>
            </w:r>
          </w:p>
        </w:tc>
      </w:tr>
      <w:tr w:rsidR="00987EE0" w:rsidRPr="00987EE0" w:rsidTr="00941B3F">
        <w:trPr>
          <w:trHeight w:val="283"/>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la durée de traitement des transferts vers l'étranger</w:t>
            </w:r>
          </w:p>
        </w:tc>
        <w:tc>
          <w:tcPr>
            <w:tcW w:w="5519" w:type="dxa"/>
            <w:shd w:val="clear" w:color="auto" w:fill="auto"/>
            <w:vAlign w:val="bottom"/>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(Effectif de "Correcte" + "Très correcte") / ( Effectif de "Très long +"Long" +  "Correcte" + "Très correcte")</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67,1%</w:t>
            </w:r>
          </w:p>
        </w:tc>
        <w:tc>
          <w:tcPr>
            <w:tcW w:w="850"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56,6%</w:t>
            </w:r>
          </w:p>
        </w:tc>
      </w:tr>
      <w:tr w:rsidR="00987EE0" w:rsidRPr="00987EE0" w:rsidTr="00941B3F">
        <w:trPr>
          <w:trHeight w:val="70"/>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Pourcentage des clients ayant reçu des transferts en provenance de l'étranger lors des trois dernières années</w:t>
            </w:r>
          </w:p>
        </w:tc>
        <w:tc>
          <w:tcPr>
            <w:tcW w:w="5519" w:type="dxa"/>
            <w:shd w:val="clear" w:color="auto" w:fill="auto"/>
            <w:vAlign w:val="center"/>
            <w:hideMark/>
          </w:tcPr>
          <w:p w:rsidR="00987EE0" w:rsidRPr="00987EE0" w:rsidRDefault="00987EE0" w:rsidP="00987EE0">
            <w:pPr>
              <w:jc w:val="both"/>
              <w:rPr>
                <w:rFonts w:ascii="Arial" w:hAnsi="Arial" w:cs="Arial"/>
                <w:color w:val="000000"/>
                <w:sz w:val="18"/>
                <w:szCs w:val="18"/>
              </w:rPr>
            </w:pPr>
            <w:r w:rsidRPr="00987EE0">
              <w:rPr>
                <w:rFonts w:ascii="Arial" w:hAnsi="Arial" w:cs="Arial"/>
                <w:color w:val="000000"/>
                <w:sz w:val="18"/>
                <w:szCs w:val="18"/>
              </w:rPr>
              <w:t>(Effectif de "Oui") / (Effectif</w:t>
            </w:r>
            <w:r>
              <w:rPr>
                <w:rFonts w:ascii="Arial" w:hAnsi="Arial" w:cs="Arial"/>
                <w:color w:val="000000"/>
                <w:sz w:val="18"/>
                <w:szCs w:val="18"/>
              </w:rPr>
              <w:t xml:space="preserve"> de "Oui + "Non"</w:t>
            </w:r>
            <w:r w:rsidRPr="00987EE0">
              <w:rPr>
                <w:rFonts w:ascii="Arial" w:hAnsi="Arial" w:cs="Arial"/>
                <w:color w:val="000000"/>
                <w:sz w:val="18"/>
                <w:szCs w:val="18"/>
              </w:rPr>
              <w:t>)</w:t>
            </w:r>
          </w:p>
        </w:tc>
        <w:tc>
          <w:tcPr>
            <w:tcW w:w="992"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17,0%</w:t>
            </w:r>
          </w:p>
        </w:tc>
        <w:tc>
          <w:tcPr>
            <w:tcW w:w="850" w:type="dxa"/>
            <w:shd w:val="clear" w:color="auto" w:fill="FFFFFF" w:themeFill="background1"/>
            <w:noWrap/>
            <w:vAlign w:val="center"/>
            <w:hideMark/>
          </w:tcPr>
          <w:p w:rsidR="00987EE0" w:rsidRPr="00175346" w:rsidRDefault="00987EE0" w:rsidP="00E0197C">
            <w:pPr>
              <w:jc w:val="center"/>
              <w:rPr>
                <w:rFonts w:ascii="Arial" w:hAnsi="Arial" w:cs="Arial"/>
                <w:b/>
                <w:bCs/>
                <w:sz w:val="18"/>
                <w:szCs w:val="18"/>
              </w:rPr>
            </w:pPr>
            <w:r w:rsidRPr="00175346">
              <w:rPr>
                <w:rFonts w:ascii="Arial" w:hAnsi="Arial" w:cs="Arial"/>
                <w:b/>
                <w:bCs/>
                <w:sz w:val="18"/>
                <w:szCs w:val="18"/>
              </w:rPr>
              <w:t>9,8%</w:t>
            </w:r>
          </w:p>
        </w:tc>
      </w:tr>
      <w:tr w:rsidR="00987EE0" w:rsidRPr="00987EE0" w:rsidTr="00941B3F">
        <w:trPr>
          <w:trHeight w:val="70"/>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la durée de traitement des transferts en provenance de l'étranger</w:t>
            </w:r>
          </w:p>
        </w:tc>
        <w:tc>
          <w:tcPr>
            <w:tcW w:w="5519" w:type="dxa"/>
            <w:shd w:val="clear" w:color="auto" w:fill="auto"/>
            <w:vAlign w:val="bottom"/>
            <w:hideMark/>
          </w:tcPr>
          <w:p w:rsidR="00987EE0" w:rsidRPr="00987EE0" w:rsidRDefault="00987EE0" w:rsidP="00E0197C">
            <w:pPr>
              <w:rPr>
                <w:rFonts w:ascii="Arial" w:hAnsi="Arial" w:cs="Arial"/>
                <w:color w:val="000000"/>
                <w:sz w:val="18"/>
                <w:szCs w:val="18"/>
              </w:rPr>
            </w:pPr>
            <w:r w:rsidRPr="00987EE0">
              <w:rPr>
                <w:rFonts w:ascii="Arial" w:hAnsi="Arial" w:cs="Arial"/>
                <w:color w:val="000000"/>
                <w:sz w:val="18"/>
                <w:szCs w:val="18"/>
              </w:rPr>
              <w:t>(Effectif de   "Correcte" + "Très correcte") / ( Effectif de "Très long +"Long" +  "Correcte" + "Très correcte")</w:t>
            </w:r>
          </w:p>
        </w:tc>
        <w:tc>
          <w:tcPr>
            <w:tcW w:w="992" w:type="dxa"/>
            <w:shd w:val="clear" w:color="auto" w:fill="FFFFFF" w:themeFill="background1"/>
            <w:noWrap/>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67,0%</w:t>
            </w:r>
          </w:p>
        </w:tc>
        <w:tc>
          <w:tcPr>
            <w:tcW w:w="850" w:type="dxa"/>
            <w:shd w:val="clear" w:color="auto" w:fill="FFFFFF" w:themeFill="background1"/>
            <w:noWrap/>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62,6%</w:t>
            </w:r>
          </w:p>
        </w:tc>
      </w:tr>
      <w:tr w:rsidR="00987EE0" w:rsidRPr="00987EE0" w:rsidTr="00941B3F">
        <w:trPr>
          <w:trHeight w:val="175"/>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Pourcentage des clients n'ayant jamais décelé une irrégularité dans leur relevé de compte</w:t>
            </w:r>
          </w:p>
        </w:tc>
        <w:tc>
          <w:tcPr>
            <w:tcW w:w="5519" w:type="dxa"/>
            <w:shd w:val="clear" w:color="auto" w:fill="auto"/>
            <w:vAlign w:val="bottom"/>
            <w:hideMark/>
          </w:tcPr>
          <w:p w:rsidR="00987EE0" w:rsidRPr="00987EE0" w:rsidRDefault="00987EE0" w:rsidP="00E0197C">
            <w:pPr>
              <w:rPr>
                <w:rFonts w:ascii="Arial" w:hAnsi="Arial" w:cs="Arial"/>
                <w:color w:val="000000"/>
                <w:sz w:val="18"/>
                <w:szCs w:val="18"/>
              </w:rPr>
            </w:pPr>
            <w:r w:rsidRPr="00987EE0">
              <w:rPr>
                <w:rFonts w:ascii="Arial" w:hAnsi="Arial" w:cs="Arial"/>
                <w:color w:val="000000"/>
                <w:sz w:val="18"/>
                <w:szCs w:val="18"/>
              </w:rPr>
              <w:t>(Effectif de   "Jamais") / ( Effectif de "Très souvent +"Souvent" +  "Rarement" + "Jamais")</w:t>
            </w:r>
          </w:p>
        </w:tc>
        <w:tc>
          <w:tcPr>
            <w:tcW w:w="992" w:type="dxa"/>
            <w:shd w:val="clear" w:color="auto" w:fill="FFFFFF" w:themeFill="background1"/>
            <w:noWrap/>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64,8%</w:t>
            </w:r>
          </w:p>
        </w:tc>
        <w:tc>
          <w:tcPr>
            <w:tcW w:w="850" w:type="dxa"/>
            <w:shd w:val="clear" w:color="auto" w:fill="FFFFFF" w:themeFill="background1"/>
            <w:noWrap/>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69,6%</w:t>
            </w:r>
          </w:p>
        </w:tc>
      </w:tr>
      <w:tr w:rsidR="00987EE0" w:rsidRPr="00987EE0" w:rsidTr="00941B3F">
        <w:trPr>
          <w:trHeight w:val="70"/>
        </w:trPr>
        <w:tc>
          <w:tcPr>
            <w:tcW w:w="3554" w:type="dxa"/>
            <w:shd w:val="clear" w:color="auto" w:fill="auto"/>
            <w:vAlign w:val="bottom"/>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les délais de renouvellement du chéquier</w:t>
            </w:r>
          </w:p>
        </w:tc>
        <w:tc>
          <w:tcPr>
            <w:tcW w:w="5519" w:type="dxa"/>
            <w:shd w:val="clear" w:color="auto" w:fill="auto"/>
            <w:vAlign w:val="bottom"/>
            <w:hideMark/>
          </w:tcPr>
          <w:p w:rsidR="00987EE0" w:rsidRPr="00987EE0" w:rsidRDefault="00987EE0" w:rsidP="00E0197C">
            <w:pPr>
              <w:rPr>
                <w:rFonts w:ascii="Arial" w:hAnsi="Arial" w:cs="Arial"/>
                <w:color w:val="000000"/>
                <w:sz w:val="18"/>
                <w:szCs w:val="18"/>
              </w:rPr>
            </w:pPr>
            <w:r w:rsidRPr="00987EE0">
              <w:rPr>
                <w:rFonts w:ascii="Arial" w:hAnsi="Arial" w:cs="Arial"/>
                <w:color w:val="000000"/>
                <w:sz w:val="18"/>
                <w:szCs w:val="18"/>
              </w:rPr>
              <w:t>(Effectif de   "Correcte" + "Très correcte") / ( Effectif de "Très long +"Long" +  "Correcte" + "Très correcte")</w:t>
            </w:r>
          </w:p>
        </w:tc>
        <w:tc>
          <w:tcPr>
            <w:tcW w:w="992" w:type="dxa"/>
            <w:shd w:val="clear" w:color="auto" w:fill="FFFFFF" w:themeFill="background1"/>
            <w:noWrap/>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87,4%</w:t>
            </w:r>
          </w:p>
        </w:tc>
        <w:tc>
          <w:tcPr>
            <w:tcW w:w="850" w:type="dxa"/>
            <w:shd w:val="clear" w:color="auto" w:fill="FFFFFF" w:themeFill="background1"/>
            <w:noWrap/>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79,3%</w:t>
            </w:r>
          </w:p>
        </w:tc>
      </w:tr>
      <w:tr w:rsidR="00987EE0" w:rsidRPr="00987EE0" w:rsidTr="00941B3F">
        <w:trPr>
          <w:trHeight w:val="176"/>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les dates de valeur</w:t>
            </w:r>
          </w:p>
        </w:tc>
        <w:tc>
          <w:tcPr>
            <w:tcW w:w="5519" w:type="dxa"/>
            <w:shd w:val="clear" w:color="auto" w:fill="auto"/>
            <w:vAlign w:val="bottom"/>
            <w:hideMark/>
          </w:tcPr>
          <w:p w:rsidR="00987EE0" w:rsidRPr="00987EE0" w:rsidRDefault="00987EE0" w:rsidP="00E0197C">
            <w:pPr>
              <w:rPr>
                <w:rFonts w:ascii="Arial" w:hAnsi="Arial" w:cs="Arial"/>
                <w:color w:val="000000"/>
                <w:sz w:val="18"/>
                <w:szCs w:val="18"/>
              </w:rPr>
            </w:pPr>
            <w:r w:rsidRPr="00987EE0">
              <w:rPr>
                <w:rFonts w:ascii="Arial" w:hAnsi="Arial" w:cs="Arial"/>
                <w:color w:val="000000"/>
                <w:sz w:val="18"/>
                <w:szCs w:val="18"/>
              </w:rPr>
              <w:t>(Effectif de "Très satisfaisante" + "Satisfaisante") / (Effectif de "Très satisfaisante" +"Satisfaisante" + "Non satisfaisante" + "Pas du tout satisfaisante</w:t>
            </w:r>
            <w:proofErr w:type="gramStart"/>
            <w:r w:rsidRPr="00987EE0">
              <w:rPr>
                <w:rFonts w:ascii="Arial" w:hAnsi="Arial" w:cs="Arial"/>
                <w:color w:val="000000"/>
                <w:sz w:val="18"/>
                <w:szCs w:val="18"/>
              </w:rPr>
              <w:t>" )</w:t>
            </w:r>
            <w:proofErr w:type="gramEnd"/>
          </w:p>
        </w:tc>
        <w:tc>
          <w:tcPr>
            <w:tcW w:w="992" w:type="dxa"/>
            <w:shd w:val="clear" w:color="auto" w:fill="FFFFFF" w:themeFill="background1"/>
            <w:noWrap/>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73,9%</w:t>
            </w:r>
          </w:p>
        </w:tc>
        <w:tc>
          <w:tcPr>
            <w:tcW w:w="850" w:type="dxa"/>
            <w:shd w:val="clear" w:color="auto" w:fill="FFFFFF" w:themeFill="background1"/>
            <w:noWrap/>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57,7%</w:t>
            </w:r>
          </w:p>
        </w:tc>
      </w:tr>
      <w:tr w:rsidR="00987EE0" w:rsidRPr="00987EE0" w:rsidTr="00941B3F">
        <w:trPr>
          <w:trHeight w:val="70"/>
        </w:trPr>
        <w:tc>
          <w:tcPr>
            <w:tcW w:w="3554" w:type="dxa"/>
            <w:shd w:val="clear" w:color="auto" w:fill="auto"/>
            <w:vAlign w:val="center"/>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l'adéquation entre les produits bancaires et leurs besoins</w:t>
            </w:r>
          </w:p>
        </w:tc>
        <w:tc>
          <w:tcPr>
            <w:tcW w:w="5519" w:type="dxa"/>
            <w:shd w:val="clear" w:color="auto" w:fill="auto"/>
            <w:vAlign w:val="bottom"/>
            <w:hideMark/>
          </w:tcPr>
          <w:p w:rsidR="00987EE0" w:rsidRPr="00987EE0" w:rsidRDefault="00987EE0" w:rsidP="00E0197C">
            <w:pPr>
              <w:rPr>
                <w:rFonts w:ascii="Arial" w:hAnsi="Arial" w:cs="Arial"/>
                <w:color w:val="000000"/>
                <w:sz w:val="18"/>
                <w:szCs w:val="18"/>
              </w:rPr>
            </w:pPr>
            <w:r w:rsidRPr="00987EE0">
              <w:rPr>
                <w:rFonts w:ascii="Arial" w:hAnsi="Arial" w:cs="Arial"/>
                <w:color w:val="000000"/>
                <w:sz w:val="18"/>
                <w:szCs w:val="18"/>
              </w:rPr>
              <w:t>(Effectif de "Très adaptés" + "Adaptés") / (Effectif de "Très adaptés" + "Adaptés + "Non adaptés" + "Pas du tout adaptés")</w:t>
            </w:r>
          </w:p>
        </w:tc>
        <w:tc>
          <w:tcPr>
            <w:tcW w:w="992" w:type="dxa"/>
            <w:shd w:val="clear" w:color="auto" w:fill="FFFFFF" w:themeFill="background1"/>
            <w:noWrap/>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51,4%</w:t>
            </w:r>
          </w:p>
        </w:tc>
        <w:tc>
          <w:tcPr>
            <w:tcW w:w="850" w:type="dxa"/>
            <w:shd w:val="clear" w:color="auto" w:fill="FFFFFF" w:themeFill="background1"/>
            <w:noWrap/>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48,1%</w:t>
            </w:r>
          </w:p>
        </w:tc>
      </w:tr>
      <w:tr w:rsidR="00987EE0" w:rsidRPr="00987EE0" w:rsidTr="00941B3F">
        <w:trPr>
          <w:trHeight w:val="462"/>
        </w:trPr>
        <w:tc>
          <w:tcPr>
            <w:tcW w:w="3554" w:type="dxa"/>
            <w:shd w:val="clear" w:color="auto" w:fill="auto"/>
            <w:vAlign w:val="bottom"/>
            <w:hideMark/>
          </w:tcPr>
          <w:p w:rsidR="00987EE0" w:rsidRPr="00987EE0" w:rsidRDefault="00987EE0" w:rsidP="00987EE0">
            <w:pPr>
              <w:jc w:val="both"/>
              <w:rPr>
                <w:rFonts w:ascii="Arial" w:hAnsi="Arial" w:cs="Arial"/>
                <w:b/>
                <w:color w:val="000000"/>
                <w:sz w:val="18"/>
                <w:szCs w:val="18"/>
              </w:rPr>
            </w:pPr>
            <w:r w:rsidRPr="00987EE0">
              <w:rPr>
                <w:rFonts w:ascii="Arial" w:hAnsi="Arial" w:cs="Arial"/>
                <w:b/>
                <w:color w:val="000000"/>
                <w:sz w:val="18"/>
                <w:szCs w:val="18"/>
              </w:rPr>
              <w:t>Taux de satisfaction sur l'adéquation entre les produits bancaires et leurs revenus</w:t>
            </w:r>
          </w:p>
        </w:tc>
        <w:tc>
          <w:tcPr>
            <w:tcW w:w="5519" w:type="dxa"/>
            <w:shd w:val="clear" w:color="auto" w:fill="auto"/>
            <w:vAlign w:val="bottom"/>
            <w:hideMark/>
          </w:tcPr>
          <w:p w:rsidR="00987EE0" w:rsidRPr="00987EE0" w:rsidRDefault="00987EE0" w:rsidP="00E0197C">
            <w:pPr>
              <w:rPr>
                <w:rFonts w:ascii="Arial" w:hAnsi="Arial" w:cs="Arial"/>
                <w:color w:val="000000"/>
                <w:sz w:val="18"/>
                <w:szCs w:val="18"/>
              </w:rPr>
            </w:pPr>
            <w:r w:rsidRPr="00987EE0">
              <w:rPr>
                <w:rFonts w:ascii="Arial" w:hAnsi="Arial" w:cs="Arial"/>
                <w:color w:val="000000"/>
                <w:sz w:val="18"/>
                <w:szCs w:val="18"/>
              </w:rPr>
              <w:t>(Effectif de "Très adaptés" + "Adaptés") / (Effectif de "Très adaptés" + "Adaptés" + "Non adaptés" + "Pas du tout adaptés")</w:t>
            </w:r>
          </w:p>
        </w:tc>
        <w:tc>
          <w:tcPr>
            <w:tcW w:w="992" w:type="dxa"/>
            <w:shd w:val="clear" w:color="auto" w:fill="FFFFFF" w:themeFill="background1"/>
            <w:noWrap/>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59,1%</w:t>
            </w:r>
          </w:p>
        </w:tc>
        <w:tc>
          <w:tcPr>
            <w:tcW w:w="850" w:type="dxa"/>
            <w:shd w:val="clear" w:color="auto" w:fill="FFFFFF" w:themeFill="background1"/>
            <w:noWrap/>
            <w:vAlign w:val="center"/>
            <w:hideMark/>
          </w:tcPr>
          <w:p w:rsidR="00987EE0" w:rsidRPr="00987EE0" w:rsidRDefault="00987EE0" w:rsidP="00E0197C">
            <w:pPr>
              <w:jc w:val="center"/>
              <w:rPr>
                <w:rFonts w:ascii="Arial" w:hAnsi="Arial" w:cs="Arial"/>
                <w:b/>
                <w:bCs/>
                <w:color w:val="000000"/>
                <w:sz w:val="18"/>
                <w:szCs w:val="18"/>
              </w:rPr>
            </w:pPr>
            <w:r w:rsidRPr="00987EE0">
              <w:rPr>
                <w:rFonts w:ascii="Arial" w:hAnsi="Arial" w:cs="Arial"/>
                <w:b/>
                <w:bCs/>
                <w:color w:val="000000"/>
                <w:sz w:val="18"/>
                <w:szCs w:val="18"/>
              </w:rPr>
              <w:t>52,7%</w:t>
            </w:r>
          </w:p>
        </w:tc>
      </w:tr>
    </w:tbl>
    <w:p w:rsidR="00987EE0" w:rsidRDefault="00987EE0" w:rsidP="00987EE0">
      <w:r>
        <w:br w:type="page"/>
      </w:r>
    </w:p>
    <w:tbl>
      <w:tblPr>
        <w:tblW w:w="10794" w:type="dxa"/>
        <w:tblInd w:w="-639" w:type="dxa"/>
        <w:tblCellMar>
          <w:left w:w="70" w:type="dxa"/>
          <w:right w:w="70" w:type="dxa"/>
        </w:tblCellMar>
        <w:tblLook w:val="04A0"/>
      </w:tblPr>
      <w:tblGrid>
        <w:gridCol w:w="3597"/>
        <w:gridCol w:w="4780"/>
        <w:gridCol w:w="129"/>
        <w:gridCol w:w="1071"/>
        <w:gridCol w:w="63"/>
        <w:gridCol w:w="1154"/>
      </w:tblGrid>
      <w:tr w:rsidR="00987EE0" w:rsidRPr="00987EE0" w:rsidTr="00941B3F">
        <w:trPr>
          <w:trHeight w:val="221"/>
        </w:trPr>
        <w:tc>
          <w:tcPr>
            <w:tcW w:w="8506" w:type="dxa"/>
            <w:gridSpan w:val="3"/>
            <w:tcBorders>
              <w:top w:val="single" w:sz="4" w:space="0" w:color="auto"/>
              <w:left w:val="single" w:sz="4" w:space="0" w:color="auto"/>
              <w:bottom w:val="single" w:sz="4" w:space="0" w:color="auto"/>
              <w:right w:val="single" w:sz="4" w:space="0" w:color="auto"/>
            </w:tcBorders>
            <w:shd w:val="clear" w:color="000000" w:fill="C5D9F1"/>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lastRenderedPageBreak/>
              <w:t>SATISFACTION SUR LES COÛTS</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C5D9F1"/>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2010</w:t>
            </w:r>
          </w:p>
        </w:tc>
        <w:tc>
          <w:tcPr>
            <w:tcW w:w="1154"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2015/2016</w:t>
            </w:r>
          </w:p>
        </w:tc>
      </w:tr>
      <w:tr w:rsidR="00987EE0" w:rsidRPr="00987EE0" w:rsidTr="00941B3F">
        <w:trPr>
          <w:trHeight w:val="266"/>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le coût de la carte bancaire</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175346">
            <w:pPr>
              <w:contextualSpacing/>
              <w:jc w:val="both"/>
              <w:rPr>
                <w:rFonts w:ascii="Arial" w:hAnsi="Arial" w:cs="Arial"/>
                <w:color w:val="000000"/>
                <w:sz w:val="18"/>
                <w:szCs w:val="18"/>
              </w:rPr>
            </w:pPr>
            <w:r w:rsidRPr="00987EE0">
              <w:rPr>
                <w:rFonts w:ascii="Arial" w:hAnsi="Arial" w:cs="Arial"/>
                <w:color w:val="000000"/>
                <w:sz w:val="18"/>
                <w:szCs w:val="18"/>
              </w:rPr>
              <w:t xml:space="preserve">(Effectif de "Très Raisonnable" + "Raisonnable") / </w:t>
            </w:r>
            <w:r w:rsidR="00175346" w:rsidRPr="00987EE0">
              <w:rPr>
                <w:rFonts w:ascii="Arial" w:hAnsi="Arial" w:cs="Arial"/>
                <w:color w:val="000000"/>
                <w:sz w:val="18"/>
                <w:szCs w:val="18"/>
              </w:rPr>
              <w:t>(Effectif</w:t>
            </w:r>
            <w:r w:rsidRPr="00987EE0">
              <w:rPr>
                <w:rFonts w:ascii="Arial" w:hAnsi="Arial" w:cs="Arial"/>
                <w:color w:val="000000"/>
                <w:sz w:val="18"/>
                <w:szCs w:val="18"/>
              </w:rPr>
              <w:t xml:space="preserve"> de "Très Raisonnable" + "Raisonnable" + "Elevé" + "Très </w:t>
            </w:r>
            <w:r w:rsidR="00175346" w:rsidRPr="00987EE0">
              <w:rPr>
                <w:rFonts w:ascii="Arial" w:hAnsi="Arial" w:cs="Arial"/>
                <w:color w:val="000000"/>
                <w:sz w:val="18"/>
                <w:szCs w:val="18"/>
              </w:rPr>
              <w:t>élevé</w:t>
            </w:r>
            <w:proofErr w:type="gramStart"/>
            <w:r w:rsidRPr="00987EE0">
              <w:rPr>
                <w:rFonts w:ascii="Arial" w:hAnsi="Arial" w:cs="Arial"/>
                <w:color w:val="000000"/>
                <w:sz w:val="18"/>
                <w:szCs w:val="18"/>
              </w:rPr>
              <w:t>" )</w:t>
            </w:r>
            <w:proofErr w:type="gramEnd"/>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38,5%</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28,6%</w:t>
            </w:r>
          </w:p>
        </w:tc>
      </w:tr>
      <w:tr w:rsidR="00987EE0" w:rsidRPr="00987EE0" w:rsidTr="00941B3F">
        <w:trPr>
          <w:trHeight w:val="568"/>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Pourcentage des clients ayant déjà utilisé les services des GAB hors du réseau de leur banque principale</w:t>
            </w:r>
          </w:p>
        </w:tc>
        <w:tc>
          <w:tcPr>
            <w:tcW w:w="4909" w:type="dxa"/>
            <w:gridSpan w:val="2"/>
            <w:tcBorders>
              <w:top w:val="nil"/>
              <w:left w:val="nil"/>
              <w:bottom w:val="single" w:sz="4" w:space="0" w:color="auto"/>
              <w:right w:val="single" w:sz="4" w:space="0" w:color="auto"/>
            </w:tcBorders>
            <w:shd w:val="clear" w:color="auto" w:fill="auto"/>
            <w:vAlign w:val="center"/>
            <w:hideMark/>
          </w:tcPr>
          <w:p w:rsidR="00987EE0" w:rsidRPr="00987EE0" w:rsidRDefault="00987EE0" w:rsidP="00175346">
            <w:pPr>
              <w:contextualSpacing/>
              <w:jc w:val="both"/>
              <w:rPr>
                <w:rFonts w:ascii="Arial" w:hAnsi="Arial" w:cs="Arial"/>
                <w:color w:val="000000"/>
                <w:sz w:val="18"/>
                <w:szCs w:val="18"/>
              </w:rPr>
            </w:pPr>
            <w:r w:rsidRPr="00987EE0">
              <w:rPr>
                <w:rFonts w:ascii="Arial" w:hAnsi="Arial" w:cs="Arial"/>
                <w:color w:val="000000"/>
                <w:sz w:val="18"/>
                <w:szCs w:val="18"/>
              </w:rPr>
              <w:t>(Effectif de   "Oui</w:t>
            </w:r>
            <w:proofErr w:type="gramStart"/>
            <w:r w:rsidRPr="00987EE0">
              <w:rPr>
                <w:rFonts w:ascii="Arial" w:hAnsi="Arial" w:cs="Arial"/>
                <w:color w:val="000000"/>
                <w:sz w:val="18"/>
                <w:szCs w:val="18"/>
              </w:rPr>
              <w:t>" )</w:t>
            </w:r>
            <w:proofErr w:type="gramEnd"/>
            <w:r w:rsidRPr="00987EE0">
              <w:rPr>
                <w:rFonts w:ascii="Arial" w:hAnsi="Arial" w:cs="Arial"/>
                <w:color w:val="000000"/>
                <w:sz w:val="18"/>
                <w:szCs w:val="18"/>
              </w:rPr>
              <w:t xml:space="preserve"> / ( Effectif de "Oui +"Non")</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31,1%</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30,1%</w:t>
            </w:r>
          </w:p>
        </w:tc>
      </w:tr>
      <w:tr w:rsidR="00987EE0" w:rsidRPr="00987EE0" w:rsidTr="00941B3F">
        <w:trPr>
          <w:trHeight w:val="506"/>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le coût des opérations effectuées hors du réseau de GAB de leur banque principale</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175346">
            <w:pPr>
              <w:contextualSpacing/>
              <w:jc w:val="both"/>
              <w:rPr>
                <w:rFonts w:ascii="Arial" w:hAnsi="Arial" w:cs="Arial"/>
                <w:color w:val="000000"/>
                <w:sz w:val="18"/>
                <w:szCs w:val="18"/>
              </w:rPr>
            </w:pPr>
            <w:r w:rsidRPr="00987EE0">
              <w:rPr>
                <w:rFonts w:ascii="Arial" w:hAnsi="Arial" w:cs="Arial"/>
                <w:color w:val="000000"/>
                <w:sz w:val="18"/>
                <w:szCs w:val="18"/>
              </w:rPr>
              <w:t xml:space="preserve">(Effectif de "Très Raisonnable" + "Raisonnable") / </w:t>
            </w:r>
            <w:proofErr w:type="gramStart"/>
            <w:r w:rsidRPr="00987EE0">
              <w:rPr>
                <w:rFonts w:ascii="Arial" w:hAnsi="Arial" w:cs="Arial"/>
                <w:color w:val="000000"/>
                <w:sz w:val="18"/>
                <w:szCs w:val="18"/>
              </w:rPr>
              <w:t>( Effectif</w:t>
            </w:r>
            <w:proofErr w:type="gramEnd"/>
            <w:r w:rsidRPr="00987EE0">
              <w:rPr>
                <w:rFonts w:ascii="Arial" w:hAnsi="Arial" w:cs="Arial"/>
                <w:color w:val="000000"/>
                <w:sz w:val="18"/>
                <w:szCs w:val="18"/>
              </w:rPr>
              <w:t xml:space="preserve"> de "Très Raisonnable" + "Raisonnable" + "Elevé" + "Très </w:t>
            </w:r>
            <w:r w:rsidR="00175346" w:rsidRPr="00987EE0">
              <w:rPr>
                <w:rFonts w:ascii="Arial" w:hAnsi="Arial" w:cs="Arial"/>
                <w:color w:val="000000"/>
                <w:sz w:val="18"/>
                <w:szCs w:val="18"/>
              </w:rPr>
              <w:t>élevé</w:t>
            </w:r>
            <w:r w:rsidRPr="00987EE0">
              <w:rPr>
                <w:rFonts w:ascii="Arial" w:hAnsi="Arial" w:cs="Arial"/>
                <w:color w:val="000000"/>
                <w:sz w:val="18"/>
                <w:szCs w:val="18"/>
              </w:rPr>
              <w:t>" )</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25,2%</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28,3%</w:t>
            </w:r>
          </w:p>
        </w:tc>
      </w:tr>
      <w:tr w:rsidR="00987EE0" w:rsidRPr="00987EE0" w:rsidTr="00941B3F">
        <w:trPr>
          <w:trHeight w:val="84"/>
        </w:trPr>
        <w:tc>
          <w:tcPr>
            <w:tcW w:w="3597" w:type="dxa"/>
            <w:tcBorders>
              <w:top w:val="nil"/>
              <w:left w:val="single" w:sz="4" w:space="0" w:color="auto"/>
              <w:bottom w:val="single" w:sz="4" w:space="0" w:color="auto"/>
              <w:right w:val="single" w:sz="4" w:space="0" w:color="auto"/>
            </w:tcBorders>
            <w:shd w:val="clear" w:color="auto" w:fill="auto"/>
            <w:vAlign w:val="bottom"/>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Pourcentage de clients ayant bénéficié d'un prêt parmi les demandeurs lors des trois dernières années</w:t>
            </w:r>
          </w:p>
        </w:tc>
        <w:tc>
          <w:tcPr>
            <w:tcW w:w="4909" w:type="dxa"/>
            <w:gridSpan w:val="2"/>
            <w:tcBorders>
              <w:top w:val="nil"/>
              <w:left w:val="nil"/>
              <w:bottom w:val="single" w:sz="4" w:space="0" w:color="auto"/>
              <w:right w:val="single" w:sz="4" w:space="0" w:color="auto"/>
            </w:tcBorders>
            <w:shd w:val="clear" w:color="auto" w:fill="auto"/>
            <w:vAlign w:val="center"/>
            <w:hideMark/>
          </w:tcPr>
          <w:p w:rsidR="00987EE0" w:rsidRPr="00987EE0" w:rsidRDefault="00987EE0" w:rsidP="00175346">
            <w:pPr>
              <w:contextualSpacing/>
              <w:jc w:val="both"/>
              <w:rPr>
                <w:rFonts w:ascii="Arial" w:hAnsi="Arial" w:cs="Arial"/>
                <w:color w:val="000000"/>
                <w:sz w:val="18"/>
                <w:szCs w:val="18"/>
              </w:rPr>
            </w:pPr>
            <w:r w:rsidRPr="00987EE0">
              <w:rPr>
                <w:rFonts w:ascii="Arial" w:hAnsi="Arial" w:cs="Arial"/>
                <w:color w:val="000000"/>
                <w:sz w:val="18"/>
                <w:szCs w:val="18"/>
              </w:rPr>
              <w:t>(Effectif de   "Oui</w:t>
            </w:r>
            <w:proofErr w:type="gramStart"/>
            <w:r w:rsidRPr="00987EE0">
              <w:rPr>
                <w:rFonts w:ascii="Arial" w:hAnsi="Arial" w:cs="Arial"/>
                <w:color w:val="000000"/>
                <w:sz w:val="18"/>
                <w:szCs w:val="18"/>
              </w:rPr>
              <w:t>" )</w:t>
            </w:r>
            <w:proofErr w:type="gramEnd"/>
            <w:r w:rsidRPr="00987EE0">
              <w:rPr>
                <w:rFonts w:ascii="Arial" w:hAnsi="Arial" w:cs="Arial"/>
                <w:color w:val="000000"/>
                <w:sz w:val="18"/>
                <w:szCs w:val="18"/>
              </w:rPr>
              <w:t xml:space="preserve"> / ( Effectif de "Oui +"Non")</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53,0%</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88,0%</w:t>
            </w:r>
          </w:p>
        </w:tc>
      </w:tr>
      <w:tr w:rsidR="00987EE0" w:rsidRPr="00987EE0" w:rsidTr="00941B3F">
        <w:trPr>
          <w:trHeight w:val="99"/>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les différentes garanties assorties à l'octroi du prêt</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175346">
            <w:pPr>
              <w:contextualSpacing/>
              <w:jc w:val="both"/>
              <w:rPr>
                <w:rFonts w:ascii="Arial" w:hAnsi="Arial" w:cs="Arial"/>
                <w:color w:val="000000"/>
                <w:sz w:val="18"/>
                <w:szCs w:val="18"/>
              </w:rPr>
            </w:pPr>
            <w:r w:rsidRPr="00987EE0">
              <w:rPr>
                <w:rFonts w:ascii="Arial" w:hAnsi="Arial" w:cs="Arial"/>
                <w:color w:val="000000"/>
                <w:sz w:val="18"/>
                <w:szCs w:val="18"/>
              </w:rPr>
              <w:t xml:space="preserve">(Effectif de "Pas contraignantes" + "Pas du tout contraignantes") / </w:t>
            </w:r>
            <w:r w:rsidR="00175346" w:rsidRPr="00987EE0">
              <w:rPr>
                <w:rFonts w:ascii="Arial" w:hAnsi="Arial" w:cs="Arial"/>
                <w:color w:val="000000"/>
                <w:sz w:val="18"/>
                <w:szCs w:val="18"/>
              </w:rPr>
              <w:t>(Effectif</w:t>
            </w:r>
            <w:r w:rsidRPr="00987EE0">
              <w:rPr>
                <w:rFonts w:ascii="Arial" w:hAnsi="Arial" w:cs="Arial"/>
                <w:color w:val="000000"/>
                <w:sz w:val="18"/>
                <w:szCs w:val="18"/>
              </w:rPr>
              <w:t xml:space="preserve"> de "Très </w:t>
            </w:r>
            <w:r w:rsidR="00175346" w:rsidRPr="00987EE0">
              <w:rPr>
                <w:rFonts w:ascii="Arial" w:hAnsi="Arial" w:cs="Arial"/>
                <w:color w:val="000000"/>
                <w:sz w:val="18"/>
                <w:szCs w:val="18"/>
              </w:rPr>
              <w:t>contraignantes</w:t>
            </w:r>
            <w:r w:rsidRPr="00987EE0">
              <w:rPr>
                <w:rFonts w:ascii="Arial" w:hAnsi="Arial" w:cs="Arial"/>
                <w:color w:val="000000"/>
                <w:sz w:val="18"/>
                <w:szCs w:val="18"/>
              </w:rPr>
              <w:t>" + "Contraignantes" + "Pas contraignantes" + "Pas du tout contraignantes</w:t>
            </w:r>
            <w:proofErr w:type="gramStart"/>
            <w:r w:rsidRPr="00987EE0">
              <w:rPr>
                <w:rFonts w:ascii="Arial" w:hAnsi="Arial" w:cs="Arial"/>
                <w:color w:val="000000"/>
                <w:sz w:val="18"/>
                <w:szCs w:val="18"/>
              </w:rPr>
              <w:t>" )</w:t>
            </w:r>
            <w:proofErr w:type="gramEnd"/>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58,6%</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53,1%</w:t>
            </w:r>
          </w:p>
        </w:tc>
      </w:tr>
      <w:tr w:rsidR="00987EE0" w:rsidRPr="00987EE0" w:rsidTr="00941B3F">
        <w:trPr>
          <w:trHeight w:val="536"/>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les délais de traitement du dossier de demande de prêt</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175346">
            <w:pPr>
              <w:contextualSpacing/>
              <w:jc w:val="both"/>
              <w:rPr>
                <w:rFonts w:ascii="Arial" w:hAnsi="Arial" w:cs="Arial"/>
                <w:color w:val="000000"/>
                <w:sz w:val="18"/>
                <w:szCs w:val="18"/>
              </w:rPr>
            </w:pPr>
            <w:r w:rsidRPr="00987EE0">
              <w:rPr>
                <w:rFonts w:ascii="Arial" w:hAnsi="Arial" w:cs="Arial"/>
                <w:color w:val="000000"/>
                <w:sz w:val="18"/>
                <w:szCs w:val="18"/>
              </w:rPr>
              <w:t xml:space="preserve">(Effectif de "Très Raisonnable" + "Raisonnable") / </w:t>
            </w:r>
            <w:proofErr w:type="gramStart"/>
            <w:r w:rsidRPr="00987EE0">
              <w:rPr>
                <w:rFonts w:ascii="Arial" w:hAnsi="Arial" w:cs="Arial"/>
                <w:color w:val="000000"/>
                <w:sz w:val="18"/>
                <w:szCs w:val="18"/>
              </w:rPr>
              <w:t>( Effectif</w:t>
            </w:r>
            <w:proofErr w:type="gramEnd"/>
            <w:r w:rsidRPr="00987EE0">
              <w:rPr>
                <w:rFonts w:ascii="Arial" w:hAnsi="Arial" w:cs="Arial"/>
                <w:color w:val="000000"/>
                <w:sz w:val="18"/>
                <w:szCs w:val="18"/>
              </w:rPr>
              <w:t xml:space="preserve"> de "Très Raisonnable" + "Raisonnable" + "Long" + "Très long" )</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33,0%</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51,9%</w:t>
            </w:r>
          </w:p>
        </w:tc>
      </w:tr>
      <w:tr w:rsidR="00987EE0" w:rsidRPr="00987EE0" w:rsidTr="00941B3F">
        <w:trPr>
          <w:trHeight w:val="332"/>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le coût du prêt</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175346">
            <w:pPr>
              <w:contextualSpacing/>
              <w:jc w:val="both"/>
              <w:rPr>
                <w:rFonts w:ascii="Arial" w:hAnsi="Arial" w:cs="Arial"/>
                <w:color w:val="000000"/>
                <w:sz w:val="18"/>
                <w:szCs w:val="18"/>
              </w:rPr>
            </w:pPr>
            <w:r w:rsidRPr="00987EE0">
              <w:rPr>
                <w:rFonts w:ascii="Arial" w:hAnsi="Arial" w:cs="Arial"/>
                <w:color w:val="000000"/>
                <w:sz w:val="18"/>
                <w:szCs w:val="18"/>
              </w:rPr>
              <w:t xml:space="preserve">(Effectif de "Très Raisonnable" + "Raisonnable") / </w:t>
            </w:r>
            <w:proofErr w:type="gramStart"/>
            <w:r w:rsidRPr="00987EE0">
              <w:rPr>
                <w:rFonts w:ascii="Arial" w:hAnsi="Arial" w:cs="Arial"/>
                <w:color w:val="000000"/>
                <w:sz w:val="18"/>
                <w:szCs w:val="18"/>
              </w:rPr>
              <w:t>( Effectif</w:t>
            </w:r>
            <w:proofErr w:type="gramEnd"/>
            <w:r w:rsidRPr="00987EE0">
              <w:rPr>
                <w:rFonts w:ascii="Arial" w:hAnsi="Arial" w:cs="Arial"/>
                <w:color w:val="000000"/>
                <w:sz w:val="18"/>
                <w:szCs w:val="18"/>
              </w:rPr>
              <w:t xml:space="preserve"> de "Très Raisonnable" + "Raisonnable" + "Elevé" + "Très </w:t>
            </w:r>
            <w:r w:rsidR="00175346" w:rsidRPr="00987EE0">
              <w:rPr>
                <w:rFonts w:ascii="Arial" w:hAnsi="Arial" w:cs="Arial"/>
                <w:color w:val="000000"/>
                <w:sz w:val="18"/>
                <w:szCs w:val="18"/>
              </w:rPr>
              <w:t>élevé</w:t>
            </w:r>
            <w:r w:rsidR="00175346">
              <w:rPr>
                <w:rFonts w:ascii="Arial" w:hAnsi="Arial" w:cs="Arial"/>
                <w:color w:val="000000"/>
                <w:sz w:val="18"/>
                <w:szCs w:val="18"/>
              </w:rPr>
              <w:t>"</w:t>
            </w:r>
            <w:r w:rsidRPr="00987EE0">
              <w:rPr>
                <w:rFonts w:ascii="Arial" w:hAnsi="Arial" w:cs="Arial"/>
                <w:color w:val="000000"/>
                <w:sz w:val="18"/>
                <w:szCs w:val="18"/>
              </w:rPr>
              <w:t>)</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27,4%</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9,0%</w:t>
            </w:r>
          </w:p>
        </w:tc>
      </w:tr>
      <w:tr w:rsidR="00987EE0" w:rsidRPr="00987EE0" w:rsidTr="00941B3F">
        <w:trPr>
          <w:trHeight w:val="271"/>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les frais de tenue de compte</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175346">
            <w:pPr>
              <w:contextualSpacing/>
              <w:jc w:val="both"/>
              <w:rPr>
                <w:rFonts w:ascii="Arial" w:hAnsi="Arial" w:cs="Arial"/>
                <w:color w:val="000000"/>
                <w:sz w:val="18"/>
                <w:szCs w:val="18"/>
              </w:rPr>
            </w:pPr>
            <w:r w:rsidRPr="00987EE0">
              <w:rPr>
                <w:rFonts w:ascii="Arial" w:hAnsi="Arial" w:cs="Arial"/>
                <w:color w:val="000000"/>
                <w:sz w:val="18"/>
                <w:szCs w:val="18"/>
              </w:rPr>
              <w:t xml:space="preserve">(Effectif de "Très Raisonnable" + "Raisonnable") / </w:t>
            </w:r>
            <w:r w:rsidR="00175346" w:rsidRPr="00987EE0">
              <w:rPr>
                <w:rFonts w:ascii="Arial" w:hAnsi="Arial" w:cs="Arial"/>
                <w:color w:val="000000"/>
                <w:sz w:val="18"/>
                <w:szCs w:val="18"/>
              </w:rPr>
              <w:t>(Effectif</w:t>
            </w:r>
            <w:r w:rsidRPr="00987EE0">
              <w:rPr>
                <w:rFonts w:ascii="Arial" w:hAnsi="Arial" w:cs="Arial"/>
                <w:color w:val="000000"/>
                <w:sz w:val="18"/>
                <w:szCs w:val="18"/>
              </w:rPr>
              <w:t xml:space="preserve"> de "Très Raisonnable" + "Raison</w:t>
            </w:r>
            <w:r w:rsidR="00175346">
              <w:rPr>
                <w:rFonts w:ascii="Arial" w:hAnsi="Arial" w:cs="Arial"/>
                <w:color w:val="000000"/>
                <w:sz w:val="18"/>
                <w:szCs w:val="18"/>
              </w:rPr>
              <w:t>nable" + "Elevé" + "Très élevé"</w:t>
            </w:r>
            <w:r w:rsidRPr="00987EE0">
              <w:rPr>
                <w:rFonts w:ascii="Arial" w:hAnsi="Arial" w:cs="Arial"/>
                <w:color w:val="000000"/>
                <w:sz w:val="18"/>
                <w:szCs w:val="18"/>
              </w:rPr>
              <w:t>)</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39,0%</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33,7%</w:t>
            </w:r>
          </w:p>
        </w:tc>
      </w:tr>
      <w:tr w:rsidR="00987EE0" w:rsidRPr="00987EE0" w:rsidTr="00941B3F">
        <w:trPr>
          <w:trHeight w:val="70"/>
        </w:trPr>
        <w:tc>
          <w:tcPr>
            <w:tcW w:w="3597" w:type="dxa"/>
            <w:tcBorders>
              <w:top w:val="nil"/>
              <w:left w:val="single" w:sz="4" w:space="0" w:color="auto"/>
              <w:bottom w:val="single" w:sz="4" w:space="0" w:color="auto"/>
              <w:right w:val="single" w:sz="4" w:space="0" w:color="auto"/>
            </w:tcBorders>
            <w:shd w:val="clear" w:color="auto" w:fill="auto"/>
            <w:vAlign w:val="bottom"/>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Pourcentage de clients utilisateurs des services de consultation à distance</w:t>
            </w:r>
          </w:p>
        </w:tc>
        <w:tc>
          <w:tcPr>
            <w:tcW w:w="4909" w:type="dxa"/>
            <w:gridSpan w:val="2"/>
            <w:tcBorders>
              <w:top w:val="nil"/>
              <w:left w:val="nil"/>
              <w:bottom w:val="single" w:sz="4" w:space="0" w:color="auto"/>
              <w:right w:val="single" w:sz="4" w:space="0" w:color="auto"/>
            </w:tcBorders>
            <w:shd w:val="clear" w:color="auto" w:fill="auto"/>
            <w:vAlign w:val="center"/>
            <w:hideMark/>
          </w:tcPr>
          <w:p w:rsidR="00987EE0" w:rsidRPr="00987EE0" w:rsidRDefault="00987EE0" w:rsidP="00175346">
            <w:pPr>
              <w:contextualSpacing/>
              <w:jc w:val="both"/>
              <w:rPr>
                <w:rFonts w:ascii="Arial" w:hAnsi="Arial" w:cs="Arial"/>
                <w:color w:val="000000"/>
                <w:sz w:val="18"/>
                <w:szCs w:val="18"/>
              </w:rPr>
            </w:pPr>
            <w:r w:rsidRPr="00987EE0">
              <w:rPr>
                <w:rFonts w:ascii="Arial" w:hAnsi="Arial" w:cs="Arial"/>
                <w:color w:val="000000"/>
                <w:sz w:val="18"/>
                <w:szCs w:val="18"/>
              </w:rPr>
              <w:t>(Effectif de   "Oui</w:t>
            </w:r>
            <w:r w:rsidR="00175346">
              <w:rPr>
                <w:rFonts w:ascii="Arial" w:hAnsi="Arial" w:cs="Arial"/>
                <w:color w:val="000000"/>
                <w:sz w:val="18"/>
                <w:szCs w:val="18"/>
              </w:rPr>
              <w:t>"</w:t>
            </w:r>
            <w:r w:rsidRPr="00987EE0">
              <w:rPr>
                <w:rFonts w:ascii="Arial" w:hAnsi="Arial" w:cs="Arial"/>
                <w:color w:val="000000"/>
                <w:sz w:val="18"/>
                <w:szCs w:val="18"/>
              </w:rPr>
              <w:t>) / ( Effectif de "Oui +"Non")</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31,6%</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24,3%</w:t>
            </w:r>
          </w:p>
        </w:tc>
      </w:tr>
      <w:tr w:rsidR="00987EE0" w:rsidRPr="00987EE0" w:rsidTr="00941B3F">
        <w:trPr>
          <w:trHeight w:val="72"/>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la qualité des services de consultation à distance</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175346">
            <w:pPr>
              <w:contextualSpacing/>
              <w:jc w:val="both"/>
              <w:rPr>
                <w:rFonts w:ascii="Arial" w:hAnsi="Arial" w:cs="Arial"/>
                <w:color w:val="000000"/>
                <w:sz w:val="18"/>
                <w:szCs w:val="18"/>
              </w:rPr>
            </w:pPr>
            <w:r w:rsidRPr="00987EE0">
              <w:rPr>
                <w:rFonts w:ascii="Arial" w:hAnsi="Arial" w:cs="Arial"/>
                <w:color w:val="000000"/>
                <w:sz w:val="18"/>
                <w:szCs w:val="18"/>
              </w:rPr>
              <w:t xml:space="preserve">(Effectif de "Très satisfaisante" + "Satisfaisante") / </w:t>
            </w:r>
            <w:r w:rsidR="00175346" w:rsidRPr="00987EE0">
              <w:rPr>
                <w:rFonts w:ascii="Arial" w:hAnsi="Arial" w:cs="Arial"/>
                <w:color w:val="000000"/>
                <w:sz w:val="18"/>
                <w:szCs w:val="18"/>
              </w:rPr>
              <w:t>(Effectif</w:t>
            </w:r>
            <w:r w:rsidRPr="00987EE0">
              <w:rPr>
                <w:rFonts w:ascii="Arial" w:hAnsi="Arial" w:cs="Arial"/>
                <w:color w:val="000000"/>
                <w:sz w:val="18"/>
                <w:szCs w:val="18"/>
              </w:rPr>
              <w:t xml:space="preserve"> de "Très satisfaisante" +"Satisfaisante" + "Non satisfaisante</w:t>
            </w:r>
            <w:r w:rsidR="00D0133E">
              <w:rPr>
                <w:rFonts w:ascii="Arial" w:hAnsi="Arial" w:cs="Arial"/>
                <w:color w:val="000000"/>
                <w:sz w:val="18"/>
                <w:szCs w:val="18"/>
              </w:rPr>
              <w:t>" + "Pas du tout satisfaisante"</w:t>
            </w:r>
            <w:r w:rsidRPr="00987EE0">
              <w:rPr>
                <w:rFonts w:ascii="Arial" w:hAnsi="Arial" w:cs="Arial"/>
                <w:color w:val="000000"/>
                <w:sz w:val="18"/>
                <w:szCs w:val="18"/>
              </w:rPr>
              <w:t>)</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81,9%</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75,6%</w:t>
            </w:r>
          </w:p>
        </w:tc>
      </w:tr>
      <w:tr w:rsidR="00987EE0" w:rsidRPr="00987EE0" w:rsidTr="00941B3F">
        <w:trPr>
          <w:trHeight w:val="436"/>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le coût des services de consultation à distance</w:t>
            </w:r>
          </w:p>
        </w:tc>
        <w:tc>
          <w:tcPr>
            <w:tcW w:w="4909" w:type="dxa"/>
            <w:gridSpan w:val="2"/>
            <w:tcBorders>
              <w:top w:val="nil"/>
              <w:left w:val="nil"/>
              <w:bottom w:val="single" w:sz="4" w:space="0" w:color="auto"/>
              <w:right w:val="single" w:sz="4" w:space="0" w:color="auto"/>
            </w:tcBorders>
            <w:shd w:val="clear" w:color="auto" w:fill="auto"/>
            <w:vAlign w:val="bottom"/>
            <w:hideMark/>
          </w:tcPr>
          <w:p w:rsidR="00175346" w:rsidRDefault="00987EE0" w:rsidP="00175346">
            <w:pPr>
              <w:contextualSpacing/>
              <w:jc w:val="both"/>
              <w:rPr>
                <w:rFonts w:ascii="Arial" w:hAnsi="Arial" w:cs="Arial"/>
                <w:color w:val="000000"/>
                <w:sz w:val="18"/>
                <w:szCs w:val="18"/>
              </w:rPr>
            </w:pPr>
            <w:r w:rsidRPr="00987EE0">
              <w:rPr>
                <w:rFonts w:ascii="Arial" w:hAnsi="Arial" w:cs="Arial"/>
                <w:color w:val="000000"/>
                <w:sz w:val="18"/>
                <w:szCs w:val="18"/>
              </w:rPr>
              <w:t xml:space="preserve">(Effectif de "Très Raisonnable" + "Raisonnable") / </w:t>
            </w:r>
          </w:p>
          <w:p w:rsidR="00987EE0" w:rsidRPr="00987EE0" w:rsidRDefault="00175346" w:rsidP="00175346">
            <w:pPr>
              <w:contextualSpacing/>
              <w:jc w:val="both"/>
              <w:rPr>
                <w:rFonts w:ascii="Arial" w:hAnsi="Arial" w:cs="Arial"/>
                <w:color w:val="000000"/>
                <w:sz w:val="18"/>
                <w:szCs w:val="18"/>
              </w:rPr>
            </w:pPr>
            <w:r w:rsidRPr="00987EE0">
              <w:rPr>
                <w:rFonts w:ascii="Arial" w:hAnsi="Arial" w:cs="Arial"/>
                <w:color w:val="000000"/>
                <w:sz w:val="18"/>
                <w:szCs w:val="18"/>
              </w:rPr>
              <w:t>(Effectif</w:t>
            </w:r>
            <w:r w:rsidR="00987EE0" w:rsidRPr="00987EE0">
              <w:rPr>
                <w:rFonts w:ascii="Arial" w:hAnsi="Arial" w:cs="Arial"/>
                <w:color w:val="000000"/>
                <w:sz w:val="18"/>
                <w:szCs w:val="18"/>
              </w:rPr>
              <w:t xml:space="preserve"> de "Très Raisonnable" + "Raisonnable" + "Cher" + "Très Cher</w:t>
            </w:r>
            <w:proofErr w:type="gramStart"/>
            <w:r w:rsidR="00987EE0" w:rsidRPr="00987EE0">
              <w:rPr>
                <w:rFonts w:ascii="Arial" w:hAnsi="Arial" w:cs="Arial"/>
                <w:color w:val="000000"/>
                <w:sz w:val="18"/>
                <w:szCs w:val="18"/>
              </w:rPr>
              <w:t>" )</w:t>
            </w:r>
            <w:proofErr w:type="gramEnd"/>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64,0%</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55,8%</w:t>
            </w:r>
          </w:p>
        </w:tc>
      </w:tr>
      <w:tr w:rsidR="00175346" w:rsidRPr="00987EE0" w:rsidTr="00941B3F">
        <w:trPr>
          <w:trHeight w:val="129"/>
        </w:trPr>
        <w:tc>
          <w:tcPr>
            <w:tcW w:w="10794" w:type="dxa"/>
            <w:gridSpan w:val="6"/>
            <w:tcBorders>
              <w:top w:val="single" w:sz="4" w:space="0" w:color="auto"/>
              <w:left w:val="single" w:sz="4" w:space="0" w:color="auto"/>
              <w:bottom w:val="single" w:sz="4" w:space="0" w:color="auto"/>
              <w:right w:val="single" w:sz="4" w:space="0" w:color="auto"/>
            </w:tcBorders>
            <w:shd w:val="clear" w:color="000000" w:fill="C5D9F1"/>
            <w:vAlign w:val="center"/>
            <w:hideMark/>
          </w:tcPr>
          <w:p w:rsidR="00175346" w:rsidRPr="00987EE0" w:rsidRDefault="00175346" w:rsidP="00175346">
            <w:pPr>
              <w:contextualSpacing/>
              <w:jc w:val="center"/>
              <w:rPr>
                <w:rFonts w:ascii="Arial" w:hAnsi="Arial" w:cs="Arial"/>
                <w:b/>
                <w:bCs/>
                <w:color w:val="000000"/>
                <w:sz w:val="18"/>
                <w:szCs w:val="18"/>
              </w:rPr>
            </w:pPr>
            <w:r w:rsidRPr="00987EE0">
              <w:rPr>
                <w:rFonts w:ascii="Arial" w:hAnsi="Arial" w:cs="Arial"/>
                <w:sz w:val="18"/>
                <w:szCs w:val="18"/>
              </w:rPr>
              <w:br w:type="page"/>
            </w:r>
            <w:r w:rsidRPr="00987EE0">
              <w:rPr>
                <w:rFonts w:ascii="Arial" w:hAnsi="Arial" w:cs="Arial"/>
                <w:b/>
                <w:bCs/>
                <w:color w:val="000000"/>
                <w:sz w:val="18"/>
                <w:szCs w:val="18"/>
              </w:rPr>
              <w:t>SATISFACTION SUR L'ACCESSIBILITE</w:t>
            </w:r>
          </w:p>
        </w:tc>
      </w:tr>
      <w:tr w:rsidR="00987EE0" w:rsidRPr="00987EE0" w:rsidTr="00941B3F">
        <w:trPr>
          <w:trHeight w:val="417"/>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la qualité de l'accessibilité physique des agences bancaires</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175346">
            <w:pPr>
              <w:contextualSpacing/>
              <w:rPr>
                <w:rFonts w:ascii="Arial" w:hAnsi="Arial" w:cs="Arial"/>
                <w:color w:val="000000"/>
                <w:sz w:val="18"/>
                <w:szCs w:val="18"/>
              </w:rPr>
            </w:pPr>
            <w:r w:rsidRPr="00987EE0">
              <w:rPr>
                <w:rFonts w:ascii="Arial" w:hAnsi="Arial" w:cs="Arial"/>
                <w:color w:val="000000"/>
                <w:sz w:val="18"/>
                <w:szCs w:val="18"/>
              </w:rPr>
              <w:t xml:space="preserve">(Effectif de "Très facile" + "Facile") / </w:t>
            </w:r>
            <w:r w:rsidR="00AB129C" w:rsidRPr="00987EE0">
              <w:rPr>
                <w:rFonts w:ascii="Arial" w:hAnsi="Arial" w:cs="Arial"/>
                <w:color w:val="000000"/>
                <w:sz w:val="18"/>
                <w:szCs w:val="18"/>
              </w:rPr>
              <w:t>(Effectif</w:t>
            </w:r>
            <w:r w:rsidRPr="00987EE0">
              <w:rPr>
                <w:rFonts w:ascii="Arial" w:hAnsi="Arial" w:cs="Arial"/>
                <w:color w:val="000000"/>
                <w:sz w:val="18"/>
                <w:szCs w:val="18"/>
              </w:rPr>
              <w:t xml:space="preserve"> de "Très facile" + "Facile" + "Difficile" + "Très difficile</w:t>
            </w:r>
            <w:proofErr w:type="gramStart"/>
            <w:r w:rsidRPr="00987EE0">
              <w:rPr>
                <w:rFonts w:ascii="Arial" w:hAnsi="Arial" w:cs="Arial"/>
                <w:color w:val="000000"/>
                <w:sz w:val="18"/>
                <w:szCs w:val="18"/>
              </w:rPr>
              <w:t>" )</w:t>
            </w:r>
            <w:proofErr w:type="gramEnd"/>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83,0%</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72,8%</w:t>
            </w:r>
          </w:p>
        </w:tc>
      </w:tr>
      <w:tr w:rsidR="00987EE0" w:rsidRPr="00987EE0" w:rsidTr="00941B3F">
        <w:trPr>
          <w:trHeight w:val="498"/>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les horaires de service des agences bancaires</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175346">
            <w:pPr>
              <w:contextualSpacing/>
              <w:rPr>
                <w:rFonts w:ascii="Arial" w:hAnsi="Arial" w:cs="Arial"/>
                <w:color w:val="000000"/>
                <w:sz w:val="18"/>
                <w:szCs w:val="18"/>
              </w:rPr>
            </w:pPr>
            <w:r w:rsidRPr="00987EE0">
              <w:rPr>
                <w:rFonts w:ascii="Arial" w:hAnsi="Arial" w:cs="Arial"/>
                <w:color w:val="000000"/>
                <w:sz w:val="18"/>
                <w:szCs w:val="18"/>
              </w:rPr>
              <w:t xml:space="preserve">(Effectif de "Très adaptés" + "Adaptés") / </w:t>
            </w:r>
            <w:r w:rsidR="00AB129C" w:rsidRPr="00987EE0">
              <w:rPr>
                <w:rFonts w:ascii="Arial" w:hAnsi="Arial" w:cs="Arial"/>
                <w:color w:val="000000"/>
                <w:sz w:val="18"/>
                <w:szCs w:val="18"/>
              </w:rPr>
              <w:t>(Effectif</w:t>
            </w:r>
            <w:r w:rsidRPr="00987EE0">
              <w:rPr>
                <w:rFonts w:ascii="Arial" w:hAnsi="Arial" w:cs="Arial"/>
                <w:color w:val="000000"/>
                <w:sz w:val="18"/>
                <w:szCs w:val="18"/>
              </w:rPr>
              <w:t xml:space="preserve"> de  "Très adaptés" + "Adaptés" + "Inadaptés" + "Très inadaptés</w:t>
            </w:r>
            <w:proofErr w:type="gramStart"/>
            <w:r w:rsidRPr="00987EE0">
              <w:rPr>
                <w:rFonts w:ascii="Arial" w:hAnsi="Arial" w:cs="Arial"/>
                <w:color w:val="000000"/>
                <w:sz w:val="18"/>
                <w:szCs w:val="18"/>
              </w:rPr>
              <w:t>" )</w:t>
            </w:r>
            <w:proofErr w:type="gramEnd"/>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79,6%</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78,6%</w:t>
            </w:r>
          </w:p>
        </w:tc>
      </w:tr>
      <w:tr w:rsidR="00987EE0" w:rsidRPr="00987EE0" w:rsidTr="00941B3F">
        <w:trPr>
          <w:trHeight w:val="151"/>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la qualité de l'accès par téléphone aux agences bancaires</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175346">
            <w:pPr>
              <w:contextualSpacing/>
              <w:rPr>
                <w:rFonts w:ascii="Arial" w:hAnsi="Arial" w:cs="Arial"/>
                <w:color w:val="000000"/>
                <w:sz w:val="18"/>
                <w:szCs w:val="18"/>
              </w:rPr>
            </w:pPr>
            <w:r w:rsidRPr="00987EE0">
              <w:rPr>
                <w:rFonts w:ascii="Arial" w:hAnsi="Arial" w:cs="Arial"/>
                <w:color w:val="000000"/>
                <w:sz w:val="18"/>
                <w:szCs w:val="18"/>
              </w:rPr>
              <w:t xml:space="preserve">(Effectif de "Très facile" + "Facile") / </w:t>
            </w:r>
            <w:r w:rsidR="00AB129C" w:rsidRPr="00987EE0">
              <w:rPr>
                <w:rFonts w:ascii="Arial" w:hAnsi="Arial" w:cs="Arial"/>
                <w:color w:val="000000"/>
                <w:sz w:val="18"/>
                <w:szCs w:val="18"/>
              </w:rPr>
              <w:t>(Effectif</w:t>
            </w:r>
            <w:r w:rsidRPr="00987EE0">
              <w:rPr>
                <w:rFonts w:ascii="Arial" w:hAnsi="Arial" w:cs="Arial"/>
                <w:color w:val="000000"/>
                <w:sz w:val="18"/>
                <w:szCs w:val="18"/>
              </w:rPr>
              <w:t xml:space="preserve"> de "Très facile" + "Facile" +</w:t>
            </w:r>
            <w:r w:rsidR="00D0133E">
              <w:rPr>
                <w:rFonts w:ascii="Arial" w:hAnsi="Arial" w:cs="Arial"/>
                <w:color w:val="000000"/>
                <w:sz w:val="18"/>
                <w:szCs w:val="18"/>
              </w:rPr>
              <w:t xml:space="preserve"> "Difficile" + "Très difficile"</w:t>
            </w:r>
            <w:r w:rsidRPr="00987EE0">
              <w:rPr>
                <w:rFonts w:ascii="Arial" w:hAnsi="Arial" w:cs="Arial"/>
                <w:color w:val="000000"/>
                <w:sz w:val="18"/>
                <w:szCs w:val="18"/>
              </w:rPr>
              <w:t>)</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63,6%</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59,2%</w:t>
            </w:r>
          </w:p>
        </w:tc>
      </w:tr>
      <w:tr w:rsidR="00987EE0" w:rsidRPr="00987EE0" w:rsidTr="00941B3F">
        <w:trPr>
          <w:trHeight w:val="232"/>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la qualité de l'accès par internet à la banque principale</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175346">
            <w:pPr>
              <w:contextualSpacing/>
              <w:rPr>
                <w:rFonts w:ascii="Arial" w:hAnsi="Arial" w:cs="Arial"/>
                <w:color w:val="000000"/>
                <w:sz w:val="18"/>
                <w:szCs w:val="18"/>
              </w:rPr>
            </w:pPr>
            <w:r w:rsidRPr="00987EE0">
              <w:rPr>
                <w:rFonts w:ascii="Arial" w:hAnsi="Arial" w:cs="Arial"/>
                <w:color w:val="000000"/>
                <w:sz w:val="18"/>
                <w:szCs w:val="18"/>
              </w:rPr>
              <w:t xml:space="preserve">(Effectif de "Très facile" + "Facile") / </w:t>
            </w:r>
            <w:r w:rsidR="00AB129C" w:rsidRPr="00987EE0">
              <w:rPr>
                <w:rFonts w:ascii="Arial" w:hAnsi="Arial" w:cs="Arial"/>
                <w:color w:val="000000"/>
                <w:sz w:val="18"/>
                <w:szCs w:val="18"/>
              </w:rPr>
              <w:t>(Effectif</w:t>
            </w:r>
            <w:r w:rsidRPr="00987EE0">
              <w:rPr>
                <w:rFonts w:ascii="Arial" w:hAnsi="Arial" w:cs="Arial"/>
                <w:color w:val="000000"/>
                <w:sz w:val="18"/>
                <w:szCs w:val="18"/>
              </w:rPr>
              <w:t xml:space="preserve"> de "Très facile" + "Facile" +</w:t>
            </w:r>
            <w:r w:rsidR="00D0133E">
              <w:rPr>
                <w:rFonts w:ascii="Arial" w:hAnsi="Arial" w:cs="Arial"/>
                <w:color w:val="000000"/>
                <w:sz w:val="18"/>
                <w:szCs w:val="18"/>
              </w:rPr>
              <w:t xml:space="preserve"> "Difficile" + "Très difficile"</w:t>
            </w:r>
            <w:r w:rsidRPr="00987EE0">
              <w:rPr>
                <w:rFonts w:ascii="Arial" w:hAnsi="Arial" w:cs="Arial"/>
                <w:color w:val="000000"/>
                <w:sz w:val="18"/>
                <w:szCs w:val="18"/>
              </w:rPr>
              <w:t>)</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78,7%</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74,8%</w:t>
            </w:r>
          </w:p>
        </w:tc>
      </w:tr>
      <w:tr w:rsidR="00175346" w:rsidRPr="00987EE0" w:rsidTr="00941B3F">
        <w:trPr>
          <w:trHeight w:val="282"/>
        </w:trPr>
        <w:tc>
          <w:tcPr>
            <w:tcW w:w="10794" w:type="dxa"/>
            <w:gridSpan w:val="6"/>
            <w:tcBorders>
              <w:top w:val="single" w:sz="4" w:space="0" w:color="auto"/>
              <w:left w:val="single" w:sz="4" w:space="0" w:color="auto"/>
              <w:bottom w:val="single" w:sz="4" w:space="0" w:color="auto"/>
              <w:right w:val="single" w:sz="4" w:space="0" w:color="auto"/>
            </w:tcBorders>
            <w:shd w:val="clear" w:color="000000" w:fill="C5D9F1"/>
            <w:vAlign w:val="center"/>
            <w:hideMark/>
          </w:tcPr>
          <w:p w:rsidR="00175346" w:rsidRPr="00987EE0" w:rsidRDefault="00175346"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SATISFACTION SUR LE PERSONNEL</w:t>
            </w:r>
          </w:p>
        </w:tc>
      </w:tr>
      <w:tr w:rsidR="00987EE0" w:rsidRPr="00987EE0" w:rsidTr="00941B3F">
        <w:trPr>
          <w:trHeight w:val="516"/>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941B3F">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la qualité de la relation avec le conseiller en clientèle</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AB129C">
            <w:pPr>
              <w:contextualSpacing/>
              <w:jc w:val="both"/>
              <w:rPr>
                <w:rFonts w:ascii="Arial" w:hAnsi="Arial" w:cs="Arial"/>
                <w:color w:val="000000"/>
                <w:sz w:val="18"/>
                <w:szCs w:val="18"/>
              </w:rPr>
            </w:pPr>
            <w:r w:rsidRPr="00987EE0">
              <w:rPr>
                <w:rFonts w:ascii="Arial" w:hAnsi="Arial" w:cs="Arial"/>
                <w:color w:val="000000"/>
                <w:sz w:val="18"/>
                <w:szCs w:val="18"/>
              </w:rPr>
              <w:t>(Effectif de "Très satisfaisante" + "Satisfaisante") / ( Effectif de "Très satisfaisante" +"Satisfaisante" + "Non satisfaisante" + "Pas du tout satisfaisante"+</w:t>
            </w:r>
            <w:r w:rsidRPr="00987EE0">
              <w:rPr>
                <w:rFonts w:ascii="Arial" w:hAnsi="Arial" w:cs="Arial"/>
                <w:b/>
                <w:bCs/>
                <w:color w:val="000000"/>
                <w:sz w:val="18"/>
                <w:szCs w:val="18"/>
              </w:rPr>
              <w:t>"</w:t>
            </w:r>
            <w:r w:rsidRPr="00AB129C">
              <w:rPr>
                <w:rFonts w:ascii="Arial" w:hAnsi="Arial" w:cs="Arial"/>
                <w:bCs/>
                <w:color w:val="000000"/>
                <w:sz w:val="18"/>
                <w:szCs w:val="18"/>
              </w:rPr>
              <w:t xml:space="preserve">Jamais rencontré" </w:t>
            </w:r>
            <w:r w:rsidRPr="00AB129C">
              <w:rPr>
                <w:rFonts w:ascii="Arial" w:hAnsi="Arial" w:cs="Arial"/>
                <w:color w:val="000000"/>
                <w:sz w:val="18"/>
                <w:szCs w:val="18"/>
              </w:rPr>
              <w:t>)</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75,0%</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48,7%</w:t>
            </w:r>
          </w:p>
        </w:tc>
      </w:tr>
      <w:tr w:rsidR="00987EE0" w:rsidRPr="00987EE0" w:rsidTr="00941B3F">
        <w:trPr>
          <w:trHeight w:val="244"/>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941B3F">
            <w:pPr>
              <w:contextualSpacing/>
              <w:jc w:val="both"/>
              <w:rPr>
                <w:rFonts w:ascii="Arial" w:hAnsi="Arial" w:cs="Arial"/>
                <w:b/>
                <w:color w:val="000000"/>
                <w:sz w:val="18"/>
                <w:szCs w:val="18"/>
              </w:rPr>
            </w:pPr>
            <w:r w:rsidRPr="00175346">
              <w:rPr>
                <w:rFonts w:ascii="Arial" w:hAnsi="Arial" w:cs="Arial"/>
                <w:b/>
                <w:color w:val="000000"/>
                <w:sz w:val="18"/>
                <w:szCs w:val="18"/>
              </w:rPr>
              <w:t xml:space="preserve">Taux de satisfaction sur la qualité de l'accueil du personnel des agences </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AB129C">
            <w:pPr>
              <w:contextualSpacing/>
              <w:jc w:val="both"/>
              <w:rPr>
                <w:rFonts w:ascii="Arial" w:hAnsi="Arial" w:cs="Arial"/>
                <w:color w:val="000000"/>
                <w:sz w:val="18"/>
                <w:szCs w:val="18"/>
              </w:rPr>
            </w:pPr>
            <w:r w:rsidRPr="00987EE0">
              <w:rPr>
                <w:rFonts w:ascii="Arial" w:hAnsi="Arial" w:cs="Arial"/>
                <w:color w:val="000000"/>
                <w:sz w:val="18"/>
                <w:szCs w:val="18"/>
              </w:rPr>
              <w:t xml:space="preserve">(Effectif de "Très courtois" + "Courtois") / </w:t>
            </w:r>
            <w:r w:rsidR="00AB129C" w:rsidRPr="00987EE0">
              <w:rPr>
                <w:rFonts w:ascii="Arial" w:hAnsi="Arial" w:cs="Arial"/>
                <w:color w:val="000000"/>
                <w:sz w:val="18"/>
                <w:szCs w:val="18"/>
              </w:rPr>
              <w:t>(Effectif</w:t>
            </w:r>
            <w:r w:rsidRPr="00987EE0">
              <w:rPr>
                <w:rFonts w:ascii="Arial" w:hAnsi="Arial" w:cs="Arial"/>
                <w:color w:val="000000"/>
                <w:sz w:val="18"/>
                <w:szCs w:val="18"/>
              </w:rPr>
              <w:t xml:space="preserve"> de "Très courtois" + "Courtois" + "Discourtois" + "Très discourtois</w:t>
            </w:r>
            <w:proofErr w:type="gramStart"/>
            <w:r w:rsidRPr="00987EE0">
              <w:rPr>
                <w:rFonts w:ascii="Arial" w:hAnsi="Arial" w:cs="Arial"/>
                <w:b/>
                <w:bCs/>
                <w:color w:val="000000"/>
                <w:sz w:val="18"/>
                <w:szCs w:val="18"/>
              </w:rPr>
              <w:t xml:space="preserve">" </w:t>
            </w:r>
            <w:r w:rsidRPr="00987EE0">
              <w:rPr>
                <w:rFonts w:ascii="Arial" w:hAnsi="Arial" w:cs="Arial"/>
                <w:color w:val="000000"/>
                <w:sz w:val="18"/>
                <w:szCs w:val="18"/>
              </w:rPr>
              <w:t>)</w:t>
            </w:r>
            <w:proofErr w:type="gramEnd"/>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92,4%</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88,2%</w:t>
            </w:r>
          </w:p>
        </w:tc>
      </w:tr>
      <w:tr w:rsidR="00987EE0" w:rsidRPr="00987EE0" w:rsidTr="00941B3F">
        <w:trPr>
          <w:trHeight w:val="286"/>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941B3F">
            <w:pPr>
              <w:contextualSpacing/>
              <w:jc w:val="both"/>
              <w:rPr>
                <w:rFonts w:ascii="Arial" w:hAnsi="Arial" w:cs="Arial"/>
                <w:b/>
                <w:color w:val="000000"/>
                <w:sz w:val="18"/>
                <w:szCs w:val="18"/>
              </w:rPr>
            </w:pPr>
            <w:r w:rsidRPr="00175346">
              <w:rPr>
                <w:rFonts w:ascii="Arial" w:hAnsi="Arial" w:cs="Arial"/>
                <w:b/>
                <w:color w:val="000000"/>
                <w:sz w:val="18"/>
                <w:szCs w:val="18"/>
              </w:rPr>
              <w:t>Pourcentage des clients ayant reçu des informations sur leurs obligations au moment de l'ouverture de leur compte</w:t>
            </w:r>
          </w:p>
        </w:tc>
        <w:tc>
          <w:tcPr>
            <w:tcW w:w="4909" w:type="dxa"/>
            <w:gridSpan w:val="2"/>
            <w:tcBorders>
              <w:top w:val="nil"/>
              <w:left w:val="nil"/>
              <w:bottom w:val="single" w:sz="4" w:space="0" w:color="auto"/>
              <w:right w:val="single" w:sz="4" w:space="0" w:color="auto"/>
            </w:tcBorders>
            <w:shd w:val="clear" w:color="auto" w:fill="auto"/>
            <w:vAlign w:val="center"/>
            <w:hideMark/>
          </w:tcPr>
          <w:p w:rsidR="00987EE0" w:rsidRPr="00987EE0" w:rsidRDefault="00AB129C" w:rsidP="00AB129C">
            <w:pPr>
              <w:contextualSpacing/>
              <w:jc w:val="both"/>
              <w:rPr>
                <w:rFonts w:ascii="Arial" w:hAnsi="Arial" w:cs="Arial"/>
                <w:color w:val="000000"/>
                <w:sz w:val="18"/>
                <w:szCs w:val="18"/>
              </w:rPr>
            </w:pPr>
            <w:r>
              <w:rPr>
                <w:rFonts w:ascii="Arial" w:hAnsi="Arial" w:cs="Arial"/>
                <w:color w:val="000000"/>
                <w:sz w:val="18"/>
                <w:szCs w:val="18"/>
              </w:rPr>
              <w:t>(Effectif de   "Oui"</w:t>
            </w:r>
            <w:r w:rsidR="00987EE0" w:rsidRPr="00987EE0">
              <w:rPr>
                <w:rFonts w:ascii="Arial" w:hAnsi="Arial" w:cs="Arial"/>
                <w:color w:val="000000"/>
                <w:sz w:val="18"/>
                <w:szCs w:val="18"/>
              </w:rPr>
              <w:t>) / ( Effectif de "Oui +"Non")</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73,1%</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74,7%</w:t>
            </w:r>
          </w:p>
        </w:tc>
      </w:tr>
      <w:tr w:rsidR="00987EE0" w:rsidRPr="00987EE0" w:rsidTr="00941B3F">
        <w:trPr>
          <w:trHeight w:val="118"/>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941B3F">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la qualité de l'information fournie sur leurs obligations</w:t>
            </w:r>
          </w:p>
        </w:tc>
        <w:tc>
          <w:tcPr>
            <w:tcW w:w="4909" w:type="dxa"/>
            <w:gridSpan w:val="2"/>
            <w:tcBorders>
              <w:top w:val="nil"/>
              <w:left w:val="nil"/>
              <w:bottom w:val="single" w:sz="4" w:space="0" w:color="auto"/>
              <w:right w:val="single" w:sz="4" w:space="0" w:color="auto"/>
            </w:tcBorders>
            <w:shd w:val="clear" w:color="auto" w:fill="auto"/>
            <w:vAlign w:val="bottom"/>
            <w:hideMark/>
          </w:tcPr>
          <w:p w:rsidR="00987EE0" w:rsidRPr="00987EE0" w:rsidRDefault="00987EE0" w:rsidP="00AB129C">
            <w:pPr>
              <w:contextualSpacing/>
              <w:jc w:val="both"/>
              <w:rPr>
                <w:rFonts w:ascii="Arial" w:hAnsi="Arial" w:cs="Arial"/>
                <w:color w:val="000000"/>
                <w:sz w:val="18"/>
                <w:szCs w:val="18"/>
              </w:rPr>
            </w:pPr>
            <w:r w:rsidRPr="00987EE0">
              <w:rPr>
                <w:rFonts w:ascii="Arial" w:hAnsi="Arial" w:cs="Arial"/>
                <w:color w:val="000000"/>
                <w:sz w:val="18"/>
                <w:szCs w:val="18"/>
              </w:rPr>
              <w:t xml:space="preserve">(Effectif de "Très complètes" + "Complètes") / </w:t>
            </w:r>
            <w:r w:rsidR="00175346" w:rsidRPr="00987EE0">
              <w:rPr>
                <w:rFonts w:ascii="Arial" w:hAnsi="Arial" w:cs="Arial"/>
                <w:color w:val="000000"/>
                <w:sz w:val="18"/>
                <w:szCs w:val="18"/>
              </w:rPr>
              <w:t>(Effectif</w:t>
            </w:r>
            <w:r w:rsidRPr="00987EE0">
              <w:rPr>
                <w:rFonts w:ascii="Arial" w:hAnsi="Arial" w:cs="Arial"/>
                <w:color w:val="000000"/>
                <w:sz w:val="18"/>
                <w:szCs w:val="18"/>
              </w:rPr>
              <w:t xml:space="preserve"> de "Très complètes" + "Complètes" + "Incomplètes" + "Très incomplètes</w:t>
            </w:r>
            <w:r w:rsidRPr="00987EE0">
              <w:rPr>
                <w:rFonts w:ascii="Arial" w:hAnsi="Arial" w:cs="Arial"/>
                <w:b/>
                <w:bCs/>
                <w:color w:val="000000"/>
                <w:sz w:val="18"/>
                <w:szCs w:val="18"/>
              </w:rPr>
              <w:t>"</w:t>
            </w:r>
            <w:r w:rsidRPr="00987EE0">
              <w:rPr>
                <w:rFonts w:ascii="Arial" w:hAnsi="Arial" w:cs="Arial"/>
                <w:color w:val="000000"/>
                <w:sz w:val="18"/>
                <w:szCs w:val="18"/>
              </w:rPr>
              <w:t>)</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64,1%</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39,9%</w:t>
            </w:r>
          </w:p>
        </w:tc>
      </w:tr>
      <w:tr w:rsidR="00987EE0" w:rsidRPr="00987EE0" w:rsidTr="00941B3F">
        <w:trPr>
          <w:trHeight w:val="70"/>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941B3F">
            <w:pPr>
              <w:contextualSpacing/>
              <w:jc w:val="both"/>
              <w:rPr>
                <w:rFonts w:ascii="Arial" w:hAnsi="Arial" w:cs="Arial"/>
                <w:b/>
                <w:color w:val="000000"/>
                <w:sz w:val="18"/>
                <w:szCs w:val="18"/>
              </w:rPr>
            </w:pPr>
            <w:r w:rsidRPr="00175346">
              <w:rPr>
                <w:rFonts w:ascii="Arial" w:hAnsi="Arial" w:cs="Arial"/>
                <w:b/>
                <w:color w:val="000000"/>
                <w:sz w:val="18"/>
                <w:szCs w:val="18"/>
              </w:rPr>
              <w:t>Proportion de clients ayant formulé une (des) réclamation(s)</w:t>
            </w:r>
          </w:p>
        </w:tc>
        <w:tc>
          <w:tcPr>
            <w:tcW w:w="4909" w:type="dxa"/>
            <w:gridSpan w:val="2"/>
            <w:tcBorders>
              <w:top w:val="nil"/>
              <w:left w:val="nil"/>
              <w:bottom w:val="single" w:sz="4" w:space="0" w:color="auto"/>
              <w:right w:val="single" w:sz="4" w:space="0" w:color="auto"/>
            </w:tcBorders>
            <w:shd w:val="clear" w:color="auto" w:fill="auto"/>
            <w:vAlign w:val="center"/>
            <w:hideMark/>
          </w:tcPr>
          <w:p w:rsidR="00987EE0" w:rsidRPr="00987EE0" w:rsidRDefault="00AB129C" w:rsidP="00AB129C">
            <w:pPr>
              <w:contextualSpacing/>
              <w:jc w:val="both"/>
              <w:rPr>
                <w:rFonts w:ascii="Arial" w:hAnsi="Arial" w:cs="Arial"/>
                <w:color w:val="000000"/>
                <w:sz w:val="18"/>
                <w:szCs w:val="18"/>
              </w:rPr>
            </w:pPr>
            <w:r>
              <w:rPr>
                <w:rFonts w:ascii="Arial" w:hAnsi="Arial" w:cs="Arial"/>
                <w:color w:val="000000"/>
                <w:sz w:val="18"/>
                <w:szCs w:val="18"/>
              </w:rPr>
              <w:t>(Effectif de   "Oui"</w:t>
            </w:r>
            <w:r w:rsidR="00987EE0" w:rsidRPr="00987EE0">
              <w:rPr>
                <w:rFonts w:ascii="Arial" w:hAnsi="Arial" w:cs="Arial"/>
                <w:color w:val="000000"/>
                <w:sz w:val="18"/>
                <w:szCs w:val="18"/>
              </w:rPr>
              <w:t>) / ( Effectif de "Oui +"Non")</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28,3%</w:t>
            </w:r>
          </w:p>
        </w:tc>
        <w:tc>
          <w:tcPr>
            <w:tcW w:w="1154" w:type="dxa"/>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26,0%</w:t>
            </w:r>
          </w:p>
        </w:tc>
      </w:tr>
      <w:tr w:rsidR="00987EE0" w:rsidRPr="00987EE0" w:rsidTr="00941B3F">
        <w:trPr>
          <w:trHeight w:val="362"/>
        </w:trPr>
        <w:tc>
          <w:tcPr>
            <w:tcW w:w="3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EE0" w:rsidRPr="00175346" w:rsidRDefault="00987EE0" w:rsidP="00941B3F">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la qualité du suivi des réclamations</w:t>
            </w:r>
          </w:p>
        </w:tc>
        <w:tc>
          <w:tcPr>
            <w:tcW w:w="490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87EE0" w:rsidRPr="00987EE0" w:rsidRDefault="00987EE0" w:rsidP="00175346">
            <w:pPr>
              <w:contextualSpacing/>
              <w:rPr>
                <w:rFonts w:ascii="Arial" w:hAnsi="Arial" w:cs="Arial"/>
                <w:color w:val="000000"/>
                <w:sz w:val="18"/>
                <w:szCs w:val="18"/>
              </w:rPr>
            </w:pPr>
            <w:r w:rsidRPr="00987EE0">
              <w:rPr>
                <w:rFonts w:ascii="Arial" w:hAnsi="Arial" w:cs="Arial"/>
                <w:color w:val="000000"/>
                <w:sz w:val="18"/>
                <w:szCs w:val="18"/>
              </w:rPr>
              <w:t xml:space="preserve">(Effectif de "Très bonne" + "Bonne") / </w:t>
            </w:r>
            <w:r w:rsidR="00175346" w:rsidRPr="00987EE0">
              <w:rPr>
                <w:rFonts w:ascii="Arial" w:hAnsi="Arial" w:cs="Arial"/>
                <w:color w:val="000000"/>
                <w:sz w:val="18"/>
                <w:szCs w:val="18"/>
              </w:rPr>
              <w:t>(Effectif</w:t>
            </w:r>
            <w:r w:rsidRPr="00987EE0">
              <w:rPr>
                <w:rFonts w:ascii="Arial" w:hAnsi="Arial" w:cs="Arial"/>
                <w:color w:val="000000"/>
                <w:sz w:val="18"/>
                <w:szCs w:val="18"/>
              </w:rPr>
              <w:t xml:space="preserve"> de "Très bonne" + "Bonne" + "Mauvaise" + "Très mauvaise)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50,4%</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44,6%</w:t>
            </w:r>
          </w:p>
        </w:tc>
      </w:tr>
      <w:tr w:rsidR="00987EE0" w:rsidRPr="00987EE0" w:rsidTr="00941B3F">
        <w:trPr>
          <w:trHeight w:val="355"/>
        </w:trPr>
        <w:tc>
          <w:tcPr>
            <w:tcW w:w="3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EE0" w:rsidRPr="00175346" w:rsidRDefault="00987EE0" w:rsidP="00941B3F">
            <w:pPr>
              <w:contextualSpacing/>
              <w:jc w:val="both"/>
              <w:rPr>
                <w:rFonts w:ascii="Arial" w:hAnsi="Arial" w:cs="Arial"/>
                <w:b/>
                <w:color w:val="000000"/>
                <w:sz w:val="18"/>
                <w:szCs w:val="18"/>
              </w:rPr>
            </w:pPr>
            <w:r w:rsidRPr="00175346">
              <w:rPr>
                <w:rFonts w:ascii="Arial" w:hAnsi="Arial" w:cs="Arial"/>
                <w:b/>
                <w:color w:val="000000"/>
                <w:sz w:val="18"/>
                <w:szCs w:val="18"/>
              </w:rPr>
              <w:t>Taux de satisfaction sur la qualité de la gestion de leurs comptes</w:t>
            </w:r>
          </w:p>
        </w:tc>
        <w:tc>
          <w:tcPr>
            <w:tcW w:w="49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7EE0" w:rsidRPr="00987EE0" w:rsidRDefault="00987EE0" w:rsidP="00175346">
            <w:pPr>
              <w:contextualSpacing/>
              <w:rPr>
                <w:rFonts w:ascii="Arial" w:hAnsi="Arial" w:cs="Arial"/>
                <w:color w:val="000000"/>
                <w:sz w:val="18"/>
                <w:szCs w:val="18"/>
              </w:rPr>
            </w:pPr>
            <w:r w:rsidRPr="00987EE0">
              <w:rPr>
                <w:rFonts w:ascii="Arial" w:hAnsi="Arial" w:cs="Arial"/>
                <w:color w:val="000000"/>
                <w:sz w:val="18"/>
                <w:szCs w:val="18"/>
              </w:rPr>
              <w:t>(Effectif de   "Oui</w:t>
            </w:r>
            <w:r w:rsidR="00175346" w:rsidRPr="00987EE0">
              <w:rPr>
                <w:rFonts w:ascii="Arial" w:hAnsi="Arial" w:cs="Arial"/>
                <w:color w:val="000000"/>
                <w:sz w:val="18"/>
                <w:szCs w:val="18"/>
              </w:rPr>
              <w:t>»)</w:t>
            </w:r>
            <w:r w:rsidRPr="00987EE0">
              <w:rPr>
                <w:rFonts w:ascii="Arial" w:hAnsi="Arial" w:cs="Arial"/>
                <w:color w:val="000000"/>
                <w:sz w:val="18"/>
                <w:szCs w:val="18"/>
              </w:rPr>
              <w:t xml:space="preserve"> / ( Effectif de "Oui +"Non")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87,0%</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56,5%</w:t>
            </w:r>
          </w:p>
        </w:tc>
      </w:tr>
      <w:tr w:rsidR="00987EE0" w:rsidRPr="00987EE0" w:rsidTr="00941B3F">
        <w:trPr>
          <w:trHeight w:val="360"/>
        </w:trPr>
        <w:tc>
          <w:tcPr>
            <w:tcW w:w="3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jc w:val="both"/>
              <w:rPr>
                <w:rFonts w:ascii="Arial" w:hAnsi="Arial" w:cs="Arial"/>
                <w:b/>
                <w:color w:val="000000"/>
                <w:sz w:val="18"/>
                <w:szCs w:val="18"/>
              </w:rPr>
            </w:pPr>
            <w:r w:rsidRPr="00175346">
              <w:rPr>
                <w:rFonts w:ascii="Arial" w:hAnsi="Arial" w:cs="Arial"/>
                <w:b/>
                <w:color w:val="000000"/>
                <w:sz w:val="18"/>
                <w:szCs w:val="18"/>
              </w:rPr>
              <w:t>Proportion de clients ayant reçu des informations sur les tarifs</w:t>
            </w:r>
          </w:p>
        </w:tc>
        <w:tc>
          <w:tcPr>
            <w:tcW w:w="49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7EE0" w:rsidRPr="00987EE0" w:rsidRDefault="00987EE0" w:rsidP="00175346">
            <w:pPr>
              <w:contextualSpacing/>
              <w:rPr>
                <w:rFonts w:ascii="Arial" w:hAnsi="Arial" w:cs="Arial"/>
                <w:color w:val="000000"/>
                <w:sz w:val="18"/>
                <w:szCs w:val="18"/>
              </w:rPr>
            </w:pPr>
            <w:r w:rsidRPr="00987EE0">
              <w:rPr>
                <w:rFonts w:ascii="Arial" w:hAnsi="Arial" w:cs="Arial"/>
                <w:color w:val="000000"/>
                <w:sz w:val="18"/>
                <w:szCs w:val="18"/>
              </w:rPr>
              <w:t>(Effectif de   "Oui</w:t>
            </w:r>
            <w:r w:rsidR="00175346" w:rsidRPr="00987EE0">
              <w:rPr>
                <w:rFonts w:ascii="Arial" w:hAnsi="Arial" w:cs="Arial"/>
                <w:color w:val="000000"/>
                <w:sz w:val="18"/>
                <w:szCs w:val="18"/>
              </w:rPr>
              <w:t>»)</w:t>
            </w:r>
            <w:r w:rsidRPr="00987EE0">
              <w:rPr>
                <w:rFonts w:ascii="Arial" w:hAnsi="Arial" w:cs="Arial"/>
                <w:color w:val="000000"/>
                <w:sz w:val="18"/>
                <w:szCs w:val="18"/>
              </w:rPr>
              <w:t xml:space="preserve"> / ( Effectif de "Oui +"Non")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55,5%</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59,4%</w:t>
            </w:r>
          </w:p>
        </w:tc>
      </w:tr>
      <w:tr w:rsidR="00941B3F" w:rsidRPr="00987EE0" w:rsidTr="00941B3F">
        <w:trPr>
          <w:trHeight w:val="508"/>
        </w:trPr>
        <w:tc>
          <w:tcPr>
            <w:tcW w:w="10794" w:type="dxa"/>
            <w:gridSpan w:val="6"/>
            <w:tcBorders>
              <w:top w:val="single" w:sz="4" w:space="0" w:color="auto"/>
              <w:left w:val="single" w:sz="4" w:space="0" w:color="auto"/>
              <w:bottom w:val="single" w:sz="4" w:space="0" w:color="auto"/>
              <w:right w:val="single" w:sz="4" w:space="0" w:color="auto"/>
            </w:tcBorders>
            <w:shd w:val="clear" w:color="000000" w:fill="C5D9F1"/>
            <w:vAlign w:val="center"/>
            <w:hideMark/>
          </w:tcPr>
          <w:p w:rsidR="00941B3F" w:rsidRPr="00987EE0" w:rsidRDefault="00941B3F"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lastRenderedPageBreak/>
              <w:t>TURN OVER</w:t>
            </w:r>
            <w:r>
              <w:rPr>
                <w:rFonts w:ascii="Arial" w:hAnsi="Arial" w:cs="Arial"/>
                <w:b/>
                <w:bCs/>
                <w:color w:val="000000"/>
                <w:sz w:val="18"/>
                <w:szCs w:val="18"/>
              </w:rPr>
              <w:t xml:space="preserve"> DE LA CLIENTELE</w:t>
            </w:r>
          </w:p>
        </w:tc>
      </w:tr>
      <w:tr w:rsidR="00987EE0" w:rsidRPr="00987EE0" w:rsidTr="00941B3F">
        <w:trPr>
          <w:trHeight w:val="600"/>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rPr>
                <w:rFonts w:ascii="Arial" w:hAnsi="Arial" w:cs="Arial"/>
                <w:b/>
                <w:color w:val="000000"/>
                <w:sz w:val="18"/>
                <w:szCs w:val="18"/>
              </w:rPr>
            </w:pPr>
            <w:r w:rsidRPr="00175346">
              <w:rPr>
                <w:rFonts w:ascii="Arial" w:hAnsi="Arial" w:cs="Arial"/>
                <w:b/>
                <w:color w:val="000000"/>
                <w:sz w:val="18"/>
                <w:szCs w:val="18"/>
              </w:rPr>
              <w:t>Nombre moyen de comptes chèque ouverts par client</w:t>
            </w:r>
          </w:p>
        </w:tc>
        <w:tc>
          <w:tcPr>
            <w:tcW w:w="4780" w:type="dxa"/>
            <w:tcBorders>
              <w:top w:val="nil"/>
              <w:left w:val="nil"/>
              <w:bottom w:val="single" w:sz="4" w:space="0" w:color="auto"/>
              <w:right w:val="single" w:sz="4" w:space="0" w:color="auto"/>
            </w:tcBorders>
            <w:shd w:val="clear" w:color="auto" w:fill="auto"/>
            <w:vAlign w:val="bottom"/>
            <w:hideMark/>
          </w:tcPr>
          <w:p w:rsidR="00987EE0" w:rsidRPr="00987EE0" w:rsidRDefault="00987EE0" w:rsidP="00175346">
            <w:pPr>
              <w:contextualSpacing/>
              <w:rPr>
                <w:rFonts w:ascii="Arial" w:hAnsi="Arial" w:cs="Arial"/>
                <w:color w:val="000000"/>
                <w:sz w:val="18"/>
                <w:szCs w:val="18"/>
              </w:rPr>
            </w:pPr>
            <w:r w:rsidRPr="00987EE0">
              <w:rPr>
                <w:rFonts w:ascii="Arial" w:hAnsi="Arial" w:cs="Arial"/>
                <w:color w:val="000000"/>
                <w:sz w:val="18"/>
                <w:szCs w:val="18"/>
              </w:rPr>
              <w:t>Nombre total de comptes déclarés ouverts par les enquêtés / Population des enquêtés</w:t>
            </w:r>
          </w:p>
        </w:tc>
        <w:tc>
          <w:tcPr>
            <w:tcW w:w="1200"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1,20</w:t>
            </w:r>
          </w:p>
        </w:tc>
        <w:tc>
          <w:tcPr>
            <w:tcW w:w="1217"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987EE0" w:rsidRDefault="00987EE0" w:rsidP="00175346">
            <w:pPr>
              <w:contextualSpacing/>
              <w:jc w:val="center"/>
              <w:rPr>
                <w:rFonts w:ascii="Arial" w:hAnsi="Arial" w:cs="Arial"/>
                <w:b/>
                <w:bCs/>
                <w:color w:val="000000"/>
                <w:sz w:val="18"/>
                <w:szCs w:val="18"/>
              </w:rPr>
            </w:pPr>
            <w:r w:rsidRPr="00987EE0">
              <w:rPr>
                <w:rFonts w:ascii="Arial" w:hAnsi="Arial" w:cs="Arial"/>
                <w:b/>
                <w:bCs/>
                <w:color w:val="000000"/>
                <w:sz w:val="18"/>
                <w:szCs w:val="18"/>
              </w:rPr>
              <w:t>1,10</w:t>
            </w:r>
          </w:p>
        </w:tc>
      </w:tr>
      <w:tr w:rsidR="00987EE0" w:rsidRPr="00987EE0" w:rsidTr="00941B3F">
        <w:trPr>
          <w:trHeight w:val="314"/>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rPr>
                <w:rFonts w:ascii="Arial" w:hAnsi="Arial" w:cs="Arial"/>
                <w:b/>
                <w:color w:val="000000"/>
                <w:sz w:val="18"/>
                <w:szCs w:val="18"/>
              </w:rPr>
            </w:pPr>
            <w:r w:rsidRPr="00175346">
              <w:rPr>
                <w:rFonts w:ascii="Arial" w:hAnsi="Arial" w:cs="Arial"/>
                <w:b/>
                <w:color w:val="000000"/>
                <w:sz w:val="18"/>
                <w:szCs w:val="18"/>
              </w:rPr>
              <w:t>Pourcentage de clients ayant déjà eu à changer de banque</w:t>
            </w:r>
          </w:p>
        </w:tc>
        <w:tc>
          <w:tcPr>
            <w:tcW w:w="4780" w:type="dxa"/>
            <w:tcBorders>
              <w:top w:val="nil"/>
              <w:left w:val="nil"/>
              <w:bottom w:val="single" w:sz="4" w:space="0" w:color="auto"/>
              <w:right w:val="single" w:sz="4" w:space="0" w:color="auto"/>
            </w:tcBorders>
            <w:shd w:val="clear" w:color="auto" w:fill="auto"/>
            <w:vAlign w:val="center"/>
            <w:hideMark/>
          </w:tcPr>
          <w:p w:rsidR="00987EE0" w:rsidRPr="00987EE0" w:rsidRDefault="00D0133E" w:rsidP="00175346">
            <w:pPr>
              <w:contextualSpacing/>
              <w:rPr>
                <w:rFonts w:ascii="Arial" w:hAnsi="Arial" w:cs="Arial"/>
                <w:color w:val="000000"/>
                <w:sz w:val="18"/>
                <w:szCs w:val="18"/>
              </w:rPr>
            </w:pPr>
            <w:r>
              <w:rPr>
                <w:rFonts w:ascii="Arial" w:hAnsi="Arial" w:cs="Arial"/>
                <w:color w:val="000000"/>
                <w:sz w:val="18"/>
                <w:szCs w:val="18"/>
              </w:rPr>
              <w:t>(Effectif de</w:t>
            </w:r>
            <w:r w:rsidR="00987EE0" w:rsidRPr="00987EE0">
              <w:rPr>
                <w:rFonts w:ascii="Arial" w:hAnsi="Arial" w:cs="Arial"/>
                <w:color w:val="000000"/>
                <w:sz w:val="18"/>
                <w:szCs w:val="18"/>
              </w:rPr>
              <w:t xml:space="preserve"> "Oui</w:t>
            </w:r>
            <w:proofErr w:type="gramStart"/>
            <w:r w:rsidR="00987EE0" w:rsidRPr="00987EE0">
              <w:rPr>
                <w:rFonts w:ascii="Arial" w:hAnsi="Arial" w:cs="Arial"/>
                <w:color w:val="000000"/>
                <w:sz w:val="18"/>
                <w:szCs w:val="18"/>
              </w:rPr>
              <w:t>" )</w:t>
            </w:r>
            <w:proofErr w:type="gramEnd"/>
            <w:r w:rsidR="00987EE0" w:rsidRPr="00987EE0">
              <w:rPr>
                <w:rFonts w:ascii="Arial" w:hAnsi="Arial" w:cs="Arial"/>
                <w:color w:val="000000"/>
                <w:sz w:val="18"/>
                <w:szCs w:val="18"/>
              </w:rPr>
              <w:t xml:space="preserve"> / ( Effectif de "Oui +"Non")</w:t>
            </w:r>
          </w:p>
        </w:tc>
        <w:tc>
          <w:tcPr>
            <w:tcW w:w="1200"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175346" w:rsidRDefault="00987EE0" w:rsidP="00175346">
            <w:pPr>
              <w:contextualSpacing/>
              <w:jc w:val="center"/>
              <w:rPr>
                <w:rFonts w:ascii="Arial" w:hAnsi="Arial" w:cs="Arial"/>
                <w:b/>
                <w:bCs/>
                <w:iCs/>
                <w:color w:val="000000"/>
                <w:sz w:val="18"/>
                <w:szCs w:val="18"/>
              </w:rPr>
            </w:pPr>
            <w:r w:rsidRPr="00175346">
              <w:rPr>
                <w:rFonts w:ascii="Arial" w:hAnsi="Arial" w:cs="Arial"/>
                <w:b/>
                <w:bCs/>
                <w:iCs/>
                <w:color w:val="000000"/>
                <w:sz w:val="18"/>
                <w:szCs w:val="18"/>
              </w:rPr>
              <w:t>27,0%</w:t>
            </w:r>
          </w:p>
        </w:tc>
        <w:tc>
          <w:tcPr>
            <w:tcW w:w="1217"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175346" w:rsidRDefault="00987EE0" w:rsidP="00175346">
            <w:pPr>
              <w:contextualSpacing/>
              <w:jc w:val="center"/>
              <w:rPr>
                <w:rFonts w:ascii="Arial" w:hAnsi="Arial" w:cs="Arial"/>
                <w:b/>
                <w:bCs/>
                <w:color w:val="000000"/>
                <w:sz w:val="18"/>
                <w:szCs w:val="18"/>
              </w:rPr>
            </w:pPr>
            <w:r w:rsidRPr="00175346">
              <w:rPr>
                <w:rFonts w:ascii="Arial" w:hAnsi="Arial" w:cs="Arial"/>
                <w:b/>
                <w:bCs/>
                <w:color w:val="000000"/>
                <w:sz w:val="18"/>
                <w:szCs w:val="18"/>
              </w:rPr>
              <w:t>17,3%</w:t>
            </w:r>
          </w:p>
        </w:tc>
      </w:tr>
      <w:tr w:rsidR="00987EE0" w:rsidRPr="00987EE0" w:rsidTr="00941B3F">
        <w:trPr>
          <w:trHeight w:val="603"/>
        </w:trPr>
        <w:tc>
          <w:tcPr>
            <w:tcW w:w="3597" w:type="dxa"/>
            <w:tcBorders>
              <w:top w:val="nil"/>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rPr>
                <w:rFonts w:ascii="Arial" w:hAnsi="Arial" w:cs="Arial"/>
                <w:b/>
                <w:color w:val="000000"/>
                <w:sz w:val="18"/>
                <w:szCs w:val="18"/>
              </w:rPr>
            </w:pPr>
            <w:r w:rsidRPr="00175346">
              <w:rPr>
                <w:rFonts w:ascii="Arial" w:hAnsi="Arial" w:cs="Arial"/>
                <w:b/>
                <w:color w:val="000000"/>
                <w:sz w:val="18"/>
                <w:szCs w:val="18"/>
              </w:rPr>
              <w:t>Nombre moyen de changement de banque</w:t>
            </w:r>
          </w:p>
        </w:tc>
        <w:tc>
          <w:tcPr>
            <w:tcW w:w="4780" w:type="dxa"/>
            <w:tcBorders>
              <w:top w:val="nil"/>
              <w:left w:val="nil"/>
              <w:bottom w:val="single" w:sz="4" w:space="0" w:color="auto"/>
              <w:right w:val="single" w:sz="4" w:space="0" w:color="auto"/>
            </w:tcBorders>
            <w:shd w:val="clear" w:color="auto" w:fill="auto"/>
            <w:vAlign w:val="center"/>
            <w:hideMark/>
          </w:tcPr>
          <w:p w:rsidR="00987EE0" w:rsidRPr="00987EE0" w:rsidRDefault="00987EE0" w:rsidP="00175346">
            <w:pPr>
              <w:contextualSpacing/>
              <w:rPr>
                <w:rFonts w:ascii="Arial" w:hAnsi="Arial" w:cs="Arial"/>
                <w:color w:val="000000"/>
                <w:sz w:val="18"/>
                <w:szCs w:val="18"/>
              </w:rPr>
            </w:pPr>
            <w:r w:rsidRPr="00987EE0">
              <w:rPr>
                <w:rFonts w:ascii="Arial" w:hAnsi="Arial" w:cs="Arial"/>
                <w:color w:val="000000"/>
                <w:sz w:val="18"/>
                <w:szCs w:val="18"/>
              </w:rPr>
              <w:t xml:space="preserve">(Effectif ayant changé </w:t>
            </w:r>
            <w:r w:rsidR="00D0133E" w:rsidRPr="00987EE0">
              <w:rPr>
                <w:rFonts w:ascii="Arial" w:hAnsi="Arial" w:cs="Arial"/>
                <w:color w:val="000000"/>
                <w:sz w:val="18"/>
                <w:szCs w:val="18"/>
              </w:rPr>
              <w:t>une</w:t>
            </w:r>
            <w:r w:rsidRPr="00987EE0">
              <w:rPr>
                <w:rFonts w:ascii="Arial" w:hAnsi="Arial" w:cs="Arial"/>
                <w:color w:val="000000"/>
                <w:sz w:val="18"/>
                <w:szCs w:val="18"/>
              </w:rPr>
              <w:t xml:space="preserve"> fois * 1 + Effectif ayant changé </w:t>
            </w:r>
            <w:r w:rsidR="00D0133E" w:rsidRPr="00987EE0">
              <w:rPr>
                <w:rFonts w:ascii="Arial" w:hAnsi="Arial" w:cs="Arial"/>
                <w:color w:val="000000"/>
                <w:sz w:val="18"/>
                <w:szCs w:val="18"/>
              </w:rPr>
              <w:t>deux</w:t>
            </w:r>
            <w:r w:rsidRPr="00987EE0">
              <w:rPr>
                <w:rFonts w:ascii="Arial" w:hAnsi="Arial" w:cs="Arial"/>
                <w:color w:val="000000"/>
                <w:sz w:val="18"/>
                <w:szCs w:val="18"/>
              </w:rPr>
              <w:t xml:space="preserve"> fois * 2 + Effectif ayant changé </w:t>
            </w:r>
            <w:r w:rsidR="00D0133E" w:rsidRPr="00987EE0">
              <w:rPr>
                <w:rFonts w:ascii="Arial" w:hAnsi="Arial" w:cs="Arial"/>
                <w:color w:val="000000"/>
                <w:sz w:val="18"/>
                <w:szCs w:val="18"/>
              </w:rPr>
              <w:t xml:space="preserve">plus de deux fois </w:t>
            </w:r>
            <w:r w:rsidRPr="00987EE0">
              <w:rPr>
                <w:rFonts w:ascii="Arial" w:hAnsi="Arial" w:cs="Arial"/>
                <w:color w:val="000000"/>
                <w:sz w:val="18"/>
                <w:szCs w:val="18"/>
              </w:rPr>
              <w:t>* 3) / Effectif ayant eu à changer au moins une fois</w:t>
            </w:r>
          </w:p>
        </w:tc>
        <w:tc>
          <w:tcPr>
            <w:tcW w:w="1200"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175346" w:rsidRDefault="00987EE0" w:rsidP="00175346">
            <w:pPr>
              <w:contextualSpacing/>
              <w:jc w:val="center"/>
              <w:rPr>
                <w:rFonts w:ascii="Arial" w:hAnsi="Arial" w:cs="Arial"/>
                <w:b/>
                <w:bCs/>
                <w:color w:val="000000"/>
                <w:sz w:val="18"/>
                <w:szCs w:val="18"/>
              </w:rPr>
            </w:pPr>
            <w:r w:rsidRPr="00175346">
              <w:rPr>
                <w:rFonts w:ascii="Arial" w:hAnsi="Arial" w:cs="Arial"/>
                <w:b/>
                <w:bCs/>
                <w:color w:val="000000"/>
                <w:sz w:val="18"/>
                <w:szCs w:val="18"/>
              </w:rPr>
              <w:t>1,30</w:t>
            </w:r>
          </w:p>
        </w:tc>
        <w:tc>
          <w:tcPr>
            <w:tcW w:w="1217"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175346" w:rsidRDefault="00987EE0" w:rsidP="00175346">
            <w:pPr>
              <w:contextualSpacing/>
              <w:jc w:val="center"/>
              <w:rPr>
                <w:rFonts w:ascii="Arial" w:hAnsi="Arial" w:cs="Arial"/>
                <w:b/>
                <w:bCs/>
                <w:color w:val="000000"/>
                <w:sz w:val="18"/>
                <w:szCs w:val="18"/>
              </w:rPr>
            </w:pPr>
            <w:r w:rsidRPr="00175346">
              <w:rPr>
                <w:rFonts w:ascii="Arial" w:hAnsi="Arial" w:cs="Arial"/>
                <w:b/>
                <w:bCs/>
                <w:color w:val="000000"/>
                <w:sz w:val="18"/>
                <w:szCs w:val="18"/>
              </w:rPr>
              <w:t>1,14</w:t>
            </w:r>
          </w:p>
        </w:tc>
      </w:tr>
      <w:tr w:rsidR="00987EE0" w:rsidRPr="00987EE0" w:rsidTr="00941B3F">
        <w:trPr>
          <w:trHeight w:val="191"/>
        </w:trPr>
        <w:tc>
          <w:tcPr>
            <w:tcW w:w="3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EE0" w:rsidRPr="00175346" w:rsidRDefault="00987EE0" w:rsidP="00175346">
            <w:pPr>
              <w:contextualSpacing/>
              <w:rPr>
                <w:rFonts w:ascii="Arial" w:hAnsi="Arial" w:cs="Arial"/>
                <w:b/>
                <w:color w:val="000000"/>
                <w:sz w:val="18"/>
                <w:szCs w:val="18"/>
              </w:rPr>
            </w:pPr>
            <w:r w:rsidRPr="00175346">
              <w:rPr>
                <w:rFonts w:ascii="Arial" w:hAnsi="Arial" w:cs="Arial"/>
                <w:b/>
                <w:color w:val="000000"/>
                <w:sz w:val="18"/>
                <w:szCs w:val="18"/>
              </w:rPr>
              <w:t>Proportion de clients ayant jugé positive l'attitude de leur banque au moment du changement de domiciliation</w:t>
            </w:r>
          </w:p>
        </w:tc>
        <w:tc>
          <w:tcPr>
            <w:tcW w:w="4780" w:type="dxa"/>
            <w:tcBorders>
              <w:top w:val="single" w:sz="4" w:space="0" w:color="auto"/>
              <w:left w:val="nil"/>
              <w:bottom w:val="single" w:sz="4" w:space="0" w:color="auto"/>
              <w:right w:val="single" w:sz="4" w:space="0" w:color="auto"/>
            </w:tcBorders>
            <w:shd w:val="clear" w:color="auto" w:fill="auto"/>
            <w:vAlign w:val="bottom"/>
            <w:hideMark/>
          </w:tcPr>
          <w:p w:rsidR="00987EE0" w:rsidRPr="00987EE0" w:rsidRDefault="00987EE0" w:rsidP="00175346">
            <w:pPr>
              <w:contextualSpacing/>
              <w:rPr>
                <w:rFonts w:ascii="Arial" w:hAnsi="Arial" w:cs="Arial"/>
                <w:color w:val="000000"/>
                <w:sz w:val="18"/>
                <w:szCs w:val="18"/>
              </w:rPr>
            </w:pPr>
            <w:r w:rsidRPr="00987EE0">
              <w:rPr>
                <w:rFonts w:ascii="Arial" w:hAnsi="Arial" w:cs="Arial"/>
                <w:color w:val="000000"/>
                <w:sz w:val="18"/>
                <w:szCs w:val="18"/>
              </w:rPr>
              <w:t xml:space="preserve">(Effectif de "Très coopérative" + "Coopérative") / </w:t>
            </w:r>
            <w:r w:rsidR="00D0133E" w:rsidRPr="00987EE0">
              <w:rPr>
                <w:rFonts w:ascii="Arial" w:hAnsi="Arial" w:cs="Arial"/>
                <w:color w:val="000000"/>
                <w:sz w:val="18"/>
                <w:szCs w:val="18"/>
              </w:rPr>
              <w:t>(Effectif</w:t>
            </w:r>
            <w:r w:rsidRPr="00987EE0">
              <w:rPr>
                <w:rFonts w:ascii="Arial" w:hAnsi="Arial" w:cs="Arial"/>
                <w:color w:val="000000"/>
                <w:sz w:val="18"/>
                <w:szCs w:val="18"/>
              </w:rPr>
              <w:t xml:space="preserve"> de "Très coopérative" + "Coopérative" + "Neutre" + "Pas coopérative</w:t>
            </w:r>
            <w:r w:rsidRPr="00987EE0">
              <w:rPr>
                <w:rFonts w:ascii="Arial" w:hAnsi="Arial" w:cs="Arial"/>
                <w:b/>
                <w:bCs/>
                <w:color w:val="000000"/>
                <w:sz w:val="18"/>
                <w:szCs w:val="18"/>
              </w:rPr>
              <w:t>"</w:t>
            </w:r>
            <w:r w:rsidRPr="00987EE0">
              <w:rPr>
                <w:rFonts w:ascii="Arial" w:hAnsi="Arial" w:cs="Arial"/>
                <w:color w:val="000000"/>
                <w:sz w:val="18"/>
                <w:szCs w:val="18"/>
              </w:rPr>
              <w:t>)</w:t>
            </w:r>
          </w:p>
        </w:tc>
        <w:tc>
          <w:tcPr>
            <w:tcW w:w="1200"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175346" w:rsidRDefault="00987EE0" w:rsidP="00175346">
            <w:pPr>
              <w:contextualSpacing/>
              <w:jc w:val="center"/>
              <w:rPr>
                <w:rFonts w:ascii="Arial" w:hAnsi="Arial" w:cs="Arial"/>
                <w:b/>
                <w:bCs/>
                <w:color w:val="000000"/>
                <w:sz w:val="18"/>
                <w:szCs w:val="18"/>
              </w:rPr>
            </w:pPr>
            <w:r w:rsidRPr="00175346">
              <w:rPr>
                <w:rFonts w:ascii="Arial" w:hAnsi="Arial" w:cs="Arial"/>
                <w:b/>
                <w:bCs/>
                <w:color w:val="000000"/>
                <w:sz w:val="18"/>
                <w:szCs w:val="18"/>
              </w:rPr>
              <w:t>40,4%</w:t>
            </w:r>
          </w:p>
        </w:tc>
        <w:tc>
          <w:tcPr>
            <w:tcW w:w="1217" w:type="dxa"/>
            <w:gridSpan w:val="2"/>
            <w:tcBorders>
              <w:top w:val="nil"/>
              <w:left w:val="nil"/>
              <w:bottom w:val="single" w:sz="4" w:space="0" w:color="auto"/>
              <w:right w:val="single" w:sz="4" w:space="0" w:color="auto"/>
            </w:tcBorders>
            <w:shd w:val="clear" w:color="auto" w:fill="FFFFFF" w:themeFill="background1"/>
            <w:noWrap/>
            <w:vAlign w:val="center"/>
            <w:hideMark/>
          </w:tcPr>
          <w:p w:rsidR="00987EE0" w:rsidRPr="00175346" w:rsidRDefault="00987EE0" w:rsidP="00175346">
            <w:pPr>
              <w:contextualSpacing/>
              <w:jc w:val="center"/>
              <w:rPr>
                <w:rFonts w:ascii="Arial" w:hAnsi="Arial" w:cs="Arial"/>
                <w:b/>
                <w:bCs/>
                <w:color w:val="000000"/>
                <w:sz w:val="18"/>
                <w:szCs w:val="18"/>
              </w:rPr>
            </w:pPr>
            <w:r w:rsidRPr="00175346">
              <w:rPr>
                <w:rFonts w:ascii="Arial" w:hAnsi="Arial" w:cs="Arial"/>
                <w:b/>
                <w:bCs/>
                <w:color w:val="000000"/>
                <w:sz w:val="18"/>
                <w:szCs w:val="18"/>
              </w:rPr>
              <w:t>43,1%</w:t>
            </w:r>
          </w:p>
        </w:tc>
      </w:tr>
    </w:tbl>
    <w:p w:rsidR="00987EE0" w:rsidRDefault="00987EE0" w:rsidP="00987EE0"/>
    <w:p w:rsidR="00222C34" w:rsidRDefault="00222C34" w:rsidP="003E611C">
      <w:pPr>
        <w:tabs>
          <w:tab w:val="left" w:pos="-720"/>
        </w:tabs>
        <w:suppressAutoHyphens/>
        <w:spacing w:line="312" w:lineRule="auto"/>
        <w:jc w:val="center"/>
        <w:rPr>
          <w:rFonts w:ascii="Arial" w:hAnsi="Arial" w:cs="Arial"/>
          <w:b/>
          <w:sz w:val="22"/>
          <w:szCs w:val="22"/>
        </w:rPr>
      </w:pPr>
    </w:p>
    <w:p w:rsidR="00222C34" w:rsidRDefault="00222C34">
      <w:pPr>
        <w:spacing w:after="200" w:line="276" w:lineRule="auto"/>
        <w:rPr>
          <w:rFonts w:ascii="Arial" w:hAnsi="Arial" w:cs="Arial"/>
          <w:b/>
          <w:sz w:val="22"/>
          <w:szCs w:val="22"/>
        </w:rPr>
      </w:pPr>
      <w:r>
        <w:rPr>
          <w:rFonts w:ascii="Arial" w:hAnsi="Arial" w:cs="Arial"/>
          <w:b/>
          <w:sz w:val="22"/>
          <w:szCs w:val="22"/>
        </w:rPr>
        <w:br w:type="page"/>
      </w:r>
    </w:p>
    <w:p w:rsidR="003E611C" w:rsidRDefault="003E611C" w:rsidP="003E611C">
      <w:pPr>
        <w:tabs>
          <w:tab w:val="left" w:pos="-720"/>
        </w:tabs>
        <w:suppressAutoHyphens/>
        <w:spacing w:line="312" w:lineRule="auto"/>
        <w:jc w:val="both"/>
        <w:outlineLvl w:val="0"/>
        <w:rPr>
          <w:rFonts w:ascii="Arial" w:hAnsi="Arial" w:cs="Arial"/>
          <w:b/>
          <w:sz w:val="22"/>
          <w:szCs w:val="22"/>
        </w:rPr>
        <w:sectPr w:rsidR="003E611C" w:rsidSect="00AE2523">
          <w:pgSz w:w="11907" w:h="16840" w:code="9"/>
          <w:pgMar w:top="680" w:right="1134" w:bottom="680" w:left="1191" w:header="454" w:footer="454" w:gutter="0"/>
          <w:cols w:space="720"/>
          <w:docGrid w:linePitch="360"/>
        </w:sectPr>
      </w:pPr>
    </w:p>
    <w:p w:rsidR="003E611C" w:rsidRDefault="003E611C" w:rsidP="00BB32BC">
      <w:pPr>
        <w:tabs>
          <w:tab w:val="left" w:pos="-720"/>
        </w:tabs>
        <w:suppressAutoHyphens/>
        <w:spacing w:line="312" w:lineRule="auto"/>
        <w:jc w:val="center"/>
        <w:outlineLvl w:val="0"/>
        <w:rPr>
          <w:rFonts w:ascii="Arial" w:hAnsi="Arial" w:cs="Arial"/>
          <w:b/>
          <w:sz w:val="22"/>
          <w:szCs w:val="22"/>
        </w:rPr>
      </w:pPr>
      <w:bookmarkStart w:id="201" w:name="_Toc289159146"/>
      <w:bookmarkStart w:id="202" w:name="_Toc523322073"/>
      <w:r w:rsidRPr="00BB32BC">
        <w:rPr>
          <w:rFonts w:ascii="Arial" w:hAnsi="Arial" w:cs="Arial"/>
          <w:b/>
          <w:sz w:val="22"/>
          <w:szCs w:val="22"/>
        </w:rPr>
        <w:lastRenderedPageBreak/>
        <w:t>RESUME DES RESULTATS</w:t>
      </w:r>
      <w:bookmarkEnd w:id="201"/>
      <w:bookmarkEnd w:id="202"/>
    </w:p>
    <w:p w:rsidR="007030BD" w:rsidRPr="00BB32BC" w:rsidRDefault="007030BD" w:rsidP="00BB32BC">
      <w:pPr>
        <w:tabs>
          <w:tab w:val="left" w:pos="-720"/>
        </w:tabs>
        <w:suppressAutoHyphens/>
        <w:spacing w:line="312" w:lineRule="auto"/>
        <w:jc w:val="center"/>
        <w:outlineLvl w:val="0"/>
        <w:rPr>
          <w:rFonts w:ascii="Arial" w:hAnsi="Arial" w:cs="Arial"/>
          <w:b/>
          <w:sz w:val="22"/>
          <w:szCs w:val="22"/>
        </w:rPr>
      </w:pPr>
    </w:p>
    <w:p w:rsidR="00BB32BC" w:rsidRPr="00BB32BC" w:rsidRDefault="00BB32BC" w:rsidP="00D4489E">
      <w:pPr>
        <w:autoSpaceDE w:val="0"/>
        <w:autoSpaceDN w:val="0"/>
        <w:adjustRightInd w:val="0"/>
        <w:spacing w:line="276" w:lineRule="auto"/>
        <w:contextualSpacing/>
        <w:jc w:val="both"/>
        <w:rPr>
          <w:rFonts w:ascii="Book Antiqua" w:hAnsi="Book Antiqua" w:cs="BookAntiqua"/>
          <w:sz w:val="22"/>
          <w:szCs w:val="22"/>
        </w:rPr>
      </w:pPr>
      <w:r w:rsidRPr="00BB32BC">
        <w:rPr>
          <w:rFonts w:ascii="Book Antiqua" w:hAnsi="Book Antiqua" w:cs="BookAntiqua"/>
          <w:sz w:val="22"/>
          <w:szCs w:val="22"/>
        </w:rPr>
        <w:t xml:space="preserve">Le volet </w:t>
      </w:r>
      <w:r w:rsidRPr="00BB32BC">
        <w:rPr>
          <w:rFonts w:ascii="Book Antiqua" w:hAnsi="Book Antiqua" w:cs="BookAntiqua"/>
          <w:i/>
          <w:sz w:val="22"/>
          <w:szCs w:val="22"/>
        </w:rPr>
        <w:t>« personnes physiques »</w:t>
      </w:r>
      <w:r w:rsidRPr="00BB32BC">
        <w:rPr>
          <w:rFonts w:ascii="Book Antiqua" w:hAnsi="Book Antiqua" w:cs="BookAntiqua"/>
          <w:sz w:val="22"/>
          <w:szCs w:val="22"/>
        </w:rPr>
        <w:t xml:space="preserve"> de l’enquête nationale auprès des usager</w:t>
      </w:r>
      <w:r w:rsidR="00575255">
        <w:rPr>
          <w:rFonts w:ascii="Book Antiqua" w:hAnsi="Book Antiqua" w:cs="BookAntiqua"/>
          <w:sz w:val="22"/>
          <w:szCs w:val="22"/>
        </w:rPr>
        <w:t>s des services bancaires (ESUB)</w:t>
      </w:r>
      <w:r w:rsidRPr="00BB32BC">
        <w:rPr>
          <w:rFonts w:ascii="Book Antiqua" w:hAnsi="Book Antiqua" w:cs="BookAntiqua"/>
          <w:sz w:val="22"/>
          <w:szCs w:val="22"/>
        </w:rPr>
        <w:t xml:space="preserve"> a porté sur une population </w:t>
      </w:r>
      <w:r w:rsidRPr="00BB32BC">
        <w:rPr>
          <w:rFonts w:ascii="Book Antiqua" w:hAnsi="Book Antiqua" w:cs="Tahoma"/>
          <w:sz w:val="22"/>
          <w:szCs w:val="22"/>
        </w:rPr>
        <w:t xml:space="preserve">de 3 801 clients. </w:t>
      </w:r>
      <w:r w:rsidRPr="00BB32BC">
        <w:rPr>
          <w:rFonts w:ascii="Book Antiqua" w:hAnsi="Book Antiqua" w:cs="BookAntiqua"/>
          <w:sz w:val="22"/>
          <w:szCs w:val="22"/>
        </w:rPr>
        <w:t>L’exploitation de</w:t>
      </w:r>
      <w:r w:rsidR="0011131F">
        <w:rPr>
          <w:rFonts w:ascii="Book Antiqua" w:hAnsi="Book Antiqua" w:cs="BookAntiqua"/>
          <w:sz w:val="22"/>
          <w:szCs w:val="22"/>
        </w:rPr>
        <w:t xml:space="preserve">s opinions des clients </w:t>
      </w:r>
      <w:r w:rsidRPr="00BB32BC">
        <w:rPr>
          <w:rFonts w:ascii="Book Antiqua" w:hAnsi="Book Antiqua" w:cs="BookAntiqua"/>
          <w:sz w:val="22"/>
          <w:szCs w:val="22"/>
        </w:rPr>
        <w:t xml:space="preserve">sur la qualité des services </w:t>
      </w:r>
      <w:r w:rsidR="00327A42">
        <w:rPr>
          <w:rFonts w:ascii="Book Antiqua" w:hAnsi="Book Antiqua" w:cs="BookAntiqua"/>
          <w:sz w:val="22"/>
          <w:szCs w:val="22"/>
        </w:rPr>
        <w:t>bancaires</w:t>
      </w:r>
      <w:r w:rsidRPr="00BB32BC">
        <w:rPr>
          <w:rFonts w:ascii="Book Antiqua" w:hAnsi="Book Antiqua" w:cs="BookAntiqua"/>
          <w:sz w:val="22"/>
          <w:szCs w:val="22"/>
        </w:rPr>
        <w:t xml:space="preserve"> a révélé </w:t>
      </w:r>
      <w:r w:rsidR="00327A42">
        <w:rPr>
          <w:rFonts w:ascii="Book Antiqua" w:hAnsi="Book Antiqua" w:cs="BookAntiqua"/>
          <w:sz w:val="22"/>
          <w:szCs w:val="22"/>
        </w:rPr>
        <w:t>une diversité dans les jugements émis par ces derniers</w:t>
      </w:r>
      <w:r w:rsidRPr="00BB32BC">
        <w:rPr>
          <w:rFonts w:ascii="Book Antiqua" w:hAnsi="Book Antiqua" w:cs="BookAntiqua"/>
          <w:sz w:val="22"/>
          <w:szCs w:val="22"/>
        </w:rPr>
        <w:t xml:space="preserve"> :</w:t>
      </w:r>
    </w:p>
    <w:p w:rsidR="00BB32BC" w:rsidRPr="00BB32BC" w:rsidRDefault="00BB32BC" w:rsidP="00D4489E">
      <w:pPr>
        <w:pStyle w:val="Paragraphedeliste"/>
        <w:numPr>
          <w:ilvl w:val="0"/>
          <w:numId w:val="34"/>
        </w:numPr>
        <w:autoSpaceDE w:val="0"/>
        <w:autoSpaceDN w:val="0"/>
        <w:adjustRightInd w:val="0"/>
        <w:spacing w:before="240" w:after="240" w:line="276" w:lineRule="auto"/>
        <w:ind w:left="284" w:hanging="284"/>
        <w:contextualSpacing w:val="0"/>
        <w:jc w:val="both"/>
        <w:rPr>
          <w:rFonts w:ascii="Book Antiqua" w:hAnsi="Book Antiqua" w:cs="BookAntiqua,BoldItalic"/>
          <w:b/>
          <w:bCs/>
          <w:i/>
          <w:iCs/>
          <w:sz w:val="22"/>
          <w:szCs w:val="22"/>
        </w:rPr>
      </w:pPr>
      <w:r w:rsidRPr="00BB32BC">
        <w:rPr>
          <w:rFonts w:ascii="Book Antiqua" w:hAnsi="Book Antiqua" w:cs="BookAntiqua,BoldItalic"/>
          <w:b/>
          <w:bCs/>
          <w:i/>
          <w:iCs/>
          <w:sz w:val="22"/>
          <w:szCs w:val="22"/>
        </w:rPr>
        <w:t>Points positifs :</w:t>
      </w:r>
    </w:p>
    <w:p w:rsidR="00BB32BC" w:rsidRPr="00BB32BC" w:rsidRDefault="00327A42"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Pr>
          <w:rFonts w:ascii="Book Antiqua" w:hAnsi="Book Antiqua" w:cs="BookAntiqua"/>
          <w:sz w:val="22"/>
          <w:szCs w:val="22"/>
        </w:rPr>
        <w:t>u</w:t>
      </w:r>
      <w:r w:rsidR="00BB32BC" w:rsidRPr="00BB32BC">
        <w:rPr>
          <w:rFonts w:ascii="Book Antiqua" w:hAnsi="Book Antiqua" w:cs="BookAntiqua"/>
          <w:sz w:val="22"/>
          <w:szCs w:val="22"/>
        </w:rPr>
        <w:t>n</w:t>
      </w:r>
      <w:r>
        <w:rPr>
          <w:rFonts w:ascii="Book Antiqua" w:hAnsi="Book Antiqua" w:cs="BookAntiqua"/>
          <w:sz w:val="22"/>
          <w:szCs w:val="22"/>
        </w:rPr>
        <w:t>e proportion élevée d’usagers détenteurs</w:t>
      </w:r>
      <w:r w:rsidR="004039E2">
        <w:rPr>
          <w:rFonts w:ascii="Book Antiqua" w:hAnsi="Book Antiqua" w:cs="BookAntiqua"/>
          <w:sz w:val="22"/>
          <w:szCs w:val="22"/>
        </w:rPr>
        <w:t xml:space="preserve"> </w:t>
      </w:r>
      <w:r>
        <w:rPr>
          <w:rFonts w:ascii="Book Antiqua" w:hAnsi="Book Antiqua" w:cs="BookAntiqua"/>
          <w:sz w:val="22"/>
          <w:szCs w:val="22"/>
        </w:rPr>
        <w:t>d’</w:t>
      </w:r>
      <w:r w:rsidR="00BB32BC" w:rsidRPr="00BB32BC">
        <w:rPr>
          <w:rFonts w:ascii="Book Antiqua" w:hAnsi="Book Antiqua" w:cs="BookAntiqua"/>
          <w:sz w:val="22"/>
          <w:szCs w:val="22"/>
        </w:rPr>
        <w:t>une carte bancaire (73,2%) ;</w:t>
      </w:r>
    </w:p>
    <w:p w:rsidR="00977689" w:rsidRPr="00BB32BC" w:rsidRDefault="00977689"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BB32BC">
        <w:rPr>
          <w:rFonts w:ascii="Book Antiqua" w:hAnsi="Book Antiqua" w:cs="BookAntiqua"/>
          <w:sz w:val="22"/>
          <w:szCs w:val="22"/>
        </w:rPr>
        <w:t xml:space="preserve">une </w:t>
      </w:r>
      <w:r>
        <w:rPr>
          <w:rFonts w:ascii="Book Antiqua" w:hAnsi="Book Antiqua" w:cs="BookAntiqua"/>
          <w:sz w:val="22"/>
          <w:szCs w:val="22"/>
        </w:rPr>
        <w:t>opinion favorable</w:t>
      </w:r>
      <w:r w:rsidRPr="00BB32BC">
        <w:rPr>
          <w:rFonts w:ascii="Book Antiqua" w:hAnsi="Book Antiqua" w:cs="BookAntiqua"/>
          <w:sz w:val="22"/>
          <w:szCs w:val="22"/>
        </w:rPr>
        <w:t xml:space="preserve"> sur le délai de renouvellement de la carte bancaire (80,5%) ;</w:t>
      </w:r>
    </w:p>
    <w:p w:rsidR="00BB32BC" w:rsidRPr="00BB32BC"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BB32BC">
        <w:rPr>
          <w:rFonts w:ascii="Book Antiqua" w:hAnsi="Book Antiqua" w:cs="BookAntiqua"/>
          <w:sz w:val="22"/>
          <w:szCs w:val="22"/>
        </w:rPr>
        <w:t xml:space="preserve">un taux élevé </w:t>
      </w:r>
      <w:r w:rsidR="0011131F">
        <w:rPr>
          <w:rFonts w:ascii="Book Antiqua" w:hAnsi="Book Antiqua" w:cs="Arial"/>
          <w:sz w:val="22"/>
          <w:szCs w:val="22"/>
        </w:rPr>
        <w:t>de</w:t>
      </w:r>
      <w:r w:rsidRPr="00BB32BC">
        <w:rPr>
          <w:rFonts w:ascii="Book Antiqua" w:hAnsi="Book Antiqua" w:cs="Arial"/>
          <w:sz w:val="22"/>
          <w:szCs w:val="22"/>
        </w:rPr>
        <w:t xml:space="preserve"> clients ayant bénéficié d’un </w:t>
      </w:r>
      <w:r w:rsidR="0011131F">
        <w:rPr>
          <w:rFonts w:ascii="Book Antiqua" w:hAnsi="Book Antiqua" w:cs="Arial"/>
          <w:sz w:val="22"/>
          <w:szCs w:val="22"/>
        </w:rPr>
        <w:t>crédit</w:t>
      </w:r>
      <w:r w:rsidRPr="00BB32BC">
        <w:rPr>
          <w:rFonts w:ascii="Book Antiqua" w:hAnsi="Book Antiqua" w:cs="Arial"/>
          <w:sz w:val="22"/>
          <w:szCs w:val="22"/>
        </w:rPr>
        <w:t xml:space="preserve"> (88</w:t>
      </w:r>
      <w:r w:rsidR="0011131F">
        <w:rPr>
          <w:rFonts w:ascii="Book Antiqua" w:hAnsi="Book Antiqua" w:cs="Arial"/>
          <w:sz w:val="22"/>
          <w:szCs w:val="22"/>
        </w:rPr>
        <w:t>,0</w:t>
      </w:r>
      <w:r w:rsidRPr="00BB32BC">
        <w:rPr>
          <w:rFonts w:ascii="Book Antiqua" w:hAnsi="Book Antiqua" w:cs="Arial"/>
          <w:sz w:val="22"/>
          <w:szCs w:val="22"/>
        </w:rPr>
        <w:t>%) </w:t>
      </w:r>
      <w:r w:rsidR="0011131F">
        <w:rPr>
          <w:rFonts w:ascii="Book Antiqua" w:hAnsi="Book Antiqua" w:cs="Arial"/>
          <w:sz w:val="22"/>
          <w:szCs w:val="22"/>
        </w:rPr>
        <w:t>au cours des trois dernières années</w:t>
      </w:r>
      <w:r w:rsidRPr="00BB32BC">
        <w:rPr>
          <w:rFonts w:ascii="Book Antiqua" w:hAnsi="Book Antiqua" w:cs="Arial"/>
          <w:sz w:val="22"/>
          <w:szCs w:val="22"/>
        </w:rPr>
        <w:t>;</w:t>
      </w:r>
    </w:p>
    <w:p w:rsidR="00BB32BC" w:rsidRPr="00BB32BC"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BB32BC">
        <w:rPr>
          <w:rFonts w:ascii="Book Antiqua" w:hAnsi="Book Antiqua" w:cs="Arial"/>
          <w:sz w:val="22"/>
          <w:szCs w:val="22"/>
        </w:rPr>
        <w:t>une satisfaction très élevée sur les délais de renouvellement du chéquier (79,5%) ;</w:t>
      </w:r>
    </w:p>
    <w:p w:rsidR="00BB32BC" w:rsidRPr="00BB32BC"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BB32BC">
        <w:rPr>
          <w:rFonts w:ascii="Book Antiqua" w:hAnsi="Book Antiqua" w:cs="BookAntiqua"/>
          <w:sz w:val="22"/>
          <w:szCs w:val="22"/>
        </w:rPr>
        <w:t>une proportion élevée de clients ayant reçu des informations sur leurs obligations au moment de l’ouverture de leur compte (74,7%) ;</w:t>
      </w:r>
    </w:p>
    <w:p w:rsidR="00BB32BC" w:rsidRPr="00BB32BC"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BB32BC">
        <w:rPr>
          <w:rFonts w:ascii="Book Antiqua" w:hAnsi="Book Antiqua" w:cs="BookAntiqua"/>
          <w:sz w:val="22"/>
          <w:szCs w:val="22"/>
        </w:rPr>
        <w:t>une satisfaction sur la qualité des services de consultation à distance (75,6%) ;</w:t>
      </w:r>
    </w:p>
    <w:p w:rsidR="00BB32BC" w:rsidRPr="00BB32BC"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BB32BC">
        <w:rPr>
          <w:rFonts w:ascii="Book Antiqua" w:hAnsi="Book Antiqua" w:cs="BookAntiqua"/>
          <w:sz w:val="22"/>
          <w:szCs w:val="22"/>
        </w:rPr>
        <w:t xml:space="preserve">une appréciation positive sur le coût des services de consultation à distance </w:t>
      </w:r>
      <w:r w:rsidR="00977689">
        <w:rPr>
          <w:rFonts w:ascii="Book Antiqua" w:hAnsi="Book Antiqua" w:cs="BookAntiqua"/>
          <w:sz w:val="22"/>
          <w:szCs w:val="22"/>
        </w:rPr>
        <w:t xml:space="preserve">pour </w:t>
      </w:r>
      <w:r w:rsidRPr="00BB32BC">
        <w:rPr>
          <w:rFonts w:ascii="Book Antiqua" w:hAnsi="Book Antiqua" w:cs="BookAntiqua"/>
          <w:sz w:val="22"/>
          <w:szCs w:val="22"/>
        </w:rPr>
        <w:t>56,5% de clients utilisateurs ;</w:t>
      </w:r>
    </w:p>
    <w:p w:rsidR="00BB32BC" w:rsidRPr="00BB32BC" w:rsidRDefault="00977689"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Pr>
          <w:rFonts w:ascii="Book Antiqua" w:hAnsi="Book Antiqua" w:cs="BookAntiqua"/>
          <w:sz w:val="22"/>
          <w:szCs w:val="22"/>
        </w:rPr>
        <w:t xml:space="preserve">une satisfaction sur </w:t>
      </w:r>
      <w:r w:rsidR="00BB32BC" w:rsidRPr="00BB32BC">
        <w:rPr>
          <w:rFonts w:ascii="Book Antiqua" w:hAnsi="Book Antiqua" w:cs="BookAntiqua"/>
          <w:sz w:val="22"/>
          <w:szCs w:val="22"/>
        </w:rPr>
        <w:t>l’accessibilité physique des agences bancaires (72,8%) ;</w:t>
      </w:r>
    </w:p>
    <w:p w:rsidR="00BB32BC"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BB32BC">
        <w:rPr>
          <w:rFonts w:ascii="Book Antiqua" w:hAnsi="Book Antiqua" w:cs="BookAntiqua"/>
          <w:sz w:val="22"/>
          <w:szCs w:val="22"/>
        </w:rPr>
        <w:t>une opinion favorable sur les horaires de service de l</w:t>
      </w:r>
      <w:r w:rsidR="00F633C7">
        <w:rPr>
          <w:rFonts w:ascii="Book Antiqua" w:hAnsi="Book Antiqua" w:cs="BookAntiqua"/>
          <w:sz w:val="22"/>
          <w:szCs w:val="22"/>
        </w:rPr>
        <w:t>eurs agences bancaires (78,6%).</w:t>
      </w:r>
    </w:p>
    <w:p w:rsidR="00BB32BC" w:rsidRPr="00BB32BC" w:rsidRDefault="00BB32BC" w:rsidP="00D4489E">
      <w:pPr>
        <w:pStyle w:val="Paragraphedeliste"/>
        <w:numPr>
          <w:ilvl w:val="0"/>
          <w:numId w:val="34"/>
        </w:numPr>
        <w:autoSpaceDE w:val="0"/>
        <w:autoSpaceDN w:val="0"/>
        <w:adjustRightInd w:val="0"/>
        <w:spacing w:before="240" w:after="240" w:line="276" w:lineRule="auto"/>
        <w:ind w:left="284" w:hanging="284"/>
        <w:contextualSpacing w:val="0"/>
        <w:jc w:val="both"/>
        <w:rPr>
          <w:rFonts w:ascii="Book Antiqua" w:hAnsi="Book Antiqua" w:cs="BookAntiqua,BoldItalic"/>
          <w:b/>
          <w:bCs/>
          <w:i/>
          <w:iCs/>
          <w:sz w:val="22"/>
          <w:szCs w:val="22"/>
        </w:rPr>
      </w:pPr>
      <w:r w:rsidRPr="00BB32BC">
        <w:rPr>
          <w:rFonts w:ascii="Book Antiqua" w:hAnsi="Book Antiqua" w:cs="BookAntiqua,BoldItalic"/>
          <w:b/>
          <w:bCs/>
          <w:i/>
          <w:iCs/>
          <w:sz w:val="22"/>
          <w:szCs w:val="22"/>
        </w:rPr>
        <w:t>Points négatifs :</w:t>
      </w:r>
    </w:p>
    <w:p w:rsidR="00BB32BC" w:rsidRPr="00D4489E" w:rsidRDefault="007374DD"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 xml:space="preserve">une proportion élevée de 58,4% de clients estimant </w:t>
      </w:r>
      <w:r w:rsidR="00977689" w:rsidRPr="00D4489E">
        <w:rPr>
          <w:rFonts w:ascii="Book Antiqua" w:hAnsi="Book Antiqua" w:cs="BookAntiqua"/>
          <w:sz w:val="22"/>
          <w:szCs w:val="22"/>
        </w:rPr>
        <w:t>peu coopérative</w:t>
      </w:r>
      <w:r w:rsidR="00575255" w:rsidRPr="00D4489E">
        <w:rPr>
          <w:rFonts w:ascii="Book Antiqua" w:hAnsi="Book Antiqua" w:cs="BookAntiqua"/>
          <w:sz w:val="22"/>
          <w:szCs w:val="22"/>
        </w:rPr>
        <w:t xml:space="preserve"> </w:t>
      </w:r>
      <w:r w:rsidRPr="00D4489E">
        <w:rPr>
          <w:rFonts w:ascii="Book Antiqua" w:hAnsi="Book Antiqua" w:cs="BookAntiqua"/>
          <w:sz w:val="22"/>
          <w:szCs w:val="22"/>
        </w:rPr>
        <w:t xml:space="preserve">l’attitude </w:t>
      </w:r>
      <w:r w:rsidR="00BB32BC" w:rsidRPr="00D4489E">
        <w:rPr>
          <w:rFonts w:ascii="Book Antiqua" w:hAnsi="Book Antiqua" w:cs="BookAntiqua"/>
          <w:sz w:val="22"/>
          <w:szCs w:val="22"/>
        </w:rPr>
        <w:t xml:space="preserve">des banques face </w:t>
      </w:r>
      <w:r w:rsidRPr="00D4489E">
        <w:rPr>
          <w:rFonts w:ascii="Book Antiqua" w:hAnsi="Book Antiqua" w:cs="BookAntiqua"/>
          <w:sz w:val="22"/>
          <w:szCs w:val="22"/>
        </w:rPr>
        <w:t>à leur</w:t>
      </w:r>
      <w:r w:rsidR="00977689" w:rsidRPr="00D4489E">
        <w:rPr>
          <w:rFonts w:ascii="Book Antiqua" w:hAnsi="Book Antiqua" w:cs="BookAntiqua"/>
          <w:sz w:val="22"/>
          <w:szCs w:val="22"/>
        </w:rPr>
        <w:t xml:space="preserve"> volonté de </w:t>
      </w:r>
      <w:r w:rsidR="00BB32BC" w:rsidRPr="00D4489E">
        <w:rPr>
          <w:rFonts w:ascii="Book Antiqua" w:hAnsi="Book Antiqua" w:cs="BookAntiqua"/>
          <w:sz w:val="22"/>
          <w:szCs w:val="22"/>
        </w:rPr>
        <w:t>changement de domiciliation de compte;</w:t>
      </w:r>
    </w:p>
    <w:p w:rsidR="00BB32BC" w:rsidRPr="00D4489E"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une lenteur dans le traitement des opérations de caisse relevée par 56</w:t>
      </w:r>
      <w:r w:rsidR="00977689" w:rsidRPr="00D4489E">
        <w:rPr>
          <w:rFonts w:ascii="Book Antiqua" w:hAnsi="Book Antiqua" w:cs="BookAntiqua"/>
          <w:sz w:val="22"/>
          <w:szCs w:val="22"/>
        </w:rPr>
        <w:t>,0</w:t>
      </w:r>
      <w:r w:rsidRPr="00D4489E">
        <w:rPr>
          <w:rFonts w:ascii="Book Antiqua" w:hAnsi="Book Antiqua" w:cs="BookAntiqua"/>
          <w:sz w:val="22"/>
          <w:szCs w:val="22"/>
        </w:rPr>
        <w:t>% des clients</w:t>
      </w:r>
      <w:r w:rsidR="007374DD" w:rsidRPr="00D4489E">
        <w:rPr>
          <w:rFonts w:ascii="Book Antiqua" w:hAnsi="Book Antiqua" w:cs="BookAntiqua"/>
          <w:sz w:val="22"/>
          <w:szCs w:val="22"/>
        </w:rPr>
        <w:t> ;</w:t>
      </w:r>
    </w:p>
    <w:p w:rsidR="00BB32BC" w:rsidRPr="00D4489E"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 xml:space="preserve">une fréquence </w:t>
      </w:r>
      <w:r w:rsidR="007374DD" w:rsidRPr="00D4489E">
        <w:rPr>
          <w:rFonts w:ascii="Book Antiqua" w:hAnsi="Book Antiqua" w:cs="BookAntiqua"/>
          <w:sz w:val="22"/>
          <w:szCs w:val="22"/>
        </w:rPr>
        <w:t xml:space="preserve">irrégulière </w:t>
      </w:r>
      <w:r w:rsidRPr="00D4489E">
        <w:rPr>
          <w:rFonts w:ascii="Book Antiqua" w:hAnsi="Book Antiqua" w:cs="BookAntiqua"/>
          <w:sz w:val="22"/>
          <w:szCs w:val="22"/>
        </w:rPr>
        <w:t>de réception des relevés bancaires</w:t>
      </w:r>
      <w:r w:rsidR="007374DD" w:rsidRPr="00D4489E">
        <w:rPr>
          <w:rFonts w:ascii="Book Antiqua" w:hAnsi="Book Antiqua" w:cs="BookAntiqua"/>
          <w:sz w:val="22"/>
          <w:szCs w:val="22"/>
        </w:rPr>
        <w:t xml:space="preserve"> déplorée par </w:t>
      </w:r>
      <w:r w:rsidRPr="00D4489E">
        <w:rPr>
          <w:rFonts w:ascii="Book Antiqua" w:hAnsi="Book Antiqua" w:cs="BookAntiqua"/>
          <w:sz w:val="22"/>
          <w:szCs w:val="22"/>
        </w:rPr>
        <w:t>30,1% des personnes physiques </w:t>
      </w:r>
      <w:r w:rsidR="007374DD" w:rsidRPr="00D4489E">
        <w:rPr>
          <w:rFonts w:ascii="Book Antiqua" w:hAnsi="Book Antiqua" w:cs="BookAntiqua"/>
          <w:sz w:val="22"/>
          <w:szCs w:val="22"/>
        </w:rPr>
        <w:t xml:space="preserve">enquêtées </w:t>
      </w:r>
      <w:r w:rsidRPr="00D4489E">
        <w:rPr>
          <w:rFonts w:ascii="Book Antiqua" w:hAnsi="Book Antiqua" w:cs="BookAntiqua"/>
          <w:sz w:val="22"/>
          <w:szCs w:val="22"/>
        </w:rPr>
        <w:t>;</w:t>
      </w:r>
    </w:p>
    <w:p w:rsidR="004D6D86" w:rsidRPr="00D4489E"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un</w:t>
      </w:r>
      <w:r w:rsidR="00575255" w:rsidRPr="00D4489E">
        <w:rPr>
          <w:rFonts w:ascii="Book Antiqua" w:hAnsi="Book Antiqua" w:cs="BookAntiqua"/>
          <w:sz w:val="22"/>
          <w:szCs w:val="22"/>
        </w:rPr>
        <w:t xml:space="preserve"> </w:t>
      </w:r>
      <w:r w:rsidR="007374DD" w:rsidRPr="00D4489E">
        <w:rPr>
          <w:rFonts w:ascii="Book Antiqua" w:hAnsi="Book Antiqua" w:cs="BookAntiqua"/>
          <w:sz w:val="22"/>
          <w:szCs w:val="22"/>
        </w:rPr>
        <w:t xml:space="preserve">déséquilibre </w:t>
      </w:r>
      <w:r w:rsidR="004D6D86" w:rsidRPr="00D4489E">
        <w:rPr>
          <w:rFonts w:ascii="Book Antiqua" w:hAnsi="Book Antiqua" w:cs="BookAntiqua"/>
          <w:sz w:val="22"/>
          <w:szCs w:val="22"/>
        </w:rPr>
        <w:t xml:space="preserve">dans la répartition géographique des </w:t>
      </w:r>
      <w:r w:rsidRPr="00D4489E">
        <w:rPr>
          <w:rFonts w:ascii="Book Antiqua" w:hAnsi="Book Antiqua" w:cs="BookAntiqua"/>
          <w:sz w:val="22"/>
          <w:szCs w:val="22"/>
        </w:rPr>
        <w:t xml:space="preserve">agences bancaires </w:t>
      </w:r>
      <w:r w:rsidR="004D6D86" w:rsidRPr="00D4489E">
        <w:rPr>
          <w:rFonts w:ascii="Book Antiqua" w:hAnsi="Book Antiqua" w:cs="BookAntiqua"/>
          <w:sz w:val="22"/>
          <w:szCs w:val="22"/>
        </w:rPr>
        <w:t>avec un taux d’insatisfaction de 52,9% ;</w:t>
      </w:r>
    </w:p>
    <w:p w:rsidR="00BB32BC" w:rsidRPr="00D4489E" w:rsidRDefault="004D6D86"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 xml:space="preserve">une insuffisance des guichets fonctionnels décriée par une proportion de 64,7% des clients interrogés </w:t>
      </w:r>
      <w:r w:rsidR="00BB32BC" w:rsidRPr="00D4489E">
        <w:rPr>
          <w:rFonts w:ascii="Book Antiqua" w:hAnsi="Book Antiqua" w:cs="BookAntiqua"/>
          <w:sz w:val="22"/>
          <w:szCs w:val="22"/>
        </w:rPr>
        <w:t>;</w:t>
      </w:r>
    </w:p>
    <w:p w:rsidR="00BB32BC" w:rsidRPr="00D4489E" w:rsidRDefault="004D6D86"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 xml:space="preserve">des dysfonctionnements récurrents </w:t>
      </w:r>
      <w:r w:rsidR="00BB32BC" w:rsidRPr="00D4489E">
        <w:rPr>
          <w:rFonts w:ascii="Book Antiqua" w:hAnsi="Book Antiqua" w:cs="BookAntiqua"/>
          <w:sz w:val="22"/>
          <w:szCs w:val="22"/>
        </w:rPr>
        <w:t>sur le</w:t>
      </w:r>
      <w:r w:rsidRPr="00D4489E">
        <w:rPr>
          <w:rFonts w:ascii="Book Antiqua" w:hAnsi="Book Antiqua" w:cs="BookAntiqua"/>
          <w:sz w:val="22"/>
          <w:szCs w:val="22"/>
        </w:rPr>
        <w:t>s</w:t>
      </w:r>
      <w:r w:rsidR="00575255" w:rsidRPr="00D4489E">
        <w:rPr>
          <w:rFonts w:ascii="Book Antiqua" w:hAnsi="Book Antiqua" w:cs="BookAntiqua"/>
          <w:sz w:val="22"/>
          <w:szCs w:val="22"/>
        </w:rPr>
        <w:t xml:space="preserve"> </w:t>
      </w:r>
      <w:r w:rsidRPr="00D4489E">
        <w:rPr>
          <w:rFonts w:ascii="Book Antiqua" w:hAnsi="Book Antiqua" w:cs="BookAntiqua"/>
          <w:sz w:val="22"/>
          <w:szCs w:val="22"/>
        </w:rPr>
        <w:t xml:space="preserve">services </w:t>
      </w:r>
      <w:r w:rsidR="00BB32BC" w:rsidRPr="00D4489E">
        <w:rPr>
          <w:rFonts w:ascii="Book Antiqua" w:hAnsi="Book Antiqua" w:cs="BookAntiqua"/>
          <w:sz w:val="22"/>
          <w:szCs w:val="22"/>
        </w:rPr>
        <w:t xml:space="preserve">des GAB </w:t>
      </w:r>
      <w:r w:rsidR="001452E1" w:rsidRPr="00D4489E">
        <w:rPr>
          <w:rFonts w:ascii="Book Antiqua" w:hAnsi="Book Antiqua" w:cs="BookAntiqua"/>
          <w:sz w:val="22"/>
          <w:szCs w:val="22"/>
        </w:rPr>
        <w:t>relevés par la quasi-totalité (94,9%)</w:t>
      </w:r>
      <w:r w:rsidR="00575255" w:rsidRPr="00D4489E">
        <w:rPr>
          <w:rFonts w:ascii="Book Antiqua" w:hAnsi="Book Antiqua" w:cs="BookAntiqua"/>
          <w:sz w:val="22"/>
          <w:szCs w:val="22"/>
        </w:rPr>
        <w:t xml:space="preserve"> </w:t>
      </w:r>
      <w:r w:rsidR="00BB32BC" w:rsidRPr="00D4489E">
        <w:rPr>
          <w:rFonts w:ascii="Book Antiqua" w:hAnsi="Book Antiqua" w:cs="BookAntiqua"/>
          <w:sz w:val="22"/>
          <w:szCs w:val="22"/>
        </w:rPr>
        <w:t>des personnes enquêtées ;</w:t>
      </w:r>
    </w:p>
    <w:p w:rsidR="00BB32BC" w:rsidRPr="00D4489E"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 xml:space="preserve">un coût jugé élevé de la carte bancaire et des opérations effectuées dans des GAB différents de ceux de la banque du client, avec des taux </w:t>
      </w:r>
      <w:r w:rsidR="001A6055" w:rsidRPr="00D4489E">
        <w:rPr>
          <w:rFonts w:ascii="Book Antiqua" w:hAnsi="Book Antiqua" w:cs="BookAntiqua"/>
          <w:sz w:val="22"/>
          <w:szCs w:val="22"/>
        </w:rPr>
        <w:t>de récrimination</w:t>
      </w:r>
      <w:r w:rsidRPr="00D4489E">
        <w:rPr>
          <w:rFonts w:ascii="Book Antiqua" w:hAnsi="Book Antiqua" w:cs="BookAntiqua"/>
          <w:sz w:val="22"/>
          <w:szCs w:val="22"/>
        </w:rPr>
        <w:t xml:space="preserve"> respectifs de 71,4% et 71,3% ;</w:t>
      </w:r>
    </w:p>
    <w:p w:rsidR="00BB32BC" w:rsidRPr="00D4489E"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des garanties assorties à l’octroi d</w:t>
      </w:r>
      <w:r w:rsidR="001A6055" w:rsidRPr="00D4489E">
        <w:rPr>
          <w:rFonts w:ascii="Book Antiqua" w:hAnsi="Book Antiqua" w:cs="BookAntiqua"/>
          <w:sz w:val="22"/>
          <w:szCs w:val="22"/>
        </w:rPr>
        <w:t>e</w:t>
      </w:r>
      <w:r w:rsidRPr="00D4489E">
        <w:rPr>
          <w:rFonts w:ascii="Book Antiqua" w:hAnsi="Book Antiqua" w:cs="BookAntiqua"/>
          <w:sz w:val="22"/>
          <w:szCs w:val="22"/>
        </w:rPr>
        <w:t xml:space="preserve"> crédit jugées contraignantes par 47,1% des clients « personnes physiques » ;</w:t>
      </w:r>
    </w:p>
    <w:p w:rsidR="00BB32BC" w:rsidRPr="00D4489E"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 xml:space="preserve">une </w:t>
      </w:r>
      <w:r w:rsidR="001A6055" w:rsidRPr="00D4489E">
        <w:rPr>
          <w:rFonts w:ascii="Book Antiqua" w:hAnsi="Book Antiqua" w:cs="BookAntiqua"/>
          <w:sz w:val="22"/>
          <w:szCs w:val="22"/>
        </w:rPr>
        <w:t>appréciation</w:t>
      </w:r>
      <w:r w:rsidR="00575255" w:rsidRPr="00D4489E">
        <w:rPr>
          <w:rFonts w:ascii="Book Antiqua" w:hAnsi="Book Antiqua" w:cs="BookAntiqua"/>
          <w:sz w:val="22"/>
          <w:szCs w:val="22"/>
        </w:rPr>
        <w:t xml:space="preserve"> </w:t>
      </w:r>
      <w:r w:rsidR="001A6055" w:rsidRPr="00D4489E">
        <w:rPr>
          <w:rFonts w:ascii="Book Antiqua" w:hAnsi="Book Antiqua" w:cs="BookAntiqua"/>
          <w:sz w:val="22"/>
          <w:szCs w:val="22"/>
        </w:rPr>
        <w:t>négative</w:t>
      </w:r>
      <w:r w:rsidRPr="00D4489E">
        <w:rPr>
          <w:rFonts w:ascii="Book Antiqua" w:hAnsi="Book Antiqua" w:cs="BookAntiqua"/>
          <w:sz w:val="22"/>
          <w:szCs w:val="22"/>
        </w:rPr>
        <w:t xml:space="preserve"> sur le</w:t>
      </w:r>
      <w:r w:rsidR="001A6055" w:rsidRPr="00D4489E">
        <w:rPr>
          <w:rFonts w:ascii="Book Antiqua" w:hAnsi="Book Antiqua" w:cs="BookAntiqua"/>
          <w:sz w:val="22"/>
          <w:szCs w:val="22"/>
        </w:rPr>
        <w:t xml:space="preserve"> niveau de</w:t>
      </w:r>
      <w:r w:rsidRPr="00D4489E">
        <w:rPr>
          <w:rFonts w:ascii="Book Antiqua" w:hAnsi="Book Antiqua" w:cs="BookAntiqua"/>
          <w:sz w:val="22"/>
          <w:szCs w:val="22"/>
        </w:rPr>
        <w:t xml:space="preserve">s frais de tenue de compte </w:t>
      </w:r>
      <w:r w:rsidR="001A6055" w:rsidRPr="00D4489E">
        <w:rPr>
          <w:rFonts w:ascii="Book Antiqua" w:hAnsi="Book Antiqua" w:cs="BookAntiqua"/>
          <w:sz w:val="22"/>
          <w:szCs w:val="22"/>
        </w:rPr>
        <w:t>exprimée par une proportion de 65,7% des</w:t>
      </w:r>
      <w:r w:rsidRPr="00D4489E">
        <w:rPr>
          <w:rFonts w:ascii="Book Antiqua" w:hAnsi="Book Antiqua" w:cs="BookAntiqua"/>
          <w:sz w:val="22"/>
          <w:szCs w:val="22"/>
        </w:rPr>
        <w:t xml:space="preserve"> clients interrogés ;</w:t>
      </w:r>
    </w:p>
    <w:p w:rsidR="00BB32BC" w:rsidRPr="00D4489E" w:rsidRDefault="001A6055"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lastRenderedPageBreak/>
        <w:t>un manque de diligence</w:t>
      </w:r>
      <w:r w:rsidR="00BB32BC" w:rsidRPr="00D4489E">
        <w:rPr>
          <w:rFonts w:ascii="Book Antiqua" w:hAnsi="Book Antiqua" w:cs="BookAntiqua"/>
          <w:sz w:val="22"/>
          <w:szCs w:val="22"/>
        </w:rPr>
        <w:t xml:space="preserve"> dans le traitement de</w:t>
      </w:r>
      <w:r w:rsidRPr="00D4489E">
        <w:rPr>
          <w:rFonts w:ascii="Book Antiqua" w:hAnsi="Book Antiqua" w:cs="BookAntiqua"/>
          <w:sz w:val="22"/>
          <w:szCs w:val="22"/>
        </w:rPr>
        <w:t>s</w:t>
      </w:r>
      <w:r w:rsidR="00BB32BC" w:rsidRPr="00D4489E">
        <w:rPr>
          <w:rFonts w:ascii="Book Antiqua" w:hAnsi="Book Antiqua" w:cs="BookAntiqua"/>
          <w:sz w:val="22"/>
          <w:szCs w:val="22"/>
        </w:rPr>
        <w:t xml:space="preserve"> dossier</w:t>
      </w:r>
      <w:r w:rsidRPr="00D4489E">
        <w:rPr>
          <w:rFonts w:ascii="Book Antiqua" w:hAnsi="Book Antiqua" w:cs="BookAntiqua"/>
          <w:sz w:val="22"/>
          <w:szCs w:val="22"/>
        </w:rPr>
        <w:t>s</w:t>
      </w:r>
      <w:r w:rsidR="00BB32BC" w:rsidRPr="00D4489E">
        <w:rPr>
          <w:rFonts w:ascii="Book Antiqua" w:hAnsi="Book Antiqua" w:cs="BookAntiqua"/>
          <w:sz w:val="22"/>
          <w:szCs w:val="22"/>
        </w:rPr>
        <w:t xml:space="preserve"> de prêt selon 4</w:t>
      </w:r>
      <w:r w:rsidRPr="00D4489E">
        <w:rPr>
          <w:rFonts w:ascii="Book Antiqua" w:hAnsi="Book Antiqua" w:cs="BookAntiqua"/>
          <w:sz w:val="22"/>
          <w:szCs w:val="22"/>
        </w:rPr>
        <w:t>7</w:t>
      </w:r>
      <w:r w:rsidR="00BB32BC" w:rsidRPr="00D4489E">
        <w:rPr>
          <w:rFonts w:ascii="Book Antiqua" w:hAnsi="Book Antiqua" w:cs="BookAntiqua"/>
          <w:sz w:val="22"/>
          <w:szCs w:val="22"/>
        </w:rPr>
        <w:t>,</w:t>
      </w:r>
      <w:r w:rsidRPr="00D4489E">
        <w:rPr>
          <w:rFonts w:ascii="Book Antiqua" w:hAnsi="Book Antiqua" w:cs="BookAntiqua"/>
          <w:sz w:val="22"/>
          <w:szCs w:val="22"/>
        </w:rPr>
        <w:t>8</w:t>
      </w:r>
      <w:r w:rsidR="00BB32BC" w:rsidRPr="00D4489E">
        <w:rPr>
          <w:rFonts w:ascii="Book Antiqua" w:hAnsi="Book Antiqua" w:cs="BookAntiqua"/>
          <w:sz w:val="22"/>
          <w:szCs w:val="22"/>
        </w:rPr>
        <w:t>% des clients</w:t>
      </w:r>
      <w:r w:rsidR="00C25069" w:rsidRPr="00D4489E">
        <w:rPr>
          <w:rFonts w:ascii="Book Antiqua" w:hAnsi="Book Antiqua" w:cs="BookAntiqua"/>
          <w:sz w:val="22"/>
          <w:szCs w:val="22"/>
        </w:rPr>
        <w:t xml:space="preserve"> </w:t>
      </w:r>
      <w:r w:rsidR="00BB32BC" w:rsidRPr="00D4489E">
        <w:rPr>
          <w:rFonts w:ascii="Book Antiqua" w:hAnsi="Book Antiqua" w:cs="BookAntiqua"/>
          <w:sz w:val="22"/>
          <w:szCs w:val="22"/>
        </w:rPr>
        <w:t>;</w:t>
      </w:r>
    </w:p>
    <w:p w:rsidR="00BB32BC" w:rsidRPr="00F1516E"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Wingdings"/>
          <w:sz w:val="22"/>
          <w:szCs w:val="22"/>
        </w:rPr>
      </w:pPr>
      <w:r w:rsidRPr="00D4489E">
        <w:rPr>
          <w:rFonts w:ascii="Book Antiqua" w:hAnsi="Book Antiqua" w:cs="BookAntiqua"/>
          <w:sz w:val="22"/>
          <w:szCs w:val="22"/>
        </w:rPr>
        <w:t>une absence de vérification par la banque du niveau d’endettement du client avant l’octroi du prêt relevée pour 2</w:t>
      </w:r>
      <w:r w:rsidRPr="00F1516E">
        <w:rPr>
          <w:rFonts w:ascii="Book Antiqua" w:eastAsia="Calibri" w:hAnsi="Book Antiqua"/>
          <w:sz w:val="22"/>
          <w:szCs w:val="22"/>
        </w:rPr>
        <w:t>9,</w:t>
      </w:r>
      <w:r w:rsidR="00F1516E" w:rsidRPr="00F1516E">
        <w:rPr>
          <w:rFonts w:ascii="Book Antiqua" w:eastAsia="Calibri" w:hAnsi="Book Antiqua"/>
          <w:sz w:val="22"/>
          <w:szCs w:val="22"/>
        </w:rPr>
        <w:t>7</w:t>
      </w:r>
      <w:r w:rsidRPr="00F1516E">
        <w:rPr>
          <w:rFonts w:ascii="Book Antiqua" w:eastAsia="Calibri" w:hAnsi="Book Antiqua"/>
          <w:sz w:val="22"/>
          <w:szCs w:val="22"/>
        </w:rPr>
        <w:t>% des prêts accordés aux personnes physiques ;</w:t>
      </w:r>
    </w:p>
    <w:p w:rsidR="00BB32BC" w:rsidRPr="00D4489E"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 xml:space="preserve">un coût élevé du crédit </w:t>
      </w:r>
      <w:r w:rsidR="00F1516E" w:rsidRPr="00D4489E">
        <w:rPr>
          <w:rFonts w:ascii="Book Antiqua" w:hAnsi="Book Antiqua" w:cs="BookAntiqua"/>
          <w:sz w:val="22"/>
          <w:szCs w:val="22"/>
        </w:rPr>
        <w:t>selon la perception de 91,0% des clients interrogés</w:t>
      </w:r>
      <w:r w:rsidRPr="00D4489E">
        <w:rPr>
          <w:rFonts w:ascii="Book Antiqua" w:hAnsi="Book Antiqua" w:cs="BookAntiqua"/>
          <w:sz w:val="22"/>
          <w:szCs w:val="22"/>
        </w:rPr>
        <w:t> ;</w:t>
      </w:r>
    </w:p>
    <w:p w:rsidR="00BB32BC" w:rsidRPr="00D4489E"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 xml:space="preserve">une méconnaissance </w:t>
      </w:r>
      <w:r w:rsidR="00F1516E" w:rsidRPr="00D4489E">
        <w:rPr>
          <w:rFonts w:ascii="Book Antiqua" w:hAnsi="Book Antiqua" w:cs="BookAntiqua"/>
          <w:sz w:val="22"/>
          <w:szCs w:val="22"/>
        </w:rPr>
        <w:t xml:space="preserve">par une proportion élevée des clients interrogés (82,5%) </w:t>
      </w:r>
      <w:r w:rsidRPr="00D4489E">
        <w:rPr>
          <w:rFonts w:ascii="Book Antiqua" w:hAnsi="Book Antiqua" w:cs="BookAntiqua"/>
          <w:sz w:val="22"/>
          <w:szCs w:val="22"/>
        </w:rPr>
        <w:t xml:space="preserve">des services bancaires offerts à </w:t>
      </w:r>
      <w:r w:rsidR="00F1516E" w:rsidRPr="00D4489E">
        <w:rPr>
          <w:rFonts w:ascii="Book Antiqua" w:hAnsi="Book Antiqua" w:cs="BookAntiqua"/>
          <w:sz w:val="22"/>
          <w:szCs w:val="22"/>
        </w:rPr>
        <w:t xml:space="preserve">titre </w:t>
      </w:r>
      <w:r w:rsidRPr="00D4489E">
        <w:rPr>
          <w:rFonts w:ascii="Book Antiqua" w:hAnsi="Book Antiqua" w:cs="BookAntiqua"/>
          <w:sz w:val="22"/>
          <w:szCs w:val="22"/>
        </w:rPr>
        <w:t>gratuit ;</w:t>
      </w:r>
    </w:p>
    <w:p w:rsidR="00BB32BC" w:rsidRPr="00D4489E"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 xml:space="preserve">une inadéquation entre les produits bancaires et les revenus </w:t>
      </w:r>
      <w:r w:rsidR="00316651" w:rsidRPr="00D4489E">
        <w:rPr>
          <w:rFonts w:ascii="Book Antiqua" w:hAnsi="Book Antiqua" w:cs="BookAntiqua"/>
          <w:sz w:val="22"/>
          <w:szCs w:val="22"/>
        </w:rPr>
        <w:t>relevée</w:t>
      </w:r>
      <w:r w:rsidR="00575255" w:rsidRPr="00D4489E">
        <w:rPr>
          <w:rFonts w:ascii="Book Antiqua" w:hAnsi="Book Antiqua" w:cs="BookAntiqua"/>
          <w:sz w:val="22"/>
          <w:szCs w:val="22"/>
        </w:rPr>
        <w:t xml:space="preserve"> </w:t>
      </w:r>
      <w:r w:rsidR="00316651" w:rsidRPr="00D4489E">
        <w:rPr>
          <w:rFonts w:ascii="Book Antiqua" w:hAnsi="Book Antiqua" w:cs="BookAntiqua"/>
          <w:sz w:val="22"/>
          <w:szCs w:val="22"/>
        </w:rPr>
        <w:t>auprès de</w:t>
      </w:r>
      <w:r w:rsidRPr="00D4489E">
        <w:rPr>
          <w:rFonts w:ascii="Book Antiqua" w:hAnsi="Book Antiqua" w:cs="BookAntiqua"/>
          <w:sz w:val="22"/>
          <w:szCs w:val="22"/>
        </w:rPr>
        <w:t xml:space="preserve"> 48,3% des individus interrogés ;</w:t>
      </w:r>
    </w:p>
    <w:p w:rsidR="00BB32BC" w:rsidRPr="00D4489E"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 xml:space="preserve">un </w:t>
      </w:r>
      <w:r w:rsidR="00316651" w:rsidRPr="00D4489E">
        <w:rPr>
          <w:rFonts w:ascii="Book Antiqua" w:hAnsi="Book Antiqua" w:cs="BookAntiqua"/>
          <w:sz w:val="22"/>
          <w:szCs w:val="22"/>
        </w:rPr>
        <w:t xml:space="preserve">niveau </w:t>
      </w:r>
      <w:r w:rsidRPr="00D4489E">
        <w:rPr>
          <w:rFonts w:ascii="Book Antiqua" w:hAnsi="Book Antiqua" w:cs="BookAntiqua"/>
          <w:sz w:val="22"/>
          <w:szCs w:val="22"/>
        </w:rPr>
        <w:t>élevé de réclamations formulées</w:t>
      </w:r>
      <w:r w:rsidR="00575255" w:rsidRPr="00D4489E">
        <w:rPr>
          <w:rFonts w:ascii="Book Antiqua" w:hAnsi="Book Antiqua" w:cs="BookAntiqua"/>
          <w:sz w:val="22"/>
          <w:szCs w:val="22"/>
        </w:rPr>
        <w:t xml:space="preserve"> </w:t>
      </w:r>
      <w:r w:rsidR="00316651" w:rsidRPr="00D4489E">
        <w:rPr>
          <w:rFonts w:ascii="Book Antiqua" w:hAnsi="Book Antiqua" w:cs="BookAntiqua"/>
          <w:sz w:val="22"/>
          <w:szCs w:val="22"/>
        </w:rPr>
        <w:t xml:space="preserve">au cours des cinq (5) dernières années par une proportion de 26,0% des usagers </w:t>
      </w:r>
      <w:r w:rsidRPr="00D4489E">
        <w:rPr>
          <w:rFonts w:ascii="Book Antiqua" w:hAnsi="Book Antiqua" w:cs="BookAntiqua"/>
          <w:sz w:val="22"/>
          <w:szCs w:val="22"/>
        </w:rPr>
        <w:t>;</w:t>
      </w:r>
    </w:p>
    <w:p w:rsidR="00BB32BC" w:rsidRPr="00D4489E"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 xml:space="preserve">une mauvaise qualité </w:t>
      </w:r>
      <w:r w:rsidR="00316651" w:rsidRPr="00D4489E">
        <w:rPr>
          <w:rFonts w:ascii="Book Antiqua" w:hAnsi="Book Antiqua" w:cs="BookAntiqua"/>
          <w:sz w:val="22"/>
          <w:szCs w:val="22"/>
        </w:rPr>
        <w:t xml:space="preserve">dans le traitement et le </w:t>
      </w:r>
      <w:r w:rsidRPr="00D4489E">
        <w:rPr>
          <w:rFonts w:ascii="Book Antiqua" w:hAnsi="Book Antiqua" w:cs="BookAntiqua"/>
          <w:sz w:val="22"/>
          <w:szCs w:val="22"/>
        </w:rPr>
        <w:t xml:space="preserve">suivi des réclamations </w:t>
      </w:r>
      <w:r w:rsidR="00316651" w:rsidRPr="00D4489E">
        <w:rPr>
          <w:rFonts w:ascii="Book Antiqua" w:hAnsi="Book Antiqua" w:cs="BookAntiqua"/>
          <w:sz w:val="22"/>
          <w:szCs w:val="22"/>
        </w:rPr>
        <w:t xml:space="preserve">déplorée par  </w:t>
      </w:r>
      <w:r w:rsidRPr="00D4489E">
        <w:rPr>
          <w:rFonts w:ascii="Book Antiqua" w:hAnsi="Book Antiqua" w:cs="BookAntiqua"/>
          <w:sz w:val="22"/>
          <w:szCs w:val="22"/>
        </w:rPr>
        <w:t>44,6% des clients interviewés</w:t>
      </w:r>
      <w:r w:rsidR="00D4489E">
        <w:rPr>
          <w:rFonts w:ascii="Book Antiqua" w:hAnsi="Book Antiqua" w:cs="BookAntiqua"/>
          <w:sz w:val="22"/>
          <w:szCs w:val="22"/>
        </w:rPr>
        <w:t xml:space="preserve"> </w:t>
      </w:r>
      <w:r w:rsidRPr="00D4489E">
        <w:rPr>
          <w:rFonts w:ascii="Book Antiqua" w:hAnsi="Book Antiqua" w:cs="BookAntiqua"/>
          <w:sz w:val="22"/>
          <w:szCs w:val="22"/>
        </w:rPr>
        <w:t>;</w:t>
      </w:r>
    </w:p>
    <w:p w:rsidR="00BB32BC" w:rsidRPr="00D4489E"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BookAntiqua"/>
          <w:sz w:val="22"/>
          <w:szCs w:val="22"/>
        </w:rPr>
      </w:pPr>
      <w:r w:rsidRPr="00D4489E">
        <w:rPr>
          <w:rFonts w:ascii="Book Antiqua" w:hAnsi="Book Antiqua" w:cs="BookAntiqua"/>
          <w:sz w:val="22"/>
          <w:szCs w:val="22"/>
        </w:rPr>
        <w:t xml:space="preserve">une mauvaise qualité de l’information </w:t>
      </w:r>
      <w:r w:rsidR="00705F5A" w:rsidRPr="00D4489E">
        <w:rPr>
          <w:rFonts w:ascii="Book Antiqua" w:hAnsi="Book Antiqua" w:cs="BookAntiqua"/>
          <w:sz w:val="22"/>
          <w:szCs w:val="22"/>
        </w:rPr>
        <w:t xml:space="preserve">préalable </w:t>
      </w:r>
      <w:r w:rsidRPr="00D4489E">
        <w:rPr>
          <w:rFonts w:ascii="Book Antiqua" w:hAnsi="Book Antiqua" w:cs="BookAntiqua"/>
          <w:sz w:val="22"/>
          <w:szCs w:val="22"/>
        </w:rPr>
        <w:t>sur leurs obligations relevée par 60,1% des individus interrogés ;</w:t>
      </w:r>
    </w:p>
    <w:p w:rsidR="00BB32BC" w:rsidRPr="00273F7C" w:rsidRDefault="00BB32BC" w:rsidP="00D4489E">
      <w:pPr>
        <w:pStyle w:val="Paragraphedeliste"/>
        <w:numPr>
          <w:ilvl w:val="0"/>
          <w:numId w:val="32"/>
        </w:numPr>
        <w:autoSpaceDE w:val="0"/>
        <w:autoSpaceDN w:val="0"/>
        <w:adjustRightInd w:val="0"/>
        <w:spacing w:before="120" w:after="120" w:line="276" w:lineRule="auto"/>
        <w:ind w:left="567" w:hanging="283"/>
        <w:contextualSpacing w:val="0"/>
        <w:jc w:val="both"/>
        <w:rPr>
          <w:rFonts w:ascii="Book Antiqua" w:hAnsi="Book Antiqua" w:cs="Wingdings"/>
          <w:sz w:val="22"/>
          <w:szCs w:val="22"/>
        </w:rPr>
      </w:pPr>
      <w:r w:rsidRPr="00D4489E">
        <w:rPr>
          <w:rFonts w:ascii="Book Antiqua" w:hAnsi="Book Antiqua" w:cs="BookAntiqua"/>
          <w:sz w:val="22"/>
          <w:szCs w:val="22"/>
        </w:rPr>
        <w:t xml:space="preserve">un déficit d’information sur les </w:t>
      </w:r>
      <w:r w:rsidR="00705F5A" w:rsidRPr="00D4489E">
        <w:rPr>
          <w:rFonts w:ascii="Book Antiqua" w:hAnsi="Book Antiqua" w:cs="BookAntiqua"/>
          <w:sz w:val="22"/>
          <w:szCs w:val="22"/>
        </w:rPr>
        <w:t xml:space="preserve">conditions </w:t>
      </w:r>
      <w:r w:rsidRPr="00D4489E">
        <w:rPr>
          <w:rFonts w:ascii="Book Antiqua" w:hAnsi="Book Antiqua" w:cs="BookAntiqua"/>
          <w:sz w:val="22"/>
          <w:szCs w:val="22"/>
        </w:rPr>
        <w:t>tarif</w:t>
      </w:r>
      <w:r w:rsidR="00705F5A" w:rsidRPr="00D4489E">
        <w:rPr>
          <w:rFonts w:ascii="Book Antiqua" w:hAnsi="Book Antiqua" w:cs="BookAntiqua"/>
          <w:sz w:val="22"/>
          <w:szCs w:val="22"/>
        </w:rPr>
        <w:t>aires</w:t>
      </w:r>
      <w:r w:rsidRPr="00D4489E">
        <w:rPr>
          <w:rFonts w:ascii="Book Antiqua" w:hAnsi="Book Antiqua" w:cs="BookAntiqua"/>
          <w:sz w:val="22"/>
          <w:szCs w:val="22"/>
        </w:rPr>
        <w:t xml:space="preserve"> au moment de l’ouverture du compte </w:t>
      </w:r>
      <w:r w:rsidR="00DD0BE1" w:rsidRPr="00D4489E">
        <w:rPr>
          <w:rFonts w:ascii="Book Antiqua" w:hAnsi="Book Antiqua" w:cs="BookAntiqua"/>
          <w:sz w:val="22"/>
          <w:szCs w:val="22"/>
        </w:rPr>
        <w:t xml:space="preserve">selon les déclarations de </w:t>
      </w:r>
      <w:r w:rsidRPr="00D4489E">
        <w:rPr>
          <w:rFonts w:ascii="Book Antiqua" w:hAnsi="Book Antiqua" w:cs="BookAntiqua"/>
          <w:sz w:val="22"/>
          <w:szCs w:val="22"/>
        </w:rPr>
        <w:t xml:space="preserve"> 40,6%</w:t>
      </w:r>
      <w:r w:rsidRPr="00273F7C">
        <w:rPr>
          <w:rFonts w:ascii="Book Antiqua" w:hAnsi="Book Antiqua" w:cs="Wingdings"/>
          <w:sz w:val="22"/>
          <w:szCs w:val="22"/>
        </w:rPr>
        <w:t xml:space="preserve"> des </w:t>
      </w:r>
      <w:r w:rsidR="00DD0BE1" w:rsidRPr="00273F7C">
        <w:rPr>
          <w:rFonts w:ascii="Book Antiqua" w:hAnsi="Book Antiqua" w:cs="Wingdings"/>
          <w:sz w:val="22"/>
          <w:szCs w:val="22"/>
        </w:rPr>
        <w:t>clients</w:t>
      </w:r>
      <w:r w:rsidRPr="00273F7C">
        <w:rPr>
          <w:rFonts w:ascii="Book Antiqua" w:hAnsi="Book Antiqua" w:cs="Wingdings"/>
          <w:sz w:val="22"/>
          <w:szCs w:val="22"/>
        </w:rPr>
        <w:t xml:space="preserve">. </w:t>
      </w:r>
    </w:p>
    <w:p w:rsidR="003E611C" w:rsidRPr="000A7DDA" w:rsidRDefault="003E611C" w:rsidP="00D4489E">
      <w:pPr>
        <w:widowControl w:val="0"/>
        <w:spacing w:before="120" w:line="276" w:lineRule="auto"/>
        <w:jc w:val="both"/>
        <w:rPr>
          <w:rFonts w:ascii="Arial" w:hAnsi="Arial" w:cs="Arial"/>
          <w:sz w:val="22"/>
          <w:szCs w:val="22"/>
        </w:rPr>
        <w:sectPr w:rsidR="003E611C" w:rsidRPr="000A7DDA" w:rsidSect="00AE2523">
          <w:pgSz w:w="11907" w:h="16840" w:code="9"/>
          <w:pgMar w:top="680" w:right="1134" w:bottom="680" w:left="1191" w:header="454" w:footer="454" w:gutter="0"/>
          <w:cols w:space="720"/>
          <w:docGrid w:linePitch="360"/>
        </w:sectPr>
      </w:pPr>
    </w:p>
    <w:p w:rsidR="003550B6" w:rsidRPr="003550B6" w:rsidRDefault="003550B6" w:rsidP="0066697B">
      <w:pPr>
        <w:numPr>
          <w:ilvl w:val="0"/>
          <w:numId w:val="9"/>
        </w:numPr>
        <w:tabs>
          <w:tab w:val="left" w:pos="-720"/>
        </w:tabs>
        <w:suppressAutoHyphens/>
        <w:spacing w:line="276" w:lineRule="auto"/>
        <w:ind w:hanging="218"/>
        <w:jc w:val="both"/>
        <w:outlineLvl w:val="0"/>
        <w:rPr>
          <w:rFonts w:ascii="Book Antiqua" w:hAnsi="Book Antiqua" w:cs="Tahoma"/>
          <w:b/>
          <w:sz w:val="22"/>
          <w:szCs w:val="22"/>
        </w:rPr>
      </w:pPr>
      <w:bookmarkStart w:id="203" w:name="_Toc289159152"/>
      <w:bookmarkStart w:id="204" w:name="_Toc523322074"/>
      <w:r w:rsidRPr="003550B6">
        <w:rPr>
          <w:rFonts w:ascii="Book Antiqua" w:hAnsi="Book Antiqua" w:cs="Tahoma"/>
          <w:b/>
          <w:sz w:val="22"/>
          <w:szCs w:val="22"/>
        </w:rPr>
        <w:lastRenderedPageBreak/>
        <w:t xml:space="preserve">Présentation des personnes </w:t>
      </w:r>
      <w:r w:rsidR="00566DED">
        <w:rPr>
          <w:rFonts w:ascii="Book Antiqua" w:hAnsi="Book Antiqua" w:cs="Tahoma"/>
          <w:b/>
          <w:sz w:val="22"/>
          <w:szCs w:val="22"/>
        </w:rPr>
        <w:t xml:space="preserve">physiques </w:t>
      </w:r>
      <w:r w:rsidRPr="003550B6">
        <w:rPr>
          <w:rFonts w:ascii="Book Antiqua" w:hAnsi="Book Antiqua" w:cs="Tahoma"/>
          <w:b/>
          <w:sz w:val="22"/>
          <w:szCs w:val="22"/>
        </w:rPr>
        <w:t>enquêtées</w:t>
      </w:r>
      <w:bookmarkEnd w:id="203"/>
      <w:r w:rsidR="00566DED">
        <w:rPr>
          <w:rFonts w:ascii="Book Antiqua" w:hAnsi="Book Antiqua" w:cs="Tahoma"/>
          <w:b/>
          <w:sz w:val="22"/>
          <w:szCs w:val="22"/>
        </w:rPr>
        <w:t xml:space="preserve"> et répartition selon les banques</w:t>
      </w:r>
      <w:bookmarkEnd w:id="204"/>
    </w:p>
    <w:p w:rsidR="003550B6" w:rsidRPr="003550B6" w:rsidRDefault="00566DED" w:rsidP="00D4489E">
      <w:pPr>
        <w:widowControl w:val="0"/>
        <w:spacing w:before="240" w:after="240" w:line="276" w:lineRule="auto"/>
        <w:jc w:val="both"/>
        <w:rPr>
          <w:rFonts w:ascii="Book Antiqua" w:hAnsi="Book Antiqua" w:cs="Tahoma"/>
          <w:sz w:val="22"/>
          <w:szCs w:val="22"/>
        </w:rPr>
      </w:pPr>
      <w:r>
        <w:rPr>
          <w:rFonts w:ascii="Book Antiqua" w:hAnsi="Book Antiqua" w:cs="Tahoma"/>
          <w:sz w:val="22"/>
          <w:szCs w:val="22"/>
        </w:rPr>
        <w:t xml:space="preserve">La répartition des personnes physiques enquêtées est établie </w:t>
      </w:r>
      <w:r w:rsidR="003550B6" w:rsidRPr="003550B6">
        <w:rPr>
          <w:rFonts w:ascii="Book Antiqua" w:hAnsi="Book Antiqua" w:cs="Tahoma"/>
          <w:sz w:val="22"/>
          <w:szCs w:val="22"/>
        </w:rPr>
        <w:t xml:space="preserve">suivant plusieurs critères : zone d’habitation, âge, </w:t>
      </w:r>
      <w:r>
        <w:rPr>
          <w:rFonts w:ascii="Book Antiqua" w:hAnsi="Book Antiqua" w:cs="Tahoma"/>
          <w:sz w:val="22"/>
          <w:szCs w:val="22"/>
        </w:rPr>
        <w:t>genre</w:t>
      </w:r>
      <w:r w:rsidR="003550B6" w:rsidRPr="003550B6">
        <w:rPr>
          <w:rFonts w:ascii="Book Antiqua" w:hAnsi="Book Antiqua" w:cs="Tahoma"/>
          <w:sz w:val="22"/>
          <w:szCs w:val="22"/>
        </w:rPr>
        <w:t>, situation matrimoniale, niveau d’instruction, profession exercée, secteur d’activités et nature de l’entreprise employeur (moderne ou informelle).</w:t>
      </w:r>
    </w:p>
    <w:p w:rsidR="003550B6" w:rsidRPr="003550B6" w:rsidRDefault="00566DED" w:rsidP="00D4489E">
      <w:pPr>
        <w:widowControl w:val="0"/>
        <w:spacing w:before="240" w:after="240" w:line="276" w:lineRule="auto"/>
        <w:jc w:val="both"/>
        <w:rPr>
          <w:rFonts w:ascii="Book Antiqua" w:hAnsi="Book Antiqua" w:cs="Tahoma"/>
          <w:sz w:val="22"/>
          <w:szCs w:val="22"/>
        </w:rPr>
      </w:pPr>
      <w:r>
        <w:rPr>
          <w:rFonts w:ascii="Book Antiqua" w:hAnsi="Book Antiqua" w:cs="Tahoma"/>
          <w:sz w:val="22"/>
          <w:szCs w:val="22"/>
        </w:rPr>
        <w:t>En outre, l</w:t>
      </w:r>
      <w:r w:rsidR="003550B6" w:rsidRPr="003550B6">
        <w:rPr>
          <w:rFonts w:ascii="Book Antiqua" w:hAnsi="Book Antiqua" w:cs="Tahoma"/>
          <w:sz w:val="22"/>
          <w:szCs w:val="22"/>
        </w:rPr>
        <w:t xml:space="preserve">a présentation suivant les banques de domiciliation </w:t>
      </w:r>
      <w:r>
        <w:rPr>
          <w:rFonts w:ascii="Book Antiqua" w:hAnsi="Book Antiqua" w:cs="Tahoma"/>
          <w:sz w:val="22"/>
          <w:szCs w:val="22"/>
        </w:rPr>
        <w:t>a permis</w:t>
      </w:r>
      <w:r w:rsidR="00575255">
        <w:rPr>
          <w:rFonts w:ascii="Book Antiqua" w:hAnsi="Book Antiqua" w:cs="Tahoma"/>
          <w:sz w:val="22"/>
          <w:szCs w:val="22"/>
        </w:rPr>
        <w:t xml:space="preserve"> </w:t>
      </w:r>
      <w:r w:rsidR="003550B6" w:rsidRPr="003550B6">
        <w:rPr>
          <w:rFonts w:ascii="Book Antiqua" w:hAnsi="Book Antiqua" w:cs="Tahoma"/>
          <w:sz w:val="22"/>
          <w:szCs w:val="22"/>
        </w:rPr>
        <w:t xml:space="preserve">de mettre en </w:t>
      </w:r>
      <w:r>
        <w:rPr>
          <w:rFonts w:ascii="Book Antiqua" w:hAnsi="Book Antiqua" w:cs="Tahoma"/>
          <w:sz w:val="22"/>
          <w:szCs w:val="22"/>
        </w:rPr>
        <w:t>exergue</w:t>
      </w:r>
      <w:r w:rsidR="00575255">
        <w:rPr>
          <w:rFonts w:ascii="Book Antiqua" w:hAnsi="Book Antiqua" w:cs="Tahoma"/>
          <w:sz w:val="22"/>
          <w:szCs w:val="22"/>
        </w:rPr>
        <w:t xml:space="preserve"> </w:t>
      </w:r>
      <w:r w:rsidR="003550B6" w:rsidRPr="003550B6">
        <w:rPr>
          <w:rFonts w:ascii="Book Antiqua" w:hAnsi="Book Antiqua" w:cs="Tahoma"/>
          <w:sz w:val="22"/>
          <w:szCs w:val="22"/>
        </w:rPr>
        <w:t xml:space="preserve">la répartition des clients </w:t>
      </w:r>
      <w:r>
        <w:rPr>
          <w:rFonts w:ascii="Book Antiqua" w:hAnsi="Book Antiqua" w:cs="Tahoma"/>
          <w:sz w:val="22"/>
          <w:szCs w:val="22"/>
        </w:rPr>
        <w:t>par opérateur</w:t>
      </w:r>
      <w:r w:rsidR="003550B6" w:rsidRPr="003550B6">
        <w:rPr>
          <w:rFonts w:ascii="Book Antiqua" w:hAnsi="Book Antiqua" w:cs="Tahoma"/>
          <w:sz w:val="22"/>
          <w:szCs w:val="22"/>
        </w:rPr>
        <w:t xml:space="preserve"> et l’ancienneté de</w:t>
      </w:r>
      <w:r>
        <w:rPr>
          <w:rFonts w:ascii="Book Antiqua" w:hAnsi="Book Antiqua" w:cs="Tahoma"/>
          <w:sz w:val="22"/>
          <w:szCs w:val="22"/>
        </w:rPr>
        <w:t>s</w:t>
      </w:r>
      <w:r w:rsidR="00575255">
        <w:rPr>
          <w:rFonts w:ascii="Book Antiqua" w:hAnsi="Book Antiqua" w:cs="Tahoma"/>
          <w:sz w:val="22"/>
          <w:szCs w:val="22"/>
        </w:rPr>
        <w:t xml:space="preserve"> </w:t>
      </w:r>
      <w:r w:rsidR="003550B6" w:rsidRPr="003550B6">
        <w:rPr>
          <w:rFonts w:ascii="Book Antiqua" w:hAnsi="Book Antiqua" w:cs="Tahoma"/>
          <w:sz w:val="22"/>
          <w:szCs w:val="22"/>
        </w:rPr>
        <w:t>compte</w:t>
      </w:r>
      <w:r>
        <w:rPr>
          <w:rFonts w:ascii="Book Antiqua" w:hAnsi="Book Antiqua" w:cs="Tahoma"/>
          <w:sz w:val="22"/>
          <w:szCs w:val="22"/>
        </w:rPr>
        <w:t>s</w:t>
      </w:r>
      <w:r w:rsidR="003550B6" w:rsidRPr="003550B6">
        <w:rPr>
          <w:rFonts w:ascii="Book Antiqua" w:hAnsi="Book Antiqua" w:cs="Tahoma"/>
          <w:sz w:val="22"/>
          <w:szCs w:val="22"/>
        </w:rPr>
        <w:t>.</w:t>
      </w:r>
    </w:p>
    <w:p w:rsidR="003550B6" w:rsidRPr="003550B6" w:rsidRDefault="00566DED" w:rsidP="0066697B">
      <w:pPr>
        <w:numPr>
          <w:ilvl w:val="1"/>
          <w:numId w:val="10"/>
        </w:numPr>
        <w:tabs>
          <w:tab w:val="left" w:pos="-720"/>
        </w:tabs>
        <w:suppressAutoHyphens/>
        <w:spacing w:before="240" w:after="240" w:line="276" w:lineRule="auto"/>
        <w:ind w:left="567" w:hanging="283"/>
        <w:jc w:val="both"/>
        <w:outlineLvl w:val="1"/>
        <w:rPr>
          <w:rFonts w:ascii="Book Antiqua" w:hAnsi="Book Antiqua" w:cs="Tahoma"/>
          <w:b/>
          <w:sz w:val="22"/>
          <w:szCs w:val="22"/>
        </w:rPr>
      </w:pPr>
      <w:bookmarkStart w:id="205" w:name="_Toc289159153"/>
      <w:bookmarkStart w:id="206" w:name="_Toc523322075"/>
      <w:r>
        <w:rPr>
          <w:rFonts w:ascii="Book Antiqua" w:hAnsi="Book Antiqua" w:cs="Tahoma"/>
          <w:b/>
          <w:sz w:val="22"/>
          <w:szCs w:val="22"/>
        </w:rPr>
        <w:t>Caractéristiques</w:t>
      </w:r>
      <w:r w:rsidR="00575255">
        <w:rPr>
          <w:rFonts w:ascii="Book Antiqua" w:hAnsi="Book Antiqua" w:cs="Tahoma"/>
          <w:b/>
          <w:sz w:val="22"/>
          <w:szCs w:val="22"/>
        </w:rPr>
        <w:t xml:space="preserve"> </w:t>
      </w:r>
      <w:r w:rsidR="003550B6" w:rsidRPr="003550B6">
        <w:rPr>
          <w:rFonts w:ascii="Book Antiqua" w:hAnsi="Book Antiqua" w:cs="Tahoma"/>
          <w:b/>
          <w:sz w:val="22"/>
          <w:szCs w:val="22"/>
        </w:rPr>
        <w:t>sociodémographique</w:t>
      </w:r>
      <w:bookmarkEnd w:id="205"/>
      <w:r>
        <w:rPr>
          <w:rFonts w:ascii="Book Antiqua" w:hAnsi="Book Antiqua" w:cs="Tahoma"/>
          <w:b/>
          <w:sz w:val="22"/>
          <w:szCs w:val="22"/>
        </w:rPr>
        <w:t xml:space="preserve">s des personnes physiques </w:t>
      </w:r>
      <w:r w:rsidR="00F6164C">
        <w:rPr>
          <w:rFonts w:ascii="Book Antiqua" w:hAnsi="Book Antiqua" w:cs="Tahoma"/>
          <w:b/>
          <w:sz w:val="22"/>
          <w:szCs w:val="22"/>
        </w:rPr>
        <w:t>enquêtées</w:t>
      </w:r>
      <w:bookmarkEnd w:id="206"/>
    </w:p>
    <w:p w:rsidR="003550B6" w:rsidRPr="003550B6" w:rsidRDefault="00F6164C" w:rsidP="00D4489E">
      <w:pPr>
        <w:widowControl w:val="0"/>
        <w:spacing w:before="120" w:line="276" w:lineRule="auto"/>
        <w:jc w:val="both"/>
        <w:rPr>
          <w:rFonts w:ascii="Book Antiqua" w:hAnsi="Book Antiqua" w:cs="Tahoma"/>
          <w:sz w:val="22"/>
          <w:szCs w:val="22"/>
        </w:rPr>
      </w:pPr>
      <w:r>
        <w:rPr>
          <w:rFonts w:ascii="Book Antiqua" w:hAnsi="Book Antiqua" w:cs="Tahoma"/>
          <w:sz w:val="22"/>
          <w:szCs w:val="22"/>
        </w:rPr>
        <w:t>La population enq</w:t>
      </w:r>
      <w:r w:rsidR="00C25069">
        <w:rPr>
          <w:rFonts w:ascii="Book Antiqua" w:hAnsi="Book Antiqua" w:cs="Tahoma"/>
          <w:sz w:val="22"/>
          <w:szCs w:val="22"/>
        </w:rPr>
        <w:t>uêtée dans le cadre du volet « personnes physiques » de l’ESUB est</w:t>
      </w:r>
      <w:r w:rsidR="003550B6" w:rsidRPr="003550B6">
        <w:rPr>
          <w:rFonts w:ascii="Book Antiqua" w:hAnsi="Book Antiqua" w:cs="Tahoma"/>
          <w:sz w:val="22"/>
          <w:szCs w:val="22"/>
        </w:rPr>
        <w:t xml:space="preserve"> de 3 801 clients</w:t>
      </w:r>
      <w:r>
        <w:rPr>
          <w:rFonts w:ascii="Book Antiqua" w:hAnsi="Book Antiqua" w:cs="Tahoma"/>
          <w:sz w:val="22"/>
          <w:szCs w:val="22"/>
        </w:rPr>
        <w:t>. L’enquête,</w:t>
      </w:r>
      <w:r w:rsidR="00575255">
        <w:rPr>
          <w:rFonts w:ascii="Book Antiqua" w:hAnsi="Book Antiqua" w:cs="Tahoma"/>
          <w:sz w:val="22"/>
          <w:szCs w:val="22"/>
        </w:rPr>
        <w:t xml:space="preserve"> </w:t>
      </w:r>
      <w:r>
        <w:rPr>
          <w:rFonts w:ascii="Book Antiqua" w:hAnsi="Book Antiqua" w:cs="Tahoma"/>
          <w:sz w:val="22"/>
          <w:szCs w:val="22"/>
        </w:rPr>
        <w:t xml:space="preserve">qui a couvert </w:t>
      </w:r>
      <w:r w:rsidR="003550B6" w:rsidRPr="003550B6">
        <w:rPr>
          <w:rFonts w:ascii="Book Antiqua" w:hAnsi="Book Antiqua" w:cs="Tahoma"/>
          <w:sz w:val="22"/>
          <w:szCs w:val="22"/>
        </w:rPr>
        <w:t xml:space="preserve"> les quatorze (14) régions du Sénégal</w:t>
      </w:r>
      <w:r>
        <w:rPr>
          <w:rFonts w:ascii="Book Antiqua" w:hAnsi="Book Antiqua" w:cs="Tahoma"/>
          <w:sz w:val="22"/>
          <w:szCs w:val="22"/>
        </w:rPr>
        <w:t>,</w:t>
      </w:r>
      <w:r w:rsidR="00575255">
        <w:rPr>
          <w:rFonts w:ascii="Book Antiqua" w:hAnsi="Book Antiqua" w:cs="Tahoma"/>
          <w:sz w:val="22"/>
          <w:szCs w:val="22"/>
        </w:rPr>
        <w:t xml:space="preserve"> </w:t>
      </w:r>
      <w:r>
        <w:rPr>
          <w:rFonts w:ascii="Book Antiqua" w:hAnsi="Book Antiqua" w:cs="Tahoma"/>
          <w:sz w:val="22"/>
          <w:szCs w:val="22"/>
        </w:rPr>
        <w:t xml:space="preserve">a été réalisée en utilisant la technique </w:t>
      </w:r>
      <w:r w:rsidRPr="003550B6">
        <w:rPr>
          <w:rFonts w:ascii="Book Antiqua" w:hAnsi="Book Antiqua" w:cs="Tahoma"/>
          <w:sz w:val="22"/>
          <w:szCs w:val="22"/>
        </w:rPr>
        <w:t>« face à face »</w:t>
      </w:r>
      <w:r>
        <w:rPr>
          <w:rFonts w:ascii="Book Antiqua" w:hAnsi="Book Antiqua" w:cs="Tahoma"/>
          <w:sz w:val="22"/>
          <w:szCs w:val="22"/>
        </w:rPr>
        <w:t xml:space="preserve"> sur la base d’un questionnaire</w:t>
      </w:r>
      <w:r w:rsidR="00575255">
        <w:rPr>
          <w:rFonts w:ascii="Book Antiqua" w:hAnsi="Book Antiqua" w:cs="Tahoma"/>
          <w:sz w:val="22"/>
          <w:szCs w:val="22"/>
        </w:rPr>
        <w:t xml:space="preserve"> </w:t>
      </w:r>
      <w:r w:rsidR="003550B6" w:rsidRPr="003550B6">
        <w:rPr>
          <w:rFonts w:ascii="Book Antiqua" w:hAnsi="Book Antiqua" w:cs="Tahoma"/>
          <w:sz w:val="22"/>
          <w:szCs w:val="22"/>
        </w:rPr>
        <w:t>conçu à cet effet.</w:t>
      </w:r>
    </w:p>
    <w:p w:rsidR="003550B6" w:rsidRPr="003550B6" w:rsidRDefault="003550B6" w:rsidP="00D4489E">
      <w:pPr>
        <w:tabs>
          <w:tab w:val="left" w:pos="-720"/>
        </w:tabs>
        <w:suppressAutoHyphens/>
        <w:spacing w:line="276" w:lineRule="auto"/>
        <w:ind w:left="360"/>
        <w:jc w:val="both"/>
        <w:rPr>
          <w:rFonts w:ascii="Book Antiqua" w:hAnsi="Book Antiqua" w:cs="Tahoma"/>
          <w:b/>
          <w:sz w:val="12"/>
          <w:szCs w:val="22"/>
        </w:rPr>
      </w:pPr>
    </w:p>
    <w:p w:rsidR="003550B6" w:rsidRPr="002F1608" w:rsidRDefault="002F1608" w:rsidP="0066697B">
      <w:pPr>
        <w:pStyle w:val="Titre1"/>
        <w:numPr>
          <w:ilvl w:val="0"/>
          <w:numId w:val="0"/>
        </w:numPr>
        <w:spacing w:before="240" w:after="240" w:line="276" w:lineRule="auto"/>
        <w:ind w:firstLine="567"/>
      </w:pPr>
      <w:bookmarkStart w:id="207" w:name="_Toc523322076"/>
      <w:r w:rsidRPr="002F1608">
        <w:t xml:space="preserve">I.1.1. </w:t>
      </w:r>
      <w:r w:rsidR="003550B6" w:rsidRPr="002F1608">
        <w:t>Répartition selon la zone d’habitation</w:t>
      </w:r>
      <w:bookmarkEnd w:id="207"/>
    </w:p>
    <w:p w:rsidR="003550B6" w:rsidRPr="003550B6" w:rsidRDefault="003550B6" w:rsidP="00D4489E">
      <w:pPr>
        <w:widowControl w:val="0"/>
        <w:spacing w:before="120" w:line="276" w:lineRule="auto"/>
        <w:jc w:val="both"/>
        <w:rPr>
          <w:rFonts w:ascii="Book Antiqua" w:hAnsi="Book Antiqua" w:cs="Tahoma"/>
          <w:sz w:val="22"/>
          <w:szCs w:val="22"/>
        </w:rPr>
      </w:pPr>
      <w:r w:rsidRPr="003550B6">
        <w:rPr>
          <w:rFonts w:ascii="Book Antiqua" w:hAnsi="Book Antiqua" w:cs="Tahoma"/>
          <w:sz w:val="22"/>
          <w:szCs w:val="22"/>
        </w:rPr>
        <w:t xml:space="preserve">L’analyse </w:t>
      </w:r>
      <w:r w:rsidR="00D07621">
        <w:rPr>
          <w:rFonts w:ascii="Book Antiqua" w:hAnsi="Book Antiqua" w:cs="Tahoma"/>
          <w:sz w:val="22"/>
          <w:szCs w:val="22"/>
        </w:rPr>
        <w:t xml:space="preserve">de la répartition des clients </w:t>
      </w:r>
      <w:r w:rsidR="002F1608">
        <w:rPr>
          <w:rFonts w:ascii="Book Antiqua" w:hAnsi="Book Antiqua" w:cs="Tahoma"/>
          <w:sz w:val="22"/>
          <w:szCs w:val="22"/>
        </w:rPr>
        <w:t>enquêtés</w:t>
      </w:r>
      <w:r w:rsidR="00D07621">
        <w:rPr>
          <w:rFonts w:ascii="Book Antiqua" w:hAnsi="Book Antiqua" w:cs="Tahoma"/>
          <w:sz w:val="22"/>
          <w:szCs w:val="22"/>
        </w:rPr>
        <w:t xml:space="preserve"> selon leur localité</w:t>
      </w:r>
      <w:r w:rsidR="00575255">
        <w:rPr>
          <w:rFonts w:ascii="Book Antiqua" w:hAnsi="Book Antiqua" w:cs="Tahoma"/>
          <w:sz w:val="22"/>
          <w:szCs w:val="22"/>
        </w:rPr>
        <w:t xml:space="preserve"> </w:t>
      </w:r>
      <w:r w:rsidR="00D07621">
        <w:rPr>
          <w:rFonts w:ascii="Book Antiqua" w:hAnsi="Book Antiqua" w:cs="Tahoma"/>
          <w:sz w:val="22"/>
          <w:szCs w:val="22"/>
        </w:rPr>
        <w:t xml:space="preserve">place au premier plan </w:t>
      </w:r>
      <w:r w:rsidRPr="003550B6">
        <w:rPr>
          <w:rFonts w:ascii="Book Antiqua" w:hAnsi="Book Antiqua" w:cs="Tahoma"/>
          <w:sz w:val="22"/>
          <w:szCs w:val="22"/>
        </w:rPr>
        <w:t xml:space="preserve">la région de Dakar (59,8%), </w:t>
      </w:r>
      <w:r w:rsidR="00D07621" w:rsidRPr="003550B6">
        <w:rPr>
          <w:rFonts w:ascii="Book Antiqua" w:hAnsi="Book Antiqua" w:cs="Tahoma"/>
          <w:sz w:val="22"/>
          <w:szCs w:val="22"/>
        </w:rPr>
        <w:t>suivi</w:t>
      </w:r>
      <w:r w:rsidR="00D07621">
        <w:rPr>
          <w:rFonts w:ascii="Book Antiqua" w:hAnsi="Book Antiqua" w:cs="Tahoma"/>
          <w:sz w:val="22"/>
          <w:szCs w:val="22"/>
        </w:rPr>
        <w:t>e</w:t>
      </w:r>
      <w:r w:rsidR="00575255">
        <w:rPr>
          <w:rFonts w:ascii="Book Antiqua" w:hAnsi="Book Antiqua" w:cs="Tahoma"/>
          <w:sz w:val="22"/>
          <w:szCs w:val="22"/>
        </w:rPr>
        <w:t xml:space="preserve"> </w:t>
      </w:r>
      <w:r w:rsidRPr="003550B6">
        <w:rPr>
          <w:rFonts w:ascii="Book Antiqua" w:hAnsi="Book Antiqua" w:cs="Tahoma"/>
          <w:sz w:val="22"/>
          <w:szCs w:val="22"/>
        </w:rPr>
        <w:t>de très loin par Ziguinchor (4,</w:t>
      </w:r>
      <w:r w:rsidR="00066B07">
        <w:rPr>
          <w:rFonts w:ascii="Book Antiqua" w:hAnsi="Book Antiqua" w:cs="Tahoma"/>
          <w:sz w:val="22"/>
          <w:szCs w:val="22"/>
        </w:rPr>
        <w:t>5</w:t>
      </w:r>
      <w:r w:rsidRPr="003550B6">
        <w:rPr>
          <w:rFonts w:ascii="Book Antiqua" w:hAnsi="Book Antiqua" w:cs="Tahoma"/>
          <w:sz w:val="22"/>
          <w:szCs w:val="22"/>
        </w:rPr>
        <w:t xml:space="preserve">%), Diourbel (4,2%), Saint Louis (4,2%) et Thiès (3,7%). Les régions de </w:t>
      </w:r>
      <w:r w:rsidR="00066B07">
        <w:rPr>
          <w:rFonts w:ascii="Book Antiqua" w:hAnsi="Book Antiqua" w:cs="Tahoma"/>
          <w:sz w:val="22"/>
          <w:szCs w:val="22"/>
        </w:rPr>
        <w:t xml:space="preserve">Kédougou </w:t>
      </w:r>
      <w:r w:rsidRPr="003550B6">
        <w:rPr>
          <w:rFonts w:ascii="Book Antiqua" w:hAnsi="Book Antiqua" w:cs="Tahoma"/>
          <w:sz w:val="22"/>
          <w:szCs w:val="22"/>
        </w:rPr>
        <w:t xml:space="preserve">et </w:t>
      </w:r>
      <w:proofErr w:type="spellStart"/>
      <w:r w:rsidRPr="003550B6">
        <w:rPr>
          <w:rFonts w:ascii="Book Antiqua" w:hAnsi="Book Antiqua" w:cs="Tahoma"/>
          <w:sz w:val="22"/>
          <w:szCs w:val="22"/>
        </w:rPr>
        <w:t>Kaffrine</w:t>
      </w:r>
      <w:proofErr w:type="spellEnd"/>
      <w:r w:rsidRPr="003550B6">
        <w:rPr>
          <w:rFonts w:ascii="Book Antiqua" w:hAnsi="Book Antiqua" w:cs="Tahoma"/>
          <w:sz w:val="22"/>
          <w:szCs w:val="22"/>
        </w:rPr>
        <w:t xml:space="preserve"> sont les moins représentées avec </w:t>
      </w:r>
      <w:r w:rsidR="00D07621">
        <w:rPr>
          <w:rFonts w:ascii="Book Antiqua" w:hAnsi="Book Antiqua" w:cs="Tahoma"/>
          <w:sz w:val="22"/>
          <w:szCs w:val="22"/>
        </w:rPr>
        <w:t xml:space="preserve">des proportions </w:t>
      </w:r>
      <w:r w:rsidR="00066B07">
        <w:rPr>
          <w:rFonts w:ascii="Book Antiqua" w:hAnsi="Book Antiqua" w:cs="Tahoma"/>
          <w:sz w:val="22"/>
          <w:szCs w:val="22"/>
        </w:rPr>
        <w:t>respective</w:t>
      </w:r>
      <w:r w:rsidR="00D07621">
        <w:rPr>
          <w:rFonts w:ascii="Book Antiqua" w:hAnsi="Book Antiqua" w:cs="Tahoma"/>
          <w:sz w:val="22"/>
          <w:szCs w:val="22"/>
        </w:rPr>
        <w:t>s de</w:t>
      </w:r>
      <w:r w:rsidR="00066B07">
        <w:rPr>
          <w:rFonts w:ascii="Book Antiqua" w:hAnsi="Book Antiqua" w:cs="Tahoma"/>
          <w:sz w:val="22"/>
          <w:szCs w:val="22"/>
        </w:rPr>
        <w:t xml:space="preserve"> 1,9% et </w:t>
      </w:r>
      <w:r w:rsidRPr="003550B6">
        <w:rPr>
          <w:rFonts w:ascii="Book Antiqua" w:hAnsi="Book Antiqua" w:cs="Tahoma"/>
          <w:sz w:val="22"/>
          <w:szCs w:val="22"/>
        </w:rPr>
        <w:t>2</w:t>
      </w:r>
      <w:r w:rsidR="00D07621">
        <w:rPr>
          <w:rFonts w:ascii="Book Antiqua" w:hAnsi="Book Antiqua" w:cs="Tahoma"/>
          <w:sz w:val="22"/>
          <w:szCs w:val="22"/>
        </w:rPr>
        <w:t>,0</w:t>
      </w:r>
      <w:r w:rsidRPr="003550B6">
        <w:rPr>
          <w:rFonts w:ascii="Book Antiqua" w:hAnsi="Book Antiqua" w:cs="Tahoma"/>
          <w:sz w:val="22"/>
          <w:szCs w:val="22"/>
        </w:rPr>
        <w:t>%.</w:t>
      </w:r>
    </w:p>
    <w:p w:rsidR="003550B6" w:rsidRPr="003550B6" w:rsidRDefault="003550B6" w:rsidP="00D4489E">
      <w:pPr>
        <w:widowControl w:val="0"/>
        <w:spacing w:line="276" w:lineRule="auto"/>
        <w:jc w:val="both"/>
        <w:rPr>
          <w:rFonts w:ascii="Book Antiqua" w:hAnsi="Book Antiqua" w:cs="Tahoma"/>
          <w:sz w:val="10"/>
          <w:szCs w:val="22"/>
        </w:rPr>
      </w:pPr>
    </w:p>
    <w:p w:rsidR="007030BD" w:rsidRPr="007030BD" w:rsidRDefault="007030BD" w:rsidP="00146582">
      <w:pPr>
        <w:pStyle w:val="Lgende"/>
        <w:keepNext/>
        <w:spacing w:before="360" w:line="276" w:lineRule="auto"/>
        <w:jc w:val="center"/>
        <w:rPr>
          <w:color w:val="auto"/>
        </w:rPr>
      </w:pPr>
      <w:bookmarkStart w:id="208" w:name="_Toc523313810"/>
      <w:r w:rsidRPr="007030BD">
        <w:rPr>
          <w:color w:val="auto"/>
        </w:rPr>
        <w:t xml:space="preserve">Figure </w:t>
      </w:r>
      <w:r w:rsidR="000D65F2" w:rsidRPr="007030BD">
        <w:rPr>
          <w:color w:val="auto"/>
        </w:rPr>
        <w:fldChar w:fldCharType="begin"/>
      </w:r>
      <w:r w:rsidRPr="007030BD">
        <w:rPr>
          <w:color w:val="auto"/>
        </w:rPr>
        <w:instrText xml:space="preserve"> SEQ Figure \* ARABIC </w:instrText>
      </w:r>
      <w:r w:rsidR="000D65F2" w:rsidRPr="007030BD">
        <w:rPr>
          <w:color w:val="auto"/>
        </w:rPr>
        <w:fldChar w:fldCharType="separate"/>
      </w:r>
      <w:r w:rsidR="000F780F">
        <w:rPr>
          <w:noProof/>
          <w:color w:val="auto"/>
        </w:rPr>
        <w:t>127</w:t>
      </w:r>
      <w:r w:rsidR="000D65F2" w:rsidRPr="007030BD">
        <w:rPr>
          <w:color w:val="auto"/>
        </w:rPr>
        <w:fldChar w:fldCharType="end"/>
      </w:r>
      <w:r w:rsidR="00146582">
        <w:rPr>
          <w:color w:val="auto"/>
        </w:rPr>
        <w:t xml:space="preserve"> : Réparti</w:t>
      </w:r>
      <w:r w:rsidRPr="007030BD">
        <w:rPr>
          <w:color w:val="auto"/>
        </w:rPr>
        <w:t>tion des clients personnes physiques enquêtés selon les régions</w:t>
      </w:r>
      <w:bookmarkEnd w:id="208"/>
    </w:p>
    <w:p w:rsidR="003550B6" w:rsidRPr="003550B6" w:rsidRDefault="00C015B2" w:rsidP="00D4489E">
      <w:pPr>
        <w:autoSpaceDE w:val="0"/>
        <w:autoSpaceDN w:val="0"/>
        <w:adjustRightInd w:val="0"/>
        <w:spacing w:line="276" w:lineRule="auto"/>
        <w:ind w:left="567"/>
        <w:jc w:val="center"/>
        <w:rPr>
          <w:rFonts w:ascii="Book Antiqua" w:hAnsi="Book Antiqua" w:cs="Tahoma"/>
          <w:sz w:val="20"/>
          <w:szCs w:val="22"/>
        </w:rPr>
      </w:pPr>
      <w:r>
        <w:rPr>
          <w:noProof/>
        </w:rPr>
        <w:drawing>
          <wp:inline distT="0" distB="0" distL="0" distR="0">
            <wp:extent cx="5200650" cy="3228975"/>
            <wp:effectExtent l="19050" t="0" r="19050" b="0"/>
            <wp:docPr id="198" name="Graphique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3550B6" w:rsidRPr="003550B6" w:rsidRDefault="003550B6" w:rsidP="00D4489E">
      <w:pPr>
        <w:spacing w:after="160" w:line="276" w:lineRule="auto"/>
        <w:rPr>
          <w:rFonts w:ascii="Book Antiqua" w:hAnsi="Book Antiqua" w:cs="Tahoma"/>
          <w:b/>
          <w:sz w:val="20"/>
          <w:szCs w:val="22"/>
        </w:rPr>
      </w:pPr>
      <w:bookmarkStart w:id="209" w:name="_Toc289159154"/>
      <w:r w:rsidRPr="003550B6">
        <w:rPr>
          <w:rFonts w:ascii="Book Antiqua" w:hAnsi="Book Antiqua" w:cs="Tahoma"/>
          <w:b/>
          <w:sz w:val="20"/>
          <w:szCs w:val="22"/>
        </w:rPr>
        <w:br w:type="page"/>
      </w:r>
    </w:p>
    <w:p w:rsidR="003550B6" w:rsidRPr="00C90BA7" w:rsidRDefault="003550B6" w:rsidP="0066697B">
      <w:pPr>
        <w:numPr>
          <w:ilvl w:val="0"/>
          <w:numId w:val="11"/>
        </w:numPr>
        <w:autoSpaceDE w:val="0"/>
        <w:autoSpaceDN w:val="0"/>
        <w:adjustRightInd w:val="0"/>
        <w:spacing w:before="120" w:after="240" w:line="276" w:lineRule="auto"/>
        <w:ind w:left="851" w:hanging="284"/>
        <w:outlineLvl w:val="2"/>
        <w:rPr>
          <w:rFonts w:ascii="Book Antiqua" w:hAnsi="Book Antiqua" w:cs="Tahoma"/>
          <w:b/>
          <w:sz w:val="22"/>
          <w:szCs w:val="22"/>
        </w:rPr>
      </w:pPr>
      <w:bookmarkStart w:id="210" w:name="_Toc523322077"/>
      <w:r w:rsidRPr="00C90BA7">
        <w:rPr>
          <w:rFonts w:ascii="Book Antiqua" w:hAnsi="Book Antiqua" w:cs="Tahoma"/>
          <w:b/>
          <w:sz w:val="22"/>
          <w:szCs w:val="22"/>
        </w:rPr>
        <w:lastRenderedPageBreak/>
        <w:t>Répartition</w:t>
      </w:r>
      <w:r w:rsidR="00C25069" w:rsidRPr="00C90BA7">
        <w:rPr>
          <w:rFonts w:ascii="Book Antiqua" w:hAnsi="Book Antiqua" w:cs="Tahoma"/>
          <w:b/>
          <w:sz w:val="22"/>
          <w:szCs w:val="22"/>
        </w:rPr>
        <w:t xml:space="preserve"> </w:t>
      </w:r>
      <w:r w:rsidRPr="00C90BA7">
        <w:rPr>
          <w:rFonts w:ascii="Book Antiqua" w:hAnsi="Book Antiqua" w:cs="Tahoma"/>
          <w:b/>
          <w:sz w:val="22"/>
          <w:szCs w:val="22"/>
        </w:rPr>
        <w:t xml:space="preserve"> selon l’âge, le </w:t>
      </w:r>
      <w:r w:rsidR="00D07621" w:rsidRPr="00C90BA7">
        <w:rPr>
          <w:rFonts w:ascii="Book Antiqua" w:hAnsi="Book Antiqua" w:cs="Tahoma"/>
          <w:b/>
          <w:sz w:val="22"/>
          <w:szCs w:val="22"/>
        </w:rPr>
        <w:t>genre</w:t>
      </w:r>
      <w:r w:rsidR="00575255" w:rsidRPr="00C90BA7">
        <w:rPr>
          <w:rFonts w:ascii="Book Antiqua" w:hAnsi="Book Antiqua" w:cs="Tahoma"/>
          <w:b/>
          <w:sz w:val="22"/>
          <w:szCs w:val="22"/>
        </w:rPr>
        <w:t xml:space="preserve"> </w:t>
      </w:r>
      <w:r w:rsidRPr="00C90BA7">
        <w:rPr>
          <w:rFonts w:ascii="Book Antiqua" w:hAnsi="Book Antiqua" w:cs="Tahoma"/>
          <w:b/>
          <w:sz w:val="22"/>
          <w:szCs w:val="22"/>
        </w:rPr>
        <w:t>et la situation matrimoniale</w:t>
      </w:r>
      <w:bookmarkEnd w:id="209"/>
      <w:bookmarkEnd w:id="210"/>
    </w:p>
    <w:p w:rsidR="003550B6" w:rsidRPr="003550B6" w:rsidRDefault="00D07621"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t xml:space="preserve">La population enquêtée est composée de </w:t>
      </w:r>
      <w:r w:rsidR="003550B6" w:rsidRPr="003550B6">
        <w:rPr>
          <w:rFonts w:ascii="Book Antiqua" w:hAnsi="Book Antiqua" w:cs="Tahoma"/>
          <w:sz w:val="22"/>
          <w:szCs w:val="22"/>
        </w:rPr>
        <w:t xml:space="preserve">76,8% </w:t>
      </w:r>
      <w:r>
        <w:rPr>
          <w:rFonts w:ascii="Book Antiqua" w:hAnsi="Book Antiqua" w:cs="Tahoma"/>
          <w:sz w:val="22"/>
          <w:szCs w:val="22"/>
        </w:rPr>
        <w:t xml:space="preserve">de clients de </w:t>
      </w:r>
      <w:r w:rsidR="003550B6" w:rsidRPr="003550B6">
        <w:rPr>
          <w:rFonts w:ascii="Book Antiqua" w:hAnsi="Book Antiqua" w:cs="Tahoma"/>
          <w:sz w:val="22"/>
          <w:szCs w:val="22"/>
        </w:rPr>
        <w:t xml:space="preserve">sexe masculin contre 23,2% </w:t>
      </w:r>
      <w:r>
        <w:rPr>
          <w:rFonts w:ascii="Book Antiqua" w:hAnsi="Book Antiqua" w:cs="Tahoma"/>
          <w:sz w:val="22"/>
          <w:szCs w:val="22"/>
        </w:rPr>
        <w:t>de</w:t>
      </w:r>
      <w:r w:rsidR="003550B6" w:rsidRPr="003550B6">
        <w:rPr>
          <w:rFonts w:ascii="Book Antiqua" w:hAnsi="Book Antiqua" w:cs="Tahoma"/>
          <w:sz w:val="22"/>
          <w:szCs w:val="22"/>
        </w:rPr>
        <w:t xml:space="preserve"> femmes. Par ailleurs, l’analyse croisée entre le sexe et l’âge des personnes enquêtées fait ressortir </w:t>
      </w:r>
      <w:r w:rsidR="003F19F2">
        <w:rPr>
          <w:rFonts w:ascii="Book Antiqua" w:hAnsi="Book Antiqua" w:cs="Tahoma"/>
          <w:sz w:val="22"/>
          <w:szCs w:val="22"/>
        </w:rPr>
        <w:t>une importance relative</w:t>
      </w:r>
      <w:r w:rsidR="003550B6" w:rsidRPr="003550B6">
        <w:rPr>
          <w:rFonts w:ascii="Book Antiqua" w:hAnsi="Book Antiqua" w:cs="Tahoma"/>
          <w:sz w:val="22"/>
          <w:szCs w:val="22"/>
        </w:rPr>
        <w:t xml:space="preserve"> de la tranche d’âge des 25-34</w:t>
      </w:r>
      <w:r w:rsidR="00C25069">
        <w:rPr>
          <w:rFonts w:ascii="Book Antiqua" w:hAnsi="Book Antiqua" w:cs="Tahoma"/>
          <w:sz w:val="22"/>
          <w:szCs w:val="22"/>
        </w:rPr>
        <w:t xml:space="preserve"> ans,</w:t>
      </w:r>
      <w:r w:rsidR="003550B6" w:rsidRPr="003550B6">
        <w:rPr>
          <w:rFonts w:ascii="Book Antiqua" w:hAnsi="Book Antiqua" w:cs="Tahoma"/>
          <w:sz w:val="22"/>
          <w:szCs w:val="22"/>
        </w:rPr>
        <w:t xml:space="preserve"> </w:t>
      </w:r>
      <w:r w:rsidR="003F19F2">
        <w:rPr>
          <w:rFonts w:ascii="Book Antiqua" w:hAnsi="Book Antiqua" w:cs="Tahoma"/>
          <w:sz w:val="22"/>
          <w:szCs w:val="22"/>
        </w:rPr>
        <w:t xml:space="preserve">en particulier chez les femmes qui affichent une proportion de 44,7% contre </w:t>
      </w:r>
      <w:r w:rsidR="003550B6" w:rsidRPr="003550B6">
        <w:rPr>
          <w:rFonts w:ascii="Book Antiqua" w:hAnsi="Book Antiqua" w:cs="Tahoma"/>
          <w:sz w:val="22"/>
          <w:szCs w:val="22"/>
        </w:rPr>
        <w:t xml:space="preserve">33,6% </w:t>
      </w:r>
      <w:r w:rsidR="003F19F2">
        <w:rPr>
          <w:rFonts w:ascii="Book Antiqua" w:hAnsi="Book Antiqua" w:cs="Tahoma"/>
          <w:sz w:val="22"/>
          <w:szCs w:val="22"/>
        </w:rPr>
        <w:t>pour les hommes.</w:t>
      </w:r>
    </w:p>
    <w:p w:rsidR="003550B6" w:rsidRPr="003550B6" w:rsidRDefault="003550B6" w:rsidP="00D4489E">
      <w:pPr>
        <w:autoSpaceDE w:val="0"/>
        <w:autoSpaceDN w:val="0"/>
        <w:adjustRightInd w:val="0"/>
        <w:spacing w:before="120" w:line="276" w:lineRule="auto"/>
        <w:jc w:val="both"/>
        <w:rPr>
          <w:rFonts w:ascii="Book Antiqua" w:hAnsi="Book Antiqua" w:cs="Tahoma"/>
          <w:sz w:val="22"/>
          <w:szCs w:val="22"/>
        </w:rPr>
      </w:pPr>
      <w:r w:rsidRPr="003550B6">
        <w:rPr>
          <w:rFonts w:ascii="Book Antiqua" w:hAnsi="Book Antiqua" w:cs="Tahoma"/>
          <w:sz w:val="22"/>
          <w:szCs w:val="22"/>
        </w:rPr>
        <w:t xml:space="preserve">Il convient de relever, </w:t>
      </w:r>
      <w:r w:rsidR="005711DD">
        <w:rPr>
          <w:rFonts w:ascii="Book Antiqua" w:hAnsi="Book Antiqua" w:cs="Tahoma"/>
          <w:sz w:val="22"/>
          <w:szCs w:val="22"/>
        </w:rPr>
        <w:t xml:space="preserve">que la représentativité des personnes </w:t>
      </w:r>
      <w:r w:rsidR="00BB32BC">
        <w:rPr>
          <w:rFonts w:ascii="Book Antiqua" w:hAnsi="Book Antiqua" w:cs="Tahoma"/>
          <w:sz w:val="22"/>
          <w:szCs w:val="22"/>
        </w:rPr>
        <w:t>enquêtées</w:t>
      </w:r>
      <w:r w:rsidR="005711DD">
        <w:rPr>
          <w:rFonts w:ascii="Book Antiqua" w:hAnsi="Book Antiqua" w:cs="Tahoma"/>
          <w:sz w:val="22"/>
          <w:szCs w:val="22"/>
        </w:rPr>
        <w:t xml:space="preserve"> selon la tranche d’âge décroit </w:t>
      </w:r>
      <w:r w:rsidRPr="003550B6">
        <w:rPr>
          <w:rFonts w:ascii="Book Antiqua" w:hAnsi="Book Antiqua" w:cs="Tahoma"/>
          <w:sz w:val="22"/>
          <w:szCs w:val="22"/>
        </w:rPr>
        <w:t xml:space="preserve"> à partir des 25-34 ans</w:t>
      </w:r>
      <w:r w:rsidR="005711DD">
        <w:rPr>
          <w:rFonts w:ascii="Book Antiqua" w:hAnsi="Book Antiqua" w:cs="Tahoma"/>
          <w:sz w:val="22"/>
          <w:szCs w:val="22"/>
        </w:rPr>
        <w:t>. Les hommes et les femmes affichent des niveaux respectifs de 10,5% et 5,0% pour la tranche d’âge des55-64 ans et des proportions de 1,3% et 0,3%</w:t>
      </w:r>
      <w:r w:rsidRPr="003550B6">
        <w:rPr>
          <w:rFonts w:ascii="Book Antiqua" w:hAnsi="Book Antiqua" w:cs="Tahoma"/>
          <w:sz w:val="22"/>
          <w:szCs w:val="22"/>
        </w:rPr>
        <w:t xml:space="preserve"> chez les « 65 ans ou plus »</w:t>
      </w:r>
      <w:r w:rsidR="006D7F6B">
        <w:rPr>
          <w:rFonts w:ascii="Book Antiqua" w:hAnsi="Book Antiqua" w:cs="Tahoma"/>
          <w:sz w:val="22"/>
          <w:szCs w:val="22"/>
        </w:rPr>
        <w:t xml:space="preserve">. </w:t>
      </w:r>
    </w:p>
    <w:p w:rsidR="007030BD" w:rsidRPr="00C90BA7" w:rsidRDefault="007030BD" w:rsidP="0066697B">
      <w:pPr>
        <w:pStyle w:val="Lgende"/>
        <w:keepNext/>
        <w:spacing w:before="120" w:line="276" w:lineRule="auto"/>
        <w:jc w:val="center"/>
        <w:rPr>
          <w:color w:val="auto"/>
        </w:rPr>
      </w:pPr>
      <w:bookmarkStart w:id="211" w:name="_Toc523313811"/>
      <w:r w:rsidRPr="00C90BA7">
        <w:rPr>
          <w:color w:val="auto"/>
        </w:rPr>
        <w:t xml:space="preserve">Figure </w:t>
      </w:r>
      <w:r w:rsidR="000D65F2" w:rsidRPr="00C90BA7">
        <w:rPr>
          <w:color w:val="auto"/>
        </w:rPr>
        <w:fldChar w:fldCharType="begin"/>
      </w:r>
      <w:r w:rsidRPr="00C90BA7">
        <w:rPr>
          <w:color w:val="auto"/>
        </w:rPr>
        <w:instrText xml:space="preserve"> SEQ Figure \* ARABIC </w:instrText>
      </w:r>
      <w:r w:rsidR="000D65F2" w:rsidRPr="00C90BA7">
        <w:rPr>
          <w:color w:val="auto"/>
        </w:rPr>
        <w:fldChar w:fldCharType="separate"/>
      </w:r>
      <w:r w:rsidR="000F780F">
        <w:rPr>
          <w:noProof/>
          <w:color w:val="auto"/>
        </w:rPr>
        <w:t>128</w:t>
      </w:r>
      <w:r w:rsidR="000D65F2" w:rsidRPr="00C90BA7">
        <w:rPr>
          <w:color w:val="auto"/>
        </w:rPr>
        <w:fldChar w:fldCharType="end"/>
      </w:r>
      <w:r w:rsidRPr="00C90BA7">
        <w:rPr>
          <w:color w:val="auto"/>
        </w:rPr>
        <w:t xml:space="preserve"> : Répartition des clients enquêtés selon l'âge et le genre</w:t>
      </w:r>
      <w:bookmarkEnd w:id="211"/>
    </w:p>
    <w:p w:rsidR="003550B6" w:rsidRPr="003550B6" w:rsidRDefault="00F44BC9" w:rsidP="00D4489E">
      <w:pPr>
        <w:autoSpaceDE w:val="0"/>
        <w:autoSpaceDN w:val="0"/>
        <w:adjustRightInd w:val="0"/>
        <w:spacing w:before="120" w:line="276" w:lineRule="auto"/>
        <w:jc w:val="center"/>
        <w:rPr>
          <w:rFonts w:ascii="Book Antiqua" w:hAnsi="Book Antiqua" w:cs="Tahoma"/>
          <w:sz w:val="22"/>
          <w:szCs w:val="22"/>
        </w:rPr>
      </w:pPr>
      <w:r w:rsidRPr="00AE3DF1">
        <w:rPr>
          <w:noProof/>
        </w:rPr>
        <w:drawing>
          <wp:inline distT="0" distB="0" distL="0" distR="0">
            <wp:extent cx="4568571" cy="2531059"/>
            <wp:effectExtent l="19050" t="0" r="22479" b="2591"/>
            <wp:docPr id="272" name="Graphique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3550B6" w:rsidRPr="003550B6" w:rsidRDefault="008A4E34" w:rsidP="00D4489E">
      <w:pPr>
        <w:widowControl w:val="0"/>
        <w:spacing w:before="120" w:line="276" w:lineRule="auto"/>
        <w:jc w:val="both"/>
        <w:rPr>
          <w:rFonts w:ascii="Book Antiqua" w:hAnsi="Book Antiqua" w:cs="Tahoma"/>
          <w:sz w:val="22"/>
          <w:szCs w:val="22"/>
        </w:rPr>
      </w:pPr>
      <w:r>
        <w:rPr>
          <w:rFonts w:ascii="Book Antiqua" w:hAnsi="Book Antiqua" w:cs="Tahoma"/>
          <w:sz w:val="22"/>
          <w:szCs w:val="22"/>
        </w:rPr>
        <w:t xml:space="preserve">En ce qui concerne </w:t>
      </w:r>
      <w:r w:rsidR="003550B6" w:rsidRPr="003550B6">
        <w:rPr>
          <w:rFonts w:ascii="Book Antiqua" w:hAnsi="Book Antiqua" w:cs="Tahoma"/>
          <w:sz w:val="22"/>
          <w:szCs w:val="22"/>
        </w:rPr>
        <w:t xml:space="preserve"> la situation matrimoniale</w:t>
      </w:r>
      <w:r w:rsidR="00C21E57">
        <w:rPr>
          <w:rFonts w:ascii="Book Antiqua" w:hAnsi="Book Antiqua" w:cs="Tahoma"/>
          <w:sz w:val="22"/>
          <w:szCs w:val="22"/>
        </w:rPr>
        <w:t>,</w:t>
      </w:r>
      <w:r w:rsidR="00575255">
        <w:rPr>
          <w:rFonts w:ascii="Book Antiqua" w:hAnsi="Book Antiqua" w:cs="Tahoma"/>
          <w:sz w:val="22"/>
          <w:szCs w:val="22"/>
        </w:rPr>
        <w:t xml:space="preserve"> </w:t>
      </w:r>
      <w:r>
        <w:rPr>
          <w:rFonts w:ascii="Book Antiqua" w:hAnsi="Book Antiqua" w:cs="Tahoma"/>
          <w:sz w:val="22"/>
          <w:szCs w:val="22"/>
        </w:rPr>
        <w:t>il</w:t>
      </w:r>
      <w:r w:rsidR="00575255">
        <w:rPr>
          <w:rFonts w:ascii="Book Antiqua" w:hAnsi="Book Antiqua" w:cs="Tahoma"/>
          <w:sz w:val="22"/>
          <w:szCs w:val="22"/>
        </w:rPr>
        <w:t xml:space="preserve"> </w:t>
      </w:r>
      <w:r w:rsidR="003550B6" w:rsidRPr="003550B6">
        <w:rPr>
          <w:rFonts w:ascii="Book Antiqua" w:hAnsi="Book Antiqua" w:cs="Tahoma"/>
          <w:sz w:val="22"/>
          <w:szCs w:val="22"/>
        </w:rPr>
        <w:t xml:space="preserve">ressort que les personnes interrogées </w:t>
      </w:r>
      <w:r>
        <w:rPr>
          <w:rFonts w:ascii="Book Antiqua" w:hAnsi="Book Antiqua" w:cs="Tahoma"/>
          <w:sz w:val="22"/>
          <w:szCs w:val="22"/>
        </w:rPr>
        <w:t>s</w:t>
      </w:r>
      <w:r w:rsidR="003550B6" w:rsidRPr="003550B6">
        <w:rPr>
          <w:rFonts w:ascii="Book Antiqua" w:hAnsi="Book Antiqua" w:cs="Tahoma"/>
          <w:sz w:val="22"/>
          <w:szCs w:val="22"/>
        </w:rPr>
        <w:t xml:space="preserve">ont en majorité </w:t>
      </w:r>
      <w:r w:rsidR="00C21E57">
        <w:rPr>
          <w:rFonts w:ascii="Book Antiqua" w:hAnsi="Book Antiqua" w:cs="Tahoma"/>
          <w:sz w:val="22"/>
          <w:szCs w:val="22"/>
        </w:rPr>
        <w:t xml:space="preserve">des </w:t>
      </w:r>
      <w:r>
        <w:rPr>
          <w:rFonts w:ascii="Book Antiqua" w:hAnsi="Book Antiqua" w:cs="Tahoma"/>
          <w:sz w:val="22"/>
          <w:szCs w:val="22"/>
        </w:rPr>
        <w:t>« </w:t>
      </w:r>
      <w:r w:rsidR="003550B6" w:rsidRPr="003550B6">
        <w:rPr>
          <w:rFonts w:ascii="Book Antiqua" w:hAnsi="Book Antiqua" w:cs="Tahoma"/>
          <w:sz w:val="22"/>
          <w:szCs w:val="22"/>
        </w:rPr>
        <w:t>marié</w:t>
      </w:r>
      <w:r>
        <w:rPr>
          <w:rFonts w:ascii="Book Antiqua" w:hAnsi="Book Antiqua" w:cs="Tahoma"/>
          <w:sz w:val="22"/>
          <w:szCs w:val="22"/>
        </w:rPr>
        <w:t>s »</w:t>
      </w:r>
      <w:r w:rsidR="003550B6" w:rsidRPr="003550B6">
        <w:rPr>
          <w:rFonts w:ascii="Book Antiqua" w:hAnsi="Book Antiqua" w:cs="Tahoma"/>
          <w:sz w:val="22"/>
          <w:szCs w:val="22"/>
        </w:rPr>
        <w:t xml:space="preserve"> (72,2%)</w:t>
      </w:r>
      <w:r w:rsidR="00575255">
        <w:rPr>
          <w:rFonts w:ascii="Book Antiqua" w:hAnsi="Book Antiqua" w:cs="Tahoma"/>
          <w:sz w:val="22"/>
          <w:szCs w:val="22"/>
        </w:rPr>
        <w:t xml:space="preserve"> </w:t>
      </w:r>
      <w:r>
        <w:rPr>
          <w:rFonts w:ascii="Book Antiqua" w:hAnsi="Book Antiqua" w:cs="Tahoma"/>
          <w:sz w:val="22"/>
          <w:szCs w:val="22"/>
        </w:rPr>
        <w:t>suivis des « </w:t>
      </w:r>
      <w:r w:rsidR="003550B6" w:rsidRPr="003550B6">
        <w:rPr>
          <w:rFonts w:ascii="Book Antiqua" w:hAnsi="Book Antiqua" w:cs="Tahoma"/>
          <w:sz w:val="22"/>
          <w:szCs w:val="22"/>
        </w:rPr>
        <w:t>célibataires</w:t>
      </w:r>
      <w:r>
        <w:rPr>
          <w:rFonts w:ascii="Book Antiqua" w:hAnsi="Book Antiqua" w:cs="Tahoma"/>
          <w:sz w:val="22"/>
          <w:szCs w:val="22"/>
        </w:rPr>
        <w:t> » avec une proportion de</w:t>
      </w:r>
      <w:r w:rsidR="00C25069">
        <w:rPr>
          <w:rFonts w:ascii="Book Antiqua" w:hAnsi="Book Antiqua" w:cs="Tahoma"/>
          <w:sz w:val="22"/>
          <w:szCs w:val="22"/>
        </w:rPr>
        <w:t xml:space="preserve"> </w:t>
      </w:r>
      <w:r w:rsidRPr="003550B6">
        <w:rPr>
          <w:rFonts w:ascii="Book Antiqua" w:hAnsi="Book Antiqua" w:cs="Tahoma"/>
          <w:sz w:val="22"/>
          <w:szCs w:val="22"/>
        </w:rPr>
        <w:t>25,4%</w:t>
      </w:r>
      <w:r>
        <w:rPr>
          <w:rFonts w:ascii="Book Antiqua" w:hAnsi="Book Antiqua" w:cs="Tahoma"/>
          <w:sz w:val="22"/>
          <w:szCs w:val="22"/>
        </w:rPr>
        <w:t>.</w:t>
      </w:r>
      <w:r w:rsidR="00C25069">
        <w:rPr>
          <w:rFonts w:ascii="Book Antiqua" w:hAnsi="Book Antiqua" w:cs="Tahoma"/>
          <w:sz w:val="22"/>
          <w:szCs w:val="22"/>
        </w:rPr>
        <w:t xml:space="preserve"> </w:t>
      </w:r>
      <w:r w:rsidR="003550B6" w:rsidRPr="003550B6">
        <w:rPr>
          <w:rFonts w:ascii="Book Antiqua" w:hAnsi="Book Antiqua" w:cs="Tahoma"/>
          <w:sz w:val="22"/>
          <w:szCs w:val="22"/>
        </w:rPr>
        <w:t xml:space="preserve">Les </w:t>
      </w:r>
      <w:r>
        <w:rPr>
          <w:rFonts w:ascii="Book Antiqua" w:hAnsi="Book Antiqua" w:cs="Tahoma"/>
          <w:sz w:val="22"/>
          <w:szCs w:val="22"/>
        </w:rPr>
        <w:t>« </w:t>
      </w:r>
      <w:r w:rsidR="003550B6" w:rsidRPr="003550B6">
        <w:rPr>
          <w:rFonts w:ascii="Book Antiqua" w:hAnsi="Book Antiqua" w:cs="Tahoma"/>
          <w:sz w:val="22"/>
          <w:szCs w:val="22"/>
        </w:rPr>
        <w:t>divorcés</w:t>
      </w:r>
      <w:r>
        <w:rPr>
          <w:rFonts w:ascii="Book Antiqua" w:hAnsi="Book Antiqua" w:cs="Tahoma"/>
          <w:sz w:val="22"/>
          <w:szCs w:val="22"/>
        </w:rPr>
        <w:t> »</w:t>
      </w:r>
      <w:r w:rsidR="003550B6" w:rsidRPr="003550B6">
        <w:rPr>
          <w:rFonts w:ascii="Book Antiqua" w:hAnsi="Book Antiqua" w:cs="Tahoma"/>
          <w:sz w:val="22"/>
          <w:szCs w:val="22"/>
        </w:rPr>
        <w:t xml:space="preserve"> et les </w:t>
      </w:r>
      <w:r>
        <w:rPr>
          <w:rFonts w:ascii="Book Antiqua" w:hAnsi="Book Antiqua" w:cs="Tahoma"/>
          <w:sz w:val="22"/>
          <w:szCs w:val="22"/>
        </w:rPr>
        <w:t>« </w:t>
      </w:r>
      <w:r w:rsidR="003550B6" w:rsidRPr="003550B6">
        <w:rPr>
          <w:rFonts w:ascii="Book Antiqua" w:hAnsi="Book Antiqua" w:cs="Tahoma"/>
          <w:sz w:val="22"/>
          <w:szCs w:val="22"/>
        </w:rPr>
        <w:t>veufs</w:t>
      </w:r>
      <w:r>
        <w:rPr>
          <w:rFonts w:ascii="Book Antiqua" w:hAnsi="Book Antiqua" w:cs="Tahoma"/>
          <w:sz w:val="22"/>
          <w:szCs w:val="22"/>
        </w:rPr>
        <w:t> »</w:t>
      </w:r>
      <w:r w:rsidR="003550B6" w:rsidRPr="003550B6">
        <w:rPr>
          <w:rFonts w:ascii="Book Antiqua" w:hAnsi="Book Antiqua" w:cs="Tahoma"/>
          <w:sz w:val="22"/>
          <w:szCs w:val="22"/>
        </w:rPr>
        <w:t xml:space="preserve"> sont les moins représentés avec des poids respectifs de 1,7% et 0,7%.</w:t>
      </w:r>
    </w:p>
    <w:p w:rsidR="003550B6" w:rsidRPr="003550B6" w:rsidRDefault="003550B6" w:rsidP="00D4489E">
      <w:pPr>
        <w:autoSpaceDE w:val="0"/>
        <w:autoSpaceDN w:val="0"/>
        <w:adjustRightInd w:val="0"/>
        <w:spacing w:line="276" w:lineRule="auto"/>
        <w:jc w:val="both"/>
        <w:rPr>
          <w:rFonts w:ascii="Book Antiqua" w:hAnsi="Book Antiqua" w:cs="Tahoma"/>
          <w:sz w:val="22"/>
          <w:szCs w:val="22"/>
        </w:rPr>
      </w:pPr>
    </w:p>
    <w:p w:rsidR="00C90BA7" w:rsidRPr="00C90BA7" w:rsidRDefault="00C90BA7" w:rsidP="00D4489E">
      <w:pPr>
        <w:pStyle w:val="Lgende"/>
        <w:keepNext/>
        <w:spacing w:line="276" w:lineRule="auto"/>
        <w:jc w:val="center"/>
        <w:rPr>
          <w:color w:val="auto"/>
        </w:rPr>
      </w:pPr>
      <w:bookmarkStart w:id="212" w:name="_Toc523313812"/>
      <w:r w:rsidRPr="00C90BA7">
        <w:rPr>
          <w:color w:val="auto"/>
        </w:rPr>
        <w:t xml:space="preserve">Figure </w:t>
      </w:r>
      <w:r w:rsidR="000D65F2" w:rsidRPr="00C90BA7">
        <w:rPr>
          <w:color w:val="auto"/>
        </w:rPr>
        <w:fldChar w:fldCharType="begin"/>
      </w:r>
      <w:r w:rsidRPr="00C90BA7">
        <w:rPr>
          <w:color w:val="auto"/>
        </w:rPr>
        <w:instrText xml:space="preserve"> SEQ Figure \* ARABIC </w:instrText>
      </w:r>
      <w:r w:rsidR="000D65F2" w:rsidRPr="00C90BA7">
        <w:rPr>
          <w:color w:val="auto"/>
        </w:rPr>
        <w:fldChar w:fldCharType="separate"/>
      </w:r>
      <w:r w:rsidR="000F780F">
        <w:rPr>
          <w:noProof/>
          <w:color w:val="auto"/>
        </w:rPr>
        <w:t>129</w:t>
      </w:r>
      <w:r w:rsidR="000D65F2" w:rsidRPr="00C90BA7">
        <w:rPr>
          <w:color w:val="auto"/>
        </w:rPr>
        <w:fldChar w:fldCharType="end"/>
      </w:r>
      <w:r w:rsidRPr="00C90BA7">
        <w:rPr>
          <w:color w:val="auto"/>
        </w:rPr>
        <w:t xml:space="preserve"> : Répartition des personnes enquêtées selon leur situation matrimoniale</w:t>
      </w:r>
      <w:bookmarkEnd w:id="212"/>
    </w:p>
    <w:p w:rsidR="008A4E34" w:rsidRPr="003550B6" w:rsidRDefault="00F44BC9" w:rsidP="00D4489E">
      <w:pPr>
        <w:widowControl w:val="0"/>
        <w:spacing w:before="120" w:line="276" w:lineRule="auto"/>
        <w:jc w:val="center"/>
        <w:rPr>
          <w:rFonts w:ascii="Book Antiqua" w:hAnsi="Book Antiqua" w:cs="Tahoma"/>
          <w:sz w:val="22"/>
          <w:szCs w:val="22"/>
        </w:rPr>
      </w:pPr>
      <w:r w:rsidRPr="00AE3DF1">
        <w:rPr>
          <w:noProof/>
        </w:rPr>
        <w:drawing>
          <wp:inline distT="0" distB="0" distL="0" distR="0">
            <wp:extent cx="4570763" cy="2493819"/>
            <wp:effectExtent l="19050" t="0" r="20287" b="1731"/>
            <wp:docPr id="277" name="Graphique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D4489E" w:rsidRDefault="00D4489E">
      <w:pPr>
        <w:spacing w:after="200" w:line="276" w:lineRule="auto"/>
        <w:rPr>
          <w:rFonts w:ascii="Book Antiqua" w:hAnsi="Book Antiqua" w:cs="Tahoma"/>
          <w:b/>
          <w:sz w:val="20"/>
          <w:szCs w:val="22"/>
        </w:rPr>
      </w:pPr>
      <w:bookmarkStart w:id="213" w:name="_Toc289159155"/>
      <w:r>
        <w:rPr>
          <w:rFonts w:ascii="Book Antiqua" w:hAnsi="Book Antiqua" w:cs="Tahoma"/>
          <w:b/>
          <w:sz w:val="20"/>
          <w:szCs w:val="22"/>
        </w:rPr>
        <w:br w:type="page"/>
      </w:r>
    </w:p>
    <w:p w:rsidR="003550B6" w:rsidRPr="00C90BA7" w:rsidRDefault="003550B6" w:rsidP="00FA22AD">
      <w:pPr>
        <w:numPr>
          <w:ilvl w:val="0"/>
          <w:numId w:val="12"/>
        </w:numPr>
        <w:autoSpaceDE w:val="0"/>
        <w:autoSpaceDN w:val="0"/>
        <w:adjustRightInd w:val="0"/>
        <w:spacing w:before="120" w:line="276" w:lineRule="auto"/>
        <w:ind w:left="851" w:hanging="284"/>
        <w:outlineLvl w:val="2"/>
        <w:rPr>
          <w:rFonts w:ascii="Book Antiqua" w:hAnsi="Book Antiqua" w:cs="Tahoma"/>
          <w:b/>
          <w:sz w:val="22"/>
          <w:szCs w:val="22"/>
        </w:rPr>
      </w:pPr>
      <w:bookmarkStart w:id="214" w:name="_Toc523322078"/>
      <w:r w:rsidRPr="00C90BA7">
        <w:rPr>
          <w:rFonts w:ascii="Book Antiqua" w:hAnsi="Book Antiqua" w:cs="Tahoma"/>
          <w:b/>
          <w:sz w:val="22"/>
          <w:szCs w:val="22"/>
        </w:rPr>
        <w:lastRenderedPageBreak/>
        <w:t xml:space="preserve">Répartition </w:t>
      </w:r>
      <w:r w:rsidR="00C25069" w:rsidRPr="00C90BA7">
        <w:rPr>
          <w:rFonts w:ascii="Book Antiqua" w:hAnsi="Book Antiqua" w:cs="Tahoma"/>
          <w:b/>
          <w:sz w:val="22"/>
          <w:szCs w:val="22"/>
        </w:rPr>
        <w:t xml:space="preserve"> </w:t>
      </w:r>
      <w:r w:rsidRPr="00C90BA7">
        <w:rPr>
          <w:rFonts w:ascii="Book Antiqua" w:hAnsi="Book Antiqua" w:cs="Tahoma"/>
          <w:b/>
          <w:sz w:val="22"/>
          <w:szCs w:val="22"/>
        </w:rPr>
        <w:t xml:space="preserve">selon le niveau </w:t>
      </w:r>
      <w:r w:rsidR="00BB32BC" w:rsidRPr="00C90BA7">
        <w:rPr>
          <w:rFonts w:ascii="Book Antiqua" w:hAnsi="Book Antiqua" w:cs="Tahoma"/>
          <w:b/>
          <w:sz w:val="22"/>
          <w:szCs w:val="22"/>
        </w:rPr>
        <w:t>d’instruction, la</w:t>
      </w:r>
      <w:r w:rsidRPr="00C90BA7">
        <w:rPr>
          <w:rFonts w:ascii="Book Antiqua" w:hAnsi="Book Antiqua" w:cs="Tahoma"/>
          <w:b/>
          <w:sz w:val="22"/>
          <w:szCs w:val="22"/>
        </w:rPr>
        <w:t xml:space="preserve"> profession</w:t>
      </w:r>
      <w:bookmarkEnd w:id="213"/>
      <w:r w:rsidR="00C436B9" w:rsidRPr="00C90BA7">
        <w:rPr>
          <w:rFonts w:ascii="Book Antiqua" w:hAnsi="Book Antiqua" w:cs="Tahoma"/>
          <w:b/>
          <w:sz w:val="22"/>
          <w:szCs w:val="22"/>
        </w:rPr>
        <w:t xml:space="preserve"> et les revenus</w:t>
      </w:r>
      <w:bookmarkEnd w:id="214"/>
    </w:p>
    <w:p w:rsidR="003550B6" w:rsidRPr="003550B6" w:rsidRDefault="003550B6" w:rsidP="00D4489E">
      <w:pPr>
        <w:widowControl w:val="0"/>
        <w:spacing w:before="120" w:line="276" w:lineRule="auto"/>
        <w:jc w:val="both"/>
        <w:rPr>
          <w:rFonts w:ascii="Book Antiqua" w:hAnsi="Book Antiqua" w:cs="Tahoma"/>
          <w:sz w:val="22"/>
          <w:szCs w:val="22"/>
        </w:rPr>
      </w:pPr>
      <w:r w:rsidRPr="003550B6">
        <w:rPr>
          <w:rFonts w:ascii="Book Antiqua" w:hAnsi="Book Antiqua" w:cs="Tahoma"/>
          <w:sz w:val="22"/>
          <w:szCs w:val="22"/>
        </w:rPr>
        <w:t xml:space="preserve">La répartition de </w:t>
      </w:r>
      <w:r w:rsidR="00C21E57">
        <w:rPr>
          <w:rFonts w:ascii="Book Antiqua" w:hAnsi="Book Antiqua" w:cs="Tahoma"/>
          <w:sz w:val="22"/>
          <w:szCs w:val="22"/>
        </w:rPr>
        <w:t xml:space="preserve">la population </w:t>
      </w:r>
      <w:r w:rsidRPr="003550B6">
        <w:rPr>
          <w:rFonts w:ascii="Book Antiqua" w:hAnsi="Book Antiqua" w:cs="Tahoma"/>
          <w:sz w:val="22"/>
          <w:szCs w:val="22"/>
        </w:rPr>
        <w:t xml:space="preserve"> selon le niveau d’instruction met en évidence une légère prédominance des personnes qui ont un niveau Bac+2  ou Bac+3 (32,8%), suivies de celles ayant le niveau secondaire (30,8%) et par les clients qui ont le master 2 ou plus (21,4%). </w:t>
      </w:r>
      <w:r w:rsidR="002917FA">
        <w:rPr>
          <w:rFonts w:ascii="Book Antiqua" w:hAnsi="Book Antiqua" w:cs="Tahoma"/>
          <w:sz w:val="22"/>
          <w:szCs w:val="22"/>
        </w:rPr>
        <w:t>Avec des proportions marginales, l</w:t>
      </w:r>
      <w:r w:rsidRPr="003550B6">
        <w:rPr>
          <w:rFonts w:ascii="Book Antiqua" w:hAnsi="Book Antiqua" w:cs="Tahoma"/>
          <w:sz w:val="22"/>
          <w:szCs w:val="22"/>
        </w:rPr>
        <w:t>es clients qui ont suivi un enseignement coranique</w:t>
      </w:r>
      <w:r w:rsidR="002917FA">
        <w:rPr>
          <w:rFonts w:ascii="Book Antiqua" w:hAnsi="Book Antiqua" w:cs="Tahoma"/>
          <w:sz w:val="22"/>
          <w:szCs w:val="22"/>
        </w:rPr>
        <w:t>,</w:t>
      </w:r>
      <w:r w:rsidR="00575255">
        <w:rPr>
          <w:rFonts w:ascii="Book Antiqua" w:hAnsi="Book Antiqua" w:cs="Tahoma"/>
          <w:sz w:val="22"/>
          <w:szCs w:val="22"/>
        </w:rPr>
        <w:t xml:space="preserve"> </w:t>
      </w:r>
      <w:r w:rsidRPr="003550B6">
        <w:rPr>
          <w:rFonts w:ascii="Book Antiqua" w:hAnsi="Book Antiqua" w:cs="Tahoma"/>
          <w:sz w:val="22"/>
          <w:szCs w:val="22"/>
        </w:rPr>
        <w:t>les personnes non instruites</w:t>
      </w:r>
      <w:r w:rsidR="002917FA">
        <w:rPr>
          <w:rFonts w:ascii="Book Antiqua" w:hAnsi="Book Antiqua" w:cs="Tahoma"/>
          <w:sz w:val="22"/>
          <w:szCs w:val="22"/>
        </w:rPr>
        <w:t xml:space="preserve"> et les clients </w:t>
      </w:r>
      <w:r w:rsidR="00657C28">
        <w:rPr>
          <w:rFonts w:ascii="Book Antiqua" w:hAnsi="Book Antiqua" w:cs="Tahoma"/>
          <w:sz w:val="22"/>
          <w:szCs w:val="22"/>
        </w:rPr>
        <w:t>diplômés</w:t>
      </w:r>
      <w:r w:rsidR="00575255">
        <w:rPr>
          <w:rFonts w:ascii="Book Antiqua" w:hAnsi="Book Antiqua" w:cs="Tahoma"/>
          <w:sz w:val="22"/>
          <w:szCs w:val="22"/>
        </w:rPr>
        <w:t xml:space="preserve"> </w:t>
      </w:r>
      <w:r w:rsidR="002917FA">
        <w:rPr>
          <w:rFonts w:ascii="Book Antiqua" w:hAnsi="Book Antiqua" w:cs="Tahoma"/>
          <w:sz w:val="22"/>
          <w:szCs w:val="22"/>
        </w:rPr>
        <w:t>de</w:t>
      </w:r>
      <w:r w:rsidR="00575255">
        <w:rPr>
          <w:rFonts w:ascii="Book Antiqua" w:hAnsi="Book Antiqua" w:cs="Tahoma"/>
          <w:sz w:val="22"/>
          <w:szCs w:val="22"/>
        </w:rPr>
        <w:t xml:space="preserve"> </w:t>
      </w:r>
      <w:r w:rsidR="002917FA">
        <w:rPr>
          <w:rFonts w:ascii="Book Antiqua" w:hAnsi="Book Antiqua" w:cs="Tahoma"/>
          <w:sz w:val="22"/>
          <w:szCs w:val="22"/>
        </w:rPr>
        <w:t>l’enseignement</w:t>
      </w:r>
      <w:r w:rsidR="00575255">
        <w:rPr>
          <w:rFonts w:ascii="Book Antiqua" w:hAnsi="Book Antiqua" w:cs="Tahoma"/>
          <w:sz w:val="22"/>
          <w:szCs w:val="22"/>
        </w:rPr>
        <w:t xml:space="preserve"> </w:t>
      </w:r>
      <w:r w:rsidR="002917FA">
        <w:rPr>
          <w:rFonts w:ascii="Book Antiqua" w:hAnsi="Book Antiqua" w:cs="Tahoma"/>
          <w:sz w:val="22"/>
          <w:szCs w:val="22"/>
        </w:rPr>
        <w:t>arabe</w:t>
      </w:r>
      <w:r w:rsidR="00575255">
        <w:rPr>
          <w:rFonts w:ascii="Book Antiqua" w:hAnsi="Book Antiqua" w:cs="Tahoma"/>
          <w:sz w:val="22"/>
          <w:szCs w:val="22"/>
        </w:rPr>
        <w:t xml:space="preserve"> </w:t>
      </w:r>
      <w:r w:rsidR="002917FA">
        <w:rPr>
          <w:rFonts w:ascii="Book Antiqua" w:hAnsi="Book Antiqua" w:cs="Tahoma"/>
          <w:sz w:val="22"/>
          <w:szCs w:val="22"/>
        </w:rPr>
        <w:t>affichent</w:t>
      </w:r>
      <w:r w:rsidRPr="003550B6">
        <w:rPr>
          <w:rFonts w:ascii="Book Antiqua" w:hAnsi="Book Antiqua" w:cs="Tahoma"/>
          <w:sz w:val="22"/>
          <w:szCs w:val="22"/>
        </w:rPr>
        <w:t xml:space="preserve"> respectivement </w:t>
      </w:r>
      <w:r w:rsidR="002917FA">
        <w:rPr>
          <w:rFonts w:ascii="Book Antiqua" w:hAnsi="Book Antiqua" w:cs="Tahoma"/>
          <w:sz w:val="22"/>
          <w:szCs w:val="22"/>
        </w:rPr>
        <w:t xml:space="preserve">des taux de </w:t>
      </w:r>
      <w:r w:rsidRPr="003550B6">
        <w:rPr>
          <w:rFonts w:ascii="Book Antiqua" w:hAnsi="Book Antiqua" w:cs="Tahoma"/>
          <w:sz w:val="22"/>
          <w:szCs w:val="22"/>
        </w:rPr>
        <w:t>2,6% et 1,4%</w:t>
      </w:r>
      <w:r w:rsidR="002917FA">
        <w:rPr>
          <w:rFonts w:ascii="Book Antiqua" w:hAnsi="Book Antiqua" w:cs="Tahoma"/>
          <w:sz w:val="22"/>
          <w:szCs w:val="22"/>
        </w:rPr>
        <w:t xml:space="preserve"> et 3,0%</w:t>
      </w:r>
      <w:r w:rsidRPr="003550B6">
        <w:rPr>
          <w:rFonts w:ascii="Book Antiqua" w:hAnsi="Book Antiqua" w:cs="Tahoma"/>
          <w:sz w:val="22"/>
          <w:szCs w:val="22"/>
        </w:rPr>
        <w:t>.</w:t>
      </w:r>
    </w:p>
    <w:p w:rsidR="00C90BA7" w:rsidRPr="00C90BA7" w:rsidRDefault="00C90BA7" w:rsidP="00D4489E">
      <w:pPr>
        <w:pStyle w:val="Lgende"/>
        <w:keepNext/>
        <w:spacing w:line="276" w:lineRule="auto"/>
        <w:jc w:val="center"/>
        <w:rPr>
          <w:color w:val="auto"/>
        </w:rPr>
      </w:pPr>
      <w:bookmarkStart w:id="215" w:name="_Toc523313813"/>
      <w:r w:rsidRPr="00C90BA7">
        <w:rPr>
          <w:color w:val="auto"/>
        </w:rPr>
        <w:t xml:space="preserve">Figure </w:t>
      </w:r>
      <w:r w:rsidR="000D65F2" w:rsidRPr="00C90BA7">
        <w:rPr>
          <w:color w:val="auto"/>
        </w:rPr>
        <w:fldChar w:fldCharType="begin"/>
      </w:r>
      <w:r w:rsidRPr="00C90BA7">
        <w:rPr>
          <w:color w:val="auto"/>
        </w:rPr>
        <w:instrText xml:space="preserve"> SEQ Figure \* ARABIC </w:instrText>
      </w:r>
      <w:r w:rsidR="000D65F2" w:rsidRPr="00C90BA7">
        <w:rPr>
          <w:color w:val="auto"/>
        </w:rPr>
        <w:fldChar w:fldCharType="separate"/>
      </w:r>
      <w:r w:rsidR="000F780F">
        <w:rPr>
          <w:noProof/>
          <w:color w:val="auto"/>
        </w:rPr>
        <w:t>130</w:t>
      </w:r>
      <w:r w:rsidR="000D65F2" w:rsidRPr="00C90BA7">
        <w:rPr>
          <w:color w:val="auto"/>
        </w:rPr>
        <w:fldChar w:fldCharType="end"/>
      </w:r>
      <w:r w:rsidRPr="00C90BA7">
        <w:rPr>
          <w:color w:val="auto"/>
        </w:rPr>
        <w:t xml:space="preserve"> : Répartition des personnes enquêtées selon le niveau d'instruction</w:t>
      </w:r>
      <w:bookmarkEnd w:id="215"/>
    </w:p>
    <w:p w:rsidR="00BB32BC" w:rsidRPr="00575255" w:rsidRDefault="00F44BC9" w:rsidP="00D4489E">
      <w:pPr>
        <w:spacing w:line="276" w:lineRule="auto"/>
        <w:jc w:val="center"/>
        <w:rPr>
          <w:rFonts w:ascii="Book Antiqua" w:hAnsi="Book Antiqua" w:cs="Tahoma"/>
          <w:sz w:val="10"/>
          <w:szCs w:val="22"/>
        </w:rPr>
      </w:pPr>
      <w:r w:rsidRPr="00AE3DF1">
        <w:rPr>
          <w:noProof/>
        </w:rPr>
        <w:drawing>
          <wp:inline distT="0" distB="0" distL="0" distR="0">
            <wp:extent cx="4981575" cy="2886075"/>
            <wp:effectExtent l="19050" t="0" r="9525" b="0"/>
            <wp:docPr id="278" name="Graphique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6C2B5D" w:rsidRDefault="006C2B5D" w:rsidP="00D4489E">
      <w:pPr>
        <w:spacing w:after="200" w:line="276" w:lineRule="auto"/>
        <w:jc w:val="both"/>
        <w:rPr>
          <w:rFonts w:ascii="Book Antiqua" w:hAnsi="Book Antiqua" w:cs="Tahoma"/>
          <w:sz w:val="22"/>
          <w:szCs w:val="22"/>
        </w:rPr>
      </w:pPr>
    </w:p>
    <w:p w:rsidR="003550B6" w:rsidRPr="003550B6" w:rsidRDefault="00CF3448" w:rsidP="00D4489E">
      <w:pPr>
        <w:spacing w:after="200" w:line="276" w:lineRule="auto"/>
        <w:jc w:val="both"/>
        <w:rPr>
          <w:rFonts w:ascii="Book Antiqua" w:hAnsi="Book Antiqua" w:cs="Tahoma"/>
          <w:sz w:val="22"/>
          <w:szCs w:val="22"/>
        </w:rPr>
      </w:pPr>
      <w:r>
        <w:rPr>
          <w:rFonts w:ascii="Book Antiqua" w:hAnsi="Book Antiqua" w:cs="Tahoma"/>
          <w:sz w:val="22"/>
          <w:szCs w:val="22"/>
        </w:rPr>
        <w:t xml:space="preserve">Une analyse de la ventilation des </w:t>
      </w:r>
      <w:r w:rsidR="003550B6" w:rsidRPr="003550B6">
        <w:rPr>
          <w:rFonts w:ascii="Book Antiqua" w:hAnsi="Book Antiqua" w:cs="Tahoma"/>
          <w:sz w:val="22"/>
          <w:szCs w:val="22"/>
        </w:rPr>
        <w:t xml:space="preserve">clients enquêtés selon la catégorie socioprofessionnelle fait ressortir </w:t>
      </w:r>
      <w:r>
        <w:rPr>
          <w:rFonts w:ascii="Book Antiqua" w:hAnsi="Book Antiqua" w:cs="Tahoma"/>
          <w:sz w:val="22"/>
          <w:szCs w:val="22"/>
        </w:rPr>
        <w:t>un grand écart entre les employés et les autres professions. En effet, les employés ressortent avec</w:t>
      </w:r>
      <w:r w:rsidR="006C2B5D">
        <w:rPr>
          <w:rFonts w:ascii="Book Antiqua" w:hAnsi="Book Antiqua" w:cs="Tahoma"/>
          <w:sz w:val="22"/>
          <w:szCs w:val="22"/>
        </w:rPr>
        <w:t xml:space="preserve"> </w:t>
      </w:r>
      <w:r>
        <w:rPr>
          <w:rFonts w:ascii="Book Antiqua" w:hAnsi="Book Antiqua" w:cs="Tahoma"/>
          <w:sz w:val="22"/>
          <w:szCs w:val="22"/>
        </w:rPr>
        <w:t xml:space="preserve">un taux de </w:t>
      </w:r>
      <w:r w:rsidR="003550B6" w:rsidRPr="003550B6">
        <w:rPr>
          <w:rFonts w:ascii="Book Antiqua" w:hAnsi="Book Antiqua" w:cs="Tahoma"/>
          <w:sz w:val="22"/>
          <w:szCs w:val="22"/>
        </w:rPr>
        <w:t xml:space="preserve">61,9%, </w:t>
      </w:r>
      <w:r>
        <w:rPr>
          <w:rFonts w:ascii="Book Antiqua" w:hAnsi="Book Antiqua" w:cs="Tahoma"/>
          <w:sz w:val="22"/>
          <w:szCs w:val="22"/>
        </w:rPr>
        <w:t xml:space="preserve">contre des proportions de 8,1% pour les commerçants/mareyeur, 5,8% </w:t>
      </w:r>
      <w:r w:rsidR="006C2B5D">
        <w:rPr>
          <w:rFonts w:ascii="Book Antiqua" w:hAnsi="Book Antiqua" w:cs="Tahoma"/>
          <w:sz w:val="22"/>
          <w:szCs w:val="22"/>
        </w:rPr>
        <w:t xml:space="preserve">chez </w:t>
      </w:r>
      <w:r>
        <w:rPr>
          <w:rFonts w:ascii="Book Antiqua" w:hAnsi="Book Antiqua" w:cs="Tahoma"/>
          <w:sz w:val="22"/>
          <w:szCs w:val="22"/>
        </w:rPr>
        <w:t xml:space="preserve">les corps habillés et 4,3% </w:t>
      </w:r>
      <w:r w:rsidR="006C2B5D">
        <w:rPr>
          <w:rFonts w:ascii="Book Antiqua" w:hAnsi="Book Antiqua" w:cs="Tahoma"/>
          <w:sz w:val="22"/>
          <w:szCs w:val="22"/>
        </w:rPr>
        <w:t>pour</w:t>
      </w:r>
      <w:r>
        <w:rPr>
          <w:rFonts w:ascii="Book Antiqua" w:hAnsi="Book Antiqua" w:cs="Tahoma"/>
          <w:sz w:val="22"/>
          <w:szCs w:val="22"/>
        </w:rPr>
        <w:t xml:space="preserve"> les étudiants.</w:t>
      </w:r>
    </w:p>
    <w:p w:rsidR="00C90BA7" w:rsidRPr="00C90BA7" w:rsidRDefault="00C90BA7" w:rsidP="00D4489E">
      <w:pPr>
        <w:pStyle w:val="Lgende"/>
        <w:keepNext/>
        <w:spacing w:line="276" w:lineRule="auto"/>
        <w:jc w:val="center"/>
        <w:rPr>
          <w:color w:val="auto"/>
        </w:rPr>
      </w:pPr>
      <w:bookmarkStart w:id="216" w:name="_Toc523313814"/>
      <w:r w:rsidRPr="00C90BA7">
        <w:rPr>
          <w:color w:val="auto"/>
        </w:rPr>
        <w:t xml:space="preserve">Figure </w:t>
      </w:r>
      <w:r w:rsidR="000D65F2" w:rsidRPr="00C90BA7">
        <w:rPr>
          <w:color w:val="auto"/>
        </w:rPr>
        <w:fldChar w:fldCharType="begin"/>
      </w:r>
      <w:r w:rsidRPr="00C90BA7">
        <w:rPr>
          <w:color w:val="auto"/>
        </w:rPr>
        <w:instrText xml:space="preserve"> SEQ Figure \* ARABIC </w:instrText>
      </w:r>
      <w:r w:rsidR="000D65F2" w:rsidRPr="00C90BA7">
        <w:rPr>
          <w:color w:val="auto"/>
        </w:rPr>
        <w:fldChar w:fldCharType="separate"/>
      </w:r>
      <w:r w:rsidR="000F780F">
        <w:rPr>
          <w:noProof/>
          <w:color w:val="auto"/>
        </w:rPr>
        <w:t>131</w:t>
      </w:r>
      <w:r w:rsidR="000D65F2" w:rsidRPr="00C90BA7">
        <w:rPr>
          <w:color w:val="auto"/>
        </w:rPr>
        <w:fldChar w:fldCharType="end"/>
      </w:r>
      <w:r w:rsidRPr="00C90BA7">
        <w:rPr>
          <w:color w:val="auto"/>
        </w:rPr>
        <w:t xml:space="preserve"> : Répartition des personnes enquêtées selon la catégorie socioprofessionnelle</w:t>
      </w:r>
      <w:bookmarkEnd w:id="216"/>
    </w:p>
    <w:p w:rsidR="003550B6" w:rsidRPr="003550B6" w:rsidRDefault="00F44BC9" w:rsidP="00D4489E">
      <w:pPr>
        <w:spacing w:line="276" w:lineRule="auto"/>
        <w:jc w:val="center"/>
        <w:rPr>
          <w:rFonts w:ascii="Book Antiqua" w:hAnsi="Book Antiqua" w:cs="Tahoma"/>
          <w:sz w:val="22"/>
          <w:szCs w:val="22"/>
        </w:rPr>
      </w:pPr>
      <w:r w:rsidRPr="00AE3DF1">
        <w:rPr>
          <w:noProof/>
        </w:rPr>
        <w:drawing>
          <wp:inline distT="0" distB="0" distL="0" distR="0">
            <wp:extent cx="4998720" cy="2762250"/>
            <wp:effectExtent l="19050" t="0" r="11430" b="0"/>
            <wp:docPr id="76" name="Graphique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5946AB" w:rsidRDefault="00C436B9" w:rsidP="00D4489E">
      <w:pPr>
        <w:spacing w:after="200" w:line="276" w:lineRule="auto"/>
        <w:jc w:val="both"/>
        <w:rPr>
          <w:rFonts w:ascii="Book Antiqua" w:hAnsi="Book Antiqua" w:cs="Tahoma"/>
          <w:sz w:val="22"/>
          <w:szCs w:val="22"/>
        </w:rPr>
      </w:pPr>
      <w:r>
        <w:rPr>
          <w:rFonts w:ascii="Book Antiqua" w:hAnsi="Book Antiqua" w:cs="Tahoma"/>
          <w:sz w:val="22"/>
          <w:szCs w:val="22"/>
        </w:rPr>
        <w:lastRenderedPageBreak/>
        <w:t xml:space="preserve">Par ailleurs, </w:t>
      </w:r>
      <w:r w:rsidRPr="003550B6">
        <w:rPr>
          <w:rFonts w:ascii="Book Antiqua" w:hAnsi="Book Antiqua" w:cs="Tahoma"/>
          <w:sz w:val="22"/>
          <w:szCs w:val="22"/>
        </w:rPr>
        <w:t xml:space="preserve">il ressort des résultats de </w:t>
      </w:r>
      <w:r>
        <w:rPr>
          <w:rFonts w:ascii="Book Antiqua" w:hAnsi="Book Antiqua" w:cs="Tahoma"/>
          <w:sz w:val="22"/>
          <w:szCs w:val="22"/>
        </w:rPr>
        <w:t>l’</w:t>
      </w:r>
      <w:r w:rsidRPr="003550B6">
        <w:rPr>
          <w:rFonts w:ascii="Book Antiqua" w:hAnsi="Book Antiqua" w:cs="Tahoma"/>
          <w:sz w:val="22"/>
          <w:szCs w:val="22"/>
        </w:rPr>
        <w:t xml:space="preserve">enquête que les clients </w:t>
      </w:r>
      <w:r w:rsidR="005946AB">
        <w:rPr>
          <w:rFonts w:ascii="Book Antiqua" w:hAnsi="Book Antiqua" w:cs="Tahoma"/>
          <w:sz w:val="22"/>
          <w:szCs w:val="22"/>
        </w:rPr>
        <w:t>dont</w:t>
      </w:r>
      <w:r w:rsidR="00575255">
        <w:rPr>
          <w:rFonts w:ascii="Book Antiqua" w:hAnsi="Book Antiqua" w:cs="Tahoma"/>
          <w:sz w:val="22"/>
          <w:szCs w:val="22"/>
        </w:rPr>
        <w:t xml:space="preserve"> </w:t>
      </w:r>
      <w:r w:rsidR="005946AB">
        <w:rPr>
          <w:rFonts w:ascii="Book Antiqua" w:hAnsi="Book Antiqua" w:cs="Tahoma"/>
          <w:sz w:val="22"/>
          <w:szCs w:val="22"/>
        </w:rPr>
        <w:t>l</w:t>
      </w:r>
      <w:r w:rsidRPr="003550B6">
        <w:rPr>
          <w:rFonts w:ascii="Book Antiqua" w:hAnsi="Book Antiqua" w:cs="Tahoma"/>
          <w:sz w:val="22"/>
          <w:szCs w:val="22"/>
        </w:rPr>
        <w:t xml:space="preserve">es revenus </w:t>
      </w:r>
      <w:r w:rsidR="007F62EE">
        <w:rPr>
          <w:rFonts w:ascii="Book Antiqua" w:hAnsi="Book Antiqua" w:cs="Tahoma"/>
          <w:sz w:val="22"/>
          <w:szCs w:val="22"/>
        </w:rPr>
        <w:t xml:space="preserve">mensuels </w:t>
      </w:r>
      <w:r w:rsidR="005946AB">
        <w:rPr>
          <w:rFonts w:ascii="Book Antiqua" w:hAnsi="Book Antiqua" w:cs="Tahoma"/>
          <w:sz w:val="22"/>
          <w:szCs w:val="22"/>
        </w:rPr>
        <w:t xml:space="preserve">sont </w:t>
      </w:r>
      <w:r w:rsidRPr="003550B6">
        <w:rPr>
          <w:rFonts w:ascii="Book Antiqua" w:hAnsi="Book Antiqua" w:cs="Tahoma"/>
          <w:sz w:val="22"/>
          <w:szCs w:val="22"/>
        </w:rPr>
        <w:t xml:space="preserve">compris entre 100 000 et 200 000 FCFA </w:t>
      </w:r>
      <w:r w:rsidR="005946AB">
        <w:rPr>
          <w:rFonts w:ascii="Book Antiqua" w:hAnsi="Book Antiqua" w:cs="Tahoma"/>
          <w:sz w:val="22"/>
          <w:szCs w:val="22"/>
        </w:rPr>
        <w:t xml:space="preserve">sont majoritaires avec un taux de représentativité de </w:t>
      </w:r>
      <w:r w:rsidRPr="003550B6">
        <w:rPr>
          <w:rFonts w:ascii="Book Antiqua" w:hAnsi="Book Antiqua" w:cs="Tahoma"/>
          <w:sz w:val="22"/>
          <w:szCs w:val="22"/>
        </w:rPr>
        <w:t>33,6%</w:t>
      </w:r>
      <w:r w:rsidR="005946AB">
        <w:rPr>
          <w:rFonts w:ascii="Book Antiqua" w:hAnsi="Book Antiqua" w:cs="Tahoma"/>
          <w:sz w:val="22"/>
          <w:szCs w:val="22"/>
        </w:rPr>
        <w:t>.</w:t>
      </w:r>
      <w:r w:rsidR="00575255">
        <w:rPr>
          <w:rFonts w:ascii="Book Antiqua" w:hAnsi="Book Antiqua" w:cs="Tahoma"/>
          <w:sz w:val="22"/>
          <w:szCs w:val="22"/>
        </w:rPr>
        <w:t xml:space="preserve"> </w:t>
      </w:r>
      <w:r>
        <w:rPr>
          <w:rFonts w:ascii="Book Antiqua" w:hAnsi="Book Antiqua" w:cs="Tahoma"/>
          <w:sz w:val="22"/>
          <w:szCs w:val="22"/>
        </w:rPr>
        <w:t xml:space="preserve">Les clients dont le revenu varie entre </w:t>
      </w:r>
      <w:r w:rsidRPr="003550B6">
        <w:rPr>
          <w:rFonts w:ascii="Book Antiqua" w:hAnsi="Book Antiqua" w:cs="Tahoma"/>
          <w:sz w:val="22"/>
          <w:szCs w:val="22"/>
        </w:rPr>
        <w:t xml:space="preserve">200 001 et 300 000 FCFA </w:t>
      </w:r>
      <w:r>
        <w:rPr>
          <w:rFonts w:ascii="Book Antiqua" w:hAnsi="Book Antiqua" w:cs="Tahoma"/>
          <w:sz w:val="22"/>
          <w:szCs w:val="22"/>
        </w:rPr>
        <w:t xml:space="preserve">constituent une part de </w:t>
      </w:r>
      <w:r w:rsidRPr="003550B6">
        <w:rPr>
          <w:rFonts w:ascii="Book Antiqua" w:hAnsi="Book Antiqua" w:cs="Tahoma"/>
          <w:sz w:val="22"/>
          <w:szCs w:val="22"/>
        </w:rPr>
        <w:t xml:space="preserve">28,6% </w:t>
      </w:r>
      <w:r w:rsidR="005946AB">
        <w:rPr>
          <w:rFonts w:ascii="Book Antiqua" w:hAnsi="Book Antiqua" w:cs="Tahoma"/>
          <w:sz w:val="22"/>
          <w:szCs w:val="22"/>
        </w:rPr>
        <w:t xml:space="preserve">contre une proportion de </w:t>
      </w:r>
      <w:r w:rsidR="005946AB" w:rsidRPr="003550B6">
        <w:rPr>
          <w:rFonts w:ascii="Book Antiqua" w:hAnsi="Book Antiqua" w:cs="Tahoma"/>
          <w:sz w:val="22"/>
          <w:szCs w:val="22"/>
        </w:rPr>
        <w:t>18,2%</w:t>
      </w:r>
      <w:r w:rsidR="005946AB">
        <w:rPr>
          <w:rFonts w:ascii="Book Antiqua" w:hAnsi="Book Antiqua" w:cs="Tahoma"/>
          <w:sz w:val="22"/>
          <w:szCs w:val="22"/>
        </w:rPr>
        <w:t xml:space="preserve">pour </w:t>
      </w:r>
      <w:r>
        <w:rPr>
          <w:rFonts w:ascii="Book Antiqua" w:hAnsi="Book Antiqua" w:cs="Tahoma"/>
          <w:sz w:val="22"/>
          <w:szCs w:val="22"/>
        </w:rPr>
        <w:t xml:space="preserve">la tranche </w:t>
      </w:r>
      <w:r w:rsidR="005946AB">
        <w:rPr>
          <w:rFonts w:ascii="Book Antiqua" w:hAnsi="Book Antiqua" w:cs="Tahoma"/>
          <w:sz w:val="22"/>
          <w:szCs w:val="22"/>
        </w:rPr>
        <w:t>comprise entre</w:t>
      </w:r>
      <w:r w:rsidR="006C2B5D">
        <w:rPr>
          <w:rFonts w:ascii="Book Antiqua" w:hAnsi="Book Antiqua" w:cs="Tahoma"/>
          <w:sz w:val="22"/>
          <w:szCs w:val="22"/>
        </w:rPr>
        <w:t xml:space="preserve"> </w:t>
      </w:r>
      <w:r w:rsidRPr="003550B6">
        <w:rPr>
          <w:rFonts w:ascii="Book Antiqua" w:hAnsi="Book Antiqua" w:cs="Tahoma"/>
          <w:sz w:val="22"/>
          <w:szCs w:val="22"/>
        </w:rPr>
        <w:t xml:space="preserve">300 001 </w:t>
      </w:r>
      <w:r w:rsidR="005946AB">
        <w:rPr>
          <w:rFonts w:ascii="Book Antiqua" w:hAnsi="Book Antiqua" w:cs="Tahoma"/>
          <w:sz w:val="22"/>
          <w:szCs w:val="22"/>
        </w:rPr>
        <w:t>et</w:t>
      </w:r>
      <w:r w:rsidRPr="003550B6">
        <w:rPr>
          <w:rFonts w:ascii="Book Antiqua" w:hAnsi="Book Antiqua" w:cs="Tahoma"/>
          <w:sz w:val="22"/>
          <w:szCs w:val="22"/>
        </w:rPr>
        <w:t xml:space="preserve"> 500 000 FCFA</w:t>
      </w:r>
      <w:r>
        <w:rPr>
          <w:rFonts w:ascii="Book Antiqua" w:hAnsi="Book Antiqua" w:cs="Tahoma"/>
          <w:sz w:val="22"/>
          <w:szCs w:val="22"/>
        </w:rPr>
        <w:t>.</w:t>
      </w:r>
    </w:p>
    <w:p w:rsidR="005946AB" w:rsidRDefault="005946AB" w:rsidP="00D4489E">
      <w:pPr>
        <w:spacing w:after="200" w:line="276" w:lineRule="auto"/>
        <w:jc w:val="both"/>
        <w:rPr>
          <w:rFonts w:ascii="Book Antiqua" w:hAnsi="Book Antiqua" w:cs="Tahoma"/>
          <w:sz w:val="22"/>
          <w:szCs w:val="22"/>
        </w:rPr>
      </w:pPr>
      <w:r>
        <w:rPr>
          <w:rFonts w:ascii="Book Antiqua" w:hAnsi="Book Antiqua" w:cs="Tahoma"/>
          <w:sz w:val="22"/>
          <w:szCs w:val="22"/>
        </w:rPr>
        <w:t xml:space="preserve">Seule une frange de </w:t>
      </w:r>
      <w:r w:rsidR="00C436B9" w:rsidRPr="003550B6">
        <w:rPr>
          <w:rFonts w:ascii="Book Antiqua" w:hAnsi="Book Antiqua" w:cs="Tahoma"/>
          <w:sz w:val="22"/>
          <w:szCs w:val="22"/>
        </w:rPr>
        <w:t xml:space="preserve"> 6,4% </w:t>
      </w:r>
      <w:r>
        <w:rPr>
          <w:rFonts w:ascii="Book Antiqua" w:hAnsi="Book Antiqua" w:cs="Tahoma"/>
          <w:sz w:val="22"/>
          <w:szCs w:val="22"/>
        </w:rPr>
        <w:t xml:space="preserve">des </w:t>
      </w:r>
      <w:r w:rsidR="006C2B5D">
        <w:rPr>
          <w:rFonts w:ascii="Book Antiqua" w:hAnsi="Book Antiqua" w:cs="Tahoma"/>
          <w:sz w:val="22"/>
          <w:szCs w:val="22"/>
        </w:rPr>
        <w:t>clients enquêté</w:t>
      </w:r>
      <w:r>
        <w:rPr>
          <w:rFonts w:ascii="Book Antiqua" w:hAnsi="Book Antiqua" w:cs="Tahoma"/>
          <w:sz w:val="22"/>
          <w:szCs w:val="22"/>
        </w:rPr>
        <w:t xml:space="preserve">s </w:t>
      </w:r>
      <w:r w:rsidR="00C436B9" w:rsidRPr="003550B6">
        <w:rPr>
          <w:rFonts w:ascii="Book Antiqua" w:hAnsi="Book Antiqua" w:cs="Tahoma"/>
          <w:sz w:val="22"/>
          <w:szCs w:val="22"/>
        </w:rPr>
        <w:t xml:space="preserve">ont un </w:t>
      </w:r>
      <w:r>
        <w:rPr>
          <w:rFonts w:ascii="Book Antiqua" w:hAnsi="Book Antiqua" w:cs="Tahoma"/>
          <w:sz w:val="22"/>
          <w:szCs w:val="22"/>
        </w:rPr>
        <w:t>revenu qui dépasse 500 000 FCFA tandis que</w:t>
      </w:r>
      <w:r w:rsidR="00C436B9" w:rsidRPr="003550B6">
        <w:rPr>
          <w:rFonts w:ascii="Book Antiqua" w:hAnsi="Book Antiqua" w:cs="Tahoma"/>
          <w:sz w:val="22"/>
          <w:szCs w:val="22"/>
        </w:rPr>
        <w:t xml:space="preserve"> 13,2% ont déclaré un revenu inférieur à 50 000 FCFA. </w:t>
      </w:r>
    </w:p>
    <w:p w:rsidR="00C90BA7" w:rsidRPr="00C90BA7" w:rsidRDefault="00C90BA7" w:rsidP="00D4489E">
      <w:pPr>
        <w:pStyle w:val="Lgende"/>
        <w:keepNext/>
        <w:spacing w:line="276" w:lineRule="auto"/>
        <w:jc w:val="center"/>
        <w:rPr>
          <w:color w:val="auto"/>
        </w:rPr>
      </w:pPr>
      <w:bookmarkStart w:id="217" w:name="_Toc523313815"/>
      <w:r w:rsidRPr="00C90BA7">
        <w:rPr>
          <w:color w:val="auto"/>
        </w:rPr>
        <w:t xml:space="preserve">Figure </w:t>
      </w:r>
      <w:r w:rsidR="000D65F2" w:rsidRPr="00C90BA7">
        <w:rPr>
          <w:color w:val="auto"/>
        </w:rPr>
        <w:fldChar w:fldCharType="begin"/>
      </w:r>
      <w:r w:rsidRPr="00C90BA7">
        <w:rPr>
          <w:color w:val="auto"/>
        </w:rPr>
        <w:instrText xml:space="preserve"> SEQ Figure \* ARABIC </w:instrText>
      </w:r>
      <w:r w:rsidR="000D65F2" w:rsidRPr="00C90BA7">
        <w:rPr>
          <w:color w:val="auto"/>
        </w:rPr>
        <w:fldChar w:fldCharType="separate"/>
      </w:r>
      <w:r w:rsidR="000F780F">
        <w:rPr>
          <w:noProof/>
          <w:color w:val="auto"/>
        </w:rPr>
        <w:t>132</w:t>
      </w:r>
      <w:r w:rsidR="000D65F2" w:rsidRPr="00C90BA7">
        <w:rPr>
          <w:color w:val="auto"/>
        </w:rPr>
        <w:fldChar w:fldCharType="end"/>
      </w:r>
      <w:r w:rsidRPr="00C90BA7">
        <w:rPr>
          <w:color w:val="auto"/>
        </w:rPr>
        <w:t xml:space="preserve"> : Répartition des personnes enquêtées suivant leur niveau de revenus</w:t>
      </w:r>
      <w:bookmarkEnd w:id="217"/>
    </w:p>
    <w:p w:rsidR="00C436B9" w:rsidRPr="003550B6" w:rsidRDefault="00F44BC9" w:rsidP="00D4489E">
      <w:pPr>
        <w:spacing w:after="200" w:line="276" w:lineRule="auto"/>
        <w:jc w:val="center"/>
        <w:rPr>
          <w:rFonts w:ascii="Book Antiqua" w:hAnsi="Book Antiqua" w:cs="Tahoma"/>
          <w:sz w:val="22"/>
          <w:szCs w:val="22"/>
        </w:rPr>
      </w:pPr>
      <w:r w:rsidRPr="00AE3DF1">
        <w:rPr>
          <w:noProof/>
        </w:rPr>
        <w:drawing>
          <wp:inline distT="0" distB="0" distL="0" distR="0">
            <wp:extent cx="5076825" cy="2200275"/>
            <wp:effectExtent l="19050" t="0" r="9525" b="0"/>
            <wp:docPr id="82" name="Graphique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3550B6" w:rsidRPr="00C90BA7" w:rsidRDefault="003550B6" w:rsidP="00FA22AD">
      <w:pPr>
        <w:numPr>
          <w:ilvl w:val="0"/>
          <w:numId w:val="13"/>
        </w:numPr>
        <w:autoSpaceDE w:val="0"/>
        <w:autoSpaceDN w:val="0"/>
        <w:adjustRightInd w:val="0"/>
        <w:spacing w:before="360" w:line="276" w:lineRule="auto"/>
        <w:ind w:left="851" w:hanging="284"/>
        <w:outlineLvl w:val="2"/>
        <w:rPr>
          <w:rFonts w:ascii="Book Antiqua" w:hAnsi="Book Antiqua" w:cs="Tahoma"/>
          <w:b/>
          <w:sz w:val="22"/>
          <w:szCs w:val="22"/>
        </w:rPr>
      </w:pPr>
      <w:bookmarkStart w:id="218" w:name="_Toc289159156"/>
      <w:bookmarkStart w:id="219" w:name="_Toc523322079"/>
      <w:r w:rsidRPr="00C90BA7">
        <w:rPr>
          <w:rFonts w:ascii="Book Antiqua" w:hAnsi="Book Antiqua" w:cs="Tahoma"/>
          <w:b/>
          <w:sz w:val="22"/>
          <w:szCs w:val="22"/>
        </w:rPr>
        <w:t>Répartition selon le secteur d’activités</w:t>
      </w:r>
      <w:r w:rsidR="007F62EE" w:rsidRPr="00C90BA7">
        <w:rPr>
          <w:rFonts w:ascii="Book Antiqua" w:hAnsi="Book Antiqua" w:cs="Tahoma"/>
          <w:b/>
          <w:sz w:val="22"/>
          <w:szCs w:val="22"/>
        </w:rPr>
        <w:t xml:space="preserve"> et</w:t>
      </w:r>
      <w:r w:rsidRPr="00C90BA7">
        <w:rPr>
          <w:rFonts w:ascii="Book Antiqua" w:hAnsi="Book Antiqua" w:cs="Tahoma"/>
          <w:b/>
          <w:sz w:val="22"/>
          <w:szCs w:val="22"/>
        </w:rPr>
        <w:t xml:space="preserve"> l</w:t>
      </w:r>
      <w:r w:rsidR="00C436B9" w:rsidRPr="00C90BA7">
        <w:rPr>
          <w:rFonts w:ascii="Book Antiqua" w:hAnsi="Book Antiqua" w:cs="Tahoma"/>
          <w:b/>
          <w:sz w:val="22"/>
          <w:szCs w:val="22"/>
        </w:rPr>
        <w:t xml:space="preserve">a nature de l’activité </w:t>
      </w:r>
      <w:r w:rsidRPr="00C90BA7">
        <w:rPr>
          <w:rFonts w:ascii="Book Antiqua" w:hAnsi="Book Antiqua" w:cs="Tahoma"/>
          <w:b/>
          <w:sz w:val="22"/>
          <w:szCs w:val="22"/>
        </w:rPr>
        <w:t xml:space="preserve"> de l’employeur</w:t>
      </w:r>
      <w:bookmarkEnd w:id="218"/>
      <w:bookmarkEnd w:id="219"/>
    </w:p>
    <w:p w:rsidR="006C2B5D" w:rsidRDefault="006C2B5D" w:rsidP="00D4489E">
      <w:pPr>
        <w:widowControl w:val="0"/>
        <w:spacing w:before="120" w:line="276" w:lineRule="auto"/>
        <w:jc w:val="both"/>
        <w:rPr>
          <w:rFonts w:ascii="Book Antiqua" w:hAnsi="Book Antiqua" w:cs="Tahoma"/>
          <w:sz w:val="22"/>
          <w:szCs w:val="22"/>
        </w:rPr>
      </w:pPr>
      <w:r>
        <w:rPr>
          <w:rFonts w:ascii="Book Antiqua" w:hAnsi="Book Antiqua" w:cs="Tahoma"/>
          <w:sz w:val="22"/>
          <w:szCs w:val="22"/>
        </w:rPr>
        <w:t>Les clients qui évoluent dans</w:t>
      </w:r>
      <w:r w:rsidR="003550B6" w:rsidRPr="003550B6">
        <w:rPr>
          <w:rFonts w:ascii="Book Antiqua" w:hAnsi="Book Antiqua" w:cs="Tahoma"/>
          <w:sz w:val="22"/>
          <w:szCs w:val="22"/>
        </w:rPr>
        <w:t xml:space="preserve"> l’Administration constituent la classe modale </w:t>
      </w:r>
      <w:r w:rsidR="007F62EE">
        <w:rPr>
          <w:rFonts w:ascii="Book Antiqua" w:hAnsi="Book Antiqua" w:cs="Tahoma"/>
          <w:sz w:val="22"/>
          <w:szCs w:val="22"/>
        </w:rPr>
        <w:t>la plus représentative</w:t>
      </w:r>
      <w:r w:rsidR="00575255">
        <w:rPr>
          <w:rFonts w:ascii="Book Antiqua" w:hAnsi="Book Antiqua" w:cs="Tahoma"/>
          <w:sz w:val="22"/>
          <w:szCs w:val="22"/>
        </w:rPr>
        <w:t xml:space="preserve"> </w:t>
      </w:r>
      <w:r w:rsidR="003550B6" w:rsidRPr="003550B6">
        <w:rPr>
          <w:rFonts w:ascii="Book Antiqua" w:hAnsi="Book Antiqua" w:cs="Tahoma"/>
          <w:sz w:val="22"/>
          <w:szCs w:val="22"/>
        </w:rPr>
        <w:t>de</w:t>
      </w:r>
      <w:r w:rsidR="002159D8">
        <w:rPr>
          <w:rFonts w:ascii="Book Antiqua" w:hAnsi="Book Antiqua" w:cs="Tahoma"/>
          <w:sz w:val="22"/>
          <w:szCs w:val="22"/>
        </w:rPr>
        <w:t xml:space="preserve"> </w:t>
      </w:r>
      <w:r w:rsidR="00C436B9">
        <w:rPr>
          <w:rFonts w:ascii="Book Antiqua" w:hAnsi="Book Antiqua" w:cs="Tahoma"/>
          <w:sz w:val="22"/>
          <w:szCs w:val="22"/>
        </w:rPr>
        <w:t xml:space="preserve">la population statistique </w:t>
      </w:r>
      <w:r w:rsidR="003550B6" w:rsidRPr="003550B6">
        <w:rPr>
          <w:rFonts w:ascii="Book Antiqua" w:hAnsi="Book Antiqua" w:cs="Tahoma"/>
          <w:sz w:val="22"/>
          <w:szCs w:val="22"/>
        </w:rPr>
        <w:t xml:space="preserve">avec un poids de 23,7%, suivis de très près </w:t>
      </w:r>
      <w:r w:rsidR="007F62EE">
        <w:rPr>
          <w:rFonts w:ascii="Book Antiqua" w:hAnsi="Book Antiqua" w:cs="Tahoma"/>
          <w:sz w:val="22"/>
          <w:szCs w:val="22"/>
        </w:rPr>
        <w:t>de l’Enseignement</w:t>
      </w:r>
      <w:r w:rsidR="003550B6" w:rsidRPr="003550B6">
        <w:rPr>
          <w:rFonts w:ascii="Book Antiqua" w:hAnsi="Book Antiqua" w:cs="Tahoma"/>
          <w:sz w:val="22"/>
          <w:szCs w:val="22"/>
        </w:rPr>
        <w:t xml:space="preserve"> (21,7%) des Services (19,2%) et du Commerce (16,3%). Avec des taux respectifs de 0.8% et 2</w:t>
      </w:r>
      <w:r w:rsidR="007F62EE">
        <w:rPr>
          <w:rFonts w:ascii="Book Antiqua" w:hAnsi="Book Antiqua" w:cs="Tahoma"/>
          <w:sz w:val="22"/>
          <w:szCs w:val="22"/>
        </w:rPr>
        <w:t>,0</w:t>
      </w:r>
      <w:r w:rsidR="003550B6" w:rsidRPr="003550B6">
        <w:rPr>
          <w:rFonts w:ascii="Book Antiqua" w:hAnsi="Book Antiqua" w:cs="Tahoma"/>
          <w:sz w:val="22"/>
          <w:szCs w:val="22"/>
        </w:rPr>
        <w:t>%, l’Agriculture et l’Artisanat sont les secteurs les moins représentés dans l’échantillon.</w:t>
      </w:r>
    </w:p>
    <w:p w:rsidR="00C90BA7" w:rsidRPr="00C90BA7" w:rsidRDefault="00C90BA7" w:rsidP="00FA22AD">
      <w:pPr>
        <w:pStyle w:val="Lgende"/>
        <w:keepNext/>
        <w:spacing w:before="240" w:line="276" w:lineRule="auto"/>
        <w:jc w:val="center"/>
        <w:rPr>
          <w:color w:val="auto"/>
        </w:rPr>
      </w:pPr>
      <w:bookmarkStart w:id="220" w:name="_Toc523313816"/>
      <w:r w:rsidRPr="00C90BA7">
        <w:rPr>
          <w:color w:val="auto"/>
        </w:rPr>
        <w:t xml:space="preserve">Figure </w:t>
      </w:r>
      <w:r w:rsidR="000D65F2" w:rsidRPr="00C90BA7">
        <w:rPr>
          <w:color w:val="auto"/>
        </w:rPr>
        <w:fldChar w:fldCharType="begin"/>
      </w:r>
      <w:r w:rsidRPr="00C90BA7">
        <w:rPr>
          <w:color w:val="auto"/>
        </w:rPr>
        <w:instrText xml:space="preserve"> SEQ Figure \* ARABIC </w:instrText>
      </w:r>
      <w:r w:rsidR="000D65F2" w:rsidRPr="00C90BA7">
        <w:rPr>
          <w:color w:val="auto"/>
        </w:rPr>
        <w:fldChar w:fldCharType="separate"/>
      </w:r>
      <w:r w:rsidR="000F780F">
        <w:rPr>
          <w:noProof/>
          <w:color w:val="auto"/>
        </w:rPr>
        <w:t>133</w:t>
      </w:r>
      <w:r w:rsidR="000D65F2" w:rsidRPr="00C90BA7">
        <w:rPr>
          <w:color w:val="auto"/>
        </w:rPr>
        <w:fldChar w:fldCharType="end"/>
      </w:r>
      <w:r w:rsidRPr="00C90BA7">
        <w:rPr>
          <w:color w:val="auto"/>
        </w:rPr>
        <w:t xml:space="preserve"> : Répartition des personnes enquêtées suivant le secteur d'activités</w:t>
      </w:r>
      <w:bookmarkEnd w:id="220"/>
    </w:p>
    <w:p w:rsidR="003550B6" w:rsidRPr="003550B6" w:rsidRDefault="00F44BC9" w:rsidP="00D4489E">
      <w:pPr>
        <w:widowControl w:val="0"/>
        <w:spacing w:before="120" w:line="276" w:lineRule="auto"/>
        <w:jc w:val="center"/>
        <w:rPr>
          <w:rFonts w:ascii="Book Antiqua" w:hAnsi="Book Antiqua" w:cs="Tahoma"/>
          <w:sz w:val="22"/>
          <w:szCs w:val="22"/>
        </w:rPr>
      </w:pPr>
      <w:r w:rsidRPr="00AE3DF1">
        <w:rPr>
          <w:noProof/>
        </w:rPr>
        <w:drawing>
          <wp:inline distT="0" distB="0" distL="0" distR="0">
            <wp:extent cx="5106010" cy="2611527"/>
            <wp:effectExtent l="19050" t="0" r="18440" b="0"/>
            <wp:docPr id="78" name="Graphique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3550B6" w:rsidRPr="003550B6" w:rsidRDefault="003550B6" w:rsidP="00D4489E">
      <w:pPr>
        <w:spacing w:after="200" w:line="276" w:lineRule="auto"/>
        <w:jc w:val="both"/>
        <w:rPr>
          <w:rFonts w:ascii="Book Antiqua" w:hAnsi="Book Antiqua" w:cs="Tahoma"/>
          <w:sz w:val="22"/>
          <w:szCs w:val="22"/>
        </w:rPr>
      </w:pPr>
      <w:r w:rsidRPr="003550B6">
        <w:rPr>
          <w:rFonts w:ascii="Book Antiqua" w:hAnsi="Book Antiqua" w:cs="Tahoma"/>
          <w:sz w:val="22"/>
          <w:szCs w:val="22"/>
        </w:rPr>
        <w:t>S’agissant de la répartition selon l</w:t>
      </w:r>
      <w:r w:rsidR="000E41A4">
        <w:rPr>
          <w:rFonts w:ascii="Book Antiqua" w:hAnsi="Book Antiqua" w:cs="Tahoma"/>
          <w:sz w:val="22"/>
          <w:szCs w:val="22"/>
        </w:rPr>
        <w:t xml:space="preserve">a nature de l’activité de </w:t>
      </w:r>
      <w:r w:rsidRPr="003550B6">
        <w:rPr>
          <w:rFonts w:ascii="Book Antiqua" w:hAnsi="Book Antiqua" w:cs="Tahoma"/>
          <w:sz w:val="22"/>
          <w:szCs w:val="22"/>
        </w:rPr>
        <w:t xml:space="preserve">l’employeur, une proportion de </w:t>
      </w:r>
      <w:r w:rsidR="000E41A4" w:rsidRPr="003550B6">
        <w:rPr>
          <w:rFonts w:ascii="Book Antiqua" w:hAnsi="Book Antiqua" w:cs="Tahoma"/>
          <w:sz w:val="22"/>
          <w:szCs w:val="22"/>
        </w:rPr>
        <w:t>8</w:t>
      </w:r>
      <w:r w:rsidR="000E41A4">
        <w:rPr>
          <w:rFonts w:ascii="Book Antiqua" w:hAnsi="Book Antiqua" w:cs="Tahoma"/>
          <w:sz w:val="22"/>
          <w:szCs w:val="22"/>
        </w:rPr>
        <w:t>5</w:t>
      </w:r>
      <w:r w:rsidRPr="003550B6">
        <w:rPr>
          <w:rFonts w:ascii="Book Antiqua" w:hAnsi="Book Antiqua" w:cs="Tahoma"/>
          <w:sz w:val="22"/>
          <w:szCs w:val="22"/>
        </w:rPr>
        <w:t>,</w:t>
      </w:r>
      <w:r w:rsidR="000E41A4">
        <w:rPr>
          <w:rFonts w:ascii="Book Antiqua" w:hAnsi="Book Antiqua" w:cs="Tahoma"/>
          <w:sz w:val="22"/>
          <w:szCs w:val="22"/>
        </w:rPr>
        <w:t>0</w:t>
      </w:r>
      <w:r w:rsidRPr="003550B6">
        <w:rPr>
          <w:rFonts w:ascii="Book Antiqua" w:hAnsi="Book Antiqua" w:cs="Tahoma"/>
          <w:sz w:val="22"/>
          <w:szCs w:val="22"/>
        </w:rPr>
        <w:t>% de</w:t>
      </w:r>
      <w:r w:rsidR="000E41A4">
        <w:rPr>
          <w:rFonts w:ascii="Book Antiqua" w:hAnsi="Book Antiqua" w:cs="Tahoma"/>
          <w:sz w:val="22"/>
          <w:szCs w:val="22"/>
        </w:rPr>
        <w:t xml:space="preserve">s clients interrogés déclare travailler dans </w:t>
      </w:r>
      <w:r w:rsidRPr="003550B6">
        <w:rPr>
          <w:rFonts w:ascii="Book Antiqua" w:hAnsi="Book Antiqua" w:cs="Tahoma"/>
          <w:sz w:val="22"/>
          <w:szCs w:val="22"/>
        </w:rPr>
        <w:t xml:space="preserve">une entreprise </w:t>
      </w:r>
      <w:r w:rsidR="000E41A4">
        <w:rPr>
          <w:rFonts w:ascii="Book Antiqua" w:hAnsi="Book Antiqua" w:cs="Tahoma"/>
          <w:sz w:val="22"/>
          <w:szCs w:val="22"/>
        </w:rPr>
        <w:t>du secteur moderne contre 15,0% pour ceux relevant des unités informelles.</w:t>
      </w:r>
    </w:p>
    <w:p w:rsidR="003550B6" w:rsidRPr="003550B6" w:rsidRDefault="003550B6" w:rsidP="00FA22AD">
      <w:pPr>
        <w:numPr>
          <w:ilvl w:val="1"/>
          <w:numId w:val="14"/>
        </w:numPr>
        <w:tabs>
          <w:tab w:val="left" w:pos="-720"/>
        </w:tabs>
        <w:suppressAutoHyphens/>
        <w:spacing w:line="276" w:lineRule="auto"/>
        <w:ind w:left="567" w:hanging="283"/>
        <w:contextualSpacing/>
        <w:jc w:val="both"/>
        <w:outlineLvl w:val="1"/>
        <w:rPr>
          <w:rFonts w:ascii="Book Antiqua" w:hAnsi="Book Antiqua" w:cs="Tahoma"/>
          <w:b/>
          <w:sz w:val="22"/>
          <w:szCs w:val="22"/>
        </w:rPr>
      </w:pPr>
      <w:bookmarkStart w:id="221" w:name="_Toc289159157"/>
      <w:bookmarkStart w:id="222" w:name="_Toc523322080"/>
      <w:r w:rsidRPr="003550B6">
        <w:rPr>
          <w:rFonts w:ascii="Book Antiqua" w:hAnsi="Book Antiqua" w:cs="Tahoma"/>
          <w:b/>
          <w:sz w:val="22"/>
          <w:szCs w:val="22"/>
        </w:rPr>
        <w:lastRenderedPageBreak/>
        <w:t>Présentation des clients enquêtés selon la domiciliation bancaire</w:t>
      </w:r>
      <w:bookmarkEnd w:id="221"/>
      <w:bookmarkEnd w:id="222"/>
    </w:p>
    <w:p w:rsidR="003550B6" w:rsidRPr="003550B6" w:rsidRDefault="000E41A4" w:rsidP="00D4489E">
      <w:pPr>
        <w:widowControl w:val="0"/>
        <w:spacing w:before="120" w:line="276" w:lineRule="auto"/>
        <w:jc w:val="both"/>
        <w:rPr>
          <w:rFonts w:ascii="Book Antiqua" w:hAnsi="Book Antiqua" w:cs="Tahoma"/>
          <w:sz w:val="22"/>
          <w:szCs w:val="22"/>
        </w:rPr>
      </w:pPr>
      <w:r>
        <w:rPr>
          <w:rFonts w:ascii="Book Antiqua" w:hAnsi="Book Antiqua" w:cs="Tahoma"/>
          <w:sz w:val="22"/>
          <w:szCs w:val="22"/>
        </w:rPr>
        <w:t xml:space="preserve">La présentation des clients enquêtés selon la domiciliation bancaire est appréciée suivant </w:t>
      </w:r>
      <w:r w:rsidR="003550B6" w:rsidRPr="003550B6">
        <w:rPr>
          <w:rFonts w:ascii="Book Antiqua" w:hAnsi="Book Antiqua" w:cs="Tahoma"/>
          <w:sz w:val="22"/>
          <w:szCs w:val="22"/>
        </w:rPr>
        <w:t>le niveau de fréquentation des banques, l’ancienneté et le nombre moyen de comptes ouverts.</w:t>
      </w:r>
    </w:p>
    <w:p w:rsidR="003550B6" w:rsidRPr="003550B6" w:rsidRDefault="003550B6" w:rsidP="00D4489E">
      <w:pPr>
        <w:widowControl w:val="0"/>
        <w:spacing w:line="276" w:lineRule="auto"/>
        <w:jc w:val="both"/>
        <w:rPr>
          <w:rFonts w:ascii="Book Antiqua" w:hAnsi="Book Antiqua" w:cs="Tahoma"/>
          <w:sz w:val="22"/>
          <w:szCs w:val="22"/>
        </w:rPr>
      </w:pPr>
    </w:p>
    <w:p w:rsidR="003550B6" w:rsidRPr="00C90BA7" w:rsidRDefault="003550B6" w:rsidP="00FA22AD">
      <w:pPr>
        <w:pStyle w:val="Paragraphedeliste"/>
        <w:numPr>
          <w:ilvl w:val="2"/>
          <w:numId w:val="9"/>
        </w:numPr>
        <w:autoSpaceDE w:val="0"/>
        <w:autoSpaceDN w:val="0"/>
        <w:adjustRightInd w:val="0"/>
        <w:spacing w:line="276" w:lineRule="auto"/>
        <w:ind w:left="851" w:hanging="284"/>
        <w:outlineLvl w:val="2"/>
        <w:rPr>
          <w:rFonts w:ascii="Book Antiqua" w:hAnsi="Book Antiqua" w:cs="Tahoma"/>
          <w:b/>
          <w:sz w:val="22"/>
          <w:szCs w:val="22"/>
        </w:rPr>
      </w:pPr>
      <w:bookmarkStart w:id="223" w:name="_Toc289159158"/>
      <w:bookmarkStart w:id="224" w:name="_Toc523322081"/>
      <w:r w:rsidRPr="00C90BA7">
        <w:rPr>
          <w:rFonts w:ascii="Book Antiqua" w:hAnsi="Book Antiqua" w:cs="Tahoma"/>
          <w:b/>
          <w:sz w:val="22"/>
          <w:szCs w:val="22"/>
        </w:rPr>
        <w:t>Niveau de fréquentation des banques et nombre moyen de compte</w:t>
      </w:r>
      <w:bookmarkEnd w:id="223"/>
      <w:r w:rsidRPr="00C90BA7">
        <w:rPr>
          <w:rFonts w:ascii="Book Antiqua" w:hAnsi="Book Antiqua" w:cs="Tahoma"/>
          <w:b/>
          <w:sz w:val="22"/>
          <w:szCs w:val="22"/>
        </w:rPr>
        <w:t>s</w:t>
      </w:r>
      <w:bookmarkEnd w:id="224"/>
    </w:p>
    <w:p w:rsidR="00BF13D1" w:rsidRDefault="00403FFD"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t xml:space="preserve">L’examen des résultats basé sur le niveau de fréquentation des banques laisse apparaitre </w:t>
      </w:r>
      <w:r w:rsidR="00BF13D1">
        <w:rPr>
          <w:rFonts w:ascii="Book Antiqua" w:hAnsi="Book Antiqua" w:cs="Tahoma"/>
          <w:sz w:val="22"/>
          <w:szCs w:val="22"/>
        </w:rPr>
        <w:t xml:space="preserve">au premier plan </w:t>
      </w:r>
      <w:r w:rsidR="003550B6" w:rsidRPr="003550B6">
        <w:rPr>
          <w:rFonts w:ascii="Book Antiqua" w:hAnsi="Book Antiqua" w:cs="Tahoma"/>
          <w:sz w:val="22"/>
          <w:szCs w:val="22"/>
        </w:rPr>
        <w:t>la CBAO avec 22,6% de l’ensemble des domiciliations</w:t>
      </w:r>
      <w:r w:rsidR="00BF13D1">
        <w:rPr>
          <w:rFonts w:ascii="Book Antiqua" w:hAnsi="Book Antiqua" w:cs="Tahoma"/>
          <w:sz w:val="22"/>
          <w:szCs w:val="22"/>
        </w:rPr>
        <w:t xml:space="preserve"> déclarées</w:t>
      </w:r>
      <w:r w:rsidR="003550B6" w:rsidRPr="003550B6">
        <w:rPr>
          <w:rFonts w:ascii="Book Antiqua" w:hAnsi="Book Antiqua" w:cs="Tahoma"/>
          <w:sz w:val="22"/>
          <w:szCs w:val="22"/>
        </w:rPr>
        <w:t xml:space="preserve">, suivie de la SGBS (15,8%) </w:t>
      </w:r>
      <w:r w:rsidR="00BB32BC">
        <w:rPr>
          <w:rFonts w:ascii="Book Antiqua" w:hAnsi="Book Antiqua" w:cs="Tahoma"/>
          <w:sz w:val="22"/>
          <w:szCs w:val="22"/>
        </w:rPr>
        <w:t xml:space="preserve">et de ECOBANK (15,7%). </w:t>
      </w:r>
      <w:r w:rsidR="00BF13D1">
        <w:rPr>
          <w:rFonts w:ascii="Book Antiqua" w:hAnsi="Book Antiqua" w:cs="Tahoma"/>
          <w:sz w:val="22"/>
          <w:szCs w:val="22"/>
        </w:rPr>
        <w:t xml:space="preserve">Elles sont suivies par la BICIS (9,7%), la CNCAS (9,5%) la BOA (7,9%) et la BHS (7,8%). </w:t>
      </w:r>
    </w:p>
    <w:p w:rsidR="003550B6" w:rsidRPr="003550B6" w:rsidRDefault="00BF13D1"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t xml:space="preserve">Au total, il </w:t>
      </w:r>
      <w:r w:rsidR="00EF54A7">
        <w:rPr>
          <w:rFonts w:ascii="Book Antiqua" w:hAnsi="Book Antiqua" w:cs="Tahoma"/>
          <w:sz w:val="22"/>
          <w:szCs w:val="22"/>
        </w:rPr>
        <w:t>ressort</w:t>
      </w:r>
      <w:r>
        <w:rPr>
          <w:rFonts w:ascii="Book Antiqua" w:hAnsi="Book Antiqua" w:cs="Tahoma"/>
          <w:sz w:val="22"/>
          <w:szCs w:val="22"/>
        </w:rPr>
        <w:t xml:space="preserve"> que l</w:t>
      </w:r>
      <w:r w:rsidR="00403FFD">
        <w:rPr>
          <w:rFonts w:ascii="Book Antiqua" w:hAnsi="Book Antiqua" w:cs="Tahoma"/>
          <w:sz w:val="22"/>
          <w:szCs w:val="22"/>
        </w:rPr>
        <w:t xml:space="preserve">e nombre moyen de comptes </w:t>
      </w:r>
      <w:r w:rsidR="00B466AC">
        <w:rPr>
          <w:rFonts w:ascii="Book Antiqua" w:hAnsi="Book Antiqua" w:cs="Tahoma"/>
          <w:sz w:val="22"/>
          <w:szCs w:val="22"/>
        </w:rPr>
        <w:t xml:space="preserve">chèques </w:t>
      </w:r>
      <w:r w:rsidR="00EF54A7">
        <w:rPr>
          <w:rFonts w:ascii="Book Antiqua" w:hAnsi="Book Antiqua" w:cs="Tahoma"/>
          <w:sz w:val="22"/>
          <w:szCs w:val="22"/>
        </w:rPr>
        <w:t xml:space="preserve">détenus </w:t>
      </w:r>
      <w:r w:rsidR="00403FFD">
        <w:rPr>
          <w:rFonts w:ascii="Book Antiqua" w:hAnsi="Book Antiqua" w:cs="Tahoma"/>
          <w:sz w:val="22"/>
          <w:szCs w:val="22"/>
        </w:rPr>
        <w:t xml:space="preserve">par </w:t>
      </w:r>
      <w:r w:rsidR="00EF54A7">
        <w:rPr>
          <w:rFonts w:ascii="Book Antiqua" w:hAnsi="Book Antiqua" w:cs="Tahoma"/>
          <w:sz w:val="22"/>
          <w:szCs w:val="22"/>
        </w:rPr>
        <w:t xml:space="preserve">les </w:t>
      </w:r>
      <w:r w:rsidR="00403FFD">
        <w:rPr>
          <w:rFonts w:ascii="Book Antiqua" w:hAnsi="Book Antiqua" w:cs="Tahoma"/>
          <w:sz w:val="22"/>
          <w:szCs w:val="22"/>
        </w:rPr>
        <w:t>client</w:t>
      </w:r>
      <w:r w:rsidR="00EF54A7">
        <w:rPr>
          <w:rFonts w:ascii="Book Antiqua" w:hAnsi="Book Antiqua" w:cs="Tahoma"/>
          <w:sz w:val="22"/>
          <w:szCs w:val="22"/>
        </w:rPr>
        <w:t>s</w:t>
      </w:r>
      <w:r w:rsidR="006C2B5D">
        <w:rPr>
          <w:rFonts w:ascii="Book Antiqua" w:hAnsi="Book Antiqua" w:cs="Tahoma"/>
          <w:sz w:val="22"/>
          <w:szCs w:val="22"/>
        </w:rPr>
        <w:t xml:space="preserve"> </w:t>
      </w:r>
      <w:r w:rsidR="00EF54A7">
        <w:rPr>
          <w:rFonts w:ascii="Book Antiqua" w:hAnsi="Book Antiqua" w:cs="Tahoma"/>
          <w:sz w:val="22"/>
          <w:szCs w:val="22"/>
        </w:rPr>
        <w:t>« p</w:t>
      </w:r>
      <w:r w:rsidR="00403FFD">
        <w:rPr>
          <w:rFonts w:ascii="Book Antiqua" w:hAnsi="Book Antiqua" w:cs="Tahoma"/>
          <w:sz w:val="22"/>
          <w:szCs w:val="22"/>
        </w:rPr>
        <w:t>ersonne</w:t>
      </w:r>
      <w:r w:rsidR="00EF54A7">
        <w:rPr>
          <w:rFonts w:ascii="Book Antiqua" w:hAnsi="Book Antiqua" w:cs="Tahoma"/>
          <w:sz w:val="22"/>
          <w:szCs w:val="22"/>
        </w:rPr>
        <w:t>s</w:t>
      </w:r>
      <w:r w:rsidR="00403FFD">
        <w:rPr>
          <w:rFonts w:ascii="Book Antiqua" w:hAnsi="Book Antiqua" w:cs="Tahoma"/>
          <w:sz w:val="22"/>
          <w:szCs w:val="22"/>
        </w:rPr>
        <w:t xml:space="preserve"> physique</w:t>
      </w:r>
      <w:r w:rsidR="00EF54A7">
        <w:rPr>
          <w:rFonts w:ascii="Book Antiqua" w:hAnsi="Book Antiqua" w:cs="Tahoma"/>
          <w:sz w:val="22"/>
          <w:szCs w:val="22"/>
        </w:rPr>
        <w:t>s »</w:t>
      </w:r>
      <w:r w:rsidR="006C2B5D">
        <w:rPr>
          <w:rFonts w:ascii="Book Antiqua" w:hAnsi="Book Antiqua" w:cs="Tahoma"/>
          <w:sz w:val="22"/>
          <w:szCs w:val="22"/>
        </w:rPr>
        <w:t xml:space="preserve"> </w:t>
      </w:r>
      <w:r w:rsidR="00EF54A7">
        <w:rPr>
          <w:rFonts w:ascii="Book Antiqua" w:hAnsi="Book Antiqua" w:cs="Tahoma"/>
          <w:sz w:val="22"/>
          <w:szCs w:val="22"/>
        </w:rPr>
        <w:t xml:space="preserve">enquêtés </w:t>
      </w:r>
      <w:r w:rsidR="00403FFD">
        <w:rPr>
          <w:rFonts w:ascii="Book Antiqua" w:hAnsi="Book Antiqua" w:cs="Tahoma"/>
          <w:sz w:val="22"/>
          <w:szCs w:val="22"/>
        </w:rPr>
        <w:t>s’</w:t>
      </w:r>
      <w:r w:rsidR="00EF54A7">
        <w:rPr>
          <w:rFonts w:ascii="Book Antiqua" w:hAnsi="Book Antiqua" w:cs="Tahoma"/>
          <w:sz w:val="22"/>
          <w:szCs w:val="22"/>
        </w:rPr>
        <w:t>établit à 1,1</w:t>
      </w:r>
      <w:r w:rsidR="00403FFD">
        <w:rPr>
          <w:rFonts w:ascii="Book Antiqua" w:hAnsi="Book Antiqua" w:cs="Tahoma"/>
          <w:sz w:val="22"/>
          <w:szCs w:val="22"/>
        </w:rPr>
        <w:t>.</w:t>
      </w:r>
    </w:p>
    <w:p w:rsidR="00C90BA7" w:rsidRPr="00C90BA7" w:rsidRDefault="00C90BA7" w:rsidP="00146582">
      <w:pPr>
        <w:pStyle w:val="Lgende"/>
        <w:keepNext/>
        <w:spacing w:before="360" w:line="276" w:lineRule="auto"/>
        <w:jc w:val="center"/>
        <w:rPr>
          <w:color w:val="auto"/>
        </w:rPr>
      </w:pPr>
      <w:bookmarkStart w:id="225" w:name="_Toc523313817"/>
      <w:r w:rsidRPr="00C90BA7">
        <w:rPr>
          <w:color w:val="auto"/>
        </w:rPr>
        <w:t xml:space="preserve">Figure </w:t>
      </w:r>
      <w:r w:rsidR="000D65F2" w:rsidRPr="00C90BA7">
        <w:rPr>
          <w:color w:val="auto"/>
        </w:rPr>
        <w:fldChar w:fldCharType="begin"/>
      </w:r>
      <w:r w:rsidRPr="00C90BA7">
        <w:rPr>
          <w:color w:val="auto"/>
        </w:rPr>
        <w:instrText xml:space="preserve"> SEQ Figure \* ARABIC </w:instrText>
      </w:r>
      <w:r w:rsidR="000D65F2" w:rsidRPr="00C90BA7">
        <w:rPr>
          <w:color w:val="auto"/>
        </w:rPr>
        <w:fldChar w:fldCharType="separate"/>
      </w:r>
      <w:r w:rsidR="000F780F">
        <w:rPr>
          <w:noProof/>
          <w:color w:val="auto"/>
        </w:rPr>
        <w:t>134</w:t>
      </w:r>
      <w:r w:rsidR="000D65F2" w:rsidRPr="00C90BA7">
        <w:rPr>
          <w:color w:val="auto"/>
        </w:rPr>
        <w:fldChar w:fldCharType="end"/>
      </w:r>
      <w:r w:rsidRPr="00C90BA7">
        <w:rPr>
          <w:color w:val="auto"/>
        </w:rPr>
        <w:t xml:space="preserve"> : Répartition des domiciliations bancaires des personnes enquêtées</w:t>
      </w:r>
      <w:bookmarkEnd w:id="225"/>
    </w:p>
    <w:p w:rsidR="003550B6" w:rsidRPr="003550B6" w:rsidRDefault="00F44BC9" w:rsidP="00D4489E">
      <w:pPr>
        <w:autoSpaceDE w:val="0"/>
        <w:autoSpaceDN w:val="0"/>
        <w:adjustRightInd w:val="0"/>
        <w:spacing w:before="120" w:line="276" w:lineRule="auto"/>
        <w:jc w:val="center"/>
        <w:rPr>
          <w:rFonts w:ascii="Book Antiqua" w:hAnsi="Book Antiqua" w:cs="Tahoma"/>
          <w:color w:val="000000"/>
          <w:sz w:val="22"/>
          <w:szCs w:val="22"/>
        </w:rPr>
      </w:pPr>
      <w:r w:rsidRPr="00AE3DF1">
        <w:rPr>
          <w:noProof/>
        </w:rPr>
        <w:drawing>
          <wp:inline distT="0" distB="0" distL="0" distR="0">
            <wp:extent cx="4568852" cy="2934031"/>
            <wp:effectExtent l="19050" t="0" r="22198" b="0"/>
            <wp:docPr id="84" name="Graphique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9260C9" w:rsidRDefault="003550B6" w:rsidP="00D4489E">
      <w:pPr>
        <w:autoSpaceDE w:val="0"/>
        <w:autoSpaceDN w:val="0"/>
        <w:adjustRightInd w:val="0"/>
        <w:spacing w:before="120" w:line="276" w:lineRule="auto"/>
        <w:jc w:val="both"/>
        <w:rPr>
          <w:rFonts w:ascii="Book Antiqua" w:hAnsi="Book Antiqua" w:cs="Tahoma"/>
          <w:sz w:val="22"/>
          <w:szCs w:val="22"/>
        </w:rPr>
      </w:pPr>
      <w:r w:rsidRPr="003550B6">
        <w:rPr>
          <w:rFonts w:ascii="Book Antiqua" w:hAnsi="Book Antiqua" w:cs="Tahoma"/>
          <w:sz w:val="22"/>
          <w:szCs w:val="22"/>
        </w:rPr>
        <w:t>Par ailleurs, un peu plus de la moitié des clients (</w:t>
      </w:r>
      <w:r w:rsidR="00EF54A7" w:rsidRPr="003550B6">
        <w:rPr>
          <w:rFonts w:ascii="Book Antiqua" w:hAnsi="Book Antiqua" w:cs="Tahoma"/>
          <w:sz w:val="22"/>
          <w:szCs w:val="22"/>
        </w:rPr>
        <w:t>5</w:t>
      </w:r>
      <w:r w:rsidR="00EF54A7">
        <w:rPr>
          <w:rFonts w:ascii="Book Antiqua" w:hAnsi="Book Antiqua" w:cs="Tahoma"/>
          <w:sz w:val="22"/>
          <w:szCs w:val="22"/>
        </w:rPr>
        <w:t>0,1</w:t>
      </w:r>
      <w:r w:rsidRPr="003550B6">
        <w:rPr>
          <w:rFonts w:ascii="Book Antiqua" w:hAnsi="Book Antiqua" w:cs="Tahoma"/>
          <w:sz w:val="22"/>
          <w:szCs w:val="22"/>
        </w:rPr>
        <w:t xml:space="preserve">%) déclare disposer d’un compte épargne, en plus de leur compte chèque. </w:t>
      </w:r>
      <w:r w:rsidR="00374D5D">
        <w:rPr>
          <w:rFonts w:ascii="Book Antiqua" w:hAnsi="Book Antiqua" w:cs="Tahoma"/>
          <w:sz w:val="22"/>
          <w:szCs w:val="22"/>
        </w:rPr>
        <w:t>L’analyse de la typologie des comptes d’épargne révèle que les enquêtés privilégient le produit d’épargne à vue (89,7%) et attachent peu d’intérêt</w:t>
      </w:r>
      <w:r w:rsidR="00AF4C13">
        <w:rPr>
          <w:rFonts w:ascii="Book Antiqua" w:hAnsi="Book Antiqua" w:cs="Tahoma"/>
          <w:sz w:val="22"/>
          <w:szCs w:val="22"/>
        </w:rPr>
        <w:t xml:space="preserve"> </w:t>
      </w:r>
      <w:r w:rsidR="00374D5D">
        <w:rPr>
          <w:rFonts w:ascii="Book Antiqua" w:hAnsi="Book Antiqua" w:cs="Tahoma"/>
          <w:sz w:val="22"/>
          <w:szCs w:val="22"/>
        </w:rPr>
        <w:t>aux autres produits d’épargne comme les DAT (4,1%), les PEL (3,6%) ou les PEP (1,6%).</w:t>
      </w:r>
    </w:p>
    <w:p w:rsidR="00BB32BC" w:rsidRDefault="00BB32BC" w:rsidP="00D4489E">
      <w:pPr>
        <w:autoSpaceDE w:val="0"/>
        <w:autoSpaceDN w:val="0"/>
        <w:adjustRightInd w:val="0"/>
        <w:spacing w:before="120" w:line="276" w:lineRule="auto"/>
        <w:jc w:val="both"/>
        <w:rPr>
          <w:rFonts w:ascii="Book Antiqua" w:hAnsi="Book Antiqua" w:cs="Tahoma"/>
          <w:sz w:val="22"/>
          <w:szCs w:val="22"/>
        </w:rPr>
      </w:pPr>
    </w:p>
    <w:p w:rsidR="00C90BA7" w:rsidRPr="00C90BA7" w:rsidRDefault="00C90BA7" w:rsidP="00D4489E">
      <w:pPr>
        <w:pStyle w:val="Lgende"/>
        <w:keepNext/>
        <w:spacing w:line="276" w:lineRule="auto"/>
        <w:jc w:val="center"/>
        <w:rPr>
          <w:color w:val="auto"/>
        </w:rPr>
      </w:pPr>
      <w:bookmarkStart w:id="226" w:name="_Toc523313818"/>
      <w:r w:rsidRPr="00C90BA7">
        <w:rPr>
          <w:color w:val="auto"/>
        </w:rPr>
        <w:lastRenderedPageBreak/>
        <w:t xml:space="preserve">Figure </w:t>
      </w:r>
      <w:r w:rsidR="000D65F2" w:rsidRPr="00C90BA7">
        <w:rPr>
          <w:color w:val="auto"/>
        </w:rPr>
        <w:fldChar w:fldCharType="begin"/>
      </w:r>
      <w:r w:rsidRPr="00C90BA7">
        <w:rPr>
          <w:color w:val="auto"/>
        </w:rPr>
        <w:instrText xml:space="preserve"> SEQ Figure \* ARABIC </w:instrText>
      </w:r>
      <w:r w:rsidR="000D65F2" w:rsidRPr="00C90BA7">
        <w:rPr>
          <w:color w:val="auto"/>
        </w:rPr>
        <w:fldChar w:fldCharType="separate"/>
      </w:r>
      <w:r w:rsidR="000F780F">
        <w:rPr>
          <w:noProof/>
          <w:color w:val="auto"/>
        </w:rPr>
        <w:t>135</w:t>
      </w:r>
      <w:r w:rsidR="000D65F2" w:rsidRPr="00C90BA7">
        <w:rPr>
          <w:color w:val="auto"/>
        </w:rPr>
        <w:fldChar w:fldCharType="end"/>
      </w:r>
      <w:r w:rsidRPr="00C90BA7">
        <w:rPr>
          <w:color w:val="auto"/>
        </w:rPr>
        <w:t xml:space="preserve"> : Typologie des produits d'épargne déclarés par les personnes enquêtées</w:t>
      </w:r>
      <w:bookmarkEnd w:id="226"/>
    </w:p>
    <w:p w:rsidR="00BB32BC" w:rsidRDefault="00F44BC9" w:rsidP="00D4489E">
      <w:pPr>
        <w:autoSpaceDE w:val="0"/>
        <w:autoSpaceDN w:val="0"/>
        <w:adjustRightInd w:val="0"/>
        <w:spacing w:before="120" w:line="276" w:lineRule="auto"/>
        <w:jc w:val="center"/>
        <w:rPr>
          <w:rFonts w:ascii="Book Antiqua" w:hAnsi="Book Antiqua" w:cs="Tahoma"/>
          <w:sz w:val="22"/>
          <w:szCs w:val="22"/>
        </w:rPr>
      </w:pPr>
      <w:r>
        <w:rPr>
          <w:noProof/>
        </w:rPr>
        <w:drawing>
          <wp:inline distT="0" distB="0" distL="0" distR="0">
            <wp:extent cx="4572000" cy="2962656"/>
            <wp:effectExtent l="19050" t="0" r="19050" b="9144"/>
            <wp:docPr id="88" name="Graphique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6C2B5D" w:rsidRDefault="006C2B5D" w:rsidP="00D4489E">
      <w:pPr>
        <w:autoSpaceDE w:val="0"/>
        <w:autoSpaceDN w:val="0"/>
        <w:adjustRightInd w:val="0"/>
        <w:spacing w:line="276" w:lineRule="auto"/>
        <w:ind w:left="1134"/>
        <w:outlineLvl w:val="2"/>
        <w:rPr>
          <w:rFonts w:ascii="Book Antiqua" w:hAnsi="Book Antiqua" w:cs="Tahoma"/>
          <w:b/>
          <w:sz w:val="20"/>
          <w:szCs w:val="22"/>
        </w:rPr>
      </w:pPr>
      <w:bookmarkStart w:id="227" w:name="_Toc289159159"/>
    </w:p>
    <w:p w:rsidR="003550B6" w:rsidRPr="00C90BA7" w:rsidRDefault="003550B6" w:rsidP="00FA22AD">
      <w:pPr>
        <w:numPr>
          <w:ilvl w:val="0"/>
          <w:numId w:val="15"/>
        </w:numPr>
        <w:autoSpaceDE w:val="0"/>
        <w:autoSpaceDN w:val="0"/>
        <w:adjustRightInd w:val="0"/>
        <w:spacing w:line="276" w:lineRule="auto"/>
        <w:ind w:left="851" w:hanging="284"/>
        <w:outlineLvl w:val="2"/>
        <w:rPr>
          <w:rFonts w:ascii="Book Antiqua" w:hAnsi="Book Antiqua" w:cs="Tahoma"/>
          <w:b/>
          <w:sz w:val="22"/>
          <w:szCs w:val="22"/>
        </w:rPr>
      </w:pPr>
      <w:bookmarkStart w:id="228" w:name="_Toc523322082"/>
      <w:r w:rsidRPr="00C90BA7">
        <w:rPr>
          <w:rFonts w:ascii="Book Antiqua" w:hAnsi="Book Antiqua" w:cs="Tahoma"/>
          <w:b/>
          <w:sz w:val="22"/>
          <w:szCs w:val="22"/>
        </w:rPr>
        <w:t>Ancienneté dans la banque principale</w:t>
      </w:r>
      <w:bookmarkEnd w:id="227"/>
      <w:bookmarkEnd w:id="228"/>
    </w:p>
    <w:p w:rsidR="003550B6" w:rsidRDefault="00CE27D0"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t xml:space="preserve">Parmi les clients « personnes physiques » interrogées, une proportion de </w:t>
      </w:r>
      <w:r w:rsidR="003550B6" w:rsidRPr="003550B6">
        <w:rPr>
          <w:rFonts w:ascii="Book Antiqua" w:hAnsi="Book Antiqua" w:cs="Tahoma"/>
          <w:sz w:val="22"/>
          <w:szCs w:val="22"/>
        </w:rPr>
        <w:t>22,8% déclar</w:t>
      </w:r>
      <w:r>
        <w:rPr>
          <w:rFonts w:ascii="Book Antiqua" w:hAnsi="Book Antiqua" w:cs="Tahoma"/>
          <w:sz w:val="22"/>
          <w:szCs w:val="22"/>
        </w:rPr>
        <w:t>e</w:t>
      </w:r>
      <w:r w:rsidR="003550B6" w:rsidRPr="003550B6">
        <w:rPr>
          <w:rFonts w:ascii="Book Antiqua" w:hAnsi="Book Antiqua" w:cs="Tahoma"/>
          <w:sz w:val="22"/>
          <w:szCs w:val="22"/>
        </w:rPr>
        <w:t xml:space="preserve"> avoir domicilié </w:t>
      </w:r>
      <w:r>
        <w:rPr>
          <w:rFonts w:ascii="Book Antiqua" w:hAnsi="Book Antiqua" w:cs="Tahoma"/>
          <w:sz w:val="22"/>
          <w:szCs w:val="22"/>
        </w:rPr>
        <w:t>leur</w:t>
      </w:r>
      <w:r w:rsidR="002159D8">
        <w:rPr>
          <w:rFonts w:ascii="Book Antiqua" w:hAnsi="Book Antiqua" w:cs="Tahoma"/>
          <w:sz w:val="22"/>
          <w:szCs w:val="22"/>
        </w:rPr>
        <w:t xml:space="preserve"> </w:t>
      </w:r>
      <w:r w:rsidR="003550B6" w:rsidRPr="003550B6">
        <w:rPr>
          <w:rFonts w:ascii="Book Antiqua" w:hAnsi="Book Antiqua" w:cs="Tahoma"/>
          <w:sz w:val="22"/>
          <w:szCs w:val="22"/>
        </w:rPr>
        <w:t xml:space="preserve">compte principal à la CBAO, contre 16,6% à la SGBS, 15,4% à ECOBANK. La BICIS et la CNCAS </w:t>
      </w:r>
      <w:r>
        <w:rPr>
          <w:rFonts w:ascii="Book Antiqua" w:hAnsi="Book Antiqua" w:cs="Tahoma"/>
          <w:sz w:val="22"/>
          <w:szCs w:val="22"/>
        </w:rPr>
        <w:t xml:space="preserve">affichent chacune un taux identique de </w:t>
      </w:r>
      <w:r w:rsidR="003550B6" w:rsidRPr="003550B6">
        <w:rPr>
          <w:rFonts w:ascii="Book Antiqua" w:hAnsi="Book Antiqua" w:cs="Tahoma"/>
          <w:sz w:val="22"/>
          <w:szCs w:val="22"/>
        </w:rPr>
        <w:t xml:space="preserve"> 9,9%</w:t>
      </w:r>
      <w:r>
        <w:rPr>
          <w:rFonts w:ascii="Book Antiqua" w:hAnsi="Book Antiqua" w:cs="Tahoma"/>
          <w:sz w:val="22"/>
          <w:szCs w:val="22"/>
        </w:rPr>
        <w:t xml:space="preserve"> tandis que la BOA et la BHS ressortent respectivement à 7,8% et 7,7%</w:t>
      </w:r>
      <w:r w:rsidR="003550B6" w:rsidRPr="003550B6">
        <w:rPr>
          <w:rFonts w:ascii="Book Antiqua" w:hAnsi="Book Antiqua" w:cs="Tahoma"/>
          <w:sz w:val="22"/>
          <w:szCs w:val="22"/>
        </w:rPr>
        <w:t>.</w:t>
      </w:r>
    </w:p>
    <w:p w:rsidR="00C90BA7" w:rsidRPr="003550B6" w:rsidRDefault="00C90BA7" w:rsidP="00D4489E">
      <w:pPr>
        <w:autoSpaceDE w:val="0"/>
        <w:autoSpaceDN w:val="0"/>
        <w:adjustRightInd w:val="0"/>
        <w:spacing w:before="120" w:line="276" w:lineRule="auto"/>
        <w:jc w:val="both"/>
        <w:rPr>
          <w:rFonts w:ascii="Book Antiqua" w:hAnsi="Book Antiqua" w:cs="Tahoma"/>
          <w:sz w:val="22"/>
          <w:szCs w:val="22"/>
        </w:rPr>
      </w:pPr>
    </w:p>
    <w:p w:rsidR="007070BE" w:rsidRPr="001013C8" w:rsidRDefault="007070BE" w:rsidP="00D4489E">
      <w:pPr>
        <w:pStyle w:val="Lgende"/>
        <w:keepNext/>
        <w:spacing w:line="276" w:lineRule="auto"/>
        <w:jc w:val="center"/>
        <w:rPr>
          <w:color w:val="auto"/>
        </w:rPr>
      </w:pPr>
      <w:bookmarkStart w:id="229" w:name="_Toc523313819"/>
      <w:r w:rsidRPr="001013C8">
        <w:rPr>
          <w:color w:val="auto"/>
        </w:rPr>
        <w:t xml:space="preserve">Figure </w:t>
      </w:r>
      <w:r w:rsidR="000D65F2" w:rsidRPr="001013C8">
        <w:rPr>
          <w:color w:val="auto"/>
        </w:rPr>
        <w:fldChar w:fldCharType="begin"/>
      </w:r>
      <w:r w:rsidRPr="001013C8">
        <w:rPr>
          <w:color w:val="auto"/>
        </w:rPr>
        <w:instrText xml:space="preserve"> SEQ Figure \* ARABIC </w:instrText>
      </w:r>
      <w:r w:rsidR="000D65F2" w:rsidRPr="001013C8">
        <w:rPr>
          <w:color w:val="auto"/>
        </w:rPr>
        <w:fldChar w:fldCharType="separate"/>
      </w:r>
      <w:r w:rsidR="000F780F">
        <w:rPr>
          <w:noProof/>
          <w:color w:val="auto"/>
        </w:rPr>
        <w:t>136</w:t>
      </w:r>
      <w:r w:rsidR="000D65F2" w:rsidRPr="001013C8">
        <w:rPr>
          <w:color w:val="auto"/>
        </w:rPr>
        <w:fldChar w:fldCharType="end"/>
      </w:r>
      <w:r w:rsidRPr="001013C8">
        <w:rPr>
          <w:color w:val="auto"/>
        </w:rPr>
        <w:t xml:space="preserve"> : Répartition des personnes enquêtées selon leur banque principale</w:t>
      </w:r>
      <w:bookmarkEnd w:id="229"/>
    </w:p>
    <w:p w:rsidR="003550B6" w:rsidRPr="003550B6" w:rsidRDefault="00F44BC9" w:rsidP="00D4489E">
      <w:pPr>
        <w:autoSpaceDE w:val="0"/>
        <w:autoSpaceDN w:val="0"/>
        <w:adjustRightInd w:val="0"/>
        <w:spacing w:before="120" w:line="276" w:lineRule="auto"/>
        <w:jc w:val="center"/>
        <w:rPr>
          <w:rFonts w:ascii="Book Antiqua" w:hAnsi="Book Antiqua" w:cs="Tahoma"/>
          <w:sz w:val="20"/>
          <w:szCs w:val="22"/>
        </w:rPr>
      </w:pPr>
      <w:r>
        <w:rPr>
          <w:noProof/>
        </w:rPr>
        <w:drawing>
          <wp:inline distT="0" distB="0" distL="0" distR="0">
            <wp:extent cx="4823003" cy="2984602"/>
            <wp:effectExtent l="19050" t="0" r="15697" b="6248"/>
            <wp:docPr id="91" name="Graphique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3550B6" w:rsidRPr="00BB32BC" w:rsidRDefault="0055632C" w:rsidP="00D4489E">
      <w:pPr>
        <w:spacing w:after="200" w:line="276" w:lineRule="auto"/>
        <w:jc w:val="both"/>
        <w:rPr>
          <w:rFonts w:ascii="Book Antiqua" w:hAnsi="Book Antiqua" w:cs="Tahoma"/>
          <w:sz w:val="22"/>
          <w:szCs w:val="22"/>
        </w:rPr>
      </w:pPr>
      <w:r>
        <w:rPr>
          <w:rFonts w:ascii="Book Antiqua" w:hAnsi="Book Antiqua" w:cs="Tahoma"/>
          <w:sz w:val="22"/>
          <w:szCs w:val="22"/>
        </w:rPr>
        <w:br/>
      </w:r>
      <w:r w:rsidR="003550B6" w:rsidRPr="003550B6">
        <w:rPr>
          <w:rFonts w:ascii="Book Antiqua" w:hAnsi="Book Antiqua" w:cs="Tahoma"/>
          <w:sz w:val="22"/>
          <w:szCs w:val="22"/>
        </w:rPr>
        <w:t xml:space="preserve">L’analyse de l’ancienneté du compte </w:t>
      </w:r>
      <w:r w:rsidR="00CE27D0">
        <w:rPr>
          <w:rFonts w:ascii="Book Antiqua" w:hAnsi="Book Antiqua" w:cs="Tahoma"/>
          <w:sz w:val="22"/>
          <w:szCs w:val="22"/>
        </w:rPr>
        <w:t>principal</w:t>
      </w:r>
      <w:r w:rsidR="002159D8">
        <w:rPr>
          <w:rFonts w:ascii="Book Antiqua" w:hAnsi="Book Antiqua" w:cs="Tahoma"/>
          <w:sz w:val="22"/>
          <w:szCs w:val="22"/>
        </w:rPr>
        <w:t xml:space="preserve"> </w:t>
      </w:r>
      <w:r w:rsidR="006E17BA">
        <w:rPr>
          <w:rFonts w:ascii="Book Antiqua" w:hAnsi="Book Antiqua" w:cs="Tahoma"/>
          <w:sz w:val="22"/>
          <w:szCs w:val="22"/>
        </w:rPr>
        <w:t xml:space="preserve">indique que près de la moitié (49,3%) des enquêtés </w:t>
      </w:r>
      <w:r w:rsidR="007070BE">
        <w:rPr>
          <w:rFonts w:ascii="Book Antiqua" w:hAnsi="Book Antiqua" w:cs="Tahoma"/>
          <w:sz w:val="22"/>
          <w:szCs w:val="22"/>
        </w:rPr>
        <w:t>déclare</w:t>
      </w:r>
      <w:r w:rsidR="006E17BA">
        <w:rPr>
          <w:rFonts w:ascii="Book Antiqua" w:hAnsi="Book Antiqua" w:cs="Tahoma"/>
          <w:sz w:val="22"/>
          <w:szCs w:val="22"/>
        </w:rPr>
        <w:t xml:space="preserve"> disposer d’un </w:t>
      </w:r>
      <w:r w:rsidR="003550B6" w:rsidRPr="003550B6">
        <w:rPr>
          <w:rFonts w:ascii="Book Antiqua" w:hAnsi="Book Antiqua" w:cs="Tahoma"/>
          <w:sz w:val="22"/>
          <w:szCs w:val="22"/>
        </w:rPr>
        <w:t xml:space="preserve"> compte </w:t>
      </w:r>
      <w:r w:rsidR="006E17BA">
        <w:rPr>
          <w:rFonts w:ascii="Book Antiqua" w:hAnsi="Book Antiqua" w:cs="Tahoma"/>
          <w:sz w:val="22"/>
          <w:szCs w:val="22"/>
        </w:rPr>
        <w:t xml:space="preserve">dont la durée de vie est comprise </w:t>
      </w:r>
      <w:r w:rsidR="003550B6" w:rsidRPr="003550B6">
        <w:rPr>
          <w:rFonts w:ascii="Book Antiqua" w:hAnsi="Book Antiqua" w:cs="Tahoma"/>
          <w:sz w:val="22"/>
          <w:szCs w:val="22"/>
        </w:rPr>
        <w:t xml:space="preserve">entre 1 et 5 ans, contre </w:t>
      </w:r>
      <w:r w:rsidR="006E17BA">
        <w:rPr>
          <w:rFonts w:ascii="Book Antiqua" w:hAnsi="Book Antiqua" w:cs="Tahoma"/>
          <w:sz w:val="22"/>
          <w:szCs w:val="22"/>
        </w:rPr>
        <w:t xml:space="preserve">des taux </w:t>
      </w:r>
      <w:r w:rsidR="003550B6" w:rsidRPr="003550B6">
        <w:rPr>
          <w:rFonts w:ascii="Book Antiqua" w:hAnsi="Book Antiqua" w:cs="Tahoma"/>
          <w:sz w:val="22"/>
          <w:szCs w:val="22"/>
        </w:rPr>
        <w:t>respecti</w:t>
      </w:r>
      <w:r w:rsidR="006E17BA">
        <w:rPr>
          <w:rFonts w:ascii="Book Antiqua" w:hAnsi="Book Antiqua" w:cs="Tahoma"/>
          <w:sz w:val="22"/>
          <w:szCs w:val="22"/>
        </w:rPr>
        <w:t xml:space="preserve">fs de </w:t>
      </w:r>
      <w:r w:rsidR="003550B6" w:rsidRPr="003550B6">
        <w:rPr>
          <w:rFonts w:ascii="Book Antiqua" w:hAnsi="Book Antiqua" w:cs="Tahoma"/>
          <w:sz w:val="22"/>
          <w:szCs w:val="22"/>
        </w:rPr>
        <w:t xml:space="preserve"> 25,4% et 13,8% pour les comptes ouverts </w:t>
      </w:r>
      <w:r w:rsidR="006E17BA">
        <w:rPr>
          <w:rFonts w:ascii="Book Antiqua" w:hAnsi="Book Antiqua" w:cs="Tahoma"/>
          <w:sz w:val="22"/>
          <w:szCs w:val="22"/>
        </w:rPr>
        <w:t xml:space="preserve">depuis </w:t>
      </w:r>
      <w:r w:rsidR="003550B6" w:rsidRPr="003550B6">
        <w:rPr>
          <w:rFonts w:ascii="Book Antiqua" w:hAnsi="Book Antiqua" w:cs="Tahoma"/>
          <w:sz w:val="22"/>
          <w:szCs w:val="22"/>
        </w:rPr>
        <w:t xml:space="preserve">6 </w:t>
      </w:r>
      <w:r w:rsidR="006E17BA">
        <w:rPr>
          <w:rFonts w:ascii="Book Antiqua" w:hAnsi="Book Antiqua" w:cs="Tahoma"/>
          <w:sz w:val="22"/>
          <w:szCs w:val="22"/>
        </w:rPr>
        <w:t>à</w:t>
      </w:r>
      <w:r w:rsidR="003550B6" w:rsidRPr="003550B6">
        <w:rPr>
          <w:rFonts w:ascii="Book Antiqua" w:hAnsi="Book Antiqua" w:cs="Tahoma"/>
          <w:sz w:val="22"/>
          <w:szCs w:val="22"/>
        </w:rPr>
        <w:t xml:space="preserve">10 ans et </w:t>
      </w:r>
      <w:r w:rsidR="006E17BA">
        <w:rPr>
          <w:rFonts w:ascii="Book Antiqua" w:hAnsi="Book Antiqua" w:cs="Tahoma"/>
          <w:sz w:val="22"/>
          <w:szCs w:val="22"/>
        </w:rPr>
        <w:t xml:space="preserve">depuis </w:t>
      </w:r>
      <w:r w:rsidR="003550B6" w:rsidRPr="003550B6">
        <w:rPr>
          <w:rFonts w:ascii="Book Antiqua" w:hAnsi="Book Antiqua" w:cs="Tahoma"/>
          <w:sz w:val="22"/>
          <w:szCs w:val="22"/>
        </w:rPr>
        <w:t xml:space="preserve">plus de 10 ans. </w:t>
      </w:r>
    </w:p>
    <w:p w:rsidR="007070BE" w:rsidRPr="007070BE" w:rsidRDefault="007070BE" w:rsidP="00D4489E">
      <w:pPr>
        <w:pStyle w:val="Lgende"/>
        <w:keepNext/>
        <w:spacing w:line="276" w:lineRule="auto"/>
        <w:jc w:val="center"/>
        <w:rPr>
          <w:color w:val="auto"/>
        </w:rPr>
      </w:pPr>
      <w:bookmarkStart w:id="230" w:name="_Toc523313820"/>
      <w:r w:rsidRPr="007070BE">
        <w:rPr>
          <w:color w:val="auto"/>
        </w:rPr>
        <w:lastRenderedPageBreak/>
        <w:t xml:space="preserve">Figure </w:t>
      </w:r>
      <w:r w:rsidR="000D65F2" w:rsidRPr="007070BE">
        <w:rPr>
          <w:color w:val="auto"/>
        </w:rPr>
        <w:fldChar w:fldCharType="begin"/>
      </w:r>
      <w:r w:rsidRPr="007070BE">
        <w:rPr>
          <w:color w:val="auto"/>
        </w:rPr>
        <w:instrText xml:space="preserve"> SEQ Figure \* ARABIC </w:instrText>
      </w:r>
      <w:r w:rsidR="000D65F2" w:rsidRPr="007070BE">
        <w:rPr>
          <w:color w:val="auto"/>
        </w:rPr>
        <w:fldChar w:fldCharType="separate"/>
      </w:r>
      <w:r w:rsidR="000F780F">
        <w:rPr>
          <w:noProof/>
          <w:color w:val="auto"/>
        </w:rPr>
        <w:t>137</w:t>
      </w:r>
      <w:r w:rsidR="000D65F2" w:rsidRPr="007070BE">
        <w:rPr>
          <w:color w:val="auto"/>
        </w:rPr>
        <w:fldChar w:fldCharType="end"/>
      </w:r>
      <w:r w:rsidRPr="007070BE">
        <w:rPr>
          <w:color w:val="auto"/>
        </w:rPr>
        <w:t xml:space="preserve"> : Ancienneté des clients personnes physiques dans leur banque principale</w:t>
      </w:r>
      <w:bookmarkEnd w:id="230"/>
    </w:p>
    <w:p w:rsidR="00C90BA7" w:rsidRPr="009D542D" w:rsidRDefault="00F44BC9" w:rsidP="00D4489E">
      <w:pPr>
        <w:autoSpaceDE w:val="0"/>
        <w:autoSpaceDN w:val="0"/>
        <w:adjustRightInd w:val="0"/>
        <w:spacing w:before="120" w:line="276" w:lineRule="auto"/>
        <w:jc w:val="center"/>
        <w:rPr>
          <w:rFonts w:ascii="Book Antiqua" w:hAnsi="Book Antiqua" w:cs="Tahoma"/>
          <w:sz w:val="20"/>
          <w:szCs w:val="22"/>
        </w:rPr>
      </w:pPr>
      <w:r>
        <w:rPr>
          <w:noProof/>
        </w:rPr>
        <w:drawing>
          <wp:inline distT="0" distB="0" distL="0" distR="0">
            <wp:extent cx="4572000" cy="2533650"/>
            <wp:effectExtent l="19050" t="0" r="19050" b="0"/>
            <wp:docPr id="304" name="Graphique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807A47" w:rsidRPr="00684A32" w:rsidRDefault="00807A47" w:rsidP="00D4489E">
      <w:pPr>
        <w:numPr>
          <w:ilvl w:val="0"/>
          <w:numId w:val="9"/>
        </w:numPr>
        <w:tabs>
          <w:tab w:val="clear" w:pos="587"/>
        </w:tabs>
        <w:suppressAutoHyphens/>
        <w:spacing w:before="240" w:after="240" w:line="276" w:lineRule="auto"/>
        <w:ind w:left="284"/>
        <w:jc w:val="both"/>
        <w:outlineLvl w:val="0"/>
        <w:rPr>
          <w:rFonts w:ascii="Book Antiqua" w:hAnsi="Book Antiqua" w:cs="Arial"/>
          <w:b/>
          <w:sz w:val="22"/>
          <w:szCs w:val="22"/>
        </w:rPr>
      </w:pPr>
      <w:bookmarkStart w:id="231" w:name="_Toc289159160"/>
      <w:bookmarkStart w:id="232" w:name="_Toc523322083"/>
      <w:r w:rsidRPr="00684A32">
        <w:rPr>
          <w:rFonts w:ascii="Book Antiqua" w:hAnsi="Book Antiqua" w:cs="Arial"/>
          <w:b/>
          <w:sz w:val="22"/>
          <w:szCs w:val="22"/>
        </w:rPr>
        <w:t>Satisfaction sur l’offre de services</w:t>
      </w:r>
      <w:bookmarkEnd w:id="231"/>
      <w:bookmarkEnd w:id="232"/>
    </w:p>
    <w:p w:rsidR="00807A47" w:rsidRPr="00311045" w:rsidRDefault="00311045" w:rsidP="00FA22AD">
      <w:pPr>
        <w:pStyle w:val="Titre1"/>
        <w:numPr>
          <w:ilvl w:val="0"/>
          <w:numId w:val="0"/>
        </w:numPr>
        <w:spacing w:before="240" w:after="240" w:line="276" w:lineRule="auto"/>
        <w:ind w:firstLine="284"/>
        <w:rPr>
          <w:rFonts w:cs="Arial"/>
        </w:rPr>
      </w:pPr>
      <w:bookmarkStart w:id="233" w:name="_Toc289159161"/>
      <w:bookmarkStart w:id="234" w:name="_Toc523322084"/>
      <w:r w:rsidRPr="00311045">
        <w:rPr>
          <w:rFonts w:cs="Arial"/>
        </w:rPr>
        <w:t xml:space="preserve">II.1. </w:t>
      </w:r>
      <w:r w:rsidR="00807A47" w:rsidRPr="00311045">
        <w:rPr>
          <w:rFonts w:cs="Arial"/>
        </w:rPr>
        <w:t>« </w:t>
      </w:r>
      <w:proofErr w:type="spellStart"/>
      <w:r w:rsidR="00807A47" w:rsidRPr="00311045">
        <w:rPr>
          <w:rFonts w:cs="Arial"/>
        </w:rPr>
        <w:t>Turn</w:t>
      </w:r>
      <w:proofErr w:type="spellEnd"/>
      <w:r w:rsidR="00807A47" w:rsidRPr="00311045">
        <w:rPr>
          <w:rFonts w:cs="Arial"/>
        </w:rPr>
        <w:t xml:space="preserve"> over » de la clientèle</w:t>
      </w:r>
      <w:bookmarkEnd w:id="233"/>
      <w:bookmarkEnd w:id="234"/>
    </w:p>
    <w:p w:rsidR="00C124C2" w:rsidRPr="00722946" w:rsidRDefault="000156EC"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t xml:space="preserve">Dans le cadre de cette enquête, l’appréciation du degré de </w:t>
      </w:r>
      <w:proofErr w:type="spellStart"/>
      <w:r w:rsidR="00C124C2" w:rsidRPr="00722946">
        <w:rPr>
          <w:rFonts w:ascii="Book Antiqua" w:hAnsi="Book Antiqua" w:cs="Tahoma"/>
          <w:sz w:val="22"/>
          <w:szCs w:val="22"/>
        </w:rPr>
        <w:t>turn</w:t>
      </w:r>
      <w:proofErr w:type="spellEnd"/>
      <w:r w:rsidR="00C124C2" w:rsidRPr="00722946">
        <w:rPr>
          <w:rFonts w:ascii="Book Antiqua" w:hAnsi="Book Antiqua" w:cs="Tahoma"/>
          <w:sz w:val="22"/>
          <w:szCs w:val="22"/>
        </w:rPr>
        <w:t xml:space="preserve"> over de la clientèle, </w:t>
      </w:r>
      <w:r>
        <w:rPr>
          <w:rFonts w:ascii="Book Antiqua" w:hAnsi="Book Antiqua" w:cs="Tahoma"/>
          <w:sz w:val="22"/>
          <w:szCs w:val="22"/>
        </w:rPr>
        <w:t xml:space="preserve">est </w:t>
      </w:r>
      <w:r w:rsidR="0055632C">
        <w:rPr>
          <w:rFonts w:ascii="Book Antiqua" w:hAnsi="Book Antiqua" w:cs="Tahoma"/>
          <w:sz w:val="22"/>
          <w:szCs w:val="22"/>
        </w:rPr>
        <w:t>établie</w:t>
      </w:r>
      <w:r w:rsidR="004801CF">
        <w:rPr>
          <w:rFonts w:ascii="Book Antiqua" w:hAnsi="Book Antiqua" w:cs="Tahoma"/>
          <w:sz w:val="22"/>
          <w:szCs w:val="22"/>
        </w:rPr>
        <w:t xml:space="preserve"> </w:t>
      </w:r>
      <w:r>
        <w:rPr>
          <w:rFonts w:ascii="Book Antiqua" w:hAnsi="Book Antiqua" w:cs="Tahoma"/>
          <w:sz w:val="22"/>
          <w:szCs w:val="22"/>
        </w:rPr>
        <w:t xml:space="preserve">sur la base de </w:t>
      </w:r>
      <w:r w:rsidR="004801CF">
        <w:rPr>
          <w:rFonts w:ascii="Book Antiqua" w:hAnsi="Book Antiqua" w:cs="Tahoma"/>
          <w:sz w:val="22"/>
          <w:szCs w:val="22"/>
        </w:rPr>
        <w:t xml:space="preserve">l’analyse de </w:t>
      </w:r>
      <w:r>
        <w:rPr>
          <w:rFonts w:ascii="Book Antiqua" w:hAnsi="Book Antiqua" w:cs="Tahoma"/>
          <w:sz w:val="22"/>
          <w:szCs w:val="22"/>
        </w:rPr>
        <w:t>la fréquence</w:t>
      </w:r>
      <w:r w:rsidR="004801CF">
        <w:rPr>
          <w:rFonts w:ascii="Book Antiqua" w:hAnsi="Book Antiqua" w:cs="Tahoma"/>
          <w:sz w:val="22"/>
          <w:szCs w:val="22"/>
        </w:rPr>
        <w:t>, des</w:t>
      </w:r>
      <w:r w:rsidR="004801CF" w:rsidRPr="00722946">
        <w:rPr>
          <w:rFonts w:ascii="Book Antiqua" w:hAnsi="Book Antiqua" w:cs="Tahoma"/>
          <w:sz w:val="22"/>
          <w:szCs w:val="22"/>
        </w:rPr>
        <w:t xml:space="preserve"> raisons et </w:t>
      </w:r>
      <w:r w:rsidR="004801CF">
        <w:rPr>
          <w:rFonts w:ascii="Book Antiqua" w:hAnsi="Book Antiqua" w:cs="Tahoma"/>
          <w:sz w:val="22"/>
          <w:szCs w:val="22"/>
        </w:rPr>
        <w:t xml:space="preserve">des </w:t>
      </w:r>
      <w:r w:rsidR="004801CF" w:rsidRPr="00722946">
        <w:rPr>
          <w:rFonts w:ascii="Book Antiqua" w:hAnsi="Book Antiqua" w:cs="Tahoma"/>
          <w:sz w:val="22"/>
          <w:szCs w:val="22"/>
        </w:rPr>
        <w:t xml:space="preserve">difficultés liées au changement </w:t>
      </w:r>
      <w:r w:rsidR="004801CF">
        <w:rPr>
          <w:rFonts w:ascii="Book Antiqua" w:hAnsi="Book Antiqua" w:cs="Tahoma"/>
          <w:sz w:val="22"/>
          <w:szCs w:val="22"/>
        </w:rPr>
        <w:t>de banque</w:t>
      </w:r>
      <w:r w:rsidR="004801CF" w:rsidRPr="00722946">
        <w:rPr>
          <w:rFonts w:ascii="Book Antiqua" w:hAnsi="Book Antiqua" w:cs="Tahoma"/>
          <w:sz w:val="22"/>
          <w:szCs w:val="22"/>
        </w:rPr>
        <w:t xml:space="preserve">. </w:t>
      </w:r>
    </w:p>
    <w:p w:rsidR="00C124C2" w:rsidRPr="009D542D" w:rsidRDefault="00311045" w:rsidP="00FA22AD">
      <w:pPr>
        <w:autoSpaceDE w:val="0"/>
        <w:autoSpaceDN w:val="0"/>
        <w:adjustRightInd w:val="0"/>
        <w:spacing w:before="240" w:after="240" w:line="276" w:lineRule="auto"/>
        <w:ind w:firstLine="567"/>
        <w:outlineLvl w:val="2"/>
        <w:rPr>
          <w:rFonts w:ascii="Book Antiqua" w:hAnsi="Book Antiqua" w:cs="Arial"/>
          <w:b/>
          <w:sz w:val="22"/>
          <w:szCs w:val="22"/>
        </w:rPr>
      </w:pPr>
      <w:bookmarkStart w:id="235" w:name="_Toc289159162"/>
      <w:bookmarkStart w:id="236" w:name="_Toc523322085"/>
      <w:r>
        <w:rPr>
          <w:rFonts w:ascii="Book Antiqua" w:hAnsi="Book Antiqua" w:cs="Arial"/>
          <w:b/>
          <w:sz w:val="22"/>
          <w:szCs w:val="22"/>
        </w:rPr>
        <w:t>II.1</w:t>
      </w:r>
      <w:r w:rsidR="00BB32BC" w:rsidRPr="009D542D">
        <w:rPr>
          <w:rFonts w:ascii="Book Antiqua" w:hAnsi="Book Antiqua" w:cs="Arial"/>
          <w:b/>
          <w:sz w:val="22"/>
          <w:szCs w:val="22"/>
        </w:rPr>
        <w:t xml:space="preserve">.1. </w:t>
      </w:r>
      <w:r w:rsidR="00C124C2" w:rsidRPr="009D542D">
        <w:rPr>
          <w:rFonts w:ascii="Book Antiqua" w:hAnsi="Book Antiqua" w:cs="Arial"/>
          <w:b/>
          <w:sz w:val="22"/>
          <w:szCs w:val="22"/>
        </w:rPr>
        <w:t>Clients ayant déjà changé de banque</w:t>
      </w:r>
      <w:bookmarkEnd w:id="235"/>
      <w:bookmarkEnd w:id="236"/>
    </w:p>
    <w:p w:rsidR="00C124C2" w:rsidRPr="00722946" w:rsidRDefault="004801CF" w:rsidP="00D4489E">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Sur  la population des</w:t>
      </w:r>
      <w:r w:rsidR="002159D8">
        <w:rPr>
          <w:rFonts w:ascii="Book Antiqua" w:hAnsi="Book Antiqua" w:cs="Tahoma"/>
          <w:sz w:val="22"/>
          <w:szCs w:val="22"/>
        </w:rPr>
        <w:t xml:space="preserve"> </w:t>
      </w:r>
      <w:r>
        <w:rPr>
          <w:rFonts w:ascii="Book Antiqua" w:hAnsi="Book Antiqua" w:cs="Tahoma"/>
          <w:sz w:val="22"/>
          <w:szCs w:val="22"/>
        </w:rPr>
        <w:t>clients</w:t>
      </w:r>
      <w:r w:rsidR="0055632C">
        <w:rPr>
          <w:rFonts w:ascii="Book Antiqua" w:hAnsi="Book Antiqua" w:cs="Tahoma"/>
          <w:sz w:val="22"/>
          <w:szCs w:val="22"/>
        </w:rPr>
        <w:t xml:space="preserve"> </w:t>
      </w:r>
      <w:r w:rsidR="00C124C2" w:rsidRPr="00722946">
        <w:rPr>
          <w:rFonts w:ascii="Book Antiqua" w:hAnsi="Book Antiqua" w:cs="Tahoma"/>
          <w:sz w:val="22"/>
          <w:szCs w:val="22"/>
        </w:rPr>
        <w:t xml:space="preserve">« personnes physiques » interrogés, une proportion de 17,3% déclare avoir </w:t>
      </w:r>
      <w:r>
        <w:rPr>
          <w:rFonts w:ascii="Book Antiqua" w:hAnsi="Book Antiqua" w:cs="Tahoma"/>
          <w:sz w:val="22"/>
          <w:szCs w:val="22"/>
        </w:rPr>
        <w:t xml:space="preserve">au moins une fois </w:t>
      </w:r>
      <w:r w:rsidR="00C124C2" w:rsidRPr="00722946">
        <w:rPr>
          <w:rFonts w:ascii="Book Antiqua" w:hAnsi="Book Antiqua" w:cs="Tahoma"/>
          <w:sz w:val="22"/>
          <w:szCs w:val="22"/>
        </w:rPr>
        <w:t xml:space="preserve">changé de banque. Parmi ceux-ci, </w:t>
      </w:r>
      <w:r w:rsidR="00C24F88" w:rsidRPr="00722946">
        <w:rPr>
          <w:rFonts w:ascii="Book Antiqua" w:hAnsi="Book Antiqua" w:cs="Tahoma"/>
          <w:sz w:val="22"/>
          <w:szCs w:val="22"/>
        </w:rPr>
        <w:t xml:space="preserve">57,2% </w:t>
      </w:r>
      <w:r w:rsidR="00C24F88">
        <w:rPr>
          <w:rFonts w:ascii="Book Antiqua" w:hAnsi="Book Antiqua" w:cs="Tahoma"/>
          <w:sz w:val="22"/>
          <w:szCs w:val="22"/>
        </w:rPr>
        <w:t xml:space="preserve">indiquent avoir migré vers une autre banque au cours des </w:t>
      </w:r>
      <w:r w:rsidR="00C124C2" w:rsidRPr="00722946">
        <w:rPr>
          <w:rFonts w:ascii="Book Antiqua" w:hAnsi="Book Antiqua" w:cs="Tahoma"/>
          <w:sz w:val="22"/>
          <w:szCs w:val="22"/>
        </w:rPr>
        <w:t>cinq (05) dernières années</w:t>
      </w:r>
      <w:r w:rsidR="0055632C">
        <w:rPr>
          <w:rFonts w:ascii="Book Antiqua" w:hAnsi="Book Antiqua" w:cs="Tahoma"/>
          <w:sz w:val="22"/>
          <w:szCs w:val="22"/>
        </w:rPr>
        <w:t xml:space="preserve"> (2011 – 2015)</w:t>
      </w:r>
      <w:r w:rsidR="00C124C2" w:rsidRPr="00722946">
        <w:rPr>
          <w:rFonts w:ascii="Book Antiqua" w:hAnsi="Book Antiqua" w:cs="Tahoma"/>
          <w:sz w:val="22"/>
          <w:szCs w:val="22"/>
        </w:rPr>
        <w:t xml:space="preserve"> contre une proportion de 42,8% dont l</w:t>
      </w:r>
      <w:r w:rsidR="00C24F88">
        <w:rPr>
          <w:rFonts w:ascii="Book Antiqua" w:hAnsi="Book Antiqua" w:cs="Tahoma"/>
          <w:sz w:val="22"/>
          <w:szCs w:val="22"/>
        </w:rPr>
        <w:t>e changement de banque est intervenu en 2010 ou antérieurement</w:t>
      </w:r>
      <w:r w:rsidR="00C124C2" w:rsidRPr="00722946">
        <w:rPr>
          <w:rFonts w:ascii="Book Antiqua" w:hAnsi="Book Antiqua" w:cs="Tahoma"/>
          <w:sz w:val="22"/>
          <w:szCs w:val="22"/>
        </w:rPr>
        <w:t xml:space="preserve">. </w:t>
      </w:r>
    </w:p>
    <w:p w:rsidR="007070BE" w:rsidRDefault="00E46711" w:rsidP="00D4489E">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 xml:space="preserve">L’analyse croisée de la fréquence de changement de banque avec l’âge des </w:t>
      </w:r>
      <w:r w:rsidR="002711A6">
        <w:rPr>
          <w:rFonts w:ascii="Book Antiqua" w:hAnsi="Book Antiqua" w:cs="Tahoma"/>
          <w:sz w:val="22"/>
          <w:szCs w:val="22"/>
        </w:rPr>
        <w:t xml:space="preserve">personnes interrogées </w:t>
      </w:r>
      <w:r>
        <w:rPr>
          <w:rFonts w:ascii="Book Antiqua" w:hAnsi="Book Antiqua" w:cs="Tahoma"/>
          <w:sz w:val="22"/>
          <w:szCs w:val="22"/>
        </w:rPr>
        <w:t>indique qu</w:t>
      </w:r>
      <w:r w:rsidR="002711A6">
        <w:rPr>
          <w:rFonts w:ascii="Book Antiqua" w:hAnsi="Book Antiqua" w:cs="Tahoma"/>
          <w:sz w:val="22"/>
          <w:szCs w:val="22"/>
        </w:rPr>
        <w:t>’une proportion de</w:t>
      </w:r>
      <w:r w:rsidR="002711A6" w:rsidRPr="00722946">
        <w:rPr>
          <w:rFonts w:ascii="Book Antiqua" w:hAnsi="Book Antiqua" w:cs="Tahoma"/>
          <w:sz w:val="22"/>
          <w:szCs w:val="22"/>
        </w:rPr>
        <w:t xml:space="preserve"> 22,5%</w:t>
      </w:r>
      <w:r w:rsidR="0055632C">
        <w:rPr>
          <w:rFonts w:ascii="Book Antiqua" w:hAnsi="Book Antiqua" w:cs="Tahoma"/>
          <w:sz w:val="22"/>
          <w:szCs w:val="22"/>
        </w:rPr>
        <w:t xml:space="preserve"> des clients ayant</w:t>
      </w:r>
      <w:r w:rsidR="00C124C2" w:rsidRPr="00722946">
        <w:rPr>
          <w:rFonts w:ascii="Book Antiqua" w:hAnsi="Book Antiqua" w:cs="Tahoma"/>
          <w:sz w:val="22"/>
          <w:szCs w:val="22"/>
        </w:rPr>
        <w:t xml:space="preserve"> 65 ans ou plus</w:t>
      </w:r>
      <w:r w:rsidR="0055632C">
        <w:rPr>
          <w:rFonts w:ascii="Book Antiqua" w:hAnsi="Book Antiqua" w:cs="Tahoma"/>
          <w:sz w:val="22"/>
          <w:szCs w:val="22"/>
        </w:rPr>
        <w:t>,</w:t>
      </w:r>
      <w:r w:rsidR="00C124C2" w:rsidRPr="00722946">
        <w:rPr>
          <w:rFonts w:ascii="Book Antiqua" w:hAnsi="Book Antiqua" w:cs="Tahoma"/>
          <w:sz w:val="22"/>
          <w:szCs w:val="22"/>
        </w:rPr>
        <w:t xml:space="preserve"> </w:t>
      </w:r>
      <w:r w:rsidR="002711A6">
        <w:rPr>
          <w:rFonts w:ascii="Book Antiqua" w:hAnsi="Book Antiqua" w:cs="Tahoma"/>
          <w:sz w:val="22"/>
          <w:szCs w:val="22"/>
        </w:rPr>
        <w:t>déclare avoir chang</w:t>
      </w:r>
      <w:r w:rsidR="001F47FB">
        <w:rPr>
          <w:rFonts w:ascii="Book Antiqua" w:hAnsi="Book Antiqua" w:cs="Tahoma"/>
          <w:sz w:val="22"/>
          <w:szCs w:val="22"/>
        </w:rPr>
        <w:t>é</w:t>
      </w:r>
      <w:r w:rsidR="002711A6">
        <w:rPr>
          <w:rFonts w:ascii="Book Antiqua" w:hAnsi="Book Antiqua" w:cs="Tahoma"/>
          <w:sz w:val="22"/>
          <w:szCs w:val="22"/>
        </w:rPr>
        <w:t xml:space="preserve"> de banque. Pour les autres tranches d’âge, la fréquence de changement de banque croit avec l’âge. </w:t>
      </w:r>
    </w:p>
    <w:p w:rsidR="0055632C" w:rsidRPr="00722946" w:rsidRDefault="001F47FB" w:rsidP="00D4489E">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 xml:space="preserve">En effet, </w:t>
      </w:r>
      <w:r w:rsidR="00C124C2" w:rsidRPr="00722946">
        <w:rPr>
          <w:rFonts w:ascii="Book Antiqua" w:hAnsi="Book Antiqua" w:cs="Tahoma"/>
          <w:sz w:val="22"/>
          <w:szCs w:val="22"/>
        </w:rPr>
        <w:t xml:space="preserve">une proportion de 8,3% </w:t>
      </w:r>
      <w:r>
        <w:rPr>
          <w:rFonts w:ascii="Book Antiqua" w:hAnsi="Book Antiqua" w:cs="Tahoma"/>
          <w:sz w:val="22"/>
          <w:szCs w:val="22"/>
        </w:rPr>
        <w:t xml:space="preserve">de clients dont l’âge est compris entre </w:t>
      </w:r>
      <w:r w:rsidR="00C124C2" w:rsidRPr="00722946">
        <w:rPr>
          <w:rFonts w:ascii="Book Antiqua" w:hAnsi="Book Antiqua" w:cs="Tahoma"/>
          <w:sz w:val="22"/>
          <w:szCs w:val="22"/>
        </w:rPr>
        <w:t>18</w:t>
      </w:r>
      <w:r w:rsidR="0055632C">
        <w:rPr>
          <w:rFonts w:ascii="Book Antiqua" w:hAnsi="Book Antiqua" w:cs="Tahoma"/>
          <w:sz w:val="22"/>
          <w:szCs w:val="22"/>
        </w:rPr>
        <w:t xml:space="preserve"> </w:t>
      </w:r>
      <w:r>
        <w:rPr>
          <w:rFonts w:ascii="Book Antiqua" w:hAnsi="Book Antiqua" w:cs="Tahoma"/>
          <w:sz w:val="22"/>
          <w:szCs w:val="22"/>
        </w:rPr>
        <w:t xml:space="preserve">ans et </w:t>
      </w:r>
      <w:r w:rsidR="00C124C2" w:rsidRPr="00722946">
        <w:rPr>
          <w:rFonts w:ascii="Book Antiqua" w:hAnsi="Book Antiqua" w:cs="Tahoma"/>
          <w:sz w:val="22"/>
          <w:szCs w:val="22"/>
        </w:rPr>
        <w:t>24</w:t>
      </w:r>
      <w:r w:rsidR="0055632C">
        <w:rPr>
          <w:rFonts w:ascii="Book Antiqua" w:hAnsi="Book Antiqua" w:cs="Tahoma"/>
          <w:sz w:val="22"/>
          <w:szCs w:val="22"/>
        </w:rPr>
        <w:t xml:space="preserve"> </w:t>
      </w:r>
      <w:r w:rsidR="00C124C2" w:rsidRPr="00722946">
        <w:rPr>
          <w:rFonts w:ascii="Book Antiqua" w:hAnsi="Book Antiqua" w:cs="Tahoma"/>
          <w:sz w:val="22"/>
          <w:szCs w:val="22"/>
        </w:rPr>
        <w:t xml:space="preserve">ans déclare avoir changé d’opérateur bancaire contre des proportions de 10,9%, 20,2%, 22,7%, 24,5% relevées </w:t>
      </w:r>
      <w:r w:rsidRPr="00722946">
        <w:rPr>
          <w:rFonts w:ascii="Book Antiqua" w:hAnsi="Book Antiqua" w:cs="Tahoma"/>
          <w:sz w:val="22"/>
          <w:szCs w:val="22"/>
        </w:rPr>
        <w:t>respective</w:t>
      </w:r>
      <w:r>
        <w:rPr>
          <w:rFonts w:ascii="Book Antiqua" w:hAnsi="Book Antiqua" w:cs="Tahoma"/>
          <w:sz w:val="22"/>
          <w:szCs w:val="22"/>
        </w:rPr>
        <w:t>ment</w:t>
      </w:r>
      <w:r w:rsidR="002159D8">
        <w:rPr>
          <w:rFonts w:ascii="Book Antiqua" w:hAnsi="Book Antiqua" w:cs="Tahoma"/>
          <w:sz w:val="22"/>
          <w:szCs w:val="22"/>
        </w:rPr>
        <w:t xml:space="preserve"> </w:t>
      </w:r>
      <w:r w:rsidR="00C124C2" w:rsidRPr="00722946">
        <w:rPr>
          <w:rFonts w:ascii="Book Antiqua" w:hAnsi="Book Antiqua" w:cs="Tahoma"/>
          <w:sz w:val="22"/>
          <w:szCs w:val="22"/>
        </w:rPr>
        <w:t xml:space="preserve">chez les classes d’âge </w:t>
      </w:r>
      <w:r>
        <w:rPr>
          <w:rFonts w:ascii="Book Antiqua" w:hAnsi="Book Antiqua" w:cs="Tahoma"/>
          <w:sz w:val="22"/>
          <w:szCs w:val="22"/>
        </w:rPr>
        <w:t xml:space="preserve">de </w:t>
      </w:r>
      <w:r w:rsidR="00C124C2" w:rsidRPr="00722946">
        <w:rPr>
          <w:rFonts w:ascii="Book Antiqua" w:hAnsi="Book Antiqua" w:cs="Tahoma"/>
          <w:sz w:val="22"/>
          <w:szCs w:val="22"/>
        </w:rPr>
        <w:t>[25-34ans], [35-44ans], [45-54ans] et [55-64ans].</w:t>
      </w:r>
    </w:p>
    <w:p w:rsidR="007070BE" w:rsidRPr="007070BE" w:rsidRDefault="007070BE" w:rsidP="00D4489E">
      <w:pPr>
        <w:pStyle w:val="Lgende"/>
        <w:keepNext/>
        <w:spacing w:line="276" w:lineRule="auto"/>
        <w:jc w:val="center"/>
        <w:rPr>
          <w:color w:val="auto"/>
        </w:rPr>
      </w:pPr>
      <w:bookmarkStart w:id="237" w:name="_Toc523313821"/>
      <w:r w:rsidRPr="007070BE">
        <w:rPr>
          <w:color w:val="auto"/>
        </w:rPr>
        <w:lastRenderedPageBreak/>
        <w:t xml:space="preserve">Figure </w:t>
      </w:r>
      <w:r w:rsidR="000D65F2" w:rsidRPr="007070BE">
        <w:rPr>
          <w:color w:val="auto"/>
        </w:rPr>
        <w:fldChar w:fldCharType="begin"/>
      </w:r>
      <w:r w:rsidRPr="007070BE">
        <w:rPr>
          <w:color w:val="auto"/>
        </w:rPr>
        <w:instrText xml:space="preserve"> SEQ Figure \* ARABIC </w:instrText>
      </w:r>
      <w:r w:rsidR="000D65F2" w:rsidRPr="007070BE">
        <w:rPr>
          <w:color w:val="auto"/>
        </w:rPr>
        <w:fldChar w:fldCharType="separate"/>
      </w:r>
      <w:r w:rsidR="000F780F">
        <w:rPr>
          <w:noProof/>
          <w:color w:val="auto"/>
        </w:rPr>
        <w:t>138</w:t>
      </w:r>
      <w:r w:rsidR="000D65F2" w:rsidRPr="007070BE">
        <w:rPr>
          <w:color w:val="auto"/>
        </w:rPr>
        <w:fldChar w:fldCharType="end"/>
      </w:r>
      <w:r w:rsidRPr="007070BE">
        <w:rPr>
          <w:color w:val="auto"/>
        </w:rPr>
        <w:t xml:space="preserve"> : Proportion des personnes ayant changé de banque selon leur âge</w:t>
      </w:r>
      <w:bookmarkEnd w:id="237"/>
    </w:p>
    <w:p w:rsidR="00C124C2" w:rsidRDefault="00C124C2" w:rsidP="00D4489E">
      <w:pPr>
        <w:spacing w:line="276" w:lineRule="auto"/>
        <w:jc w:val="center"/>
        <w:rPr>
          <w:rFonts w:ascii="Book Antiqua" w:hAnsi="Book Antiqua"/>
        </w:rPr>
      </w:pPr>
      <w:r w:rsidRPr="001F5099">
        <w:rPr>
          <w:rFonts w:ascii="Book Antiqua" w:hAnsi="Book Antiqua"/>
          <w:noProof/>
        </w:rPr>
        <w:drawing>
          <wp:inline distT="0" distB="0" distL="0" distR="0">
            <wp:extent cx="4235560" cy="2210462"/>
            <wp:effectExtent l="19050" t="0" r="1259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C124C2" w:rsidRDefault="00C124C2" w:rsidP="00D4489E">
      <w:pPr>
        <w:spacing w:line="276" w:lineRule="auto"/>
        <w:rPr>
          <w:rFonts w:ascii="Book Antiqua" w:hAnsi="Book Antiqua"/>
        </w:rPr>
      </w:pPr>
    </w:p>
    <w:p w:rsidR="0041461E" w:rsidRDefault="00C124C2" w:rsidP="001840D4">
      <w:pPr>
        <w:spacing w:before="240" w:after="240" w:line="276" w:lineRule="auto"/>
        <w:jc w:val="both"/>
        <w:rPr>
          <w:rFonts w:ascii="Book Antiqua" w:hAnsi="Book Antiqua"/>
          <w:sz w:val="22"/>
        </w:rPr>
      </w:pPr>
      <w:r w:rsidRPr="00C124C2">
        <w:rPr>
          <w:rFonts w:ascii="Book Antiqua" w:hAnsi="Book Antiqua"/>
          <w:sz w:val="22"/>
        </w:rPr>
        <w:t xml:space="preserve">Par ailleurs, le niveau d’instruction semble être un facteur déterminant dans la volonté de changement de banque notamment </w:t>
      </w:r>
      <w:r w:rsidR="0055632C">
        <w:rPr>
          <w:rFonts w:ascii="Book Antiqua" w:hAnsi="Book Antiqua"/>
          <w:sz w:val="22"/>
        </w:rPr>
        <w:t xml:space="preserve">chez </w:t>
      </w:r>
      <w:r w:rsidRPr="00C124C2">
        <w:rPr>
          <w:rFonts w:ascii="Book Antiqua" w:hAnsi="Book Antiqua"/>
          <w:sz w:val="22"/>
        </w:rPr>
        <w:t xml:space="preserve">les clients ayant bénéficié d’un enseignement classique. En effet, une proportion de 21,8% avec le niveau de Bac+4 ou plus, déclare avoir déjà changé d’opérateur bancaire contre des proportions de 17,5% et 15,2% pour les clients ayant respectivement le profil de Bac+2 ou Bac+3 et le niveau secondaire. </w:t>
      </w:r>
    </w:p>
    <w:p w:rsidR="0041461E" w:rsidRDefault="00C124C2" w:rsidP="001840D4">
      <w:pPr>
        <w:spacing w:before="240" w:after="240" w:line="276" w:lineRule="auto"/>
        <w:jc w:val="both"/>
        <w:rPr>
          <w:rFonts w:ascii="Book Antiqua" w:hAnsi="Book Antiqua"/>
          <w:sz w:val="22"/>
        </w:rPr>
      </w:pPr>
      <w:r w:rsidRPr="00C124C2">
        <w:rPr>
          <w:rFonts w:ascii="Book Antiqua" w:hAnsi="Book Antiqua"/>
          <w:sz w:val="22"/>
        </w:rPr>
        <w:t>L</w:t>
      </w:r>
      <w:r w:rsidR="00C2710F">
        <w:rPr>
          <w:rFonts w:ascii="Book Antiqua" w:hAnsi="Book Antiqua"/>
          <w:sz w:val="22"/>
        </w:rPr>
        <w:t>es classes modales « </w:t>
      </w:r>
      <w:r w:rsidR="00C2710F" w:rsidRPr="00C124C2">
        <w:rPr>
          <w:rFonts w:ascii="Book Antiqua" w:hAnsi="Book Antiqua"/>
          <w:sz w:val="22"/>
        </w:rPr>
        <w:t>primaire</w:t>
      </w:r>
      <w:r w:rsidR="0055632C">
        <w:rPr>
          <w:rFonts w:ascii="Book Antiqua" w:hAnsi="Book Antiqua"/>
          <w:sz w:val="22"/>
        </w:rPr>
        <w:t> »</w:t>
      </w:r>
      <w:r w:rsidR="00C2710F">
        <w:rPr>
          <w:rFonts w:ascii="Book Antiqua" w:hAnsi="Book Antiqua"/>
          <w:sz w:val="22"/>
        </w:rPr>
        <w:t xml:space="preserve"> (12,3%)</w:t>
      </w:r>
      <w:r w:rsidR="006C2B5D">
        <w:rPr>
          <w:rFonts w:ascii="Book Antiqua" w:hAnsi="Book Antiqua"/>
          <w:sz w:val="22"/>
        </w:rPr>
        <w:t xml:space="preserve"> </w:t>
      </w:r>
      <w:r w:rsidR="00C2710F">
        <w:rPr>
          <w:rFonts w:ascii="Book Antiqua" w:hAnsi="Book Antiqua"/>
          <w:sz w:val="22"/>
        </w:rPr>
        <w:t>et « </w:t>
      </w:r>
      <w:r w:rsidR="00C2710F" w:rsidRPr="00C124C2">
        <w:rPr>
          <w:rFonts w:ascii="Book Antiqua" w:hAnsi="Book Antiqua"/>
          <w:sz w:val="22"/>
        </w:rPr>
        <w:t>aucun</w:t>
      </w:r>
      <w:r w:rsidR="00C2710F">
        <w:rPr>
          <w:rFonts w:ascii="Book Antiqua" w:hAnsi="Book Antiqua"/>
          <w:sz w:val="22"/>
        </w:rPr>
        <w:t xml:space="preserve"> niveau » (11,3%), représentant les niveaux d’instruction les plus faibles,  ressortent avec les taux les moins élevés.</w:t>
      </w:r>
      <w:r w:rsidR="006C2B5D">
        <w:rPr>
          <w:rFonts w:ascii="Book Antiqua" w:hAnsi="Book Antiqua"/>
          <w:sz w:val="22"/>
        </w:rPr>
        <w:t xml:space="preserve"> </w:t>
      </w:r>
      <w:r w:rsidRPr="00C124C2">
        <w:rPr>
          <w:rFonts w:ascii="Book Antiqua" w:hAnsi="Book Antiqua"/>
          <w:sz w:val="22"/>
        </w:rPr>
        <w:t xml:space="preserve">Pour les enquêtés avec un profil d’enseignement arabe, </w:t>
      </w:r>
      <w:r w:rsidR="00FF7A50">
        <w:rPr>
          <w:rFonts w:ascii="Book Antiqua" w:hAnsi="Book Antiqua"/>
          <w:sz w:val="22"/>
        </w:rPr>
        <w:t xml:space="preserve">il n’apparait pas de relation entre le niveau d’instruction et la fréquence de changement d’opérateur. En effet, une proportion de </w:t>
      </w:r>
      <w:r w:rsidRPr="00C124C2">
        <w:rPr>
          <w:rFonts w:ascii="Book Antiqua" w:hAnsi="Book Antiqua"/>
          <w:sz w:val="22"/>
        </w:rPr>
        <w:t xml:space="preserve">21,1% des clients ayant un niveau Bac+4 ou plus, </w:t>
      </w:r>
      <w:r w:rsidR="00C2710F">
        <w:rPr>
          <w:rFonts w:ascii="Book Antiqua" w:hAnsi="Book Antiqua"/>
          <w:sz w:val="22"/>
        </w:rPr>
        <w:t>déclare</w:t>
      </w:r>
      <w:r w:rsidR="006C2B5D">
        <w:rPr>
          <w:rFonts w:ascii="Book Antiqua" w:hAnsi="Book Antiqua"/>
          <w:sz w:val="22"/>
        </w:rPr>
        <w:t xml:space="preserve"> </w:t>
      </w:r>
      <w:r w:rsidRPr="00C124C2">
        <w:rPr>
          <w:rFonts w:ascii="Book Antiqua" w:hAnsi="Book Antiqua"/>
          <w:sz w:val="22"/>
        </w:rPr>
        <w:t>avoir</w:t>
      </w:r>
      <w:r w:rsidR="006C2B5D">
        <w:rPr>
          <w:rFonts w:ascii="Book Antiqua" w:hAnsi="Book Antiqua"/>
          <w:sz w:val="22"/>
        </w:rPr>
        <w:t xml:space="preserve"> </w:t>
      </w:r>
      <w:r w:rsidR="00FF7A50">
        <w:rPr>
          <w:rFonts w:ascii="Book Antiqua" w:hAnsi="Book Antiqua"/>
          <w:sz w:val="22"/>
        </w:rPr>
        <w:t>changé</w:t>
      </w:r>
      <w:r w:rsidRPr="00C124C2">
        <w:rPr>
          <w:rFonts w:ascii="Book Antiqua" w:hAnsi="Book Antiqua"/>
          <w:sz w:val="22"/>
        </w:rPr>
        <w:t xml:space="preserve"> de banque contre </w:t>
      </w:r>
      <w:r w:rsidR="00FF7A50">
        <w:rPr>
          <w:rFonts w:ascii="Book Antiqua" w:hAnsi="Book Antiqua"/>
          <w:sz w:val="22"/>
        </w:rPr>
        <w:t>20,6%</w:t>
      </w:r>
      <w:r w:rsidR="0055632C">
        <w:rPr>
          <w:rFonts w:ascii="Book Antiqua" w:hAnsi="Book Antiqua"/>
          <w:sz w:val="22"/>
        </w:rPr>
        <w:t xml:space="preserve"> </w:t>
      </w:r>
      <w:r w:rsidRPr="00C124C2">
        <w:rPr>
          <w:rFonts w:ascii="Book Antiqua" w:hAnsi="Book Antiqua"/>
          <w:sz w:val="22"/>
        </w:rPr>
        <w:t xml:space="preserve">pour  les enquêtés </w:t>
      </w:r>
      <w:r w:rsidR="00FF7A50">
        <w:rPr>
          <w:rFonts w:ascii="Book Antiqua" w:hAnsi="Book Antiqua"/>
          <w:sz w:val="22"/>
        </w:rPr>
        <w:t xml:space="preserve">ayant suivi </w:t>
      </w:r>
      <w:r w:rsidRPr="00C124C2">
        <w:rPr>
          <w:rFonts w:ascii="Book Antiqua" w:hAnsi="Book Antiqua"/>
          <w:sz w:val="22"/>
        </w:rPr>
        <w:t xml:space="preserve">un enseignement </w:t>
      </w:r>
      <w:r w:rsidR="00FF7A50" w:rsidRPr="00C124C2">
        <w:rPr>
          <w:rFonts w:ascii="Book Antiqua" w:hAnsi="Book Antiqua"/>
          <w:sz w:val="22"/>
        </w:rPr>
        <w:t>coranique</w:t>
      </w:r>
      <w:r w:rsidR="006C2B5D">
        <w:rPr>
          <w:rFonts w:ascii="Book Antiqua" w:hAnsi="Book Antiqua"/>
          <w:sz w:val="22"/>
        </w:rPr>
        <w:t xml:space="preserve"> </w:t>
      </w:r>
      <w:r w:rsidRPr="00C124C2">
        <w:rPr>
          <w:rFonts w:ascii="Book Antiqua" w:hAnsi="Book Antiqua"/>
          <w:sz w:val="22"/>
        </w:rPr>
        <w:t>et</w:t>
      </w:r>
      <w:r w:rsidR="006C2B5D">
        <w:rPr>
          <w:rFonts w:ascii="Book Antiqua" w:hAnsi="Book Antiqua"/>
          <w:sz w:val="22"/>
        </w:rPr>
        <w:t xml:space="preserve"> </w:t>
      </w:r>
      <w:r w:rsidR="00FF7A50" w:rsidRPr="00C124C2">
        <w:rPr>
          <w:rFonts w:ascii="Book Antiqua" w:hAnsi="Book Antiqua"/>
          <w:sz w:val="22"/>
        </w:rPr>
        <w:t>14</w:t>
      </w:r>
      <w:r w:rsidR="00FF7A50">
        <w:rPr>
          <w:rFonts w:ascii="Book Antiqua" w:hAnsi="Book Antiqua"/>
          <w:sz w:val="22"/>
        </w:rPr>
        <w:t>,0</w:t>
      </w:r>
      <w:r w:rsidR="00FF7A50" w:rsidRPr="00C124C2">
        <w:rPr>
          <w:rFonts w:ascii="Book Antiqua" w:hAnsi="Book Antiqua"/>
          <w:sz w:val="22"/>
        </w:rPr>
        <w:t>%</w:t>
      </w:r>
      <w:r w:rsidR="0055632C">
        <w:rPr>
          <w:rFonts w:ascii="Book Antiqua" w:hAnsi="Book Antiqua"/>
          <w:sz w:val="22"/>
        </w:rPr>
        <w:t xml:space="preserve"> </w:t>
      </w:r>
      <w:r w:rsidR="0041461E">
        <w:rPr>
          <w:rFonts w:ascii="Book Antiqua" w:hAnsi="Book Antiqua"/>
          <w:sz w:val="22"/>
        </w:rPr>
        <w:t xml:space="preserve">pour ceux dont </w:t>
      </w:r>
      <w:r w:rsidR="00FF7A50">
        <w:rPr>
          <w:rFonts w:ascii="Book Antiqua" w:hAnsi="Book Antiqua"/>
          <w:sz w:val="22"/>
        </w:rPr>
        <w:t xml:space="preserve">le </w:t>
      </w:r>
      <w:r w:rsidRPr="00C124C2">
        <w:rPr>
          <w:rFonts w:ascii="Book Antiqua" w:hAnsi="Book Antiqua"/>
          <w:sz w:val="22"/>
        </w:rPr>
        <w:t xml:space="preserve">niveau d’instruction </w:t>
      </w:r>
      <w:r w:rsidR="00FF7A50">
        <w:rPr>
          <w:rFonts w:ascii="Book Antiqua" w:hAnsi="Book Antiqua"/>
          <w:sz w:val="22"/>
        </w:rPr>
        <w:t>équivaut</w:t>
      </w:r>
      <w:r w:rsidR="006C2B5D">
        <w:rPr>
          <w:rFonts w:ascii="Book Antiqua" w:hAnsi="Book Antiqua"/>
          <w:sz w:val="22"/>
        </w:rPr>
        <w:t xml:space="preserve"> </w:t>
      </w:r>
      <w:r w:rsidRPr="00C124C2">
        <w:rPr>
          <w:rFonts w:ascii="Book Antiqua" w:hAnsi="Book Antiqua"/>
          <w:sz w:val="22"/>
        </w:rPr>
        <w:t>à Bac+4 ou plus</w:t>
      </w:r>
      <w:r w:rsidR="0041461E">
        <w:rPr>
          <w:rFonts w:ascii="Book Antiqua" w:hAnsi="Book Antiqua"/>
          <w:sz w:val="22"/>
        </w:rPr>
        <w:t>.</w:t>
      </w:r>
    </w:p>
    <w:p w:rsidR="00C124C2" w:rsidRPr="007070BE" w:rsidRDefault="00FF7A50" w:rsidP="001840D4">
      <w:pPr>
        <w:spacing w:before="240" w:after="240" w:line="276" w:lineRule="auto"/>
        <w:jc w:val="both"/>
        <w:rPr>
          <w:rFonts w:ascii="Book Antiqua" w:hAnsi="Book Antiqua"/>
          <w:sz w:val="22"/>
        </w:rPr>
      </w:pPr>
      <w:r>
        <w:rPr>
          <w:rFonts w:ascii="Book Antiqua" w:hAnsi="Book Antiqua"/>
          <w:sz w:val="22"/>
        </w:rPr>
        <w:t>En outre</w:t>
      </w:r>
      <w:r w:rsidR="00C124C2" w:rsidRPr="00C124C2">
        <w:rPr>
          <w:rFonts w:ascii="Book Antiqua" w:hAnsi="Book Antiqua"/>
          <w:sz w:val="22"/>
        </w:rPr>
        <w:t xml:space="preserve">, 10,0% des personnes enquêtées </w:t>
      </w:r>
      <w:r w:rsidR="0041461E">
        <w:rPr>
          <w:rFonts w:ascii="Book Antiqua" w:hAnsi="Book Antiqua"/>
          <w:sz w:val="22"/>
        </w:rPr>
        <w:t>avec</w:t>
      </w:r>
      <w:r w:rsidR="006C2B5D">
        <w:rPr>
          <w:rFonts w:ascii="Book Antiqua" w:hAnsi="Book Antiqua"/>
          <w:sz w:val="22"/>
        </w:rPr>
        <w:t xml:space="preserve"> </w:t>
      </w:r>
      <w:r w:rsidR="00C124C2" w:rsidRPr="00C124C2">
        <w:rPr>
          <w:rFonts w:ascii="Book Antiqua" w:hAnsi="Book Antiqua"/>
          <w:sz w:val="22"/>
        </w:rPr>
        <w:t xml:space="preserve">un niveau secondaire en Arabe </w:t>
      </w:r>
      <w:r w:rsidR="0041461E">
        <w:rPr>
          <w:rFonts w:ascii="Book Antiqua" w:hAnsi="Book Antiqua"/>
          <w:sz w:val="22"/>
        </w:rPr>
        <w:t>affirme</w:t>
      </w:r>
      <w:r w:rsidR="006C2B5D">
        <w:rPr>
          <w:rFonts w:ascii="Book Antiqua" w:hAnsi="Book Antiqua"/>
          <w:sz w:val="22"/>
        </w:rPr>
        <w:t xml:space="preserve"> </w:t>
      </w:r>
      <w:r w:rsidR="00C124C2" w:rsidRPr="00C124C2">
        <w:rPr>
          <w:rFonts w:ascii="Book Antiqua" w:hAnsi="Book Antiqua"/>
          <w:sz w:val="22"/>
        </w:rPr>
        <w:t>avoir changé de banque. La proportion la plus élevée  (28,1%) est observée chez les clients avec un niveau d’instruction primaire.</w:t>
      </w:r>
    </w:p>
    <w:p w:rsidR="007070BE" w:rsidRPr="007070BE" w:rsidRDefault="007070BE" w:rsidP="00D4489E">
      <w:pPr>
        <w:pStyle w:val="Lgende"/>
        <w:keepNext/>
        <w:spacing w:line="276" w:lineRule="auto"/>
        <w:jc w:val="center"/>
        <w:rPr>
          <w:color w:val="auto"/>
        </w:rPr>
      </w:pPr>
      <w:bookmarkStart w:id="238" w:name="_Toc523313822"/>
      <w:r w:rsidRPr="007070BE">
        <w:rPr>
          <w:color w:val="auto"/>
        </w:rPr>
        <w:t xml:space="preserve">Figure </w:t>
      </w:r>
      <w:r w:rsidR="000D65F2" w:rsidRPr="007070BE">
        <w:rPr>
          <w:color w:val="auto"/>
        </w:rPr>
        <w:fldChar w:fldCharType="begin"/>
      </w:r>
      <w:r w:rsidRPr="007070BE">
        <w:rPr>
          <w:color w:val="auto"/>
        </w:rPr>
        <w:instrText xml:space="preserve"> SEQ Figure \* ARABIC </w:instrText>
      </w:r>
      <w:r w:rsidR="000D65F2" w:rsidRPr="007070BE">
        <w:rPr>
          <w:color w:val="auto"/>
        </w:rPr>
        <w:fldChar w:fldCharType="separate"/>
      </w:r>
      <w:r w:rsidR="000F780F">
        <w:rPr>
          <w:noProof/>
          <w:color w:val="auto"/>
        </w:rPr>
        <w:t>139</w:t>
      </w:r>
      <w:r w:rsidR="000D65F2" w:rsidRPr="007070BE">
        <w:rPr>
          <w:color w:val="auto"/>
        </w:rPr>
        <w:fldChar w:fldCharType="end"/>
      </w:r>
      <w:r w:rsidRPr="007070BE">
        <w:rPr>
          <w:color w:val="auto"/>
        </w:rPr>
        <w:t xml:space="preserve"> : Proportion de personnes ayant changé de banque selon leur niveau d'instruction</w:t>
      </w:r>
      <w:bookmarkEnd w:id="238"/>
    </w:p>
    <w:p w:rsidR="00C124C2" w:rsidRDefault="00C124C2" w:rsidP="00D4489E">
      <w:pPr>
        <w:spacing w:line="276" w:lineRule="auto"/>
        <w:jc w:val="center"/>
        <w:rPr>
          <w:rFonts w:ascii="Book Antiqua" w:hAnsi="Book Antiqua"/>
        </w:rPr>
      </w:pPr>
      <w:r w:rsidRPr="005A1AC3">
        <w:rPr>
          <w:rFonts w:ascii="Book Antiqua" w:hAnsi="Book Antiqua"/>
          <w:noProof/>
        </w:rPr>
        <w:drawing>
          <wp:inline distT="0" distB="0" distL="0" distR="0">
            <wp:extent cx="4388540" cy="2234317"/>
            <wp:effectExtent l="19050" t="0" r="1201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55632C" w:rsidRPr="0055632C" w:rsidRDefault="0055632C" w:rsidP="00D4489E">
      <w:pPr>
        <w:spacing w:line="276" w:lineRule="auto"/>
        <w:jc w:val="center"/>
        <w:rPr>
          <w:rFonts w:ascii="Book Antiqua" w:hAnsi="Book Antiqua"/>
        </w:rPr>
      </w:pPr>
    </w:p>
    <w:p w:rsidR="00CC7E4B" w:rsidRDefault="0041461E"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lastRenderedPageBreak/>
        <w:t>Sur un autre plan, l</w:t>
      </w:r>
      <w:r w:rsidR="00C124C2" w:rsidRPr="00722946">
        <w:rPr>
          <w:rFonts w:ascii="Book Antiqua" w:hAnsi="Book Antiqua" w:cs="Tahoma"/>
          <w:sz w:val="22"/>
          <w:szCs w:val="22"/>
        </w:rPr>
        <w:t xml:space="preserve">a fréquence de changement de banque augmente avec le niveau de revenus des personnes interrogées. En effet, </w:t>
      </w:r>
      <w:r>
        <w:rPr>
          <w:rFonts w:ascii="Book Antiqua" w:hAnsi="Book Antiqua" w:cs="Tahoma"/>
          <w:sz w:val="22"/>
          <w:szCs w:val="22"/>
        </w:rPr>
        <w:t xml:space="preserve">seule </w:t>
      </w:r>
      <w:r w:rsidR="00C124C2" w:rsidRPr="00722946">
        <w:rPr>
          <w:rFonts w:ascii="Book Antiqua" w:hAnsi="Book Antiqua" w:cs="Tahoma"/>
          <w:sz w:val="22"/>
          <w:szCs w:val="22"/>
        </w:rPr>
        <w:t xml:space="preserve">une proportion de 4,6% des enquêtés disposant de revenus de 50 000 FCFA ou moins déclare avoir migré vers un </w:t>
      </w:r>
      <w:r>
        <w:rPr>
          <w:rFonts w:ascii="Book Antiqua" w:hAnsi="Book Antiqua" w:cs="Tahoma"/>
          <w:sz w:val="22"/>
          <w:szCs w:val="22"/>
        </w:rPr>
        <w:t xml:space="preserve">autre </w:t>
      </w:r>
      <w:r w:rsidR="00C124C2" w:rsidRPr="00722946">
        <w:rPr>
          <w:rFonts w:ascii="Book Antiqua" w:hAnsi="Book Antiqua" w:cs="Tahoma"/>
          <w:sz w:val="22"/>
          <w:szCs w:val="22"/>
        </w:rPr>
        <w:t xml:space="preserve">opérateur bancaire contre des </w:t>
      </w:r>
      <w:r>
        <w:rPr>
          <w:rFonts w:ascii="Book Antiqua" w:hAnsi="Book Antiqua" w:cs="Tahoma"/>
          <w:sz w:val="22"/>
          <w:szCs w:val="22"/>
        </w:rPr>
        <w:t>taux</w:t>
      </w:r>
      <w:r w:rsidR="0055632C">
        <w:rPr>
          <w:rFonts w:ascii="Book Antiqua" w:hAnsi="Book Antiqua" w:cs="Tahoma"/>
          <w:sz w:val="22"/>
          <w:szCs w:val="22"/>
        </w:rPr>
        <w:t xml:space="preserve"> </w:t>
      </w:r>
      <w:r w:rsidR="00C124C2" w:rsidRPr="00722946">
        <w:rPr>
          <w:rFonts w:ascii="Book Antiqua" w:hAnsi="Book Antiqua" w:cs="Tahoma"/>
          <w:sz w:val="22"/>
          <w:szCs w:val="22"/>
        </w:rPr>
        <w:t>de 10,2%, 14,0%, 17,6%, 23,7%, 31,8% et 32</w:t>
      </w:r>
      <w:r>
        <w:rPr>
          <w:rFonts w:ascii="Book Antiqua" w:hAnsi="Book Antiqua" w:cs="Tahoma"/>
          <w:sz w:val="22"/>
          <w:szCs w:val="22"/>
        </w:rPr>
        <w:t>,0</w:t>
      </w:r>
      <w:r w:rsidR="00C124C2" w:rsidRPr="00722946">
        <w:rPr>
          <w:rFonts w:ascii="Book Antiqua" w:hAnsi="Book Antiqua" w:cs="Tahoma"/>
          <w:sz w:val="22"/>
          <w:szCs w:val="22"/>
        </w:rPr>
        <w:t xml:space="preserve">% pour les personnes se situant dans les tranches de revenus respectives ]50 000 ; 100 000], ]100 000 ; 200 000], ]200 000 ; 300 000], ]300 000 ; 500 000] et ]500 000 ; 1 million]. </w:t>
      </w:r>
    </w:p>
    <w:p w:rsidR="001840D4" w:rsidRPr="007070BE" w:rsidRDefault="001840D4" w:rsidP="00D4489E">
      <w:pPr>
        <w:autoSpaceDE w:val="0"/>
        <w:autoSpaceDN w:val="0"/>
        <w:adjustRightInd w:val="0"/>
        <w:spacing w:before="120" w:line="276" w:lineRule="auto"/>
        <w:jc w:val="both"/>
        <w:rPr>
          <w:rFonts w:ascii="Book Antiqua" w:hAnsi="Book Antiqua" w:cs="Tahoma"/>
          <w:sz w:val="22"/>
          <w:szCs w:val="22"/>
        </w:rPr>
      </w:pPr>
    </w:p>
    <w:p w:rsidR="007070BE" w:rsidRPr="007070BE" w:rsidRDefault="007070BE" w:rsidP="00D4489E">
      <w:pPr>
        <w:pStyle w:val="Lgende"/>
        <w:keepNext/>
        <w:spacing w:line="276" w:lineRule="auto"/>
        <w:jc w:val="center"/>
        <w:rPr>
          <w:color w:val="auto"/>
        </w:rPr>
      </w:pPr>
      <w:bookmarkStart w:id="239" w:name="_Toc523313823"/>
      <w:r w:rsidRPr="007070BE">
        <w:rPr>
          <w:color w:val="auto"/>
        </w:rPr>
        <w:t xml:space="preserve">Figure </w:t>
      </w:r>
      <w:r w:rsidR="000D65F2" w:rsidRPr="007070BE">
        <w:rPr>
          <w:color w:val="auto"/>
        </w:rPr>
        <w:fldChar w:fldCharType="begin"/>
      </w:r>
      <w:r w:rsidRPr="007070BE">
        <w:rPr>
          <w:color w:val="auto"/>
        </w:rPr>
        <w:instrText xml:space="preserve"> SEQ Figure \* ARABIC </w:instrText>
      </w:r>
      <w:r w:rsidR="000D65F2" w:rsidRPr="007070BE">
        <w:rPr>
          <w:color w:val="auto"/>
        </w:rPr>
        <w:fldChar w:fldCharType="separate"/>
      </w:r>
      <w:r w:rsidR="000F780F">
        <w:rPr>
          <w:noProof/>
          <w:color w:val="auto"/>
        </w:rPr>
        <w:t>140</w:t>
      </w:r>
      <w:r w:rsidR="000D65F2" w:rsidRPr="007070BE">
        <w:rPr>
          <w:color w:val="auto"/>
        </w:rPr>
        <w:fldChar w:fldCharType="end"/>
      </w:r>
      <w:r w:rsidRPr="007070BE">
        <w:rPr>
          <w:color w:val="auto"/>
        </w:rPr>
        <w:t xml:space="preserve"> : Proportion de personnes ayant changé de banque selon le niveau de revenus</w:t>
      </w:r>
      <w:bookmarkEnd w:id="239"/>
    </w:p>
    <w:p w:rsidR="00C124C2" w:rsidRDefault="00C124C2" w:rsidP="00D4489E">
      <w:pPr>
        <w:spacing w:line="276" w:lineRule="auto"/>
        <w:jc w:val="center"/>
        <w:rPr>
          <w:rFonts w:ascii="Book Antiqua" w:hAnsi="Book Antiqua"/>
        </w:rPr>
      </w:pPr>
      <w:r w:rsidRPr="00365ECD">
        <w:rPr>
          <w:rFonts w:ascii="Book Antiqua" w:hAnsi="Book Antiqua"/>
          <w:noProof/>
        </w:rPr>
        <w:drawing>
          <wp:inline distT="0" distB="0" distL="0" distR="0">
            <wp:extent cx="5052005" cy="2385392"/>
            <wp:effectExtent l="19050" t="0" r="15295"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0A0F2E" w:rsidRDefault="000A0F2E" w:rsidP="00D4489E">
      <w:pPr>
        <w:spacing w:line="276" w:lineRule="auto"/>
        <w:rPr>
          <w:rFonts w:ascii="Book Antiqua" w:hAnsi="Book Antiqua"/>
        </w:rPr>
      </w:pPr>
    </w:p>
    <w:p w:rsidR="00C124C2" w:rsidRPr="00311045" w:rsidRDefault="00311045" w:rsidP="00FA22AD">
      <w:pPr>
        <w:spacing w:before="240" w:after="240" w:line="276" w:lineRule="auto"/>
        <w:ind w:firstLine="567"/>
        <w:outlineLvl w:val="2"/>
        <w:rPr>
          <w:rFonts w:ascii="Book Antiqua" w:hAnsi="Book Antiqua"/>
          <w:b/>
          <w:sz w:val="22"/>
          <w:szCs w:val="22"/>
        </w:rPr>
      </w:pPr>
      <w:bookmarkStart w:id="240" w:name="_Toc523322086"/>
      <w:r w:rsidRPr="00311045">
        <w:rPr>
          <w:rFonts w:ascii="Book Antiqua" w:hAnsi="Book Antiqua"/>
          <w:b/>
          <w:sz w:val="22"/>
          <w:szCs w:val="22"/>
        </w:rPr>
        <w:t>II.1</w:t>
      </w:r>
      <w:r w:rsidR="00C124C2" w:rsidRPr="00311045">
        <w:rPr>
          <w:rFonts w:ascii="Book Antiqua" w:hAnsi="Book Antiqua"/>
          <w:b/>
          <w:sz w:val="22"/>
          <w:szCs w:val="22"/>
        </w:rPr>
        <w:t>.2.</w:t>
      </w:r>
      <w:r w:rsidR="003E43E5" w:rsidRPr="00311045">
        <w:rPr>
          <w:rFonts w:ascii="Book Antiqua" w:hAnsi="Book Antiqua"/>
          <w:b/>
          <w:sz w:val="22"/>
          <w:szCs w:val="22"/>
        </w:rPr>
        <w:tab/>
      </w:r>
      <w:r w:rsidR="00C124C2" w:rsidRPr="00311045">
        <w:rPr>
          <w:rFonts w:ascii="Book Antiqua" w:hAnsi="Book Antiqua"/>
          <w:b/>
          <w:sz w:val="22"/>
          <w:szCs w:val="22"/>
        </w:rPr>
        <w:t xml:space="preserve"> Nombre moyen de changement de domiciliation</w:t>
      </w:r>
      <w:bookmarkEnd w:id="240"/>
    </w:p>
    <w:p w:rsidR="003B55CD" w:rsidRDefault="00C83C6F" w:rsidP="001840D4">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Parmi la population enquêtée des clients « personnes physiques » ayant déclaré avoir changé au moins une fois d’opérateur (17,3%) une proportion de 87,5% indique avoir migré une (01) seule fois vers une autre banque, contre 10,2% deux (02) fois et 2,3% plus de deux fois.</w:t>
      </w:r>
    </w:p>
    <w:p w:rsidR="003B55CD" w:rsidRDefault="003B55CD" w:rsidP="001840D4">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La fréquence de changement de banque interven</w:t>
      </w:r>
      <w:r w:rsidR="001D664A">
        <w:rPr>
          <w:rFonts w:ascii="Book Antiqua" w:hAnsi="Book Antiqua" w:cs="Tahoma"/>
          <w:sz w:val="22"/>
          <w:szCs w:val="22"/>
        </w:rPr>
        <w:t>u strictement « une (01) fois »</w:t>
      </w:r>
      <w:r>
        <w:rPr>
          <w:rFonts w:ascii="Book Antiqua" w:hAnsi="Book Antiqua" w:cs="Tahoma"/>
          <w:sz w:val="22"/>
          <w:szCs w:val="22"/>
        </w:rPr>
        <w:t xml:space="preserve"> est globalement élevée chez toutes les catégories socioprofessionnelles et plus particulièrement  dans le secteur de </w:t>
      </w:r>
      <w:r w:rsidRPr="00722946">
        <w:rPr>
          <w:rFonts w:ascii="Book Antiqua" w:hAnsi="Book Antiqua" w:cs="Tahoma"/>
          <w:sz w:val="22"/>
          <w:szCs w:val="22"/>
        </w:rPr>
        <w:t>l’Administration</w:t>
      </w:r>
      <w:r>
        <w:rPr>
          <w:rFonts w:ascii="Book Antiqua" w:hAnsi="Book Antiqua" w:cs="Tahoma"/>
          <w:sz w:val="22"/>
          <w:szCs w:val="22"/>
        </w:rPr>
        <w:t>, d</w:t>
      </w:r>
      <w:r w:rsidRPr="00722946">
        <w:rPr>
          <w:rFonts w:ascii="Book Antiqua" w:hAnsi="Book Antiqua" w:cs="Tahoma"/>
          <w:sz w:val="22"/>
          <w:szCs w:val="22"/>
        </w:rPr>
        <w:t>es Services</w:t>
      </w:r>
      <w:r>
        <w:rPr>
          <w:rFonts w:ascii="Book Antiqua" w:hAnsi="Book Antiqua" w:cs="Tahoma"/>
          <w:sz w:val="22"/>
          <w:szCs w:val="22"/>
        </w:rPr>
        <w:t>, de l’</w:t>
      </w:r>
      <w:r w:rsidR="007C5B06">
        <w:rPr>
          <w:rFonts w:ascii="Book Antiqua" w:hAnsi="Book Antiqua" w:cs="Tahoma"/>
          <w:sz w:val="22"/>
          <w:szCs w:val="22"/>
        </w:rPr>
        <w:t>I</w:t>
      </w:r>
      <w:r>
        <w:rPr>
          <w:rFonts w:ascii="Book Antiqua" w:hAnsi="Book Antiqua" w:cs="Tahoma"/>
          <w:sz w:val="22"/>
          <w:szCs w:val="22"/>
        </w:rPr>
        <w:t>ndustrie et du Commerce qui affichent des taux respectifs de 91,4%, 89,2%, 88,9% et 88,9%.</w:t>
      </w:r>
    </w:p>
    <w:p w:rsidR="007C5B06" w:rsidRDefault="007C5B06" w:rsidP="001840D4">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Concernant l</w:t>
      </w:r>
      <w:r w:rsidR="00C124C2" w:rsidRPr="00722946">
        <w:rPr>
          <w:rFonts w:ascii="Book Antiqua" w:hAnsi="Book Antiqua" w:cs="Tahoma"/>
          <w:sz w:val="22"/>
          <w:szCs w:val="22"/>
        </w:rPr>
        <w:t>e nombre de changement de banque intervenu deux (</w:t>
      </w:r>
      <w:r>
        <w:rPr>
          <w:rFonts w:ascii="Book Antiqua" w:hAnsi="Book Antiqua" w:cs="Tahoma"/>
          <w:sz w:val="22"/>
          <w:szCs w:val="22"/>
        </w:rPr>
        <w:t>0</w:t>
      </w:r>
      <w:r w:rsidR="00C124C2" w:rsidRPr="00722946">
        <w:rPr>
          <w:rFonts w:ascii="Book Antiqua" w:hAnsi="Book Antiqua" w:cs="Tahoma"/>
          <w:sz w:val="22"/>
          <w:szCs w:val="22"/>
        </w:rPr>
        <w:t xml:space="preserve">2) </w:t>
      </w:r>
      <w:r>
        <w:rPr>
          <w:rFonts w:ascii="Book Antiqua" w:hAnsi="Book Antiqua" w:cs="Tahoma"/>
          <w:sz w:val="22"/>
          <w:szCs w:val="22"/>
        </w:rPr>
        <w:t>fois, des taux relativement élevés</w:t>
      </w:r>
      <w:r w:rsidR="001D664A">
        <w:rPr>
          <w:rFonts w:ascii="Book Antiqua" w:hAnsi="Book Antiqua" w:cs="Tahoma"/>
          <w:sz w:val="22"/>
          <w:szCs w:val="22"/>
        </w:rPr>
        <w:t xml:space="preserve"> sont observés</w:t>
      </w:r>
      <w:r>
        <w:rPr>
          <w:rFonts w:ascii="Book Antiqua" w:hAnsi="Book Antiqua" w:cs="Tahoma"/>
          <w:sz w:val="22"/>
          <w:szCs w:val="22"/>
        </w:rPr>
        <w:t xml:space="preserve"> dans l</w:t>
      </w:r>
      <w:r w:rsidR="001D664A">
        <w:rPr>
          <w:rFonts w:ascii="Book Antiqua" w:hAnsi="Book Antiqua" w:cs="Tahoma"/>
          <w:sz w:val="22"/>
          <w:szCs w:val="22"/>
        </w:rPr>
        <w:t>es secteurs de la Pêche (30,0%) et</w:t>
      </w:r>
      <w:r>
        <w:rPr>
          <w:rFonts w:ascii="Book Antiqua" w:hAnsi="Book Antiqua" w:cs="Tahoma"/>
          <w:sz w:val="22"/>
          <w:szCs w:val="22"/>
        </w:rPr>
        <w:t xml:space="preserve"> de l’Agriculture (18,8%) qui sont suivis des BTP et de l’Artisanat qui affichent le même taux de 14,3%.  </w:t>
      </w:r>
    </w:p>
    <w:p w:rsidR="009E0117" w:rsidRPr="00722946" w:rsidRDefault="007C5B06" w:rsidP="001840D4">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 xml:space="preserve">Il convient de noter </w:t>
      </w:r>
      <w:r w:rsidR="00E31963">
        <w:rPr>
          <w:rFonts w:ascii="Book Antiqua" w:hAnsi="Book Antiqua" w:cs="Tahoma"/>
          <w:sz w:val="22"/>
          <w:szCs w:val="22"/>
        </w:rPr>
        <w:t xml:space="preserve">que </w:t>
      </w:r>
      <w:r>
        <w:rPr>
          <w:rFonts w:ascii="Book Antiqua" w:hAnsi="Book Antiqua" w:cs="Tahoma"/>
          <w:sz w:val="22"/>
          <w:szCs w:val="22"/>
        </w:rPr>
        <w:t xml:space="preserve">la </w:t>
      </w:r>
      <w:r w:rsidR="00E31963">
        <w:rPr>
          <w:rFonts w:ascii="Book Antiqua" w:hAnsi="Book Antiqua" w:cs="Tahoma"/>
          <w:sz w:val="22"/>
          <w:szCs w:val="22"/>
        </w:rPr>
        <w:t xml:space="preserve">fréquence de </w:t>
      </w:r>
      <w:r>
        <w:rPr>
          <w:rFonts w:ascii="Book Antiqua" w:hAnsi="Book Antiqua" w:cs="Tahoma"/>
          <w:sz w:val="22"/>
          <w:szCs w:val="22"/>
        </w:rPr>
        <w:t xml:space="preserve">changement </w:t>
      </w:r>
      <w:r w:rsidR="00E31963">
        <w:rPr>
          <w:rFonts w:ascii="Book Antiqua" w:hAnsi="Book Antiqua" w:cs="Tahoma"/>
          <w:sz w:val="22"/>
          <w:szCs w:val="22"/>
        </w:rPr>
        <w:t xml:space="preserve">d’opérateur au-delà de </w:t>
      </w:r>
      <w:r>
        <w:rPr>
          <w:rFonts w:ascii="Book Antiqua" w:hAnsi="Book Antiqua" w:cs="Tahoma"/>
          <w:sz w:val="22"/>
          <w:szCs w:val="22"/>
        </w:rPr>
        <w:t>deux (02) fois</w:t>
      </w:r>
      <w:r w:rsidR="00E31963">
        <w:rPr>
          <w:rFonts w:ascii="Book Antiqua" w:hAnsi="Book Antiqua" w:cs="Tahoma"/>
          <w:sz w:val="22"/>
          <w:szCs w:val="22"/>
        </w:rPr>
        <w:t xml:space="preserve"> reste globalement faible</w:t>
      </w:r>
      <w:r>
        <w:rPr>
          <w:rFonts w:ascii="Book Antiqua" w:hAnsi="Book Antiqua" w:cs="Tahoma"/>
          <w:sz w:val="22"/>
          <w:szCs w:val="22"/>
        </w:rPr>
        <w:t xml:space="preserve">. </w:t>
      </w:r>
      <w:r w:rsidR="00E31963">
        <w:rPr>
          <w:rFonts w:ascii="Book Antiqua" w:hAnsi="Book Antiqua" w:cs="Tahoma"/>
          <w:sz w:val="22"/>
          <w:szCs w:val="22"/>
        </w:rPr>
        <w:t>Toutefois, l’Industrie et l’Enseignement ressortent avec des taux respectifs de 5,6% et 3,9%.</w:t>
      </w:r>
    </w:p>
    <w:p w:rsidR="007070BE" w:rsidRPr="007070BE" w:rsidRDefault="007070BE" w:rsidP="00D4489E">
      <w:pPr>
        <w:pStyle w:val="Lgende"/>
        <w:keepNext/>
        <w:spacing w:line="276" w:lineRule="auto"/>
        <w:jc w:val="center"/>
        <w:rPr>
          <w:color w:val="auto"/>
        </w:rPr>
      </w:pPr>
      <w:bookmarkStart w:id="241" w:name="_Toc523313824"/>
      <w:r w:rsidRPr="007070BE">
        <w:rPr>
          <w:color w:val="auto"/>
        </w:rPr>
        <w:lastRenderedPageBreak/>
        <w:t xml:space="preserve">Figure </w:t>
      </w:r>
      <w:r w:rsidR="000D65F2" w:rsidRPr="007070BE">
        <w:rPr>
          <w:color w:val="auto"/>
        </w:rPr>
        <w:fldChar w:fldCharType="begin"/>
      </w:r>
      <w:r w:rsidRPr="007070BE">
        <w:rPr>
          <w:color w:val="auto"/>
        </w:rPr>
        <w:instrText xml:space="preserve"> SEQ Figure \* ARABIC </w:instrText>
      </w:r>
      <w:r w:rsidR="000D65F2" w:rsidRPr="007070BE">
        <w:rPr>
          <w:color w:val="auto"/>
        </w:rPr>
        <w:fldChar w:fldCharType="separate"/>
      </w:r>
      <w:r w:rsidR="000F780F">
        <w:rPr>
          <w:noProof/>
          <w:color w:val="auto"/>
        </w:rPr>
        <w:t>141</w:t>
      </w:r>
      <w:r w:rsidR="000D65F2" w:rsidRPr="007070BE">
        <w:rPr>
          <w:color w:val="auto"/>
        </w:rPr>
        <w:fldChar w:fldCharType="end"/>
      </w:r>
      <w:r w:rsidRPr="007070BE">
        <w:rPr>
          <w:color w:val="auto"/>
        </w:rPr>
        <w:t xml:space="preserve"> : Nombre de changement de banque chez les personnes enquêtées selon le secteur d'activités</w:t>
      </w:r>
      <w:bookmarkEnd w:id="241"/>
    </w:p>
    <w:p w:rsidR="00AB13BE" w:rsidRPr="00AB13BE" w:rsidRDefault="00F44BC9" w:rsidP="00D4489E">
      <w:pPr>
        <w:spacing w:line="276" w:lineRule="auto"/>
        <w:jc w:val="center"/>
        <w:rPr>
          <w:rFonts w:ascii="Book Antiqua" w:hAnsi="Book Antiqua"/>
          <w:sz w:val="22"/>
        </w:rPr>
      </w:pPr>
      <w:r>
        <w:rPr>
          <w:noProof/>
        </w:rPr>
        <w:drawing>
          <wp:inline distT="0" distB="0" distL="0" distR="0">
            <wp:extent cx="5443538" cy="2486025"/>
            <wp:effectExtent l="19050" t="0" r="23812" b="0"/>
            <wp:docPr id="81" name="Graphique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E31963" w:rsidRDefault="00E31963" w:rsidP="00D4489E">
      <w:pPr>
        <w:autoSpaceDE w:val="0"/>
        <w:autoSpaceDN w:val="0"/>
        <w:adjustRightInd w:val="0"/>
        <w:spacing w:before="120" w:line="276" w:lineRule="auto"/>
        <w:jc w:val="both"/>
        <w:rPr>
          <w:rFonts w:ascii="Book Antiqua" w:hAnsi="Book Antiqua" w:cs="Tahoma"/>
          <w:sz w:val="22"/>
          <w:szCs w:val="22"/>
        </w:rPr>
      </w:pPr>
    </w:p>
    <w:p w:rsidR="005D7AB5" w:rsidRDefault="00C124C2" w:rsidP="001840D4">
      <w:pPr>
        <w:autoSpaceDE w:val="0"/>
        <w:autoSpaceDN w:val="0"/>
        <w:adjustRightInd w:val="0"/>
        <w:spacing w:before="240" w:after="240" w:line="276" w:lineRule="auto"/>
        <w:jc w:val="both"/>
        <w:rPr>
          <w:rFonts w:ascii="Book Antiqua" w:hAnsi="Book Antiqua" w:cs="Tahoma"/>
          <w:sz w:val="22"/>
          <w:szCs w:val="22"/>
        </w:rPr>
      </w:pPr>
      <w:r w:rsidRPr="00722946">
        <w:rPr>
          <w:rFonts w:ascii="Book Antiqua" w:hAnsi="Book Antiqua" w:cs="Tahoma"/>
          <w:sz w:val="22"/>
          <w:szCs w:val="22"/>
        </w:rPr>
        <w:t xml:space="preserve">Suivant la nature de l’activité, il est constaté une plus grande mobilité dans le secteur dit moderne </w:t>
      </w:r>
      <w:r w:rsidR="005D7AB5">
        <w:rPr>
          <w:rFonts w:ascii="Book Antiqua" w:hAnsi="Book Antiqua" w:cs="Tahoma"/>
          <w:sz w:val="22"/>
          <w:szCs w:val="22"/>
        </w:rPr>
        <w:t>(18,4%) que dans l’informel (11,4%).</w:t>
      </w:r>
    </w:p>
    <w:p w:rsidR="00AB13BE" w:rsidRDefault="005D7AB5" w:rsidP="001840D4">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Parmi ceux qui ont déjà eu à changer de banque, il ressort au niveau du secteur formel des propo</w:t>
      </w:r>
      <w:r w:rsidR="002045C6">
        <w:rPr>
          <w:rFonts w:ascii="Book Antiqua" w:hAnsi="Book Antiqua" w:cs="Tahoma"/>
          <w:sz w:val="22"/>
          <w:szCs w:val="22"/>
        </w:rPr>
        <w:t xml:space="preserve">rtions de changement de banque intervenu « une (01) fois » (87,2%), deux (02) fois (10,6%) et plus de deux (02) fois (2,2%). La même tendance est observée chez les clients relevant du secteur informel avec des taux respectifs de 90,8%, 6,2% et 3,1%. </w:t>
      </w:r>
    </w:p>
    <w:p w:rsidR="00A80C20" w:rsidRDefault="00A80C20" w:rsidP="00D4489E">
      <w:pPr>
        <w:spacing w:line="276" w:lineRule="auto"/>
        <w:rPr>
          <w:sz w:val="16"/>
        </w:rPr>
      </w:pPr>
    </w:p>
    <w:p w:rsidR="007070BE" w:rsidRPr="007070BE" w:rsidRDefault="007070BE" w:rsidP="00D4489E">
      <w:pPr>
        <w:pStyle w:val="Lgende"/>
        <w:keepNext/>
        <w:spacing w:line="276" w:lineRule="auto"/>
        <w:jc w:val="center"/>
        <w:rPr>
          <w:color w:val="auto"/>
        </w:rPr>
      </w:pPr>
      <w:bookmarkStart w:id="242" w:name="_Toc523313825"/>
      <w:r w:rsidRPr="007070BE">
        <w:rPr>
          <w:color w:val="auto"/>
        </w:rPr>
        <w:t xml:space="preserve">Figure </w:t>
      </w:r>
      <w:r w:rsidR="000D65F2" w:rsidRPr="007070BE">
        <w:rPr>
          <w:color w:val="auto"/>
        </w:rPr>
        <w:fldChar w:fldCharType="begin"/>
      </w:r>
      <w:r w:rsidRPr="007070BE">
        <w:rPr>
          <w:color w:val="auto"/>
        </w:rPr>
        <w:instrText xml:space="preserve"> SEQ Figure \* ARABIC </w:instrText>
      </w:r>
      <w:r w:rsidR="000D65F2" w:rsidRPr="007070BE">
        <w:rPr>
          <w:color w:val="auto"/>
        </w:rPr>
        <w:fldChar w:fldCharType="separate"/>
      </w:r>
      <w:r w:rsidR="000F780F">
        <w:rPr>
          <w:noProof/>
          <w:color w:val="auto"/>
        </w:rPr>
        <w:t>142</w:t>
      </w:r>
      <w:r w:rsidR="000D65F2" w:rsidRPr="007070BE">
        <w:rPr>
          <w:color w:val="auto"/>
        </w:rPr>
        <w:fldChar w:fldCharType="end"/>
      </w:r>
      <w:r w:rsidRPr="007070BE">
        <w:rPr>
          <w:color w:val="auto"/>
        </w:rPr>
        <w:t xml:space="preserve"> : Nombre de changement de banque selon la nature de l'activité des personnes enquêtées</w:t>
      </w:r>
      <w:bookmarkEnd w:id="242"/>
    </w:p>
    <w:p w:rsidR="002045C6" w:rsidRDefault="00F44BC9" w:rsidP="00D4489E">
      <w:pPr>
        <w:spacing w:line="276" w:lineRule="auto"/>
        <w:jc w:val="center"/>
        <w:rPr>
          <w:rFonts w:ascii="Book Antiqua" w:hAnsi="Book Antiqua"/>
          <w:b/>
        </w:rPr>
      </w:pPr>
      <w:r>
        <w:rPr>
          <w:noProof/>
        </w:rPr>
        <w:drawing>
          <wp:inline distT="0" distB="0" distL="0" distR="0">
            <wp:extent cx="4572000" cy="2252662"/>
            <wp:effectExtent l="19050" t="0" r="19050" b="0"/>
            <wp:docPr id="310" name="Graphique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C124C2" w:rsidRDefault="00C124C2" w:rsidP="00D4489E">
      <w:pPr>
        <w:spacing w:line="276" w:lineRule="auto"/>
        <w:contextualSpacing/>
        <w:rPr>
          <w:rFonts w:ascii="Book Antiqua" w:hAnsi="Book Antiqua"/>
        </w:rPr>
      </w:pPr>
    </w:p>
    <w:p w:rsidR="000E15D0" w:rsidRPr="00A80C20" w:rsidRDefault="007C75BE"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t>L’analy</w:t>
      </w:r>
      <w:r w:rsidR="00030F41">
        <w:rPr>
          <w:rFonts w:ascii="Book Antiqua" w:hAnsi="Book Antiqua" w:cs="Tahoma"/>
          <w:sz w:val="22"/>
          <w:szCs w:val="22"/>
        </w:rPr>
        <w:t>se des résultats de l’ESUB</w:t>
      </w:r>
      <w:r>
        <w:rPr>
          <w:rFonts w:ascii="Book Antiqua" w:hAnsi="Book Antiqua" w:cs="Tahoma"/>
          <w:sz w:val="22"/>
          <w:szCs w:val="22"/>
        </w:rPr>
        <w:t xml:space="preserve"> laisse transparaitre que la tendance à changer de banque croit avec le niveau des revenus des clients</w:t>
      </w:r>
      <w:r w:rsidR="008B5546">
        <w:rPr>
          <w:rFonts w:ascii="Book Antiqua" w:hAnsi="Book Antiqua" w:cs="Tahoma"/>
          <w:sz w:val="22"/>
          <w:szCs w:val="22"/>
        </w:rPr>
        <w:t xml:space="preserve">. Une fréquence de changement de  </w:t>
      </w:r>
      <w:r w:rsidRPr="00BE55C6">
        <w:rPr>
          <w:rFonts w:ascii="Book Antiqua" w:hAnsi="Book Antiqua" w:cs="Tahoma"/>
          <w:sz w:val="22"/>
          <w:szCs w:val="22"/>
        </w:rPr>
        <w:t>4,6%</w:t>
      </w:r>
      <w:r w:rsidR="008B5546">
        <w:rPr>
          <w:rFonts w:ascii="Book Antiqua" w:hAnsi="Book Antiqua" w:cs="Tahoma"/>
          <w:sz w:val="22"/>
          <w:szCs w:val="22"/>
        </w:rPr>
        <w:t xml:space="preserve">est observée chez les </w:t>
      </w:r>
      <w:r>
        <w:rPr>
          <w:rFonts w:ascii="Book Antiqua" w:hAnsi="Book Antiqua" w:cs="Tahoma"/>
          <w:sz w:val="22"/>
          <w:szCs w:val="22"/>
        </w:rPr>
        <w:t>clients</w:t>
      </w:r>
      <w:r w:rsidR="008B5546">
        <w:rPr>
          <w:rFonts w:ascii="Book Antiqua" w:hAnsi="Book Antiqua" w:cs="Tahoma"/>
          <w:sz w:val="22"/>
          <w:szCs w:val="22"/>
        </w:rPr>
        <w:t xml:space="preserve"> ayant un revenu </w:t>
      </w:r>
      <w:r>
        <w:rPr>
          <w:rFonts w:ascii="Book Antiqua" w:hAnsi="Book Antiqua" w:cs="Tahoma"/>
          <w:sz w:val="22"/>
          <w:szCs w:val="22"/>
        </w:rPr>
        <w:t xml:space="preserve"> inférieur à 50 000F</w:t>
      </w:r>
      <w:r w:rsidR="008B5546">
        <w:rPr>
          <w:rFonts w:ascii="Book Antiqua" w:hAnsi="Book Antiqua" w:cs="Tahoma"/>
          <w:sz w:val="22"/>
          <w:szCs w:val="22"/>
        </w:rPr>
        <w:t>CFA ; une proportion de</w:t>
      </w:r>
      <w:r>
        <w:rPr>
          <w:rFonts w:ascii="Book Antiqua" w:hAnsi="Book Antiqua" w:cs="Tahoma"/>
          <w:sz w:val="22"/>
          <w:szCs w:val="22"/>
        </w:rPr>
        <w:t xml:space="preserve">  10,2% pour</w:t>
      </w:r>
      <w:r w:rsidR="008B5546">
        <w:rPr>
          <w:rFonts w:ascii="Book Antiqua" w:hAnsi="Book Antiqua" w:cs="Tahoma"/>
          <w:sz w:val="22"/>
          <w:szCs w:val="22"/>
        </w:rPr>
        <w:t xml:space="preserve"> la tranche</w:t>
      </w:r>
      <w:r w:rsidR="00FA22AD">
        <w:rPr>
          <w:rFonts w:ascii="Book Antiqua" w:hAnsi="Book Antiqua" w:cs="Tahoma"/>
          <w:sz w:val="22"/>
          <w:szCs w:val="22"/>
        </w:rPr>
        <w:t xml:space="preserve">   </w:t>
      </w:r>
      <w:r w:rsidRPr="008B5546">
        <w:rPr>
          <w:rFonts w:ascii="Book Antiqua" w:hAnsi="Book Antiqua" w:cs="Tahoma"/>
          <w:sz w:val="22"/>
          <w:szCs w:val="22"/>
        </w:rPr>
        <w:t xml:space="preserve"> ]50 000 ; 100 000]</w:t>
      </w:r>
      <w:r w:rsidR="008B5546">
        <w:rPr>
          <w:rFonts w:ascii="Book Antiqua" w:hAnsi="Book Antiqua" w:cs="Tahoma"/>
          <w:sz w:val="22"/>
          <w:szCs w:val="22"/>
        </w:rPr>
        <w:t xml:space="preserve"> ;un taux de </w:t>
      </w:r>
      <w:r w:rsidRPr="008B5546">
        <w:rPr>
          <w:rFonts w:ascii="Book Antiqua" w:hAnsi="Book Antiqua" w:cs="Tahoma"/>
          <w:sz w:val="22"/>
          <w:szCs w:val="22"/>
        </w:rPr>
        <w:t>1</w:t>
      </w:r>
      <w:r>
        <w:rPr>
          <w:rFonts w:ascii="Book Antiqua" w:hAnsi="Book Antiqua" w:cs="Tahoma"/>
          <w:sz w:val="22"/>
          <w:szCs w:val="22"/>
        </w:rPr>
        <w:t>4</w:t>
      </w:r>
      <w:r w:rsidRPr="008B5546">
        <w:rPr>
          <w:rFonts w:ascii="Book Antiqua" w:hAnsi="Book Antiqua" w:cs="Tahoma"/>
          <w:sz w:val="22"/>
          <w:szCs w:val="22"/>
        </w:rPr>
        <w:t>,</w:t>
      </w:r>
      <w:r>
        <w:rPr>
          <w:rFonts w:ascii="Book Antiqua" w:hAnsi="Book Antiqua" w:cs="Tahoma"/>
          <w:sz w:val="22"/>
          <w:szCs w:val="22"/>
        </w:rPr>
        <w:t>0</w:t>
      </w:r>
      <w:r w:rsidRPr="008B5546">
        <w:rPr>
          <w:rFonts w:ascii="Book Antiqua" w:hAnsi="Book Antiqua" w:cs="Tahoma"/>
          <w:sz w:val="22"/>
          <w:szCs w:val="22"/>
        </w:rPr>
        <w:t>%</w:t>
      </w:r>
      <w:r w:rsidR="008B5546">
        <w:rPr>
          <w:rFonts w:ascii="Book Antiqua" w:hAnsi="Book Antiqua" w:cs="Tahoma"/>
          <w:sz w:val="22"/>
          <w:szCs w:val="22"/>
        </w:rPr>
        <w:t xml:space="preserve">pour les revenus se situant dans la tranche </w:t>
      </w:r>
      <w:r w:rsidRPr="00722946">
        <w:rPr>
          <w:rFonts w:ascii="Book Antiqua" w:hAnsi="Book Antiqua" w:cs="Tahoma"/>
          <w:sz w:val="22"/>
          <w:szCs w:val="22"/>
        </w:rPr>
        <w:t>]100 000 ; 200 000]</w:t>
      </w:r>
      <w:r w:rsidR="008B5546">
        <w:rPr>
          <w:rFonts w:ascii="Book Antiqua" w:hAnsi="Book Antiqua" w:cs="Tahoma"/>
          <w:sz w:val="22"/>
          <w:szCs w:val="22"/>
        </w:rPr>
        <w:t xml:space="preserve"> ; </w:t>
      </w:r>
      <w:r w:rsidRPr="00722946">
        <w:rPr>
          <w:rFonts w:ascii="Book Antiqua" w:hAnsi="Book Antiqua" w:cs="Tahoma"/>
          <w:sz w:val="22"/>
          <w:szCs w:val="22"/>
        </w:rPr>
        <w:t>1</w:t>
      </w:r>
      <w:r>
        <w:rPr>
          <w:rFonts w:ascii="Book Antiqua" w:hAnsi="Book Antiqua" w:cs="Tahoma"/>
          <w:sz w:val="22"/>
          <w:szCs w:val="22"/>
        </w:rPr>
        <w:t>7</w:t>
      </w:r>
      <w:r w:rsidRPr="00722946">
        <w:rPr>
          <w:rFonts w:ascii="Book Antiqua" w:hAnsi="Book Antiqua" w:cs="Tahoma"/>
          <w:sz w:val="22"/>
          <w:szCs w:val="22"/>
        </w:rPr>
        <w:t>,</w:t>
      </w:r>
      <w:r>
        <w:rPr>
          <w:rFonts w:ascii="Book Antiqua" w:hAnsi="Book Antiqua" w:cs="Tahoma"/>
          <w:sz w:val="22"/>
          <w:szCs w:val="22"/>
        </w:rPr>
        <w:t>6</w:t>
      </w:r>
      <w:r w:rsidR="008B5546">
        <w:rPr>
          <w:rFonts w:ascii="Book Antiqua" w:hAnsi="Book Antiqua" w:cs="Tahoma"/>
          <w:sz w:val="22"/>
          <w:szCs w:val="22"/>
        </w:rPr>
        <w:t xml:space="preserve">% pour  ]200 000 ; 300 000] ; </w:t>
      </w:r>
      <w:r>
        <w:rPr>
          <w:rFonts w:ascii="Book Antiqua" w:hAnsi="Book Antiqua" w:cs="Tahoma"/>
          <w:sz w:val="22"/>
          <w:szCs w:val="22"/>
        </w:rPr>
        <w:t>23</w:t>
      </w:r>
      <w:r w:rsidRPr="00722946">
        <w:rPr>
          <w:rFonts w:ascii="Book Antiqua" w:hAnsi="Book Antiqua" w:cs="Tahoma"/>
          <w:sz w:val="22"/>
          <w:szCs w:val="22"/>
        </w:rPr>
        <w:t>,</w:t>
      </w:r>
      <w:r>
        <w:rPr>
          <w:rFonts w:ascii="Book Antiqua" w:hAnsi="Book Antiqua" w:cs="Tahoma"/>
          <w:sz w:val="22"/>
          <w:szCs w:val="22"/>
        </w:rPr>
        <w:t>7</w:t>
      </w:r>
      <w:r w:rsidRPr="00722946">
        <w:rPr>
          <w:rFonts w:ascii="Book Antiqua" w:hAnsi="Book Antiqua" w:cs="Tahoma"/>
          <w:sz w:val="22"/>
          <w:szCs w:val="22"/>
        </w:rPr>
        <w:t>%</w:t>
      </w:r>
      <w:r w:rsidR="008B5546">
        <w:rPr>
          <w:rFonts w:ascii="Book Antiqua" w:hAnsi="Book Antiqua" w:cs="Tahoma"/>
          <w:sz w:val="22"/>
          <w:szCs w:val="22"/>
        </w:rPr>
        <w:t xml:space="preserve"> pour</w:t>
      </w:r>
      <w:r w:rsidRPr="00722946">
        <w:rPr>
          <w:rFonts w:ascii="Book Antiqua" w:hAnsi="Book Antiqua" w:cs="Tahoma"/>
          <w:sz w:val="22"/>
          <w:szCs w:val="22"/>
        </w:rPr>
        <w:t xml:space="preserve">  ]300 000 ; 500 000]</w:t>
      </w:r>
      <w:r w:rsidR="008B5546">
        <w:rPr>
          <w:rFonts w:ascii="Book Antiqua" w:hAnsi="Book Antiqua" w:cs="Tahoma"/>
          <w:sz w:val="22"/>
          <w:szCs w:val="22"/>
        </w:rPr>
        <w:t xml:space="preserve"> ; </w:t>
      </w:r>
      <w:r>
        <w:rPr>
          <w:rFonts w:ascii="Book Antiqua" w:hAnsi="Book Antiqua" w:cs="Tahoma"/>
          <w:sz w:val="22"/>
          <w:szCs w:val="22"/>
        </w:rPr>
        <w:t>32</w:t>
      </w:r>
      <w:r w:rsidRPr="00722946">
        <w:rPr>
          <w:rFonts w:ascii="Book Antiqua" w:hAnsi="Book Antiqua" w:cs="Tahoma"/>
          <w:sz w:val="22"/>
          <w:szCs w:val="22"/>
        </w:rPr>
        <w:t>,</w:t>
      </w:r>
      <w:r>
        <w:rPr>
          <w:rFonts w:ascii="Book Antiqua" w:hAnsi="Book Antiqua" w:cs="Tahoma"/>
          <w:sz w:val="22"/>
          <w:szCs w:val="22"/>
        </w:rPr>
        <w:t>0</w:t>
      </w:r>
      <w:r w:rsidR="008B5546">
        <w:rPr>
          <w:rFonts w:ascii="Book Antiqua" w:hAnsi="Book Antiqua" w:cs="Tahoma"/>
          <w:sz w:val="22"/>
          <w:szCs w:val="22"/>
        </w:rPr>
        <w:t>% pour</w:t>
      </w:r>
      <w:r w:rsidRPr="00722946">
        <w:rPr>
          <w:rFonts w:ascii="Book Antiqua" w:hAnsi="Book Antiqua" w:cs="Tahoma"/>
          <w:sz w:val="22"/>
          <w:szCs w:val="22"/>
        </w:rPr>
        <w:t xml:space="preserve"> ]500 000 ; 1 million] </w:t>
      </w:r>
      <w:r>
        <w:rPr>
          <w:rFonts w:ascii="Book Antiqua" w:hAnsi="Book Antiqua" w:cs="Tahoma"/>
          <w:sz w:val="22"/>
          <w:szCs w:val="22"/>
        </w:rPr>
        <w:t>et 47,1% au-delà de 1</w:t>
      </w:r>
      <w:r w:rsidR="008B5546">
        <w:rPr>
          <w:rFonts w:ascii="Book Antiqua" w:hAnsi="Book Antiqua" w:cs="Tahoma"/>
          <w:sz w:val="22"/>
          <w:szCs w:val="22"/>
        </w:rPr>
        <w:t>,5 millions</w:t>
      </w:r>
      <w:r w:rsidRPr="00722946">
        <w:rPr>
          <w:rFonts w:ascii="Book Antiqua" w:hAnsi="Book Antiqua" w:cs="Tahoma"/>
          <w:sz w:val="22"/>
          <w:szCs w:val="22"/>
        </w:rPr>
        <w:t>.</w:t>
      </w:r>
    </w:p>
    <w:p w:rsidR="007070BE" w:rsidRPr="007070BE" w:rsidRDefault="007070BE" w:rsidP="00D4489E">
      <w:pPr>
        <w:pStyle w:val="Lgende"/>
        <w:keepNext/>
        <w:spacing w:line="276" w:lineRule="auto"/>
        <w:jc w:val="center"/>
        <w:rPr>
          <w:color w:val="auto"/>
        </w:rPr>
      </w:pPr>
      <w:bookmarkStart w:id="243" w:name="_Toc523313826"/>
      <w:r w:rsidRPr="007070BE">
        <w:rPr>
          <w:color w:val="auto"/>
        </w:rPr>
        <w:lastRenderedPageBreak/>
        <w:t xml:space="preserve">Figure </w:t>
      </w:r>
      <w:r w:rsidR="000D65F2" w:rsidRPr="007070BE">
        <w:rPr>
          <w:color w:val="auto"/>
        </w:rPr>
        <w:fldChar w:fldCharType="begin"/>
      </w:r>
      <w:r w:rsidRPr="007070BE">
        <w:rPr>
          <w:color w:val="auto"/>
        </w:rPr>
        <w:instrText xml:space="preserve"> SEQ Figure \* ARABIC </w:instrText>
      </w:r>
      <w:r w:rsidR="000D65F2" w:rsidRPr="007070BE">
        <w:rPr>
          <w:color w:val="auto"/>
        </w:rPr>
        <w:fldChar w:fldCharType="separate"/>
      </w:r>
      <w:r w:rsidR="000F780F">
        <w:rPr>
          <w:noProof/>
          <w:color w:val="auto"/>
        </w:rPr>
        <w:t>143</w:t>
      </w:r>
      <w:r w:rsidR="000D65F2" w:rsidRPr="007070BE">
        <w:rPr>
          <w:color w:val="auto"/>
        </w:rPr>
        <w:fldChar w:fldCharType="end"/>
      </w:r>
      <w:r w:rsidRPr="007070BE">
        <w:rPr>
          <w:color w:val="auto"/>
        </w:rPr>
        <w:t xml:space="preserve"> : Proportion des personnes enquêtées ayant changé de banque selon leur niveau de revenu</w:t>
      </w:r>
      <w:bookmarkEnd w:id="243"/>
    </w:p>
    <w:p w:rsidR="000E15D0" w:rsidRDefault="00F44BC9" w:rsidP="00D4489E">
      <w:pPr>
        <w:autoSpaceDE w:val="0"/>
        <w:autoSpaceDN w:val="0"/>
        <w:adjustRightInd w:val="0"/>
        <w:spacing w:before="120" w:line="276" w:lineRule="auto"/>
        <w:jc w:val="center"/>
        <w:rPr>
          <w:rFonts w:ascii="Book Antiqua" w:hAnsi="Book Antiqua" w:cs="Tahoma"/>
          <w:sz w:val="22"/>
          <w:szCs w:val="22"/>
        </w:rPr>
      </w:pPr>
      <w:r w:rsidRPr="00AE3DF1">
        <w:rPr>
          <w:noProof/>
        </w:rPr>
        <w:drawing>
          <wp:inline distT="0" distB="0" distL="0" distR="0">
            <wp:extent cx="4573657" cy="2385391"/>
            <wp:effectExtent l="19050" t="0" r="17393" b="0"/>
            <wp:docPr id="316" name="Graphique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1A6B8E" w:rsidRPr="009A3D31" w:rsidRDefault="00C124C2" w:rsidP="001840D4">
      <w:pPr>
        <w:autoSpaceDE w:val="0"/>
        <w:autoSpaceDN w:val="0"/>
        <w:adjustRightInd w:val="0"/>
        <w:spacing w:before="240" w:after="240" w:line="276" w:lineRule="auto"/>
        <w:jc w:val="both"/>
        <w:rPr>
          <w:rFonts w:ascii="Book Antiqua" w:hAnsi="Book Antiqua" w:cs="Tahoma"/>
          <w:sz w:val="22"/>
          <w:szCs w:val="22"/>
        </w:rPr>
      </w:pPr>
      <w:r w:rsidRPr="009A3D31">
        <w:rPr>
          <w:rFonts w:ascii="Book Antiqua" w:hAnsi="Book Antiqua" w:cs="Tahoma"/>
          <w:sz w:val="22"/>
          <w:szCs w:val="22"/>
        </w:rPr>
        <w:t xml:space="preserve">Pour les clients </w:t>
      </w:r>
      <w:r w:rsidR="001A6B8E" w:rsidRPr="009A3D31">
        <w:rPr>
          <w:rFonts w:ascii="Book Antiqua" w:hAnsi="Book Antiqua" w:cs="Tahoma"/>
          <w:sz w:val="22"/>
          <w:szCs w:val="22"/>
        </w:rPr>
        <w:t>disposant d’un revenu inférieur ou égal à un million de FCFA, il est relevé un taux moyen de plus 80% chez les personnes physiques déclarant n’avoir changé de banque qu’une seule fois. S’agissant des classes modales dont les revenus sont supérieurs à un million, il est observé de</w:t>
      </w:r>
      <w:r w:rsidR="009A3D31">
        <w:rPr>
          <w:rFonts w:ascii="Book Antiqua" w:hAnsi="Book Antiqua" w:cs="Tahoma"/>
          <w:sz w:val="22"/>
          <w:szCs w:val="22"/>
        </w:rPr>
        <w:t xml:space="preserve">s taux de 75,0% pour la </w:t>
      </w:r>
      <w:proofErr w:type="gramStart"/>
      <w:r w:rsidR="009A3D31">
        <w:rPr>
          <w:rFonts w:ascii="Book Antiqua" w:hAnsi="Book Antiqua" w:cs="Tahoma"/>
          <w:sz w:val="22"/>
          <w:szCs w:val="22"/>
        </w:rPr>
        <w:t>tranche</w:t>
      </w:r>
      <w:r w:rsidR="004F12F2">
        <w:rPr>
          <w:rFonts w:ascii="Book Antiqua" w:hAnsi="Book Antiqua" w:cs="Tahoma"/>
          <w:sz w:val="22"/>
          <w:szCs w:val="22"/>
        </w:rPr>
        <w:t xml:space="preserve"> </w:t>
      </w:r>
      <w:r w:rsidR="001A6B8E" w:rsidRPr="009A3D31">
        <w:rPr>
          <w:rFonts w:ascii="Book Antiqua" w:hAnsi="Book Antiqua" w:cs="Arial"/>
          <w:color w:val="000000"/>
          <w:sz w:val="18"/>
          <w:szCs w:val="18"/>
        </w:rPr>
        <w:t>]</w:t>
      </w:r>
      <w:r w:rsidR="001A6B8E" w:rsidRPr="009A3D31">
        <w:rPr>
          <w:rFonts w:ascii="Book Antiqua" w:hAnsi="Book Antiqua" w:cs="Arial"/>
          <w:color w:val="000000"/>
          <w:sz w:val="22"/>
          <w:szCs w:val="22"/>
        </w:rPr>
        <w:t>1</w:t>
      </w:r>
      <w:proofErr w:type="gramEnd"/>
      <w:r w:rsidR="001A6B8E" w:rsidRPr="009A3D31">
        <w:rPr>
          <w:rFonts w:ascii="Book Antiqua" w:hAnsi="Book Antiqua" w:cs="Arial"/>
          <w:color w:val="000000"/>
          <w:sz w:val="22"/>
          <w:szCs w:val="22"/>
        </w:rPr>
        <w:t xml:space="preserve"> million ; 1,5 million] et de 37,5% au-delà de 1,5 millions.</w:t>
      </w:r>
    </w:p>
    <w:p w:rsidR="00E111E9" w:rsidRDefault="00E111E9" w:rsidP="001840D4">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 xml:space="preserve">En ce qui concerne les changements de banque intervenus deux (02) fois, les taux les plus </w:t>
      </w:r>
      <w:r w:rsidR="00A80C20">
        <w:rPr>
          <w:rFonts w:ascii="Book Antiqua" w:hAnsi="Book Antiqua" w:cs="Tahoma"/>
          <w:sz w:val="22"/>
          <w:szCs w:val="22"/>
        </w:rPr>
        <w:t>élevés</w:t>
      </w:r>
      <w:r>
        <w:rPr>
          <w:rFonts w:ascii="Book Antiqua" w:hAnsi="Book Antiqua" w:cs="Tahoma"/>
          <w:sz w:val="22"/>
          <w:szCs w:val="22"/>
        </w:rPr>
        <w:t xml:space="preserve"> sont notés chez les clients se situant dans les classes de revenus compris entre un million et 1,5 millions (25,0%) et plus de 1,5 millions (37,5%).</w:t>
      </w:r>
    </w:p>
    <w:p w:rsidR="00A809AA" w:rsidRDefault="00E111E9" w:rsidP="001840D4">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Il convient de relever que seule la tranche de revenu supérieurs à 1,5 million affiche un taux significatif (25,0%) pour les changements de banque intervenus plus de deux (02) fois.</w:t>
      </w:r>
    </w:p>
    <w:p w:rsidR="000E15D0" w:rsidRPr="00722946" w:rsidRDefault="000E15D0" w:rsidP="00D4489E">
      <w:pPr>
        <w:autoSpaceDE w:val="0"/>
        <w:autoSpaceDN w:val="0"/>
        <w:adjustRightInd w:val="0"/>
        <w:spacing w:before="120" w:line="276" w:lineRule="auto"/>
        <w:jc w:val="both"/>
        <w:rPr>
          <w:rFonts w:ascii="Book Antiqua" w:hAnsi="Book Antiqua" w:cs="Tahoma"/>
          <w:sz w:val="22"/>
          <w:szCs w:val="22"/>
        </w:rPr>
      </w:pPr>
    </w:p>
    <w:p w:rsidR="00E11CE1" w:rsidRPr="001013C8" w:rsidRDefault="00E11CE1" w:rsidP="00D4489E">
      <w:pPr>
        <w:pStyle w:val="Lgende"/>
        <w:keepNext/>
        <w:spacing w:line="276" w:lineRule="auto"/>
        <w:jc w:val="center"/>
        <w:rPr>
          <w:color w:val="auto"/>
        </w:rPr>
      </w:pPr>
      <w:bookmarkStart w:id="244" w:name="_Toc523313827"/>
      <w:r w:rsidRPr="001013C8">
        <w:rPr>
          <w:color w:val="auto"/>
        </w:rPr>
        <w:t xml:space="preserve">Figure </w:t>
      </w:r>
      <w:r w:rsidR="000D65F2" w:rsidRPr="001013C8">
        <w:rPr>
          <w:color w:val="auto"/>
        </w:rPr>
        <w:fldChar w:fldCharType="begin"/>
      </w:r>
      <w:r w:rsidRPr="001013C8">
        <w:rPr>
          <w:color w:val="auto"/>
        </w:rPr>
        <w:instrText xml:space="preserve"> SEQ Figure \* ARABIC </w:instrText>
      </w:r>
      <w:r w:rsidR="000D65F2" w:rsidRPr="001013C8">
        <w:rPr>
          <w:color w:val="auto"/>
        </w:rPr>
        <w:fldChar w:fldCharType="separate"/>
      </w:r>
      <w:r w:rsidR="000F780F">
        <w:rPr>
          <w:noProof/>
          <w:color w:val="auto"/>
        </w:rPr>
        <w:t>144</w:t>
      </w:r>
      <w:r w:rsidR="000D65F2" w:rsidRPr="001013C8">
        <w:rPr>
          <w:color w:val="auto"/>
        </w:rPr>
        <w:fldChar w:fldCharType="end"/>
      </w:r>
      <w:r w:rsidRPr="001013C8">
        <w:rPr>
          <w:color w:val="auto"/>
        </w:rPr>
        <w:t xml:space="preserve"> : Nombre de changement de banque selon le niveau de revenus des personnes enquêtées</w:t>
      </w:r>
      <w:bookmarkEnd w:id="244"/>
    </w:p>
    <w:p w:rsidR="00E111E9" w:rsidRDefault="00F44BC9" w:rsidP="00D4489E">
      <w:pPr>
        <w:spacing w:line="276" w:lineRule="auto"/>
        <w:jc w:val="center"/>
        <w:rPr>
          <w:rFonts w:ascii="Book Antiqua" w:hAnsi="Book Antiqua"/>
          <w:b/>
        </w:rPr>
      </w:pPr>
      <w:r w:rsidRPr="00AE3DF1">
        <w:rPr>
          <w:noProof/>
        </w:rPr>
        <w:drawing>
          <wp:inline distT="0" distB="0" distL="0" distR="0">
            <wp:extent cx="4990631" cy="2520563"/>
            <wp:effectExtent l="19050" t="0" r="19519" b="0"/>
            <wp:docPr id="317" name="Graphique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360618" w:rsidRPr="00360618" w:rsidRDefault="00360618" w:rsidP="00D4489E">
      <w:pPr>
        <w:spacing w:line="276" w:lineRule="auto"/>
        <w:rPr>
          <w:rFonts w:ascii="Book Antiqua" w:hAnsi="Book Antiqua"/>
          <w:b/>
          <w:sz w:val="22"/>
        </w:rPr>
      </w:pPr>
    </w:p>
    <w:p w:rsidR="007070BE" w:rsidRDefault="007070BE" w:rsidP="00D4489E">
      <w:pPr>
        <w:spacing w:after="200" w:line="276" w:lineRule="auto"/>
        <w:rPr>
          <w:rFonts w:ascii="Book Antiqua" w:hAnsi="Book Antiqua"/>
          <w:b/>
          <w:sz w:val="22"/>
          <w:szCs w:val="22"/>
        </w:rPr>
      </w:pPr>
      <w:r>
        <w:rPr>
          <w:rFonts w:ascii="Book Antiqua" w:hAnsi="Book Antiqua"/>
          <w:b/>
          <w:sz w:val="22"/>
          <w:szCs w:val="22"/>
        </w:rPr>
        <w:br w:type="page"/>
      </w:r>
    </w:p>
    <w:p w:rsidR="00C124C2" w:rsidRPr="005753AE" w:rsidRDefault="00C124C2" w:rsidP="00FA22AD">
      <w:pPr>
        <w:spacing w:before="240" w:after="240" w:line="276" w:lineRule="auto"/>
        <w:ind w:firstLine="567"/>
        <w:outlineLvl w:val="2"/>
        <w:rPr>
          <w:rFonts w:ascii="Book Antiqua" w:hAnsi="Book Antiqua"/>
          <w:b/>
          <w:sz w:val="22"/>
          <w:szCs w:val="22"/>
        </w:rPr>
      </w:pPr>
      <w:bookmarkStart w:id="245" w:name="_Toc523322087"/>
      <w:r w:rsidRPr="005753AE">
        <w:rPr>
          <w:rFonts w:ascii="Book Antiqua" w:hAnsi="Book Antiqua"/>
          <w:b/>
          <w:sz w:val="22"/>
          <w:szCs w:val="22"/>
        </w:rPr>
        <w:lastRenderedPageBreak/>
        <w:t xml:space="preserve">II.1.3. </w:t>
      </w:r>
      <w:r w:rsidR="00360618" w:rsidRPr="005753AE">
        <w:rPr>
          <w:rFonts w:ascii="Book Antiqua" w:hAnsi="Book Antiqua"/>
          <w:b/>
          <w:sz w:val="22"/>
          <w:szCs w:val="22"/>
        </w:rPr>
        <w:tab/>
      </w:r>
      <w:r w:rsidRPr="005753AE">
        <w:rPr>
          <w:rFonts w:ascii="Book Antiqua" w:hAnsi="Book Antiqua"/>
          <w:b/>
          <w:sz w:val="22"/>
          <w:szCs w:val="22"/>
        </w:rPr>
        <w:t>Raisons ayant motivé le changement de banque</w:t>
      </w:r>
      <w:bookmarkEnd w:id="245"/>
    </w:p>
    <w:p w:rsidR="00E11CE1" w:rsidRPr="00A80C20" w:rsidRDefault="00C124C2" w:rsidP="004F12F2">
      <w:pPr>
        <w:spacing w:before="120" w:line="276" w:lineRule="auto"/>
        <w:jc w:val="both"/>
        <w:rPr>
          <w:rFonts w:ascii="Book Antiqua" w:hAnsi="Book Antiqua"/>
          <w:sz w:val="22"/>
        </w:rPr>
      </w:pPr>
      <w:r w:rsidRPr="00722946">
        <w:rPr>
          <w:rFonts w:ascii="Book Antiqua" w:hAnsi="Book Antiqua" w:cs="Tahoma"/>
          <w:sz w:val="22"/>
          <w:szCs w:val="22"/>
        </w:rPr>
        <w:t xml:space="preserve">Les raisons évoquées par les clients </w:t>
      </w:r>
      <w:r w:rsidR="006004E0">
        <w:rPr>
          <w:rFonts w:ascii="Book Antiqua" w:hAnsi="Book Antiqua" w:cs="Tahoma"/>
          <w:sz w:val="22"/>
          <w:szCs w:val="22"/>
        </w:rPr>
        <w:t>pour justifier</w:t>
      </w:r>
      <w:r w:rsidR="00030F41">
        <w:rPr>
          <w:rFonts w:ascii="Book Antiqua" w:hAnsi="Book Antiqua" w:cs="Tahoma"/>
          <w:sz w:val="22"/>
          <w:szCs w:val="22"/>
        </w:rPr>
        <w:t xml:space="preserve"> </w:t>
      </w:r>
      <w:r w:rsidRPr="00722946">
        <w:rPr>
          <w:rFonts w:ascii="Book Antiqua" w:hAnsi="Book Antiqua" w:cs="Tahoma"/>
          <w:sz w:val="22"/>
          <w:szCs w:val="22"/>
        </w:rPr>
        <w:t>leur changement de banque sont multiples et concernent </w:t>
      </w:r>
      <w:r w:rsidR="006004E0">
        <w:rPr>
          <w:rFonts w:ascii="Book Antiqua" w:hAnsi="Book Antiqua" w:cs="Tahoma"/>
          <w:sz w:val="22"/>
          <w:szCs w:val="22"/>
        </w:rPr>
        <w:t xml:space="preserve">principalement </w:t>
      </w:r>
      <w:r w:rsidRPr="00360618">
        <w:rPr>
          <w:rFonts w:ascii="Book Antiqua" w:hAnsi="Book Antiqua"/>
          <w:sz w:val="22"/>
        </w:rPr>
        <w:t>les difficultés d’obtention de crédit (20,7%)</w:t>
      </w:r>
      <w:r w:rsidR="006004E0">
        <w:rPr>
          <w:rFonts w:ascii="Book Antiqua" w:hAnsi="Book Antiqua"/>
          <w:sz w:val="22"/>
        </w:rPr>
        <w:t>,</w:t>
      </w:r>
      <w:r w:rsidRPr="00360618">
        <w:rPr>
          <w:rFonts w:ascii="Book Antiqua" w:hAnsi="Book Antiqua"/>
          <w:sz w:val="22"/>
        </w:rPr>
        <w:t xml:space="preserve"> le coût élevé des services (19,</w:t>
      </w:r>
      <w:r w:rsidR="006004E0">
        <w:rPr>
          <w:rFonts w:ascii="Book Antiqua" w:hAnsi="Book Antiqua"/>
          <w:sz w:val="22"/>
        </w:rPr>
        <w:t>0</w:t>
      </w:r>
      <w:r w:rsidRPr="00360618">
        <w:rPr>
          <w:rFonts w:ascii="Book Antiqua" w:hAnsi="Book Antiqua"/>
          <w:sz w:val="22"/>
        </w:rPr>
        <w:t>%)</w:t>
      </w:r>
      <w:r w:rsidR="006004E0">
        <w:rPr>
          <w:rFonts w:ascii="Book Antiqua" w:hAnsi="Book Antiqua"/>
          <w:sz w:val="22"/>
        </w:rPr>
        <w:t>,</w:t>
      </w:r>
      <w:r w:rsidRPr="00360618">
        <w:rPr>
          <w:rFonts w:ascii="Book Antiqua" w:hAnsi="Book Antiqua"/>
          <w:sz w:val="22"/>
        </w:rPr>
        <w:t xml:space="preserve"> l’inadaptation des produits (12,1%)</w:t>
      </w:r>
      <w:r w:rsidR="006004E0">
        <w:rPr>
          <w:rFonts w:ascii="Book Antiqua" w:hAnsi="Book Antiqua"/>
          <w:sz w:val="22"/>
        </w:rPr>
        <w:t>,</w:t>
      </w:r>
      <w:r w:rsidRPr="00360618">
        <w:rPr>
          <w:rFonts w:ascii="Book Antiqua" w:hAnsi="Book Antiqua"/>
          <w:sz w:val="22"/>
        </w:rPr>
        <w:t xml:space="preserve"> la réclamation non satisfaite (10,5%)</w:t>
      </w:r>
      <w:r w:rsidR="006004E0">
        <w:rPr>
          <w:rFonts w:ascii="Book Antiqua" w:hAnsi="Book Antiqua"/>
          <w:sz w:val="22"/>
        </w:rPr>
        <w:t xml:space="preserve"> ou</w:t>
      </w:r>
      <w:r w:rsidRPr="00360618">
        <w:rPr>
          <w:rFonts w:ascii="Book Antiqua" w:hAnsi="Book Antiqua"/>
          <w:sz w:val="22"/>
        </w:rPr>
        <w:t xml:space="preserve"> la non-conformité des produits (10,2%)</w:t>
      </w:r>
      <w:r w:rsidR="006004E0">
        <w:rPr>
          <w:rFonts w:ascii="Book Antiqua" w:hAnsi="Book Antiqua"/>
          <w:sz w:val="22"/>
        </w:rPr>
        <w:t>.</w:t>
      </w:r>
    </w:p>
    <w:p w:rsidR="00E11CE1" w:rsidRPr="00E11CE1" w:rsidRDefault="00E11CE1" w:rsidP="004F12F2">
      <w:pPr>
        <w:pStyle w:val="Lgende"/>
        <w:keepNext/>
        <w:spacing w:before="240" w:line="276" w:lineRule="auto"/>
        <w:jc w:val="center"/>
        <w:rPr>
          <w:color w:val="auto"/>
        </w:rPr>
      </w:pPr>
      <w:bookmarkStart w:id="246" w:name="_Toc523313828"/>
      <w:r w:rsidRPr="00E11CE1">
        <w:rPr>
          <w:color w:val="auto"/>
        </w:rPr>
        <w:t xml:space="preserve">Figure </w:t>
      </w:r>
      <w:r w:rsidR="000D65F2" w:rsidRPr="00E11CE1">
        <w:rPr>
          <w:color w:val="auto"/>
        </w:rPr>
        <w:fldChar w:fldCharType="begin"/>
      </w:r>
      <w:r w:rsidRPr="00E11CE1">
        <w:rPr>
          <w:color w:val="auto"/>
        </w:rPr>
        <w:instrText xml:space="preserve"> SEQ Figure \* ARABIC </w:instrText>
      </w:r>
      <w:r w:rsidR="000D65F2" w:rsidRPr="00E11CE1">
        <w:rPr>
          <w:color w:val="auto"/>
        </w:rPr>
        <w:fldChar w:fldCharType="separate"/>
      </w:r>
      <w:r w:rsidR="000F780F">
        <w:rPr>
          <w:noProof/>
          <w:color w:val="auto"/>
        </w:rPr>
        <w:t>145</w:t>
      </w:r>
      <w:r w:rsidR="000D65F2" w:rsidRPr="00E11CE1">
        <w:rPr>
          <w:color w:val="auto"/>
        </w:rPr>
        <w:fldChar w:fldCharType="end"/>
      </w:r>
      <w:r w:rsidRPr="00E11CE1">
        <w:rPr>
          <w:color w:val="auto"/>
        </w:rPr>
        <w:t xml:space="preserve"> : Raisons ayant motivé le changement de banque chez les personnes enquêtées</w:t>
      </w:r>
      <w:bookmarkEnd w:id="246"/>
    </w:p>
    <w:p w:rsidR="00360618" w:rsidRDefault="00F44BC9" w:rsidP="00D4489E">
      <w:pPr>
        <w:spacing w:before="120" w:line="276" w:lineRule="auto"/>
        <w:ind w:left="360"/>
        <w:jc w:val="center"/>
        <w:rPr>
          <w:rFonts w:ascii="Book Antiqua" w:hAnsi="Book Antiqua"/>
          <w:sz w:val="22"/>
        </w:rPr>
      </w:pPr>
      <w:r w:rsidRPr="00AE3DF1">
        <w:rPr>
          <w:noProof/>
        </w:rPr>
        <w:drawing>
          <wp:inline distT="0" distB="0" distL="0" distR="0">
            <wp:extent cx="5195887" cy="2447925"/>
            <wp:effectExtent l="19050" t="0" r="23813" b="0"/>
            <wp:docPr id="318" name="Graphique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D335AB" w:rsidRDefault="00D335AB" w:rsidP="004F12F2">
      <w:pPr>
        <w:spacing w:before="240" w:after="240" w:line="276" w:lineRule="auto"/>
        <w:ind w:left="357"/>
        <w:jc w:val="both"/>
        <w:rPr>
          <w:rFonts w:ascii="Book Antiqua" w:hAnsi="Book Antiqua"/>
          <w:sz w:val="22"/>
        </w:rPr>
      </w:pPr>
      <w:r>
        <w:rPr>
          <w:rFonts w:ascii="Book Antiqua" w:hAnsi="Book Antiqua"/>
          <w:sz w:val="22"/>
        </w:rPr>
        <w:t>Selon la nature de l’activité, les raisons à la base du changement de banque invoquées par les personnes physiques enquêtées</w:t>
      </w:r>
      <w:r w:rsidR="000E15D0">
        <w:rPr>
          <w:rFonts w:ascii="Book Antiqua" w:hAnsi="Book Antiqua"/>
          <w:sz w:val="22"/>
        </w:rPr>
        <w:t xml:space="preserve"> </w:t>
      </w:r>
      <w:r>
        <w:rPr>
          <w:rFonts w:ascii="Book Antiqua" w:hAnsi="Book Antiqua"/>
          <w:sz w:val="22"/>
        </w:rPr>
        <w:t>relevant du secteur formel,</w:t>
      </w:r>
      <w:r w:rsidR="000E15D0">
        <w:rPr>
          <w:rFonts w:ascii="Book Antiqua" w:hAnsi="Book Antiqua"/>
          <w:sz w:val="22"/>
        </w:rPr>
        <w:t xml:space="preserve"> </w:t>
      </w:r>
      <w:r>
        <w:rPr>
          <w:rFonts w:ascii="Book Antiqua" w:hAnsi="Book Antiqua"/>
          <w:sz w:val="22"/>
        </w:rPr>
        <w:t>placent au premier plan les difficultés</w:t>
      </w:r>
      <w:r w:rsidR="000E15D0">
        <w:rPr>
          <w:rFonts w:ascii="Book Antiqua" w:hAnsi="Book Antiqua"/>
          <w:sz w:val="22"/>
        </w:rPr>
        <w:t xml:space="preserve"> </w:t>
      </w:r>
      <w:r>
        <w:rPr>
          <w:rFonts w:ascii="Book Antiqua" w:hAnsi="Book Antiqua"/>
          <w:sz w:val="22"/>
        </w:rPr>
        <w:t xml:space="preserve">d’obtention du crédit (20,8%), le coût élevé des services (18,5%) et l’inadaptation des produits (12,3%). </w:t>
      </w:r>
    </w:p>
    <w:p w:rsidR="00270228" w:rsidRDefault="00D335AB" w:rsidP="004F12F2">
      <w:pPr>
        <w:spacing w:before="240" w:after="240" w:line="276" w:lineRule="auto"/>
        <w:ind w:left="357"/>
        <w:jc w:val="both"/>
        <w:rPr>
          <w:rFonts w:ascii="Book Antiqua" w:hAnsi="Book Antiqua"/>
          <w:sz w:val="22"/>
        </w:rPr>
      </w:pPr>
      <w:r>
        <w:rPr>
          <w:rFonts w:ascii="Book Antiqua" w:hAnsi="Book Antiqua"/>
          <w:sz w:val="22"/>
        </w:rPr>
        <w:t>Les mêmes motifs sont également observés chez les clients issus du secteur informel, selon des proportions différentes. En effet, le coût élevé des services,  les difficultés d’obtention du crédit et l’inadaptation des produits</w:t>
      </w:r>
      <w:r w:rsidR="000E15D0">
        <w:rPr>
          <w:rFonts w:ascii="Book Antiqua" w:hAnsi="Book Antiqua"/>
          <w:sz w:val="22"/>
        </w:rPr>
        <w:t xml:space="preserve"> </w:t>
      </w:r>
      <w:r>
        <w:rPr>
          <w:rFonts w:ascii="Book Antiqua" w:hAnsi="Book Antiqua"/>
          <w:sz w:val="22"/>
        </w:rPr>
        <w:t>affichent respectivement des taux de 26,7%, 22,7% et 12,0%.</w:t>
      </w:r>
    </w:p>
    <w:p w:rsidR="00E11CE1" w:rsidRPr="00257D7B" w:rsidRDefault="00E11CE1" w:rsidP="00D4489E">
      <w:pPr>
        <w:pStyle w:val="Lgende"/>
        <w:keepNext/>
        <w:spacing w:line="276" w:lineRule="auto"/>
        <w:jc w:val="center"/>
        <w:rPr>
          <w:color w:val="auto"/>
        </w:rPr>
      </w:pPr>
      <w:bookmarkStart w:id="247" w:name="_Toc523313829"/>
      <w:r w:rsidRPr="00257D7B">
        <w:rPr>
          <w:color w:val="auto"/>
        </w:rPr>
        <w:t xml:space="preserve">Figure </w:t>
      </w:r>
      <w:r w:rsidR="000D65F2" w:rsidRPr="00257D7B">
        <w:rPr>
          <w:color w:val="auto"/>
        </w:rPr>
        <w:fldChar w:fldCharType="begin"/>
      </w:r>
      <w:r w:rsidRPr="00257D7B">
        <w:rPr>
          <w:color w:val="auto"/>
        </w:rPr>
        <w:instrText xml:space="preserve"> SEQ Figure \* ARABIC </w:instrText>
      </w:r>
      <w:r w:rsidR="000D65F2" w:rsidRPr="00257D7B">
        <w:rPr>
          <w:color w:val="auto"/>
        </w:rPr>
        <w:fldChar w:fldCharType="separate"/>
      </w:r>
      <w:r w:rsidR="000F780F">
        <w:rPr>
          <w:noProof/>
          <w:color w:val="auto"/>
        </w:rPr>
        <w:t>146</w:t>
      </w:r>
      <w:r w:rsidR="000D65F2" w:rsidRPr="00257D7B">
        <w:rPr>
          <w:color w:val="auto"/>
        </w:rPr>
        <w:fldChar w:fldCharType="end"/>
      </w:r>
      <w:r w:rsidRPr="00257D7B">
        <w:rPr>
          <w:color w:val="auto"/>
        </w:rPr>
        <w:t xml:space="preserve"> : Raisons ayant motivé le changement de banque selon l'activité exercée par les personnes enquêtées</w:t>
      </w:r>
      <w:bookmarkEnd w:id="247"/>
    </w:p>
    <w:p w:rsidR="000C0FB1" w:rsidRDefault="00F44BC9" w:rsidP="00D4489E">
      <w:pPr>
        <w:spacing w:before="120" w:line="276" w:lineRule="auto"/>
        <w:ind w:left="360"/>
        <w:jc w:val="center"/>
        <w:rPr>
          <w:rFonts w:ascii="Book Antiqua" w:hAnsi="Book Antiqua"/>
          <w:sz w:val="22"/>
        </w:rPr>
      </w:pPr>
      <w:r w:rsidRPr="00AE3DF1">
        <w:rPr>
          <w:noProof/>
        </w:rPr>
        <w:drawing>
          <wp:inline distT="0" distB="0" distL="0" distR="0">
            <wp:extent cx="4573657" cy="2512612"/>
            <wp:effectExtent l="19050" t="0" r="17393" b="1988"/>
            <wp:docPr id="319" name="Graphique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270228" w:rsidRDefault="00270228" w:rsidP="00D4489E">
      <w:pPr>
        <w:spacing w:after="200" w:line="276" w:lineRule="auto"/>
        <w:rPr>
          <w:rFonts w:ascii="Book Antiqua" w:hAnsi="Book Antiqua"/>
          <w:sz w:val="22"/>
        </w:rPr>
      </w:pPr>
      <w:r>
        <w:rPr>
          <w:rFonts w:ascii="Book Antiqua" w:hAnsi="Book Antiqua"/>
          <w:sz w:val="22"/>
        </w:rPr>
        <w:br w:type="page"/>
      </w:r>
    </w:p>
    <w:p w:rsidR="00C124C2" w:rsidRPr="005753AE" w:rsidRDefault="00C124C2" w:rsidP="00FA22AD">
      <w:pPr>
        <w:spacing w:after="240" w:line="276" w:lineRule="auto"/>
        <w:ind w:firstLine="567"/>
        <w:outlineLvl w:val="2"/>
        <w:rPr>
          <w:rFonts w:ascii="Book Antiqua" w:hAnsi="Book Antiqua"/>
          <w:b/>
          <w:sz w:val="22"/>
          <w:szCs w:val="22"/>
        </w:rPr>
      </w:pPr>
      <w:bookmarkStart w:id="248" w:name="_Toc523322088"/>
      <w:r w:rsidRPr="005753AE">
        <w:rPr>
          <w:rFonts w:ascii="Book Antiqua" w:hAnsi="Book Antiqua"/>
          <w:b/>
          <w:sz w:val="22"/>
          <w:szCs w:val="22"/>
        </w:rPr>
        <w:lastRenderedPageBreak/>
        <w:t xml:space="preserve">II.1.4. </w:t>
      </w:r>
      <w:r w:rsidR="00360618" w:rsidRPr="005753AE">
        <w:rPr>
          <w:rFonts w:ascii="Book Antiqua" w:hAnsi="Book Antiqua"/>
          <w:b/>
          <w:sz w:val="22"/>
          <w:szCs w:val="22"/>
        </w:rPr>
        <w:tab/>
      </w:r>
      <w:r w:rsidRPr="005753AE">
        <w:rPr>
          <w:rFonts w:ascii="Book Antiqua" w:hAnsi="Book Antiqua"/>
          <w:b/>
          <w:sz w:val="22"/>
          <w:szCs w:val="22"/>
        </w:rPr>
        <w:t>Attitude des banques</w:t>
      </w:r>
      <w:r w:rsidR="000B6B01" w:rsidRPr="005753AE">
        <w:rPr>
          <w:rFonts w:ascii="Book Antiqua" w:hAnsi="Book Antiqua"/>
          <w:b/>
          <w:sz w:val="22"/>
          <w:szCs w:val="22"/>
        </w:rPr>
        <w:t xml:space="preserve"> </w:t>
      </w:r>
      <w:r w:rsidRPr="005753AE">
        <w:rPr>
          <w:rFonts w:ascii="Book Antiqua" w:hAnsi="Book Antiqua"/>
          <w:b/>
          <w:sz w:val="22"/>
          <w:szCs w:val="22"/>
        </w:rPr>
        <w:t xml:space="preserve"> </w:t>
      </w:r>
      <w:r w:rsidR="003E0A01" w:rsidRPr="005753AE">
        <w:rPr>
          <w:rFonts w:ascii="Book Antiqua" w:hAnsi="Book Antiqua"/>
          <w:b/>
          <w:sz w:val="22"/>
          <w:szCs w:val="22"/>
        </w:rPr>
        <w:t xml:space="preserve">face à la volonté de </w:t>
      </w:r>
      <w:r w:rsidRPr="005753AE">
        <w:rPr>
          <w:rFonts w:ascii="Book Antiqua" w:hAnsi="Book Antiqua"/>
          <w:b/>
          <w:sz w:val="22"/>
          <w:szCs w:val="22"/>
        </w:rPr>
        <w:t>changement des clients</w:t>
      </w:r>
      <w:bookmarkEnd w:id="248"/>
    </w:p>
    <w:p w:rsidR="001346E0" w:rsidRDefault="001346E0"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t xml:space="preserve">Une proportion de </w:t>
      </w:r>
      <w:r w:rsidR="00C124C2" w:rsidRPr="00E23B0D">
        <w:rPr>
          <w:rFonts w:ascii="Book Antiqua" w:hAnsi="Book Antiqua" w:cs="Tahoma"/>
          <w:sz w:val="22"/>
          <w:szCs w:val="22"/>
        </w:rPr>
        <w:t xml:space="preserve">43,1% des clients interrogés approuve l’attitude de leur banque principale lors du changement d’opérateur, contre 20,1% qui déplorent les entraves à la mobilité </w:t>
      </w:r>
      <w:r w:rsidR="00A80C20">
        <w:rPr>
          <w:rFonts w:ascii="Book Antiqua" w:hAnsi="Book Antiqua" w:cs="Tahoma"/>
          <w:sz w:val="22"/>
          <w:szCs w:val="22"/>
        </w:rPr>
        <w:t xml:space="preserve">bancaire. </w:t>
      </w:r>
      <w:r w:rsidR="00C124C2" w:rsidRPr="00E23B0D">
        <w:rPr>
          <w:rFonts w:ascii="Book Antiqua" w:hAnsi="Book Antiqua" w:cs="Tahoma"/>
          <w:sz w:val="22"/>
          <w:szCs w:val="22"/>
        </w:rPr>
        <w:t xml:space="preserve">Une proportion de 36,8% des personnes interviewées a toutefois émis une position neutre sur la question. </w:t>
      </w:r>
    </w:p>
    <w:p w:rsidR="00257D7B" w:rsidRPr="00257D7B" w:rsidRDefault="00257D7B" w:rsidP="004F12F2">
      <w:pPr>
        <w:pStyle w:val="Lgende"/>
        <w:keepNext/>
        <w:spacing w:before="240" w:line="276" w:lineRule="auto"/>
        <w:jc w:val="center"/>
        <w:rPr>
          <w:color w:val="auto"/>
        </w:rPr>
      </w:pPr>
      <w:bookmarkStart w:id="249" w:name="_Toc523313830"/>
      <w:r w:rsidRPr="00257D7B">
        <w:rPr>
          <w:color w:val="auto"/>
        </w:rPr>
        <w:t xml:space="preserve">Figure </w:t>
      </w:r>
      <w:r w:rsidR="000D65F2" w:rsidRPr="00257D7B">
        <w:rPr>
          <w:color w:val="auto"/>
        </w:rPr>
        <w:fldChar w:fldCharType="begin"/>
      </w:r>
      <w:r w:rsidRPr="00257D7B">
        <w:rPr>
          <w:color w:val="auto"/>
        </w:rPr>
        <w:instrText xml:space="preserve"> SEQ Figure \* ARABIC </w:instrText>
      </w:r>
      <w:r w:rsidR="000D65F2" w:rsidRPr="00257D7B">
        <w:rPr>
          <w:color w:val="auto"/>
        </w:rPr>
        <w:fldChar w:fldCharType="separate"/>
      </w:r>
      <w:r w:rsidR="000F780F">
        <w:rPr>
          <w:noProof/>
          <w:color w:val="auto"/>
        </w:rPr>
        <w:t>147</w:t>
      </w:r>
      <w:r w:rsidR="000D65F2" w:rsidRPr="00257D7B">
        <w:rPr>
          <w:color w:val="auto"/>
        </w:rPr>
        <w:fldChar w:fldCharType="end"/>
      </w:r>
      <w:r w:rsidRPr="00257D7B">
        <w:rPr>
          <w:color w:val="auto"/>
        </w:rPr>
        <w:t xml:space="preserve"> : Avis des personnes enquêtées sur l'attitude de leur banque face à la volonté de changement de domiciliation</w:t>
      </w:r>
      <w:bookmarkEnd w:id="249"/>
    </w:p>
    <w:p w:rsidR="004A66CD" w:rsidRPr="00A80C20" w:rsidRDefault="00C124C2" w:rsidP="00D4489E">
      <w:pPr>
        <w:spacing w:line="276" w:lineRule="auto"/>
        <w:jc w:val="center"/>
        <w:rPr>
          <w:rFonts w:ascii="Book Antiqua" w:hAnsi="Book Antiqua"/>
        </w:rPr>
      </w:pPr>
      <w:r w:rsidRPr="00D92CE9">
        <w:rPr>
          <w:rFonts w:ascii="Book Antiqua" w:hAnsi="Book Antiqua"/>
          <w:noProof/>
        </w:rPr>
        <w:drawing>
          <wp:inline distT="0" distB="0" distL="0" distR="0">
            <wp:extent cx="4393924" cy="2360902"/>
            <wp:effectExtent l="19050" t="0" r="25676" b="1298"/>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4E5218" w:rsidRPr="00E23B0D" w:rsidRDefault="00C124C2" w:rsidP="004F12F2">
      <w:pPr>
        <w:autoSpaceDE w:val="0"/>
        <w:autoSpaceDN w:val="0"/>
        <w:adjustRightInd w:val="0"/>
        <w:spacing w:before="240" w:after="240" w:line="276" w:lineRule="auto"/>
        <w:jc w:val="both"/>
        <w:rPr>
          <w:rFonts w:ascii="Book Antiqua" w:hAnsi="Book Antiqua" w:cs="Tahoma"/>
          <w:sz w:val="22"/>
          <w:szCs w:val="22"/>
        </w:rPr>
      </w:pPr>
      <w:r w:rsidRPr="00E23B0D">
        <w:rPr>
          <w:rFonts w:ascii="Book Antiqua" w:hAnsi="Book Antiqua" w:cs="Tahoma"/>
          <w:sz w:val="22"/>
          <w:szCs w:val="22"/>
        </w:rPr>
        <w:t xml:space="preserve">Une analyse selon le genre </w:t>
      </w:r>
      <w:r w:rsidR="00BA3B06">
        <w:rPr>
          <w:rFonts w:ascii="Book Antiqua" w:hAnsi="Book Antiqua" w:cs="Tahoma"/>
          <w:sz w:val="22"/>
          <w:szCs w:val="22"/>
        </w:rPr>
        <w:t xml:space="preserve">fait apparaitre </w:t>
      </w:r>
      <w:r w:rsidRPr="00E23B0D">
        <w:rPr>
          <w:rFonts w:ascii="Book Antiqua" w:hAnsi="Book Antiqua" w:cs="Tahoma"/>
          <w:sz w:val="22"/>
          <w:szCs w:val="22"/>
        </w:rPr>
        <w:t xml:space="preserve">des niveaux </w:t>
      </w:r>
      <w:r w:rsidR="00BA3B06">
        <w:rPr>
          <w:rFonts w:ascii="Book Antiqua" w:hAnsi="Book Antiqua" w:cs="Tahoma"/>
          <w:sz w:val="22"/>
          <w:szCs w:val="22"/>
        </w:rPr>
        <w:t>de satisfaction plus marqués chez les femmes (50,3%) que chez les hommes (41,2%). Ce sentiment de satisfaction est atténué par l’appréciation négative relativement important relevée aussi bien</w:t>
      </w:r>
      <w:r w:rsidR="00270228">
        <w:rPr>
          <w:rFonts w:ascii="Book Antiqua" w:hAnsi="Book Antiqua" w:cs="Tahoma"/>
          <w:sz w:val="22"/>
          <w:szCs w:val="22"/>
        </w:rPr>
        <w:t xml:space="preserve"> </w:t>
      </w:r>
      <w:r w:rsidR="00BA3B06">
        <w:rPr>
          <w:rFonts w:ascii="Book Antiqua" w:hAnsi="Book Antiqua" w:cs="Tahoma"/>
          <w:sz w:val="22"/>
          <w:szCs w:val="22"/>
        </w:rPr>
        <w:t>au niveau de la gente masculine (21,3%)</w:t>
      </w:r>
      <w:r w:rsidR="00270228">
        <w:rPr>
          <w:rFonts w:ascii="Book Antiqua" w:hAnsi="Book Antiqua" w:cs="Tahoma"/>
          <w:sz w:val="22"/>
          <w:szCs w:val="22"/>
        </w:rPr>
        <w:t xml:space="preserve"> </w:t>
      </w:r>
      <w:r w:rsidR="00BA3B06">
        <w:rPr>
          <w:rFonts w:ascii="Book Antiqua" w:hAnsi="Book Antiqua" w:cs="Tahoma"/>
          <w:sz w:val="22"/>
          <w:szCs w:val="22"/>
        </w:rPr>
        <w:t>que féminine (15,4%).</w:t>
      </w:r>
    </w:p>
    <w:p w:rsidR="00270228" w:rsidRPr="00E23B0D" w:rsidRDefault="00BA3B06" w:rsidP="004F12F2">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 xml:space="preserve">S’agissant de </w:t>
      </w:r>
      <w:r w:rsidR="00DF0CB6">
        <w:rPr>
          <w:rFonts w:ascii="Book Antiqua" w:hAnsi="Book Antiqua" w:cs="Tahoma"/>
          <w:sz w:val="22"/>
          <w:szCs w:val="22"/>
        </w:rPr>
        <w:t>l’appréciation</w:t>
      </w:r>
      <w:r w:rsidR="00270228">
        <w:rPr>
          <w:rFonts w:ascii="Book Antiqua" w:hAnsi="Book Antiqua" w:cs="Tahoma"/>
          <w:sz w:val="22"/>
          <w:szCs w:val="22"/>
        </w:rPr>
        <w:t xml:space="preserve"> </w:t>
      </w:r>
      <w:r w:rsidR="00DF0CB6">
        <w:rPr>
          <w:rFonts w:ascii="Book Antiqua" w:hAnsi="Book Antiqua" w:cs="Tahoma"/>
          <w:sz w:val="22"/>
          <w:szCs w:val="22"/>
        </w:rPr>
        <w:t xml:space="preserve">des clients interrogés </w:t>
      </w:r>
      <w:r w:rsidR="00DF0CB6" w:rsidRPr="00E23B0D">
        <w:rPr>
          <w:rFonts w:ascii="Book Antiqua" w:hAnsi="Book Antiqua" w:cs="Tahoma"/>
          <w:sz w:val="22"/>
          <w:szCs w:val="22"/>
        </w:rPr>
        <w:t>sur l’attitude des banques au changement d’opérateur</w:t>
      </w:r>
      <w:r w:rsidR="00C124C2" w:rsidRPr="00E23B0D">
        <w:rPr>
          <w:rFonts w:ascii="Book Antiqua" w:hAnsi="Book Antiqua" w:cs="Tahoma"/>
          <w:sz w:val="22"/>
          <w:szCs w:val="22"/>
        </w:rPr>
        <w:t xml:space="preserve">, </w:t>
      </w:r>
      <w:r w:rsidR="00DF0CB6">
        <w:rPr>
          <w:rFonts w:ascii="Book Antiqua" w:hAnsi="Book Antiqua" w:cs="Tahoma"/>
          <w:sz w:val="22"/>
          <w:szCs w:val="22"/>
        </w:rPr>
        <w:t>il est observé</w:t>
      </w:r>
      <w:r w:rsidR="00270228">
        <w:rPr>
          <w:rFonts w:ascii="Book Antiqua" w:hAnsi="Book Antiqua" w:cs="Tahoma"/>
          <w:sz w:val="22"/>
          <w:szCs w:val="22"/>
        </w:rPr>
        <w:t xml:space="preserve"> </w:t>
      </w:r>
      <w:r w:rsidR="00DF0CB6">
        <w:rPr>
          <w:rFonts w:ascii="Book Antiqua" w:hAnsi="Book Antiqua" w:cs="Tahoma"/>
          <w:sz w:val="22"/>
          <w:szCs w:val="22"/>
        </w:rPr>
        <w:t xml:space="preserve">à l’examen des statistiques que </w:t>
      </w:r>
      <w:r w:rsidR="00C124C2" w:rsidRPr="00E23B0D">
        <w:rPr>
          <w:rFonts w:ascii="Book Antiqua" w:hAnsi="Book Antiqua" w:cs="Tahoma"/>
          <w:sz w:val="22"/>
          <w:szCs w:val="22"/>
        </w:rPr>
        <w:t xml:space="preserve">le sentiment d’insatisfaction est plus </w:t>
      </w:r>
      <w:r w:rsidR="00DF0CB6">
        <w:rPr>
          <w:rFonts w:ascii="Book Antiqua" w:hAnsi="Book Antiqua" w:cs="Tahoma"/>
          <w:sz w:val="22"/>
          <w:szCs w:val="22"/>
        </w:rPr>
        <w:t>élevé</w:t>
      </w:r>
      <w:r w:rsidR="00270228">
        <w:rPr>
          <w:rFonts w:ascii="Book Antiqua" w:hAnsi="Book Antiqua" w:cs="Tahoma"/>
          <w:sz w:val="22"/>
          <w:szCs w:val="22"/>
        </w:rPr>
        <w:t xml:space="preserve"> </w:t>
      </w:r>
      <w:r w:rsidR="00C124C2" w:rsidRPr="00E23B0D">
        <w:rPr>
          <w:rFonts w:ascii="Book Antiqua" w:hAnsi="Book Antiqua" w:cs="Tahoma"/>
          <w:sz w:val="22"/>
          <w:szCs w:val="22"/>
        </w:rPr>
        <w:t>chez les classes d’âge</w:t>
      </w:r>
      <w:r w:rsidR="001E34FC">
        <w:rPr>
          <w:rFonts w:ascii="Book Antiqua" w:hAnsi="Book Antiqua" w:cs="Tahoma"/>
          <w:sz w:val="22"/>
          <w:szCs w:val="22"/>
        </w:rPr>
        <w:t xml:space="preserve"> [45-54ans]</w:t>
      </w:r>
      <w:r w:rsidR="00DF0CB6" w:rsidRPr="00E23B0D">
        <w:rPr>
          <w:rFonts w:ascii="Book Antiqua" w:hAnsi="Book Antiqua" w:cs="Tahoma"/>
          <w:sz w:val="22"/>
          <w:szCs w:val="22"/>
        </w:rPr>
        <w:t>, [35-44ans]</w:t>
      </w:r>
      <w:r w:rsidR="00DF0CB6">
        <w:rPr>
          <w:rFonts w:ascii="Book Antiqua" w:hAnsi="Book Antiqua" w:cs="Tahoma"/>
          <w:sz w:val="22"/>
          <w:szCs w:val="22"/>
        </w:rPr>
        <w:t>,</w:t>
      </w:r>
      <w:r w:rsidR="00DF0CB6" w:rsidRPr="00E23B0D">
        <w:rPr>
          <w:rFonts w:ascii="Book Antiqua" w:hAnsi="Book Antiqua" w:cs="Tahoma"/>
          <w:sz w:val="22"/>
          <w:szCs w:val="22"/>
        </w:rPr>
        <w:t xml:space="preserve"> [24-35ans</w:t>
      </w:r>
      <w:r w:rsidR="00DF0CB6">
        <w:rPr>
          <w:rFonts w:ascii="Book Antiqua" w:hAnsi="Book Antiqua" w:cs="Tahoma"/>
          <w:sz w:val="22"/>
          <w:szCs w:val="22"/>
        </w:rPr>
        <w:t>]</w:t>
      </w:r>
      <w:r w:rsidR="001E34FC">
        <w:rPr>
          <w:rFonts w:ascii="Book Antiqua" w:hAnsi="Book Antiqua" w:cs="Tahoma"/>
          <w:sz w:val="22"/>
          <w:szCs w:val="22"/>
        </w:rPr>
        <w:t xml:space="preserve"> </w:t>
      </w:r>
      <w:r w:rsidR="00DF0CB6">
        <w:rPr>
          <w:rFonts w:ascii="Book Antiqua" w:hAnsi="Book Antiqua" w:cs="Tahoma"/>
          <w:sz w:val="22"/>
          <w:szCs w:val="22"/>
        </w:rPr>
        <w:t xml:space="preserve">et </w:t>
      </w:r>
      <w:r w:rsidR="00C124C2" w:rsidRPr="00E23B0D">
        <w:rPr>
          <w:rFonts w:ascii="Book Antiqua" w:hAnsi="Book Antiqua" w:cs="Tahoma"/>
          <w:sz w:val="22"/>
          <w:szCs w:val="22"/>
        </w:rPr>
        <w:t xml:space="preserve">[18-24ans] à des proportions respectives de </w:t>
      </w:r>
      <w:r w:rsidR="00DF0CB6" w:rsidRPr="00E23B0D">
        <w:rPr>
          <w:rFonts w:ascii="Book Antiqua" w:hAnsi="Book Antiqua" w:cs="Tahoma"/>
          <w:sz w:val="22"/>
          <w:szCs w:val="22"/>
        </w:rPr>
        <w:t>26,0%</w:t>
      </w:r>
      <w:r w:rsidR="00DF0CB6">
        <w:rPr>
          <w:rFonts w:ascii="Book Antiqua" w:hAnsi="Book Antiqua" w:cs="Tahoma"/>
          <w:sz w:val="22"/>
          <w:szCs w:val="22"/>
        </w:rPr>
        <w:t>,</w:t>
      </w:r>
      <w:r w:rsidR="00DF0CB6" w:rsidRPr="00E23B0D">
        <w:rPr>
          <w:rFonts w:ascii="Book Antiqua" w:hAnsi="Book Antiqua" w:cs="Tahoma"/>
          <w:sz w:val="22"/>
          <w:szCs w:val="22"/>
        </w:rPr>
        <w:t xml:space="preserve"> 21,9%</w:t>
      </w:r>
      <w:r w:rsidR="00DF0CB6">
        <w:rPr>
          <w:rFonts w:ascii="Book Antiqua" w:hAnsi="Book Antiqua" w:cs="Tahoma"/>
          <w:sz w:val="22"/>
          <w:szCs w:val="22"/>
        </w:rPr>
        <w:t>,</w:t>
      </w:r>
      <w:r w:rsidR="00DF0CB6" w:rsidRPr="00E23B0D">
        <w:rPr>
          <w:rFonts w:ascii="Book Antiqua" w:hAnsi="Book Antiqua" w:cs="Tahoma"/>
          <w:sz w:val="22"/>
          <w:szCs w:val="22"/>
        </w:rPr>
        <w:t xml:space="preserve"> 15,9%</w:t>
      </w:r>
      <w:r w:rsidR="00DF0CB6">
        <w:rPr>
          <w:rFonts w:ascii="Book Antiqua" w:hAnsi="Book Antiqua" w:cs="Tahoma"/>
          <w:sz w:val="22"/>
          <w:szCs w:val="22"/>
        </w:rPr>
        <w:t xml:space="preserve"> et</w:t>
      </w:r>
      <w:r w:rsidR="001E34FC">
        <w:rPr>
          <w:rFonts w:ascii="Book Antiqua" w:hAnsi="Book Antiqua" w:cs="Tahoma"/>
          <w:sz w:val="22"/>
          <w:szCs w:val="22"/>
        </w:rPr>
        <w:t xml:space="preserve"> </w:t>
      </w:r>
      <w:r w:rsidR="00C124C2" w:rsidRPr="00E23B0D">
        <w:rPr>
          <w:rFonts w:ascii="Book Antiqua" w:hAnsi="Book Antiqua" w:cs="Tahoma"/>
          <w:sz w:val="22"/>
          <w:szCs w:val="22"/>
        </w:rPr>
        <w:t>9,1%</w:t>
      </w:r>
      <w:r w:rsidR="00DF0CB6">
        <w:rPr>
          <w:rFonts w:ascii="Book Antiqua" w:hAnsi="Book Antiqua" w:cs="Tahoma"/>
          <w:sz w:val="22"/>
          <w:szCs w:val="22"/>
        </w:rPr>
        <w:t>.</w:t>
      </w:r>
      <w:r w:rsidR="001E34FC">
        <w:rPr>
          <w:rFonts w:ascii="Book Antiqua" w:hAnsi="Book Antiqua" w:cs="Tahoma"/>
          <w:sz w:val="22"/>
          <w:szCs w:val="22"/>
        </w:rPr>
        <w:t xml:space="preserve"> </w:t>
      </w:r>
      <w:r w:rsidR="00C124C2" w:rsidRPr="00E23B0D">
        <w:rPr>
          <w:rFonts w:ascii="Book Antiqua" w:hAnsi="Book Antiqua" w:cs="Tahoma"/>
          <w:sz w:val="22"/>
          <w:szCs w:val="22"/>
        </w:rPr>
        <w:t xml:space="preserve">Les </w:t>
      </w:r>
      <w:r w:rsidR="00DF0CB6">
        <w:rPr>
          <w:rFonts w:ascii="Book Antiqua" w:hAnsi="Book Antiqua" w:cs="Tahoma"/>
          <w:sz w:val="22"/>
          <w:szCs w:val="22"/>
        </w:rPr>
        <w:t xml:space="preserve">clients se situant dans les </w:t>
      </w:r>
      <w:r w:rsidR="00C124C2" w:rsidRPr="00E23B0D">
        <w:rPr>
          <w:rFonts w:ascii="Book Antiqua" w:hAnsi="Book Antiqua" w:cs="Tahoma"/>
          <w:sz w:val="22"/>
          <w:szCs w:val="22"/>
        </w:rPr>
        <w:t>tranches d’âge [55-64ans] et [65</w:t>
      </w:r>
      <w:r w:rsidR="001E34FC">
        <w:rPr>
          <w:rFonts w:ascii="Book Antiqua" w:hAnsi="Book Antiqua" w:cs="Tahoma"/>
          <w:sz w:val="22"/>
          <w:szCs w:val="22"/>
        </w:rPr>
        <w:t xml:space="preserve"> </w:t>
      </w:r>
      <w:r w:rsidR="00C124C2" w:rsidRPr="00E23B0D">
        <w:rPr>
          <w:rFonts w:ascii="Book Antiqua" w:hAnsi="Book Antiqua" w:cs="Tahoma"/>
          <w:sz w:val="22"/>
          <w:szCs w:val="22"/>
        </w:rPr>
        <w:t xml:space="preserve">ans et plus] </w:t>
      </w:r>
      <w:r w:rsidR="00DF0CB6">
        <w:rPr>
          <w:rFonts w:ascii="Book Antiqua" w:hAnsi="Book Antiqua" w:cs="Tahoma"/>
          <w:sz w:val="22"/>
          <w:szCs w:val="22"/>
        </w:rPr>
        <w:t>déplorent</w:t>
      </w:r>
      <w:r w:rsidR="00270228">
        <w:rPr>
          <w:rFonts w:ascii="Book Antiqua" w:hAnsi="Book Antiqua" w:cs="Tahoma"/>
          <w:sz w:val="22"/>
          <w:szCs w:val="22"/>
        </w:rPr>
        <w:t xml:space="preserve"> </w:t>
      </w:r>
      <w:r w:rsidR="00C124C2" w:rsidRPr="00E23B0D">
        <w:rPr>
          <w:rFonts w:ascii="Book Antiqua" w:hAnsi="Book Antiqua" w:cs="Tahoma"/>
          <w:sz w:val="22"/>
          <w:szCs w:val="22"/>
        </w:rPr>
        <w:t xml:space="preserve">l’attitude peu coopérative des banques </w:t>
      </w:r>
      <w:r w:rsidR="00DF0CB6">
        <w:rPr>
          <w:rFonts w:ascii="Book Antiqua" w:hAnsi="Book Antiqua" w:cs="Tahoma"/>
          <w:sz w:val="22"/>
          <w:szCs w:val="22"/>
        </w:rPr>
        <w:t xml:space="preserve">au changement d’opérateur </w:t>
      </w:r>
      <w:r w:rsidR="00C124C2" w:rsidRPr="00E23B0D">
        <w:rPr>
          <w:rFonts w:ascii="Book Antiqua" w:hAnsi="Book Antiqua" w:cs="Tahoma"/>
          <w:sz w:val="22"/>
          <w:szCs w:val="22"/>
        </w:rPr>
        <w:t xml:space="preserve">à des taux  respectifs de 15,1% et 0,0%. </w:t>
      </w:r>
    </w:p>
    <w:p w:rsidR="00257D7B" w:rsidRPr="00257D7B" w:rsidRDefault="00257D7B" w:rsidP="004F12F2">
      <w:pPr>
        <w:pStyle w:val="Lgende"/>
        <w:keepNext/>
        <w:spacing w:before="240" w:line="276" w:lineRule="auto"/>
        <w:jc w:val="center"/>
        <w:rPr>
          <w:color w:val="auto"/>
        </w:rPr>
      </w:pPr>
      <w:bookmarkStart w:id="250" w:name="_Toc523313831"/>
      <w:r w:rsidRPr="00257D7B">
        <w:rPr>
          <w:color w:val="auto"/>
        </w:rPr>
        <w:t xml:space="preserve">Figure </w:t>
      </w:r>
      <w:r w:rsidR="000D65F2" w:rsidRPr="00257D7B">
        <w:rPr>
          <w:color w:val="auto"/>
        </w:rPr>
        <w:fldChar w:fldCharType="begin"/>
      </w:r>
      <w:r w:rsidRPr="00257D7B">
        <w:rPr>
          <w:color w:val="auto"/>
        </w:rPr>
        <w:instrText xml:space="preserve"> SEQ Figure \* ARABIC </w:instrText>
      </w:r>
      <w:r w:rsidR="000D65F2" w:rsidRPr="00257D7B">
        <w:rPr>
          <w:color w:val="auto"/>
        </w:rPr>
        <w:fldChar w:fldCharType="separate"/>
      </w:r>
      <w:r w:rsidR="000F780F">
        <w:rPr>
          <w:noProof/>
          <w:color w:val="auto"/>
        </w:rPr>
        <w:t>148</w:t>
      </w:r>
      <w:r w:rsidR="000D65F2" w:rsidRPr="00257D7B">
        <w:rPr>
          <w:color w:val="auto"/>
        </w:rPr>
        <w:fldChar w:fldCharType="end"/>
      </w:r>
      <w:r w:rsidRPr="00257D7B">
        <w:rPr>
          <w:color w:val="auto"/>
        </w:rPr>
        <w:t xml:space="preserve"> : Avis des personnes sur l'attitude de leur banque face à la volonté de changement de domiciliation selon l'âge</w:t>
      </w:r>
      <w:bookmarkEnd w:id="250"/>
    </w:p>
    <w:p w:rsidR="00C124C2" w:rsidRDefault="00C124C2" w:rsidP="00D4489E">
      <w:pPr>
        <w:spacing w:line="276" w:lineRule="auto"/>
        <w:jc w:val="center"/>
        <w:rPr>
          <w:rFonts w:ascii="Book Antiqua" w:hAnsi="Book Antiqua"/>
        </w:rPr>
      </w:pPr>
      <w:r w:rsidRPr="002B4AEC">
        <w:rPr>
          <w:rFonts w:ascii="Book Antiqua" w:hAnsi="Book Antiqua"/>
          <w:noProof/>
        </w:rPr>
        <w:drawing>
          <wp:inline distT="0" distB="0" distL="0" distR="0">
            <wp:extent cx="5066254" cy="2100211"/>
            <wp:effectExtent l="0" t="0" r="1270" b="1460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421119" w:rsidRPr="00E23B0D"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lastRenderedPageBreak/>
        <w:t xml:space="preserve">Suivant les secteurs d’activités, </w:t>
      </w:r>
      <w:r w:rsidR="00D23549">
        <w:rPr>
          <w:rFonts w:ascii="Book Antiqua" w:hAnsi="Book Antiqua" w:cs="Tahoma"/>
          <w:sz w:val="22"/>
          <w:szCs w:val="22"/>
        </w:rPr>
        <w:t xml:space="preserve">il ressort </w:t>
      </w:r>
      <w:r w:rsidR="000A145B">
        <w:rPr>
          <w:rFonts w:ascii="Book Antiqua" w:hAnsi="Book Antiqua" w:cs="Tahoma"/>
          <w:sz w:val="22"/>
          <w:szCs w:val="22"/>
        </w:rPr>
        <w:t>des</w:t>
      </w:r>
      <w:r w:rsidR="00D23549">
        <w:rPr>
          <w:rFonts w:ascii="Book Antiqua" w:hAnsi="Book Antiqua" w:cs="Tahoma"/>
          <w:sz w:val="22"/>
          <w:szCs w:val="22"/>
        </w:rPr>
        <w:t xml:space="preserve"> déclarations des clients que </w:t>
      </w:r>
      <w:r w:rsidRPr="00E23B0D">
        <w:rPr>
          <w:rFonts w:ascii="Book Antiqua" w:hAnsi="Book Antiqua" w:cs="Tahoma"/>
          <w:sz w:val="22"/>
          <w:szCs w:val="22"/>
        </w:rPr>
        <w:t xml:space="preserve">les difficultés de mobilité bancaire sont le plus souvent identifiées chez les clients </w:t>
      </w:r>
      <w:r w:rsidR="00D23549">
        <w:rPr>
          <w:rFonts w:ascii="Book Antiqua" w:hAnsi="Book Antiqua" w:cs="Tahoma"/>
          <w:sz w:val="22"/>
          <w:szCs w:val="22"/>
        </w:rPr>
        <w:t>travaillant</w:t>
      </w:r>
      <w:r w:rsidR="001E34FC">
        <w:rPr>
          <w:rFonts w:ascii="Book Antiqua" w:hAnsi="Book Antiqua" w:cs="Tahoma"/>
          <w:sz w:val="22"/>
          <w:szCs w:val="22"/>
        </w:rPr>
        <w:t xml:space="preserve"> </w:t>
      </w:r>
      <w:r w:rsidRPr="00E23B0D">
        <w:rPr>
          <w:rFonts w:ascii="Book Antiqua" w:hAnsi="Book Antiqua" w:cs="Tahoma"/>
          <w:sz w:val="22"/>
          <w:szCs w:val="22"/>
        </w:rPr>
        <w:t>dans l’Enseignement, l’Artisanat</w:t>
      </w:r>
      <w:r w:rsidR="00D23549">
        <w:rPr>
          <w:rFonts w:ascii="Book Antiqua" w:hAnsi="Book Antiqua" w:cs="Tahoma"/>
          <w:sz w:val="22"/>
          <w:szCs w:val="22"/>
        </w:rPr>
        <w:t xml:space="preserve">, l’Industrie, </w:t>
      </w:r>
      <w:r w:rsidR="001E34FC">
        <w:rPr>
          <w:rFonts w:ascii="Book Antiqua" w:hAnsi="Book Antiqua" w:cs="Tahoma"/>
          <w:sz w:val="22"/>
          <w:szCs w:val="22"/>
        </w:rPr>
        <w:t>l’Administration</w:t>
      </w:r>
      <w:r w:rsidR="00D23549" w:rsidRPr="00E23B0D">
        <w:rPr>
          <w:rFonts w:ascii="Book Antiqua" w:hAnsi="Book Antiqua" w:cs="Tahoma"/>
          <w:sz w:val="22"/>
          <w:szCs w:val="22"/>
        </w:rPr>
        <w:t xml:space="preserve"> </w:t>
      </w:r>
      <w:r w:rsidR="00D23549">
        <w:rPr>
          <w:rFonts w:ascii="Book Antiqua" w:hAnsi="Book Antiqua" w:cs="Tahoma"/>
          <w:sz w:val="22"/>
          <w:szCs w:val="22"/>
        </w:rPr>
        <w:t>et les BTP</w:t>
      </w:r>
      <w:r w:rsidRPr="00E23B0D">
        <w:rPr>
          <w:rFonts w:ascii="Book Antiqua" w:hAnsi="Book Antiqua" w:cs="Tahoma"/>
          <w:sz w:val="22"/>
          <w:szCs w:val="22"/>
        </w:rPr>
        <w:t xml:space="preserve"> avec des taux d’appréciation respectifs de </w:t>
      </w:r>
      <w:r w:rsidR="00D23549">
        <w:rPr>
          <w:rFonts w:ascii="Book Antiqua" w:hAnsi="Book Antiqua" w:cs="Tahoma"/>
          <w:sz w:val="22"/>
          <w:szCs w:val="22"/>
        </w:rPr>
        <w:t>28,6%, 28,6%, 27,8%, 22,4% et 20,6%</w:t>
      </w:r>
      <w:r w:rsidRPr="00E23B0D">
        <w:rPr>
          <w:rFonts w:ascii="Book Antiqua" w:hAnsi="Book Antiqua" w:cs="Tahoma"/>
          <w:sz w:val="22"/>
          <w:szCs w:val="22"/>
        </w:rPr>
        <w:t xml:space="preserve">. </w:t>
      </w:r>
    </w:p>
    <w:p w:rsidR="00257D7B" w:rsidRPr="00257D7B" w:rsidRDefault="00257D7B" w:rsidP="004F12F2">
      <w:pPr>
        <w:pStyle w:val="Lgende"/>
        <w:keepNext/>
        <w:spacing w:before="240" w:after="240" w:line="276" w:lineRule="auto"/>
        <w:jc w:val="center"/>
        <w:rPr>
          <w:color w:val="auto"/>
        </w:rPr>
      </w:pPr>
      <w:bookmarkStart w:id="251" w:name="_Toc523313832"/>
      <w:r w:rsidRPr="00257D7B">
        <w:rPr>
          <w:color w:val="auto"/>
        </w:rPr>
        <w:t xml:space="preserve">Figure </w:t>
      </w:r>
      <w:r w:rsidR="000D65F2" w:rsidRPr="00257D7B">
        <w:rPr>
          <w:color w:val="auto"/>
        </w:rPr>
        <w:fldChar w:fldCharType="begin"/>
      </w:r>
      <w:r w:rsidRPr="00257D7B">
        <w:rPr>
          <w:color w:val="auto"/>
        </w:rPr>
        <w:instrText xml:space="preserve"> SEQ Figure \* ARABIC </w:instrText>
      </w:r>
      <w:r w:rsidR="000D65F2" w:rsidRPr="00257D7B">
        <w:rPr>
          <w:color w:val="auto"/>
        </w:rPr>
        <w:fldChar w:fldCharType="separate"/>
      </w:r>
      <w:r w:rsidR="000F780F">
        <w:rPr>
          <w:noProof/>
          <w:color w:val="auto"/>
        </w:rPr>
        <w:t>149</w:t>
      </w:r>
      <w:r w:rsidR="000D65F2" w:rsidRPr="00257D7B">
        <w:rPr>
          <w:color w:val="auto"/>
        </w:rPr>
        <w:fldChar w:fldCharType="end"/>
      </w:r>
      <w:r w:rsidRPr="00257D7B">
        <w:rPr>
          <w:color w:val="auto"/>
        </w:rPr>
        <w:t xml:space="preserve"> : Avis sur l'attitude de leur banque face à la volonté de changement de domiciliation selon le secteur d'activité</w:t>
      </w:r>
      <w:bookmarkEnd w:id="251"/>
    </w:p>
    <w:p w:rsidR="00A80C20" w:rsidRPr="00270228" w:rsidRDefault="00F44BC9" w:rsidP="00D4489E">
      <w:pPr>
        <w:spacing w:line="276" w:lineRule="auto"/>
        <w:rPr>
          <w:rFonts w:ascii="Book Antiqua" w:hAnsi="Book Antiqua"/>
        </w:rPr>
      </w:pPr>
      <w:r w:rsidRPr="00AE3DF1">
        <w:rPr>
          <w:noProof/>
        </w:rPr>
        <w:drawing>
          <wp:inline distT="0" distB="0" distL="0" distR="0">
            <wp:extent cx="5972810" cy="3048635"/>
            <wp:effectExtent l="19050" t="0" r="27940" b="0"/>
            <wp:docPr id="331" name="Graphique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270228" w:rsidRDefault="00094C0C" w:rsidP="004F12F2">
      <w:pPr>
        <w:autoSpaceDE w:val="0"/>
        <w:autoSpaceDN w:val="0"/>
        <w:adjustRightInd w:val="0"/>
        <w:spacing w:before="240" w:line="276" w:lineRule="auto"/>
        <w:jc w:val="both"/>
        <w:rPr>
          <w:rFonts w:ascii="Book Antiqua" w:hAnsi="Book Antiqua" w:cs="Tahoma"/>
          <w:sz w:val="22"/>
          <w:szCs w:val="22"/>
        </w:rPr>
      </w:pPr>
      <w:r>
        <w:rPr>
          <w:rFonts w:ascii="Book Antiqua" w:hAnsi="Book Antiqua" w:cs="Tahoma"/>
          <w:sz w:val="22"/>
          <w:szCs w:val="22"/>
        </w:rPr>
        <w:t>L’</w:t>
      </w:r>
      <w:r w:rsidR="00C124C2" w:rsidRPr="00E23B0D">
        <w:rPr>
          <w:rFonts w:ascii="Book Antiqua" w:hAnsi="Book Antiqua" w:cs="Tahoma"/>
          <w:sz w:val="22"/>
          <w:szCs w:val="22"/>
        </w:rPr>
        <w:t xml:space="preserve">appréciation </w:t>
      </w:r>
      <w:r w:rsidRPr="00E23B0D">
        <w:rPr>
          <w:rFonts w:ascii="Book Antiqua" w:hAnsi="Book Antiqua" w:cs="Tahoma"/>
          <w:sz w:val="22"/>
          <w:szCs w:val="22"/>
        </w:rPr>
        <w:t xml:space="preserve">des enquêtés </w:t>
      </w:r>
      <w:r w:rsidR="00C124C2" w:rsidRPr="00E23B0D">
        <w:rPr>
          <w:rFonts w:ascii="Book Antiqua" w:hAnsi="Book Antiqua" w:cs="Tahoma"/>
          <w:sz w:val="22"/>
          <w:szCs w:val="22"/>
        </w:rPr>
        <w:t xml:space="preserve">suivant la localisation géographique fait </w:t>
      </w:r>
      <w:r>
        <w:rPr>
          <w:rFonts w:ascii="Book Antiqua" w:hAnsi="Book Antiqua" w:cs="Tahoma"/>
          <w:sz w:val="22"/>
          <w:szCs w:val="22"/>
        </w:rPr>
        <w:t>ressortir</w:t>
      </w:r>
      <w:r w:rsidR="00270228">
        <w:rPr>
          <w:rFonts w:ascii="Book Antiqua" w:hAnsi="Book Antiqua" w:cs="Tahoma"/>
          <w:sz w:val="22"/>
          <w:szCs w:val="22"/>
        </w:rPr>
        <w:t xml:space="preserve"> </w:t>
      </w:r>
      <w:r w:rsidR="00C124C2" w:rsidRPr="00E23B0D">
        <w:rPr>
          <w:rFonts w:ascii="Book Antiqua" w:hAnsi="Book Antiqua" w:cs="Tahoma"/>
          <w:sz w:val="22"/>
          <w:szCs w:val="22"/>
        </w:rPr>
        <w:t xml:space="preserve">des taux d’insatisfaction élevés chez les personnes physiques résidant notamment à </w:t>
      </w:r>
      <w:proofErr w:type="spellStart"/>
      <w:r w:rsidR="00C124C2" w:rsidRPr="00E23B0D">
        <w:rPr>
          <w:rFonts w:ascii="Book Antiqua" w:hAnsi="Book Antiqua" w:cs="Tahoma"/>
          <w:sz w:val="22"/>
          <w:szCs w:val="22"/>
        </w:rPr>
        <w:t>Sédhiou</w:t>
      </w:r>
      <w:proofErr w:type="spellEnd"/>
      <w:r w:rsidR="00C124C2" w:rsidRPr="00E23B0D">
        <w:rPr>
          <w:rFonts w:ascii="Book Antiqua" w:hAnsi="Book Antiqua" w:cs="Tahoma"/>
          <w:sz w:val="22"/>
          <w:szCs w:val="22"/>
        </w:rPr>
        <w:t xml:space="preserve"> (</w:t>
      </w:r>
      <w:r>
        <w:rPr>
          <w:rFonts w:ascii="Book Antiqua" w:hAnsi="Book Antiqua" w:cs="Tahoma"/>
          <w:sz w:val="22"/>
          <w:szCs w:val="22"/>
        </w:rPr>
        <w:t>80,</w:t>
      </w:r>
      <w:r w:rsidRPr="00E23B0D">
        <w:rPr>
          <w:rFonts w:ascii="Book Antiqua" w:hAnsi="Book Antiqua" w:cs="Tahoma"/>
          <w:sz w:val="22"/>
          <w:szCs w:val="22"/>
        </w:rPr>
        <w:t>0</w:t>
      </w:r>
      <w:r w:rsidR="00C124C2" w:rsidRPr="00E23B0D">
        <w:rPr>
          <w:rFonts w:ascii="Book Antiqua" w:hAnsi="Book Antiqua" w:cs="Tahoma"/>
          <w:sz w:val="22"/>
          <w:szCs w:val="22"/>
        </w:rPr>
        <w:t xml:space="preserve">%), </w:t>
      </w:r>
      <w:r w:rsidRPr="00E23B0D">
        <w:rPr>
          <w:rFonts w:ascii="Book Antiqua" w:hAnsi="Book Antiqua" w:cs="Tahoma"/>
          <w:sz w:val="22"/>
          <w:szCs w:val="22"/>
        </w:rPr>
        <w:t>Kolda (</w:t>
      </w:r>
      <w:r>
        <w:rPr>
          <w:rFonts w:ascii="Book Antiqua" w:hAnsi="Book Antiqua" w:cs="Tahoma"/>
          <w:sz w:val="22"/>
          <w:szCs w:val="22"/>
        </w:rPr>
        <w:t>63,6</w:t>
      </w:r>
      <w:r w:rsidRPr="00E23B0D">
        <w:rPr>
          <w:rFonts w:ascii="Book Antiqua" w:hAnsi="Book Antiqua" w:cs="Tahoma"/>
          <w:sz w:val="22"/>
          <w:szCs w:val="22"/>
        </w:rPr>
        <w:t xml:space="preserve">%), </w:t>
      </w:r>
      <w:r w:rsidR="00A80C20" w:rsidRPr="00E23B0D">
        <w:rPr>
          <w:rFonts w:ascii="Book Antiqua" w:hAnsi="Book Antiqua" w:cs="Tahoma"/>
          <w:sz w:val="22"/>
          <w:szCs w:val="22"/>
        </w:rPr>
        <w:t>Thiès</w:t>
      </w:r>
      <w:r w:rsidRPr="00E23B0D">
        <w:rPr>
          <w:rFonts w:ascii="Book Antiqua" w:hAnsi="Book Antiqua" w:cs="Tahoma"/>
          <w:sz w:val="22"/>
          <w:szCs w:val="22"/>
        </w:rPr>
        <w:t xml:space="preserve"> (</w:t>
      </w:r>
      <w:r>
        <w:rPr>
          <w:rFonts w:ascii="Book Antiqua" w:hAnsi="Book Antiqua" w:cs="Tahoma"/>
          <w:sz w:val="22"/>
          <w:szCs w:val="22"/>
        </w:rPr>
        <w:t>52,4</w:t>
      </w:r>
      <w:r w:rsidRPr="00E23B0D">
        <w:rPr>
          <w:rFonts w:ascii="Book Antiqua" w:hAnsi="Book Antiqua" w:cs="Tahoma"/>
          <w:sz w:val="22"/>
          <w:szCs w:val="22"/>
        </w:rPr>
        <w:t xml:space="preserve">%), </w:t>
      </w:r>
      <w:r>
        <w:rPr>
          <w:rFonts w:ascii="Book Antiqua" w:hAnsi="Book Antiqua" w:cs="Tahoma"/>
          <w:sz w:val="22"/>
          <w:szCs w:val="22"/>
        </w:rPr>
        <w:t xml:space="preserve">Louga (47,4%) </w:t>
      </w:r>
      <w:r w:rsidR="00C124C2" w:rsidRPr="00E23B0D">
        <w:rPr>
          <w:rFonts w:ascii="Book Antiqua" w:hAnsi="Book Antiqua" w:cs="Tahoma"/>
          <w:sz w:val="22"/>
          <w:szCs w:val="22"/>
        </w:rPr>
        <w:t>et Saint Louis (</w:t>
      </w:r>
      <w:r>
        <w:rPr>
          <w:rFonts w:ascii="Book Antiqua" w:hAnsi="Book Antiqua" w:cs="Tahoma"/>
          <w:sz w:val="22"/>
          <w:szCs w:val="22"/>
        </w:rPr>
        <w:t>45,7</w:t>
      </w:r>
      <w:r w:rsidR="00C124C2" w:rsidRPr="00E23B0D">
        <w:rPr>
          <w:rFonts w:ascii="Book Antiqua" w:hAnsi="Book Antiqua" w:cs="Tahoma"/>
          <w:sz w:val="22"/>
          <w:szCs w:val="22"/>
        </w:rPr>
        <w:t>%)</w:t>
      </w:r>
      <w:r>
        <w:rPr>
          <w:rFonts w:ascii="Book Antiqua" w:hAnsi="Book Antiqua" w:cs="Tahoma"/>
          <w:sz w:val="22"/>
          <w:szCs w:val="22"/>
        </w:rPr>
        <w:t>.</w:t>
      </w:r>
    </w:p>
    <w:p w:rsidR="001E34FC" w:rsidRPr="00E23B0D" w:rsidRDefault="001E34FC" w:rsidP="00D4489E">
      <w:pPr>
        <w:autoSpaceDE w:val="0"/>
        <w:autoSpaceDN w:val="0"/>
        <w:adjustRightInd w:val="0"/>
        <w:spacing w:before="120" w:line="276" w:lineRule="auto"/>
        <w:contextualSpacing/>
        <w:jc w:val="both"/>
        <w:rPr>
          <w:rFonts w:ascii="Book Antiqua" w:hAnsi="Book Antiqua" w:cs="Tahoma"/>
          <w:sz w:val="22"/>
          <w:szCs w:val="22"/>
        </w:rPr>
      </w:pPr>
    </w:p>
    <w:p w:rsidR="00257D7B" w:rsidRPr="00257D7B" w:rsidRDefault="00257D7B" w:rsidP="00D4489E">
      <w:pPr>
        <w:pStyle w:val="Lgende"/>
        <w:keepNext/>
        <w:spacing w:line="276" w:lineRule="auto"/>
        <w:jc w:val="center"/>
        <w:rPr>
          <w:color w:val="auto"/>
        </w:rPr>
      </w:pPr>
      <w:bookmarkStart w:id="252" w:name="_Toc523313833"/>
      <w:r w:rsidRPr="00257D7B">
        <w:rPr>
          <w:color w:val="auto"/>
        </w:rPr>
        <w:t xml:space="preserve">Figure </w:t>
      </w:r>
      <w:r w:rsidR="000D65F2" w:rsidRPr="00257D7B">
        <w:rPr>
          <w:color w:val="auto"/>
        </w:rPr>
        <w:fldChar w:fldCharType="begin"/>
      </w:r>
      <w:r w:rsidRPr="00257D7B">
        <w:rPr>
          <w:color w:val="auto"/>
        </w:rPr>
        <w:instrText xml:space="preserve"> SEQ Figure \* ARABIC </w:instrText>
      </w:r>
      <w:r w:rsidR="000D65F2" w:rsidRPr="00257D7B">
        <w:rPr>
          <w:color w:val="auto"/>
        </w:rPr>
        <w:fldChar w:fldCharType="separate"/>
      </w:r>
      <w:r w:rsidR="000F780F">
        <w:rPr>
          <w:noProof/>
          <w:color w:val="auto"/>
        </w:rPr>
        <w:t>150</w:t>
      </w:r>
      <w:r w:rsidR="000D65F2" w:rsidRPr="00257D7B">
        <w:rPr>
          <w:color w:val="auto"/>
        </w:rPr>
        <w:fldChar w:fldCharType="end"/>
      </w:r>
      <w:r w:rsidRPr="00257D7B">
        <w:rPr>
          <w:color w:val="auto"/>
        </w:rPr>
        <w:t xml:space="preserve"> : Avis des enquêtés sur l'attitude de leu</w:t>
      </w:r>
      <w:r w:rsidRPr="00257D7B">
        <w:rPr>
          <w:noProof/>
          <w:color w:val="auto"/>
        </w:rPr>
        <w:t>r banque face au changement de domiciliation selon les régions</w:t>
      </w:r>
      <w:bookmarkEnd w:id="252"/>
    </w:p>
    <w:p w:rsidR="00C124C2" w:rsidRPr="00F72FBD" w:rsidRDefault="00C124C2" w:rsidP="00D4489E">
      <w:pPr>
        <w:spacing w:line="276" w:lineRule="auto"/>
        <w:jc w:val="center"/>
      </w:pPr>
      <w:r w:rsidRPr="00C60656">
        <w:rPr>
          <w:noProof/>
        </w:rPr>
        <w:drawing>
          <wp:inline distT="0" distB="0" distL="0" distR="0">
            <wp:extent cx="4453890" cy="2828925"/>
            <wp:effectExtent l="19050" t="0" r="22860" b="0"/>
            <wp:docPr id="15"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C124C2" w:rsidRDefault="00A80C20" w:rsidP="00D4489E">
      <w:pPr>
        <w:spacing w:after="200" w:line="276" w:lineRule="auto"/>
        <w:rPr>
          <w:rFonts w:ascii="Book Antiqua" w:hAnsi="Book Antiqua"/>
          <w:b/>
        </w:rPr>
      </w:pPr>
      <w:r>
        <w:rPr>
          <w:rFonts w:ascii="Book Antiqua" w:hAnsi="Book Antiqua"/>
          <w:b/>
        </w:rPr>
        <w:br w:type="page"/>
      </w:r>
    </w:p>
    <w:p w:rsidR="00C124C2" w:rsidRPr="00684A32" w:rsidRDefault="000F56C9" w:rsidP="00CA7C2C">
      <w:pPr>
        <w:numPr>
          <w:ilvl w:val="0"/>
          <w:numId w:val="28"/>
        </w:numPr>
        <w:tabs>
          <w:tab w:val="left" w:pos="-720"/>
        </w:tabs>
        <w:suppressAutoHyphens/>
        <w:spacing w:after="240" w:line="276" w:lineRule="auto"/>
        <w:ind w:left="567" w:firstLine="0"/>
        <w:jc w:val="both"/>
        <w:outlineLvl w:val="1"/>
        <w:rPr>
          <w:rFonts w:ascii="Book Antiqua" w:hAnsi="Book Antiqua" w:cs="Arial"/>
          <w:b/>
          <w:sz w:val="22"/>
          <w:szCs w:val="22"/>
        </w:rPr>
      </w:pPr>
      <w:bookmarkStart w:id="253" w:name="_Toc523322089"/>
      <w:r w:rsidRPr="00684A32">
        <w:rPr>
          <w:rFonts w:ascii="Book Antiqua" w:hAnsi="Book Antiqua" w:cs="Arial"/>
          <w:b/>
          <w:sz w:val="22"/>
          <w:szCs w:val="22"/>
        </w:rPr>
        <w:lastRenderedPageBreak/>
        <w:t>Satisfaction sur les agences bancaires</w:t>
      </w:r>
      <w:bookmarkEnd w:id="253"/>
    </w:p>
    <w:p w:rsidR="007041A5" w:rsidRDefault="00297576"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t xml:space="preserve">L’appréciation  sur les agences est mesurée à travers </w:t>
      </w:r>
      <w:r w:rsidR="00C124C2" w:rsidRPr="00E23B0D">
        <w:rPr>
          <w:rFonts w:ascii="Book Antiqua" w:hAnsi="Book Antiqua" w:cs="Tahoma"/>
          <w:sz w:val="22"/>
          <w:szCs w:val="22"/>
        </w:rPr>
        <w:t>l</w:t>
      </w:r>
      <w:r>
        <w:rPr>
          <w:rFonts w:ascii="Book Antiqua" w:hAnsi="Book Antiqua" w:cs="Tahoma"/>
          <w:sz w:val="22"/>
          <w:szCs w:val="22"/>
        </w:rPr>
        <w:t>eur</w:t>
      </w:r>
      <w:r w:rsidR="00C124C2" w:rsidRPr="00E23B0D">
        <w:rPr>
          <w:rFonts w:ascii="Book Antiqua" w:hAnsi="Book Antiqua" w:cs="Tahoma"/>
          <w:sz w:val="22"/>
          <w:szCs w:val="22"/>
        </w:rPr>
        <w:t xml:space="preserve"> répartition géographique, le nombre de caisses fonctionnelles ainsi que la célérité </w:t>
      </w:r>
      <w:r>
        <w:rPr>
          <w:rFonts w:ascii="Book Antiqua" w:hAnsi="Book Antiqua" w:cs="Tahoma"/>
          <w:sz w:val="22"/>
          <w:szCs w:val="22"/>
        </w:rPr>
        <w:t xml:space="preserve">apportée au </w:t>
      </w:r>
      <w:r w:rsidR="00C124C2" w:rsidRPr="00E23B0D">
        <w:rPr>
          <w:rFonts w:ascii="Book Antiqua" w:hAnsi="Book Antiqua" w:cs="Tahoma"/>
          <w:sz w:val="22"/>
          <w:szCs w:val="22"/>
        </w:rPr>
        <w:t xml:space="preserve">traitement des opérations de </w:t>
      </w:r>
      <w:r>
        <w:rPr>
          <w:rFonts w:ascii="Book Antiqua" w:hAnsi="Book Antiqua" w:cs="Tahoma"/>
          <w:sz w:val="22"/>
          <w:szCs w:val="22"/>
        </w:rPr>
        <w:t>guichet</w:t>
      </w:r>
      <w:r w:rsidR="00C124C2" w:rsidRPr="00E23B0D">
        <w:rPr>
          <w:rFonts w:ascii="Book Antiqua" w:hAnsi="Book Antiqua" w:cs="Tahoma"/>
          <w:sz w:val="22"/>
          <w:szCs w:val="22"/>
        </w:rPr>
        <w:t xml:space="preserve">. </w:t>
      </w:r>
    </w:p>
    <w:p w:rsidR="00C124C2" w:rsidRPr="00102AD4" w:rsidRDefault="00C124C2" w:rsidP="00FA22AD">
      <w:pPr>
        <w:spacing w:before="240" w:after="240" w:line="276" w:lineRule="auto"/>
        <w:ind w:firstLine="567"/>
        <w:outlineLvl w:val="2"/>
        <w:rPr>
          <w:rFonts w:ascii="Book Antiqua" w:hAnsi="Book Antiqua"/>
          <w:b/>
          <w:sz w:val="22"/>
        </w:rPr>
      </w:pPr>
      <w:bookmarkStart w:id="254" w:name="_Toc523322090"/>
      <w:r w:rsidRPr="00102AD4">
        <w:rPr>
          <w:rFonts w:ascii="Book Antiqua" w:hAnsi="Book Antiqua"/>
          <w:b/>
          <w:sz w:val="22"/>
        </w:rPr>
        <w:t>II.2.1. Répartition géographique des agences</w:t>
      </w:r>
      <w:bookmarkEnd w:id="254"/>
    </w:p>
    <w:p w:rsidR="00C124C2" w:rsidRPr="00E23B0D"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t xml:space="preserve">Une proportion de 50,7% des clients interrogés déplore la répartition des agences de leur banque principale qu’ils jugent mauvaise, contre 49,3% qui sont d’un avis contraire. </w:t>
      </w:r>
    </w:p>
    <w:p w:rsidR="00C124C2" w:rsidRPr="00E23B0D" w:rsidRDefault="00297576"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t>S’agissant de l</w:t>
      </w:r>
      <w:r w:rsidR="00C124C2" w:rsidRPr="00E23B0D">
        <w:rPr>
          <w:rFonts w:ascii="Book Antiqua" w:hAnsi="Book Antiqua" w:cs="Tahoma"/>
          <w:sz w:val="22"/>
          <w:szCs w:val="22"/>
        </w:rPr>
        <w:t xml:space="preserve">a </w:t>
      </w:r>
      <w:r>
        <w:rPr>
          <w:rFonts w:ascii="Book Antiqua" w:hAnsi="Book Antiqua" w:cs="Tahoma"/>
          <w:sz w:val="22"/>
          <w:szCs w:val="22"/>
        </w:rPr>
        <w:t>répartition des agences suivant la localisation, il ressort des taux de récrimination</w:t>
      </w:r>
      <w:r w:rsidR="000B6B01">
        <w:rPr>
          <w:rFonts w:ascii="Book Antiqua" w:hAnsi="Book Antiqua" w:cs="Tahoma"/>
          <w:sz w:val="22"/>
          <w:szCs w:val="22"/>
        </w:rPr>
        <w:t xml:space="preserve"> </w:t>
      </w:r>
      <w:r>
        <w:rPr>
          <w:rFonts w:ascii="Book Antiqua" w:hAnsi="Book Antiqua" w:cs="Tahoma"/>
          <w:sz w:val="22"/>
          <w:szCs w:val="22"/>
        </w:rPr>
        <w:t>relativement</w:t>
      </w:r>
      <w:r w:rsidR="000B6B01">
        <w:rPr>
          <w:rFonts w:ascii="Book Antiqua" w:hAnsi="Book Antiqua" w:cs="Tahoma"/>
          <w:sz w:val="22"/>
          <w:szCs w:val="22"/>
        </w:rPr>
        <w:t xml:space="preserve"> </w:t>
      </w:r>
      <w:r>
        <w:rPr>
          <w:rFonts w:ascii="Book Antiqua" w:hAnsi="Book Antiqua" w:cs="Tahoma"/>
          <w:sz w:val="22"/>
          <w:szCs w:val="22"/>
        </w:rPr>
        <w:t>élevés</w:t>
      </w:r>
      <w:r w:rsidR="000B6B01">
        <w:rPr>
          <w:rFonts w:ascii="Book Antiqua" w:hAnsi="Book Antiqua" w:cs="Tahoma"/>
          <w:sz w:val="22"/>
          <w:szCs w:val="22"/>
        </w:rPr>
        <w:t xml:space="preserve"> </w:t>
      </w:r>
      <w:r w:rsidR="00020CED">
        <w:rPr>
          <w:rFonts w:ascii="Book Antiqua" w:hAnsi="Book Antiqua" w:cs="Tahoma"/>
          <w:sz w:val="22"/>
          <w:szCs w:val="22"/>
        </w:rPr>
        <w:t xml:space="preserve">chez les clients des localités de </w:t>
      </w:r>
      <w:proofErr w:type="spellStart"/>
      <w:r w:rsidR="00C124C2" w:rsidRPr="00E23B0D">
        <w:rPr>
          <w:rFonts w:ascii="Book Antiqua" w:hAnsi="Book Antiqua" w:cs="Tahoma"/>
          <w:sz w:val="22"/>
          <w:szCs w:val="22"/>
        </w:rPr>
        <w:t>Kaffrine</w:t>
      </w:r>
      <w:proofErr w:type="spellEnd"/>
      <w:r w:rsidR="00C124C2" w:rsidRPr="00E23B0D">
        <w:rPr>
          <w:rFonts w:ascii="Book Antiqua" w:hAnsi="Book Antiqua" w:cs="Tahoma"/>
          <w:sz w:val="22"/>
          <w:szCs w:val="22"/>
        </w:rPr>
        <w:t xml:space="preserve"> (93</w:t>
      </w:r>
      <w:r w:rsidR="00020CED">
        <w:rPr>
          <w:rFonts w:ascii="Book Antiqua" w:hAnsi="Book Antiqua" w:cs="Tahoma"/>
          <w:sz w:val="22"/>
          <w:szCs w:val="22"/>
        </w:rPr>
        <w:t>,5</w:t>
      </w:r>
      <w:r w:rsidR="00C124C2" w:rsidRPr="00E23B0D">
        <w:rPr>
          <w:rFonts w:ascii="Book Antiqua" w:hAnsi="Book Antiqua" w:cs="Tahoma"/>
          <w:sz w:val="22"/>
          <w:szCs w:val="22"/>
        </w:rPr>
        <w:t>%)</w:t>
      </w:r>
      <w:r w:rsidR="001E34FC">
        <w:rPr>
          <w:rFonts w:ascii="Book Antiqua" w:hAnsi="Book Antiqua" w:cs="Tahoma"/>
          <w:sz w:val="22"/>
          <w:szCs w:val="22"/>
        </w:rPr>
        <w:t>,</w:t>
      </w:r>
      <w:r w:rsidR="00C124C2" w:rsidRPr="00E23B0D">
        <w:rPr>
          <w:rFonts w:ascii="Book Antiqua" w:hAnsi="Book Antiqua" w:cs="Tahoma"/>
          <w:sz w:val="22"/>
          <w:szCs w:val="22"/>
        </w:rPr>
        <w:t xml:space="preserve"> Kédougou (90,4%), </w:t>
      </w:r>
      <w:proofErr w:type="spellStart"/>
      <w:r w:rsidR="00C124C2" w:rsidRPr="00E23B0D">
        <w:rPr>
          <w:rFonts w:ascii="Book Antiqua" w:hAnsi="Book Antiqua" w:cs="Tahoma"/>
          <w:sz w:val="22"/>
          <w:szCs w:val="22"/>
        </w:rPr>
        <w:t>Sédhiou</w:t>
      </w:r>
      <w:proofErr w:type="spellEnd"/>
      <w:r w:rsidR="00C124C2" w:rsidRPr="00E23B0D">
        <w:rPr>
          <w:rFonts w:ascii="Book Antiqua" w:hAnsi="Book Antiqua" w:cs="Tahoma"/>
          <w:sz w:val="22"/>
          <w:szCs w:val="22"/>
        </w:rPr>
        <w:t xml:space="preserve"> (88,9%), Ziguinchor (80</w:t>
      </w:r>
      <w:r w:rsidR="00020CED">
        <w:rPr>
          <w:rFonts w:ascii="Book Antiqua" w:hAnsi="Book Antiqua" w:cs="Tahoma"/>
          <w:sz w:val="22"/>
          <w:szCs w:val="22"/>
        </w:rPr>
        <w:t>,0</w:t>
      </w:r>
      <w:r w:rsidR="00C124C2" w:rsidRPr="00E23B0D">
        <w:rPr>
          <w:rFonts w:ascii="Book Antiqua" w:hAnsi="Book Antiqua" w:cs="Tahoma"/>
          <w:sz w:val="22"/>
          <w:szCs w:val="22"/>
        </w:rPr>
        <w:t xml:space="preserve">%) et Tambacounda (79,8%). </w:t>
      </w:r>
      <w:r w:rsidR="00020CED">
        <w:rPr>
          <w:rFonts w:ascii="Book Antiqua" w:hAnsi="Book Antiqua" w:cs="Tahoma"/>
          <w:sz w:val="22"/>
          <w:szCs w:val="22"/>
        </w:rPr>
        <w:t xml:space="preserve">Il convient de noter que le </w:t>
      </w:r>
      <w:r w:rsidR="00C124C2" w:rsidRPr="00E23B0D">
        <w:rPr>
          <w:rFonts w:ascii="Book Antiqua" w:hAnsi="Book Antiqua" w:cs="Tahoma"/>
          <w:sz w:val="22"/>
          <w:szCs w:val="22"/>
        </w:rPr>
        <w:t xml:space="preserve">taux de satisfaction le plus élevé est observé à Dakar qui ressort à 62,6%. </w:t>
      </w:r>
    </w:p>
    <w:p w:rsidR="00102AD4" w:rsidRDefault="00102AD4" w:rsidP="00D4489E">
      <w:pPr>
        <w:spacing w:line="276" w:lineRule="auto"/>
        <w:contextualSpacing/>
        <w:jc w:val="center"/>
        <w:rPr>
          <w:rFonts w:ascii="Book Antiqua" w:hAnsi="Book Antiqua"/>
        </w:rPr>
      </w:pPr>
    </w:p>
    <w:p w:rsidR="00257D7B" w:rsidRPr="00257D7B" w:rsidRDefault="00257D7B" w:rsidP="00D4489E">
      <w:pPr>
        <w:pStyle w:val="Lgende"/>
        <w:keepNext/>
        <w:spacing w:line="276" w:lineRule="auto"/>
        <w:jc w:val="center"/>
        <w:rPr>
          <w:color w:val="auto"/>
        </w:rPr>
      </w:pPr>
      <w:bookmarkStart w:id="255" w:name="_Toc523313834"/>
      <w:r w:rsidRPr="00257D7B">
        <w:rPr>
          <w:color w:val="auto"/>
        </w:rPr>
        <w:t xml:space="preserve">Figure </w:t>
      </w:r>
      <w:r w:rsidR="000D65F2" w:rsidRPr="00257D7B">
        <w:rPr>
          <w:color w:val="auto"/>
        </w:rPr>
        <w:fldChar w:fldCharType="begin"/>
      </w:r>
      <w:r w:rsidRPr="00257D7B">
        <w:rPr>
          <w:color w:val="auto"/>
        </w:rPr>
        <w:instrText xml:space="preserve"> SEQ Figure \* ARABIC </w:instrText>
      </w:r>
      <w:r w:rsidR="000D65F2" w:rsidRPr="00257D7B">
        <w:rPr>
          <w:color w:val="auto"/>
        </w:rPr>
        <w:fldChar w:fldCharType="separate"/>
      </w:r>
      <w:r w:rsidR="000F780F">
        <w:rPr>
          <w:noProof/>
          <w:color w:val="auto"/>
        </w:rPr>
        <w:t>151</w:t>
      </w:r>
      <w:r w:rsidR="000D65F2" w:rsidRPr="00257D7B">
        <w:rPr>
          <w:color w:val="auto"/>
        </w:rPr>
        <w:fldChar w:fldCharType="end"/>
      </w:r>
      <w:r w:rsidRPr="00257D7B">
        <w:rPr>
          <w:color w:val="auto"/>
        </w:rPr>
        <w:t xml:space="preserve"> : Appréciation des enquêtés sur la répartition géographique des agences bancaires selon les régions</w:t>
      </w:r>
      <w:bookmarkEnd w:id="255"/>
    </w:p>
    <w:p w:rsidR="00C124C2" w:rsidRDefault="00C124C2" w:rsidP="00D4489E">
      <w:pPr>
        <w:spacing w:line="276" w:lineRule="auto"/>
        <w:jc w:val="center"/>
      </w:pPr>
      <w:r w:rsidRPr="00E95563">
        <w:rPr>
          <w:noProof/>
        </w:rPr>
        <w:drawing>
          <wp:inline distT="0" distB="0" distL="0" distR="0">
            <wp:extent cx="4282987" cy="2625923"/>
            <wp:effectExtent l="19050" t="0" r="22313" b="2977"/>
            <wp:docPr id="21"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1E34FC" w:rsidRDefault="001E34FC" w:rsidP="00D4489E">
      <w:pPr>
        <w:autoSpaceDE w:val="0"/>
        <w:autoSpaceDN w:val="0"/>
        <w:adjustRightInd w:val="0"/>
        <w:spacing w:before="120" w:line="276" w:lineRule="auto"/>
        <w:contextualSpacing/>
        <w:jc w:val="both"/>
        <w:rPr>
          <w:rFonts w:ascii="Book Antiqua" w:hAnsi="Book Antiqua" w:cs="Tahoma"/>
          <w:sz w:val="22"/>
          <w:szCs w:val="22"/>
        </w:rPr>
      </w:pPr>
    </w:p>
    <w:p w:rsidR="00C124C2" w:rsidRPr="00E23B0D" w:rsidRDefault="00C124C2" w:rsidP="00E20E48">
      <w:pPr>
        <w:autoSpaceDE w:val="0"/>
        <w:autoSpaceDN w:val="0"/>
        <w:adjustRightInd w:val="0"/>
        <w:spacing w:before="240" w:after="240" w:line="276" w:lineRule="auto"/>
        <w:jc w:val="both"/>
        <w:rPr>
          <w:rFonts w:ascii="Book Antiqua" w:hAnsi="Book Antiqua" w:cs="Tahoma"/>
          <w:sz w:val="22"/>
          <w:szCs w:val="22"/>
        </w:rPr>
      </w:pPr>
      <w:r w:rsidRPr="00E23B0D">
        <w:rPr>
          <w:rFonts w:ascii="Book Antiqua" w:hAnsi="Book Antiqua" w:cs="Tahoma"/>
          <w:sz w:val="22"/>
          <w:szCs w:val="22"/>
        </w:rPr>
        <w:t>L’appréciation des clients « personnes physiques » sur la répartition des agences bancaires est corrob</w:t>
      </w:r>
      <w:r w:rsidR="00FD2819">
        <w:rPr>
          <w:rFonts w:ascii="Book Antiqua" w:hAnsi="Book Antiqua" w:cs="Tahoma"/>
          <w:sz w:val="22"/>
          <w:szCs w:val="22"/>
        </w:rPr>
        <w:t>or</w:t>
      </w:r>
      <w:r w:rsidRPr="00E23B0D">
        <w:rPr>
          <w:rFonts w:ascii="Book Antiqua" w:hAnsi="Book Antiqua" w:cs="Tahoma"/>
          <w:sz w:val="22"/>
          <w:szCs w:val="22"/>
        </w:rPr>
        <w:t>ée par leur sentiment d’insatisfaction concernant le nombre de points de services</w:t>
      </w:r>
      <w:r w:rsidR="00020CED">
        <w:rPr>
          <w:rFonts w:ascii="Book Antiqua" w:hAnsi="Book Antiqua" w:cs="Tahoma"/>
          <w:sz w:val="22"/>
          <w:szCs w:val="22"/>
        </w:rPr>
        <w:t>. En effet, une proportion de</w:t>
      </w:r>
      <w:r w:rsidR="001E34FC">
        <w:rPr>
          <w:rFonts w:ascii="Book Antiqua" w:hAnsi="Book Antiqua" w:cs="Tahoma"/>
          <w:sz w:val="22"/>
          <w:szCs w:val="22"/>
        </w:rPr>
        <w:t xml:space="preserve"> </w:t>
      </w:r>
      <w:r w:rsidRPr="00E23B0D">
        <w:rPr>
          <w:rFonts w:ascii="Book Antiqua" w:hAnsi="Book Antiqua" w:cs="Tahoma"/>
          <w:sz w:val="22"/>
          <w:szCs w:val="22"/>
        </w:rPr>
        <w:t xml:space="preserve">52,7% </w:t>
      </w:r>
      <w:r w:rsidR="00020CED">
        <w:rPr>
          <w:rFonts w:ascii="Book Antiqua" w:hAnsi="Book Antiqua" w:cs="Tahoma"/>
          <w:sz w:val="22"/>
          <w:szCs w:val="22"/>
        </w:rPr>
        <w:t>de clients</w:t>
      </w:r>
      <w:r w:rsidR="001E34FC">
        <w:rPr>
          <w:rFonts w:ascii="Book Antiqua" w:hAnsi="Book Antiqua" w:cs="Tahoma"/>
          <w:sz w:val="22"/>
          <w:szCs w:val="22"/>
        </w:rPr>
        <w:t xml:space="preserve"> </w:t>
      </w:r>
      <w:r w:rsidRPr="00E23B0D">
        <w:rPr>
          <w:rFonts w:ascii="Book Antiqua" w:hAnsi="Book Antiqua" w:cs="Tahoma"/>
          <w:sz w:val="22"/>
          <w:szCs w:val="22"/>
        </w:rPr>
        <w:t xml:space="preserve">déplore l’insuffisance du nombre d’agences </w:t>
      </w:r>
      <w:r w:rsidR="001E34FC">
        <w:rPr>
          <w:rFonts w:ascii="Book Antiqua" w:hAnsi="Book Antiqua" w:cs="Tahoma"/>
          <w:sz w:val="22"/>
          <w:szCs w:val="22"/>
        </w:rPr>
        <w:t>de leur banque principale</w:t>
      </w:r>
      <w:r w:rsidRPr="00E23B0D">
        <w:rPr>
          <w:rFonts w:ascii="Book Antiqua" w:hAnsi="Book Antiqua" w:cs="Tahoma"/>
          <w:sz w:val="22"/>
          <w:szCs w:val="22"/>
        </w:rPr>
        <w:t xml:space="preserve">, contre 47,3% qui sont d’avis que ce nombre est suffisant.  </w:t>
      </w:r>
    </w:p>
    <w:p w:rsidR="00C124C2" w:rsidRPr="00E23B0D" w:rsidRDefault="007D5698" w:rsidP="00E20E48">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L’analyse selon les localités de résidence des clients met en exergue des niveaux d’insatisfaction élevés concernant le nombre d’agences des banques dans l</w:t>
      </w:r>
      <w:r w:rsidR="00C124C2" w:rsidRPr="00E23B0D">
        <w:rPr>
          <w:rFonts w:ascii="Book Antiqua" w:hAnsi="Book Antiqua" w:cs="Tahoma"/>
          <w:sz w:val="22"/>
          <w:szCs w:val="22"/>
        </w:rPr>
        <w:t xml:space="preserve">es </w:t>
      </w:r>
      <w:r>
        <w:rPr>
          <w:rFonts w:ascii="Book Antiqua" w:hAnsi="Book Antiqua" w:cs="Tahoma"/>
          <w:sz w:val="22"/>
          <w:szCs w:val="22"/>
        </w:rPr>
        <w:t>régions</w:t>
      </w:r>
      <w:r w:rsidR="001E34FC">
        <w:rPr>
          <w:rFonts w:ascii="Book Antiqua" w:hAnsi="Book Antiqua" w:cs="Tahoma"/>
          <w:sz w:val="22"/>
          <w:szCs w:val="22"/>
        </w:rPr>
        <w:t xml:space="preserve"> </w:t>
      </w:r>
      <w:r w:rsidR="00C124C2" w:rsidRPr="00E23B0D">
        <w:rPr>
          <w:rFonts w:ascii="Book Antiqua" w:hAnsi="Book Antiqua" w:cs="Tahoma"/>
          <w:sz w:val="22"/>
          <w:szCs w:val="22"/>
        </w:rPr>
        <w:t>de</w:t>
      </w:r>
      <w:r w:rsidR="001E34FC">
        <w:rPr>
          <w:rFonts w:ascii="Book Antiqua" w:hAnsi="Book Antiqua" w:cs="Tahoma"/>
          <w:sz w:val="22"/>
          <w:szCs w:val="22"/>
        </w:rPr>
        <w:t xml:space="preserve"> </w:t>
      </w:r>
      <w:proofErr w:type="spellStart"/>
      <w:r w:rsidR="00C124C2" w:rsidRPr="00E23B0D">
        <w:rPr>
          <w:rFonts w:ascii="Book Antiqua" w:hAnsi="Book Antiqua" w:cs="Tahoma"/>
          <w:sz w:val="22"/>
          <w:szCs w:val="22"/>
        </w:rPr>
        <w:t>Kaffrine</w:t>
      </w:r>
      <w:proofErr w:type="spellEnd"/>
      <w:r w:rsidR="00C124C2" w:rsidRPr="00E23B0D">
        <w:rPr>
          <w:rFonts w:ascii="Book Antiqua" w:hAnsi="Book Antiqua" w:cs="Tahoma"/>
          <w:sz w:val="22"/>
          <w:szCs w:val="22"/>
        </w:rPr>
        <w:t xml:space="preserve">, </w:t>
      </w:r>
      <w:proofErr w:type="spellStart"/>
      <w:r w:rsidR="00C124C2" w:rsidRPr="00E23B0D">
        <w:rPr>
          <w:rFonts w:ascii="Book Antiqua" w:hAnsi="Book Antiqua" w:cs="Tahoma"/>
          <w:sz w:val="22"/>
          <w:szCs w:val="22"/>
        </w:rPr>
        <w:t>Sédhiou</w:t>
      </w:r>
      <w:proofErr w:type="spellEnd"/>
      <w:r w:rsidR="00C124C2" w:rsidRPr="00E23B0D">
        <w:rPr>
          <w:rFonts w:ascii="Book Antiqua" w:hAnsi="Book Antiqua" w:cs="Tahoma"/>
          <w:sz w:val="22"/>
          <w:szCs w:val="22"/>
        </w:rPr>
        <w:t xml:space="preserve">, Kédougou, Tambacounda et Kolda </w:t>
      </w:r>
      <w:r>
        <w:rPr>
          <w:rFonts w:ascii="Book Antiqua" w:hAnsi="Book Antiqua" w:cs="Tahoma"/>
          <w:sz w:val="22"/>
          <w:szCs w:val="22"/>
        </w:rPr>
        <w:t xml:space="preserve">où il est observé </w:t>
      </w:r>
      <w:r w:rsidR="00C124C2" w:rsidRPr="00E23B0D">
        <w:rPr>
          <w:rFonts w:ascii="Book Antiqua" w:hAnsi="Book Antiqua" w:cs="Tahoma"/>
          <w:sz w:val="22"/>
          <w:szCs w:val="22"/>
        </w:rPr>
        <w:t xml:space="preserve">des taux respectifs de 93,5%, 92,6%, 89,0%, 82,7% et 78,2%. La région de Dakar ressort avec le taux de satisfaction le plus élevé (60,2%). </w:t>
      </w:r>
    </w:p>
    <w:p w:rsidR="001013C8" w:rsidRPr="001013C8" w:rsidRDefault="001013C8" w:rsidP="00D4489E">
      <w:pPr>
        <w:pStyle w:val="Lgende"/>
        <w:keepNext/>
        <w:spacing w:line="276" w:lineRule="auto"/>
        <w:jc w:val="center"/>
        <w:rPr>
          <w:color w:val="auto"/>
        </w:rPr>
      </w:pPr>
      <w:bookmarkStart w:id="256" w:name="_Toc523313835"/>
      <w:r w:rsidRPr="001013C8">
        <w:rPr>
          <w:color w:val="auto"/>
        </w:rPr>
        <w:lastRenderedPageBreak/>
        <w:t xml:space="preserve">Figure </w:t>
      </w:r>
      <w:r w:rsidR="000D65F2" w:rsidRPr="001013C8">
        <w:rPr>
          <w:color w:val="auto"/>
        </w:rPr>
        <w:fldChar w:fldCharType="begin"/>
      </w:r>
      <w:r w:rsidRPr="001013C8">
        <w:rPr>
          <w:color w:val="auto"/>
        </w:rPr>
        <w:instrText xml:space="preserve"> SEQ Figure \* ARABIC </w:instrText>
      </w:r>
      <w:r w:rsidR="000D65F2" w:rsidRPr="001013C8">
        <w:rPr>
          <w:color w:val="auto"/>
        </w:rPr>
        <w:fldChar w:fldCharType="separate"/>
      </w:r>
      <w:r w:rsidR="000F780F">
        <w:rPr>
          <w:noProof/>
          <w:color w:val="auto"/>
        </w:rPr>
        <w:t>152</w:t>
      </w:r>
      <w:r w:rsidR="000D65F2" w:rsidRPr="001013C8">
        <w:rPr>
          <w:color w:val="auto"/>
        </w:rPr>
        <w:fldChar w:fldCharType="end"/>
      </w:r>
      <w:r w:rsidRPr="001013C8">
        <w:rPr>
          <w:color w:val="auto"/>
        </w:rPr>
        <w:t xml:space="preserve"> : Appréciation des enquêtés sur le nombre d'agences bancaires selon les régions</w:t>
      </w:r>
      <w:bookmarkEnd w:id="256"/>
    </w:p>
    <w:p w:rsidR="00C124C2" w:rsidRDefault="00C124C2" w:rsidP="00D4489E">
      <w:pPr>
        <w:spacing w:line="276" w:lineRule="auto"/>
        <w:jc w:val="center"/>
      </w:pPr>
      <w:r w:rsidRPr="00D419C2">
        <w:rPr>
          <w:noProof/>
        </w:rPr>
        <w:drawing>
          <wp:inline distT="0" distB="0" distL="0" distR="0">
            <wp:extent cx="4490625" cy="2653676"/>
            <wp:effectExtent l="19050" t="0" r="24225" b="0"/>
            <wp:docPr id="28"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257D7B" w:rsidRDefault="00257D7B" w:rsidP="00D4489E">
      <w:pPr>
        <w:spacing w:line="276" w:lineRule="auto"/>
        <w:outlineLvl w:val="2"/>
        <w:rPr>
          <w:rFonts w:ascii="Book Antiqua" w:hAnsi="Book Antiqua"/>
          <w:b/>
          <w:sz w:val="22"/>
        </w:rPr>
      </w:pPr>
    </w:p>
    <w:p w:rsidR="00C124C2" w:rsidRPr="00BE3C92" w:rsidRDefault="00C124C2" w:rsidP="00FA22AD">
      <w:pPr>
        <w:spacing w:before="240" w:after="240" w:line="276" w:lineRule="auto"/>
        <w:ind w:firstLine="567"/>
        <w:outlineLvl w:val="2"/>
        <w:rPr>
          <w:rFonts w:ascii="Book Antiqua" w:hAnsi="Book Antiqua"/>
          <w:b/>
          <w:sz w:val="22"/>
        </w:rPr>
      </w:pPr>
      <w:bookmarkStart w:id="257" w:name="_Toc523322091"/>
      <w:r w:rsidRPr="00BE3C92">
        <w:rPr>
          <w:rFonts w:ascii="Book Antiqua" w:hAnsi="Book Antiqua"/>
          <w:b/>
          <w:sz w:val="22"/>
        </w:rPr>
        <w:t>II.2.2. Nombre de caisses fonctionnelles et durée de traitement des opérations de caisse</w:t>
      </w:r>
      <w:bookmarkEnd w:id="257"/>
    </w:p>
    <w:p w:rsidR="00C124C2" w:rsidRPr="00E23B0D" w:rsidRDefault="00C124C2" w:rsidP="00E20E48">
      <w:pPr>
        <w:autoSpaceDE w:val="0"/>
        <w:autoSpaceDN w:val="0"/>
        <w:adjustRightInd w:val="0"/>
        <w:spacing w:before="240" w:after="240" w:line="276" w:lineRule="auto"/>
        <w:jc w:val="both"/>
        <w:rPr>
          <w:rFonts w:ascii="Book Antiqua" w:hAnsi="Book Antiqua" w:cs="Tahoma"/>
          <w:sz w:val="22"/>
          <w:szCs w:val="22"/>
        </w:rPr>
      </w:pPr>
      <w:r w:rsidRPr="00E23B0D">
        <w:rPr>
          <w:rFonts w:ascii="Book Antiqua" w:hAnsi="Book Antiqua" w:cs="Tahoma"/>
          <w:sz w:val="22"/>
          <w:szCs w:val="22"/>
        </w:rPr>
        <w:t xml:space="preserve">D’après les résultats de l’enquête, la perception recueillie auprès des clients </w:t>
      </w:r>
      <w:r w:rsidR="004E7E96">
        <w:rPr>
          <w:rFonts w:ascii="Book Antiqua" w:hAnsi="Book Antiqua" w:cs="Tahoma"/>
          <w:sz w:val="22"/>
          <w:szCs w:val="22"/>
        </w:rPr>
        <w:t>fait ressortir</w:t>
      </w:r>
      <w:r w:rsidR="001E34FC">
        <w:rPr>
          <w:rFonts w:ascii="Book Antiqua" w:hAnsi="Book Antiqua" w:cs="Tahoma"/>
          <w:sz w:val="22"/>
          <w:szCs w:val="22"/>
        </w:rPr>
        <w:t xml:space="preserve"> </w:t>
      </w:r>
      <w:r w:rsidRPr="00E23B0D">
        <w:rPr>
          <w:rFonts w:ascii="Book Antiqua" w:hAnsi="Book Antiqua" w:cs="Tahoma"/>
          <w:sz w:val="22"/>
          <w:szCs w:val="22"/>
        </w:rPr>
        <w:t>qu</w:t>
      </w:r>
      <w:r w:rsidR="004E7E96">
        <w:rPr>
          <w:rFonts w:ascii="Book Antiqua" w:hAnsi="Book Antiqua" w:cs="Tahoma"/>
          <w:sz w:val="22"/>
          <w:szCs w:val="22"/>
        </w:rPr>
        <w:t xml:space="preserve">e la </w:t>
      </w:r>
      <w:r w:rsidR="001E34FC">
        <w:rPr>
          <w:rFonts w:ascii="Book Antiqua" w:hAnsi="Book Antiqua" w:cs="Tahoma"/>
          <w:sz w:val="22"/>
          <w:szCs w:val="22"/>
        </w:rPr>
        <w:t>majorité</w:t>
      </w:r>
      <w:r w:rsidRPr="00E23B0D">
        <w:rPr>
          <w:rFonts w:ascii="Book Antiqua" w:hAnsi="Book Antiqua" w:cs="Tahoma"/>
          <w:sz w:val="22"/>
          <w:szCs w:val="22"/>
        </w:rPr>
        <w:t xml:space="preserve"> (65,6%) juge insuffisant le nombre de caisses des banques, contre 34,4% qui soutiennent le contraire. </w:t>
      </w:r>
    </w:p>
    <w:p w:rsidR="00BE3C92" w:rsidRPr="001013C8" w:rsidRDefault="00C124C2" w:rsidP="00E20E48">
      <w:pPr>
        <w:autoSpaceDE w:val="0"/>
        <w:autoSpaceDN w:val="0"/>
        <w:adjustRightInd w:val="0"/>
        <w:spacing w:before="240" w:after="240" w:line="276" w:lineRule="auto"/>
        <w:jc w:val="both"/>
        <w:rPr>
          <w:rFonts w:ascii="Book Antiqua" w:hAnsi="Book Antiqua" w:cs="Tahoma"/>
          <w:sz w:val="22"/>
          <w:szCs w:val="22"/>
        </w:rPr>
      </w:pPr>
      <w:r w:rsidRPr="002E30E1">
        <w:rPr>
          <w:rFonts w:ascii="Book Antiqua" w:hAnsi="Book Antiqua" w:cs="Tahoma"/>
          <w:sz w:val="22"/>
          <w:szCs w:val="22"/>
        </w:rPr>
        <w:t xml:space="preserve">L’examen des opinions des clients selon la localisation géographique fait ressortir des niveaux d’insatisfaction très élevés notamment à </w:t>
      </w:r>
      <w:proofErr w:type="spellStart"/>
      <w:r w:rsidRPr="002E30E1">
        <w:rPr>
          <w:rFonts w:ascii="Book Antiqua" w:hAnsi="Book Antiqua" w:cs="Tahoma"/>
          <w:sz w:val="22"/>
          <w:szCs w:val="22"/>
        </w:rPr>
        <w:t>Kaffrine</w:t>
      </w:r>
      <w:proofErr w:type="spellEnd"/>
      <w:r w:rsidRPr="002E30E1">
        <w:rPr>
          <w:rFonts w:ascii="Book Antiqua" w:hAnsi="Book Antiqua" w:cs="Tahoma"/>
          <w:sz w:val="22"/>
          <w:szCs w:val="22"/>
        </w:rPr>
        <w:t xml:space="preserve"> (90,9%), Kédougou (90,4%), Tambacounda (86,5%), Diourbel (84,5%), </w:t>
      </w:r>
      <w:proofErr w:type="spellStart"/>
      <w:r w:rsidRPr="002E30E1">
        <w:rPr>
          <w:rFonts w:ascii="Book Antiqua" w:hAnsi="Book Antiqua" w:cs="Tahoma"/>
          <w:sz w:val="22"/>
          <w:szCs w:val="22"/>
        </w:rPr>
        <w:t>Sédhiou</w:t>
      </w:r>
      <w:proofErr w:type="spellEnd"/>
      <w:r w:rsidRPr="002E30E1">
        <w:rPr>
          <w:rFonts w:ascii="Book Antiqua" w:hAnsi="Book Antiqua" w:cs="Tahoma"/>
          <w:sz w:val="22"/>
          <w:szCs w:val="22"/>
        </w:rPr>
        <w:t xml:space="preserve"> (83,3%) et Kaolack (80</w:t>
      </w:r>
      <w:r w:rsidR="004E7E96" w:rsidRPr="002E30E1">
        <w:rPr>
          <w:rFonts w:ascii="Book Antiqua" w:hAnsi="Book Antiqua" w:cs="Tahoma"/>
          <w:sz w:val="22"/>
          <w:szCs w:val="22"/>
        </w:rPr>
        <w:t>,0</w:t>
      </w:r>
      <w:r w:rsidRPr="002E30E1">
        <w:rPr>
          <w:rFonts w:ascii="Book Antiqua" w:hAnsi="Book Antiqua" w:cs="Tahoma"/>
          <w:sz w:val="22"/>
          <w:szCs w:val="22"/>
        </w:rPr>
        <w:t>%). Toutefois, pour une proportion de 40,4% de clients résidant à Dakar</w:t>
      </w:r>
      <w:r w:rsidR="004E7E96" w:rsidRPr="002E30E1">
        <w:rPr>
          <w:rFonts w:ascii="Book Antiqua" w:hAnsi="Book Antiqua" w:cs="Tahoma"/>
          <w:sz w:val="22"/>
          <w:szCs w:val="22"/>
        </w:rPr>
        <w:t xml:space="preserve"> et 45,0% de ceux de </w:t>
      </w:r>
      <w:proofErr w:type="spellStart"/>
      <w:r w:rsidR="004E7E96" w:rsidRPr="002E30E1">
        <w:rPr>
          <w:rFonts w:ascii="Book Antiqua" w:hAnsi="Book Antiqua" w:cs="Tahoma"/>
          <w:sz w:val="22"/>
          <w:szCs w:val="22"/>
        </w:rPr>
        <w:t>Fatick</w:t>
      </w:r>
      <w:proofErr w:type="spellEnd"/>
      <w:r w:rsidRPr="002E30E1">
        <w:rPr>
          <w:rFonts w:ascii="Book Antiqua" w:hAnsi="Book Antiqua" w:cs="Tahoma"/>
          <w:sz w:val="22"/>
          <w:szCs w:val="22"/>
        </w:rPr>
        <w:t>, les guichets des banques sont en nombre suffisant.</w:t>
      </w:r>
    </w:p>
    <w:p w:rsidR="001013C8" w:rsidRPr="001013C8" w:rsidRDefault="001013C8" w:rsidP="00E20E48">
      <w:pPr>
        <w:pStyle w:val="Lgende"/>
        <w:keepNext/>
        <w:spacing w:before="240" w:after="240" w:line="276" w:lineRule="auto"/>
        <w:jc w:val="center"/>
        <w:rPr>
          <w:color w:val="auto"/>
        </w:rPr>
      </w:pPr>
      <w:bookmarkStart w:id="258" w:name="_Toc523313836"/>
      <w:r w:rsidRPr="001013C8">
        <w:rPr>
          <w:color w:val="auto"/>
        </w:rPr>
        <w:t xml:space="preserve">Figure </w:t>
      </w:r>
      <w:r w:rsidR="000D65F2" w:rsidRPr="001013C8">
        <w:rPr>
          <w:color w:val="auto"/>
        </w:rPr>
        <w:fldChar w:fldCharType="begin"/>
      </w:r>
      <w:r w:rsidRPr="001013C8">
        <w:rPr>
          <w:color w:val="auto"/>
        </w:rPr>
        <w:instrText xml:space="preserve"> SEQ Figure \* ARABIC </w:instrText>
      </w:r>
      <w:r w:rsidR="000D65F2" w:rsidRPr="001013C8">
        <w:rPr>
          <w:color w:val="auto"/>
        </w:rPr>
        <w:fldChar w:fldCharType="separate"/>
      </w:r>
      <w:r w:rsidR="000F780F">
        <w:rPr>
          <w:noProof/>
          <w:color w:val="auto"/>
        </w:rPr>
        <w:t>153</w:t>
      </w:r>
      <w:r w:rsidR="000D65F2" w:rsidRPr="001013C8">
        <w:rPr>
          <w:color w:val="auto"/>
        </w:rPr>
        <w:fldChar w:fldCharType="end"/>
      </w:r>
      <w:r w:rsidRPr="001013C8">
        <w:rPr>
          <w:color w:val="auto"/>
        </w:rPr>
        <w:t xml:space="preserve"> : Appréciation des enquêtés sur le nombre de caisses fonctionnelles de leur banque selon les régions</w:t>
      </w:r>
      <w:bookmarkEnd w:id="258"/>
    </w:p>
    <w:p w:rsidR="00C124C2" w:rsidRDefault="00C124C2" w:rsidP="00D4489E">
      <w:pPr>
        <w:spacing w:line="276" w:lineRule="auto"/>
        <w:jc w:val="center"/>
      </w:pPr>
      <w:r w:rsidRPr="008E5FD9">
        <w:rPr>
          <w:noProof/>
        </w:rPr>
        <w:drawing>
          <wp:inline distT="0" distB="0" distL="0" distR="0">
            <wp:extent cx="5761217" cy="2997642"/>
            <wp:effectExtent l="19050" t="0" r="10933" b="0"/>
            <wp:docPr id="2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922E08" w:rsidRDefault="00922E08" w:rsidP="00D4489E">
      <w:pPr>
        <w:spacing w:line="276" w:lineRule="auto"/>
      </w:pPr>
    </w:p>
    <w:p w:rsidR="004E7E96" w:rsidRDefault="004E7E96" w:rsidP="00E20E48">
      <w:pPr>
        <w:autoSpaceDE w:val="0"/>
        <w:autoSpaceDN w:val="0"/>
        <w:adjustRightInd w:val="0"/>
        <w:spacing w:before="240" w:after="240" w:line="276" w:lineRule="auto"/>
        <w:jc w:val="both"/>
        <w:rPr>
          <w:rFonts w:ascii="Book Antiqua" w:hAnsi="Book Antiqua" w:cs="Tahoma"/>
          <w:sz w:val="22"/>
          <w:szCs w:val="22"/>
        </w:rPr>
      </w:pPr>
      <w:r w:rsidRPr="00E23B0D">
        <w:rPr>
          <w:rFonts w:ascii="Book Antiqua" w:hAnsi="Book Antiqua" w:cs="Tahoma"/>
          <w:sz w:val="22"/>
          <w:szCs w:val="22"/>
        </w:rPr>
        <w:lastRenderedPageBreak/>
        <w:t xml:space="preserve">Le sentiment d’insatisfaction des enquêtés reste le même en ce qui concerne la célérité des opérations de caisse avec une proportion de 56,8% des clients qui déplore la lenteur de traitement de celles-ci, contre 43,2% qui en juge satisfaisante la durée. </w:t>
      </w:r>
    </w:p>
    <w:p w:rsidR="00EF4E71" w:rsidRPr="00E23B0D" w:rsidRDefault="00EF4E71" w:rsidP="00E20E48">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 xml:space="preserve">L’analyse des résultats suivant les régions met en exergue une insatisfaction plus prononcée chez les clients résidant dans les localités de </w:t>
      </w:r>
      <w:proofErr w:type="spellStart"/>
      <w:r>
        <w:rPr>
          <w:rFonts w:ascii="Book Antiqua" w:hAnsi="Book Antiqua" w:cs="Tahoma"/>
          <w:sz w:val="22"/>
          <w:szCs w:val="22"/>
        </w:rPr>
        <w:t>Kaffrine</w:t>
      </w:r>
      <w:proofErr w:type="spellEnd"/>
      <w:r>
        <w:rPr>
          <w:rFonts w:ascii="Book Antiqua" w:hAnsi="Book Antiqua" w:cs="Tahoma"/>
          <w:sz w:val="22"/>
          <w:szCs w:val="22"/>
        </w:rPr>
        <w:t xml:space="preserve">, Tambacounda et </w:t>
      </w:r>
      <w:r w:rsidR="00A80C20">
        <w:rPr>
          <w:rFonts w:ascii="Book Antiqua" w:hAnsi="Book Antiqua" w:cs="Tahoma"/>
          <w:sz w:val="22"/>
          <w:szCs w:val="22"/>
        </w:rPr>
        <w:t xml:space="preserve">Kédougou </w:t>
      </w:r>
      <w:r>
        <w:rPr>
          <w:rFonts w:ascii="Book Antiqua" w:hAnsi="Book Antiqua" w:cs="Tahoma"/>
          <w:sz w:val="22"/>
          <w:szCs w:val="22"/>
        </w:rPr>
        <w:t>avec des taux respectifs de 85,7%, 81,7% et 80,8%.</w:t>
      </w:r>
    </w:p>
    <w:p w:rsidR="00C124C2" w:rsidRPr="00AD2FA8" w:rsidRDefault="00C124C2" w:rsidP="00FA22AD">
      <w:pPr>
        <w:spacing w:before="240" w:after="240" w:line="276" w:lineRule="auto"/>
        <w:ind w:firstLine="284"/>
        <w:outlineLvl w:val="1"/>
        <w:rPr>
          <w:rFonts w:ascii="Book Antiqua" w:hAnsi="Book Antiqua"/>
          <w:b/>
          <w:sz w:val="22"/>
        </w:rPr>
      </w:pPr>
      <w:bookmarkStart w:id="259" w:name="_Toc523322092"/>
      <w:r w:rsidRPr="00AD2FA8">
        <w:rPr>
          <w:rFonts w:ascii="Book Antiqua" w:hAnsi="Book Antiqua"/>
          <w:b/>
          <w:sz w:val="22"/>
        </w:rPr>
        <w:t>II.3. Satisfaction sur les services des GAB</w:t>
      </w:r>
      <w:bookmarkEnd w:id="259"/>
    </w:p>
    <w:p w:rsidR="00C124C2" w:rsidRDefault="00C124C2" w:rsidP="00E20E48">
      <w:pPr>
        <w:autoSpaceDE w:val="0"/>
        <w:autoSpaceDN w:val="0"/>
        <w:adjustRightInd w:val="0"/>
        <w:spacing w:before="240" w:after="240" w:line="276" w:lineRule="auto"/>
        <w:jc w:val="both"/>
        <w:rPr>
          <w:rFonts w:ascii="Book Antiqua" w:hAnsi="Book Antiqua" w:cs="Tahoma"/>
          <w:sz w:val="22"/>
          <w:szCs w:val="22"/>
        </w:rPr>
      </w:pPr>
      <w:r w:rsidRPr="00E23B0D">
        <w:rPr>
          <w:rFonts w:ascii="Book Antiqua" w:hAnsi="Book Antiqua" w:cs="Tahoma"/>
          <w:sz w:val="22"/>
          <w:szCs w:val="22"/>
        </w:rPr>
        <w:t>La perception des clients sur les services des GAB de</w:t>
      </w:r>
      <w:r w:rsidR="00A6388D">
        <w:rPr>
          <w:rFonts w:ascii="Book Antiqua" w:hAnsi="Book Antiqua" w:cs="Tahoma"/>
          <w:sz w:val="22"/>
          <w:szCs w:val="22"/>
        </w:rPr>
        <w:t xml:space="preserve"> leur</w:t>
      </w:r>
      <w:r w:rsidRPr="00E23B0D">
        <w:rPr>
          <w:rFonts w:ascii="Book Antiqua" w:hAnsi="Book Antiqua" w:cs="Tahoma"/>
          <w:sz w:val="22"/>
          <w:szCs w:val="22"/>
        </w:rPr>
        <w:t xml:space="preserve">s banques est </w:t>
      </w:r>
      <w:r w:rsidR="00386BC8">
        <w:rPr>
          <w:rFonts w:ascii="Book Antiqua" w:hAnsi="Book Antiqua" w:cs="Tahoma"/>
          <w:sz w:val="22"/>
          <w:szCs w:val="22"/>
        </w:rPr>
        <w:t>analysée</w:t>
      </w:r>
      <w:r w:rsidR="004665E5">
        <w:rPr>
          <w:rFonts w:ascii="Book Antiqua" w:hAnsi="Book Antiqua" w:cs="Tahoma"/>
          <w:sz w:val="22"/>
          <w:szCs w:val="22"/>
        </w:rPr>
        <w:t xml:space="preserve"> </w:t>
      </w:r>
      <w:r w:rsidRPr="00E23B0D">
        <w:rPr>
          <w:rFonts w:ascii="Book Antiqua" w:hAnsi="Book Antiqua" w:cs="Tahoma"/>
          <w:sz w:val="22"/>
          <w:szCs w:val="22"/>
        </w:rPr>
        <w:t>à travers l’utilisation et la répartition géographique des GAB ainsi que leur fonctionnalité.</w:t>
      </w:r>
    </w:p>
    <w:p w:rsidR="00C124C2" w:rsidRPr="001013C8" w:rsidRDefault="00C124C2" w:rsidP="00FA22AD">
      <w:pPr>
        <w:spacing w:before="240" w:after="240" w:line="276" w:lineRule="auto"/>
        <w:ind w:firstLine="567"/>
        <w:outlineLvl w:val="2"/>
        <w:rPr>
          <w:rFonts w:ascii="Book Antiqua" w:hAnsi="Book Antiqua"/>
          <w:b/>
          <w:sz w:val="22"/>
          <w:szCs w:val="22"/>
        </w:rPr>
      </w:pPr>
      <w:bookmarkStart w:id="260" w:name="_Toc523322093"/>
      <w:r w:rsidRPr="001013C8">
        <w:rPr>
          <w:rFonts w:ascii="Book Antiqua" w:hAnsi="Book Antiqua"/>
          <w:b/>
          <w:sz w:val="22"/>
          <w:szCs w:val="22"/>
        </w:rPr>
        <w:t>II.3.1. U</w:t>
      </w:r>
      <w:r w:rsidR="00AD2FA8" w:rsidRPr="001013C8">
        <w:rPr>
          <w:rFonts w:ascii="Book Antiqua" w:hAnsi="Book Antiqua"/>
          <w:b/>
          <w:sz w:val="22"/>
          <w:szCs w:val="22"/>
        </w:rPr>
        <w:t>tilisation des services des GAB</w:t>
      </w:r>
      <w:bookmarkEnd w:id="260"/>
    </w:p>
    <w:p w:rsidR="00C124C2" w:rsidRDefault="00386BC8" w:rsidP="00E20E48">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 xml:space="preserve">Une proportion de </w:t>
      </w:r>
      <w:r w:rsidR="00C124C2" w:rsidRPr="00E23B0D">
        <w:rPr>
          <w:rFonts w:ascii="Book Antiqua" w:hAnsi="Book Antiqua" w:cs="Tahoma"/>
          <w:sz w:val="22"/>
          <w:szCs w:val="22"/>
        </w:rPr>
        <w:t xml:space="preserve">73,2% des individus enquêtés déclare </w:t>
      </w:r>
      <w:r>
        <w:rPr>
          <w:rFonts w:ascii="Book Antiqua" w:hAnsi="Book Antiqua" w:cs="Tahoma"/>
          <w:sz w:val="22"/>
          <w:szCs w:val="22"/>
        </w:rPr>
        <w:t>détenir une</w:t>
      </w:r>
      <w:r w:rsidR="00C124C2" w:rsidRPr="00E23B0D">
        <w:rPr>
          <w:rFonts w:ascii="Book Antiqua" w:hAnsi="Book Antiqua" w:cs="Tahoma"/>
          <w:sz w:val="22"/>
          <w:szCs w:val="22"/>
        </w:rPr>
        <w:t xml:space="preserve"> carte bancaire, contre 26,8% qui n’en disposent pas. </w:t>
      </w:r>
      <w:r>
        <w:rPr>
          <w:rFonts w:ascii="Book Antiqua" w:hAnsi="Book Antiqua" w:cs="Tahoma"/>
          <w:sz w:val="22"/>
          <w:szCs w:val="22"/>
        </w:rPr>
        <w:t>Il apparait à l’examen des résultats que l</w:t>
      </w:r>
      <w:r w:rsidR="00C124C2" w:rsidRPr="00E23B0D">
        <w:rPr>
          <w:rFonts w:ascii="Book Antiqua" w:hAnsi="Book Antiqua" w:cs="Tahoma"/>
          <w:sz w:val="22"/>
          <w:szCs w:val="22"/>
        </w:rPr>
        <w:t xml:space="preserve">a propension à </w:t>
      </w:r>
      <w:r>
        <w:rPr>
          <w:rFonts w:ascii="Book Antiqua" w:hAnsi="Book Antiqua" w:cs="Tahoma"/>
          <w:sz w:val="22"/>
          <w:szCs w:val="22"/>
        </w:rPr>
        <w:t>détenir une</w:t>
      </w:r>
      <w:r w:rsidR="00C124C2" w:rsidRPr="00E23B0D">
        <w:rPr>
          <w:rFonts w:ascii="Book Antiqua" w:hAnsi="Book Antiqua" w:cs="Tahoma"/>
          <w:sz w:val="22"/>
          <w:szCs w:val="22"/>
        </w:rPr>
        <w:t xml:space="preserve"> carte bancaire est </w:t>
      </w:r>
      <w:r>
        <w:rPr>
          <w:rFonts w:ascii="Book Antiqua" w:hAnsi="Book Antiqua" w:cs="Tahoma"/>
          <w:sz w:val="22"/>
          <w:szCs w:val="22"/>
        </w:rPr>
        <w:t xml:space="preserve">quasiment </w:t>
      </w:r>
      <w:r w:rsidR="004C04BF">
        <w:rPr>
          <w:rFonts w:ascii="Book Antiqua" w:hAnsi="Book Antiqua" w:cs="Tahoma"/>
          <w:sz w:val="22"/>
          <w:szCs w:val="22"/>
        </w:rPr>
        <w:t xml:space="preserve">identique </w:t>
      </w:r>
      <w:r w:rsidR="00C124C2" w:rsidRPr="00E23B0D">
        <w:rPr>
          <w:rFonts w:ascii="Book Antiqua" w:hAnsi="Book Antiqua" w:cs="Tahoma"/>
          <w:sz w:val="22"/>
          <w:szCs w:val="22"/>
        </w:rPr>
        <w:t>chez les hommes (</w:t>
      </w:r>
      <w:r>
        <w:rPr>
          <w:rFonts w:ascii="Book Antiqua" w:hAnsi="Book Antiqua" w:cs="Tahoma"/>
          <w:sz w:val="22"/>
          <w:szCs w:val="22"/>
        </w:rPr>
        <w:t>73</w:t>
      </w:r>
      <w:r w:rsidR="00C124C2" w:rsidRPr="00E23B0D">
        <w:rPr>
          <w:rFonts w:ascii="Book Antiqua" w:hAnsi="Book Antiqua" w:cs="Tahoma"/>
          <w:sz w:val="22"/>
          <w:szCs w:val="22"/>
        </w:rPr>
        <w:t>,</w:t>
      </w:r>
      <w:r>
        <w:rPr>
          <w:rFonts w:ascii="Book Antiqua" w:hAnsi="Book Antiqua" w:cs="Tahoma"/>
          <w:sz w:val="22"/>
          <w:szCs w:val="22"/>
        </w:rPr>
        <w:t>6</w:t>
      </w:r>
      <w:r w:rsidR="00C124C2" w:rsidRPr="00E23B0D">
        <w:rPr>
          <w:rFonts w:ascii="Book Antiqua" w:hAnsi="Book Antiqua" w:cs="Tahoma"/>
          <w:sz w:val="22"/>
          <w:szCs w:val="22"/>
        </w:rPr>
        <w:t xml:space="preserve">%) </w:t>
      </w:r>
      <w:r w:rsidR="000E4B9E">
        <w:rPr>
          <w:rFonts w:ascii="Book Antiqua" w:hAnsi="Book Antiqua" w:cs="Tahoma"/>
          <w:sz w:val="22"/>
          <w:szCs w:val="22"/>
        </w:rPr>
        <w:t>et</w:t>
      </w:r>
      <w:r w:rsidR="004665E5">
        <w:rPr>
          <w:rFonts w:ascii="Book Antiqua" w:hAnsi="Book Antiqua" w:cs="Tahoma"/>
          <w:sz w:val="22"/>
          <w:szCs w:val="22"/>
        </w:rPr>
        <w:t xml:space="preserve"> </w:t>
      </w:r>
      <w:r w:rsidR="00C124C2" w:rsidRPr="00E23B0D">
        <w:rPr>
          <w:rFonts w:ascii="Book Antiqua" w:hAnsi="Book Antiqua" w:cs="Tahoma"/>
          <w:sz w:val="22"/>
          <w:szCs w:val="22"/>
        </w:rPr>
        <w:t>chez les femmes (</w:t>
      </w:r>
      <w:r>
        <w:rPr>
          <w:rFonts w:ascii="Book Antiqua" w:hAnsi="Book Antiqua" w:cs="Tahoma"/>
          <w:sz w:val="22"/>
          <w:szCs w:val="22"/>
        </w:rPr>
        <w:t>71,8</w:t>
      </w:r>
      <w:r w:rsidR="004C04BF">
        <w:rPr>
          <w:rFonts w:ascii="Book Antiqua" w:hAnsi="Book Antiqua" w:cs="Tahoma"/>
          <w:sz w:val="22"/>
          <w:szCs w:val="22"/>
        </w:rPr>
        <w:t>%</w:t>
      </w:r>
      <w:r w:rsidR="00C124C2" w:rsidRPr="00E23B0D">
        <w:rPr>
          <w:rFonts w:ascii="Book Antiqua" w:hAnsi="Book Antiqua" w:cs="Tahoma"/>
          <w:sz w:val="22"/>
          <w:szCs w:val="22"/>
        </w:rPr>
        <w:t>)</w:t>
      </w:r>
      <w:r>
        <w:rPr>
          <w:rFonts w:ascii="Book Antiqua" w:hAnsi="Book Antiqua" w:cs="Tahoma"/>
          <w:sz w:val="22"/>
          <w:szCs w:val="22"/>
        </w:rPr>
        <w:t>.</w:t>
      </w:r>
    </w:p>
    <w:p w:rsidR="004405E5" w:rsidRDefault="004405E5" w:rsidP="00E20E48">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L’analyse basée sur les catégories socioprofessionnelles fait apparaitre que les éleveurs, les agriculteurs et les artisans enregistrent les plus faibles taux de détention de carte bancaire avec des proportions respectives de 25,0%, 45,2% et 56,3%.</w:t>
      </w:r>
    </w:p>
    <w:p w:rsidR="00145500" w:rsidRDefault="004405E5" w:rsidP="00E20E48">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Suivant la nature de l’activité, il est observé que les titulaires de carte</w:t>
      </w:r>
      <w:r w:rsidR="000E4B9E">
        <w:rPr>
          <w:rFonts w:ascii="Book Antiqua" w:hAnsi="Book Antiqua" w:cs="Tahoma"/>
          <w:sz w:val="22"/>
          <w:szCs w:val="22"/>
        </w:rPr>
        <w:t>s</w:t>
      </w:r>
      <w:r>
        <w:rPr>
          <w:rFonts w:ascii="Book Antiqua" w:hAnsi="Book Antiqua" w:cs="Tahoma"/>
          <w:sz w:val="22"/>
          <w:szCs w:val="22"/>
        </w:rPr>
        <w:t xml:space="preserve"> bancaires sont plus représentatifs chez les clients relevant du secteur moderne (75,5%) que chez ceux issus de l’informel (58,9%)</w:t>
      </w:r>
      <w:r w:rsidR="00145500">
        <w:rPr>
          <w:rFonts w:ascii="Book Antiqua" w:hAnsi="Book Antiqua" w:cs="Tahoma"/>
          <w:sz w:val="22"/>
          <w:szCs w:val="22"/>
        </w:rPr>
        <w:t>.</w:t>
      </w:r>
    </w:p>
    <w:p w:rsidR="004405E5" w:rsidRPr="00E23B0D" w:rsidRDefault="00145500" w:rsidP="00E20E48">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L’exploitation des résultats selon le niveau d’instruction montre que les clients ayant un niveau secondaire en arabe (50,0%), ceux de l’enseignement coranique (53,6%), ceux dont les études se sont arrêté au niveau primaire (57,4%) et les clients non instruits (58,5%) affichent les taux de détention de carte bancaire les plus faibles.</w:t>
      </w:r>
    </w:p>
    <w:p w:rsidR="00C0696A" w:rsidRDefault="00386BC8" w:rsidP="00E20E48">
      <w:pPr>
        <w:autoSpaceDE w:val="0"/>
        <w:autoSpaceDN w:val="0"/>
        <w:adjustRightInd w:val="0"/>
        <w:spacing w:before="240" w:after="240" w:line="276" w:lineRule="auto"/>
        <w:jc w:val="both"/>
        <w:rPr>
          <w:rFonts w:ascii="Book Antiqua" w:hAnsi="Book Antiqua" w:cs="Tahoma"/>
          <w:sz w:val="22"/>
          <w:szCs w:val="22"/>
        </w:rPr>
      </w:pPr>
      <w:r w:rsidRPr="00E23B0D">
        <w:rPr>
          <w:rFonts w:ascii="Book Antiqua" w:hAnsi="Book Antiqua" w:cs="Tahoma"/>
          <w:sz w:val="22"/>
          <w:szCs w:val="22"/>
        </w:rPr>
        <w:t>Parmi les détenteurs de cartes</w:t>
      </w:r>
      <w:r w:rsidR="00043786">
        <w:rPr>
          <w:rFonts w:ascii="Book Antiqua" w:hAnsi="Book Antiqua" w:cs="Tahoma"/>
          <w:sz w:val="22"/>
          <w:szCs w:val="22"/>
        </w:rPr>
        <w:t xml:space="preserve"> (73,2% des enquêtés)</w:t>
      </w:r>
      <w:r w:rsidRPr="00E23B0D">
        <w:rPr>
          <w:rFonts w:ascii="Book Antiqua" w:hAnsi="Book Antiqua" w:cs="Tahoma"/>
          <w:sz w:val="22"/>
          <w:szCs w:val="22"/>
        </w:rPr>
        <w:t xml:space="preserve">, une proportion de </w:t>
      </w:r>
      <w:r w:rsidR="00043786">
        <w:rPr>
          <w:rFonts w:ascii="Book Antiqua" w:hAnsi="Book Antiqua" w:cs="Tahoma"/>
          <w:sz w:val="22"/>
          <w:szCs w:val="22"/>
        </w:rPr>
        <w:t>88,1</w:t>
      </w:r>
      <w:r w:rsidRPr="00E23B0D">
        <w:rPr>
          <w:rFonts w:ascii="Book Antiqua" w:hAnsi="Book Antiqua" w:cs="Tahoma"/>
          <w:sz w:val="22"/>
          <w:szCs w:val="22"/>
        </w:rPr>
        <w:t xml:space="preserve">% déclare en faire usage </w:t>
      </w:r>
      <w:r w:rsidR="00043786">
        <w:rPr>
          <w:rFonts w:ascii="Book Antiqua" w:hAnsi="Book Antiqua" w:cs="Tahoma"/>
          <w:sz w:val="22"/>
          <w:szCs w:val="22"/>
        </w:rPr>
        <w:t>contre 11,9% dont les cartes ne sont pas utilisées</w:t>
      </w:r>
      <w:r w:rsidRPr="00E23B0D">
        <w:rPr>
          <w:rFonts w:ascii="Book Antiqua" w:hAnsi="Book Antiqua" w:cs="Tahoma"/>
          <w:sz w:val="22"/>
          <w:szCs w:val="22"/>
        </w:rPr>
        <w:t xml:space="preserve">. </w:t>
      </w:r>
    </w:p>
    <w:p w:rsidR="00C124C2" w:rsidRPr="00A80C20" w:rsidRDefault="00C0696A" w:rsidP="00E20E48">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Les clients</w:t>
      </w:r>
      <w:r w:rsidR="004665E5">
        <w:rPr>
          <w:rFonts w:ascii="Book Antiqua" w:hAnsi="Book Antiqua" w:cs="Tahoma"/>
          <w:sz w:val="22"/>
          <w:szCs w:val="22"/>
        </w:rPr>
        <w:t xml:space="preserve"> </w:t>
      </w:r>
      <w:r>
        <w:rPr>
          <w:rFonts w:ascii="Book Antiqua" w:hAnsi="Book Antiqua" w:cs="Tahoma"/>
          <w:sz w:val="22"/>
          <w:szCs w:val="22"/>
        </w:rPr>
        <w:t>non instruits</w:t>
      </w:r>
      <w:r w:rsidR="005D0BB0">
        <w:rPr>
          <w:rFonts w:ascii="Book Antiqua" w:hAnsi="Book Antiqua" w:cs="Tahoma"/>
          <w:sz w:val="22"/>
          <w:szCs w:val="22"/>
        </w:rPr>
        <w:t xml:space="preserve"> (32,3%),</w:t>
      </w:r>
      <w:r>
        <w:rPr>
          <w:rFonts w:ascii="Book Antiqua" w:hAnsi="Book Antiqua" w:cs="Tahoma"/>
          <w:sz w:val="22"/>
          <w:szCs w:val="22"/>
        </w:rPr>
        <w:t xml:space="preserve"> ceux de niveau BAC+2 </w:t>
      </w:r>
      <w:r w:rsidR="004665E5">
        <w:rPr>
          <w:rFonts w:ascii="Book Antiqua" w:hAnsi="Book Antiqua" w:cs="Tahoma"/>
          <w:sz w:val="22"/>
          <w:szCs w:val="22"/>
        </w:rPr>
        <w:t>(21,4%)</w:t>
      </w:r>
      <w:r w:rsidR="005D0BB0">
        <w:rPr>
          <w:rFonts w:ascii="Book Antiqua" w:hAnsi="Book Antiqua" w:cs="Tahoma"/>
          <w:sz w:val="22"/>
          <w:szCs w:val="22"/>
        </w:rPr>
        <w:t xml:space="preserve"> </w:t>
      </w:r>
      <w:r>
        <w:rPr>
          <w:rFonts w:ascii="Book Antiqua" w:hAnsi="Book Antiqua" w:cs="Tahoma"/>
          <w:sz w:val="22"/>
          <w:szCs w:val="22"/>
        </w:rPr>
        <w:t>ou BAC +3 en arabe</w:t>
      </w:r>
      <w:r w:rsidR="005D0BB0">
        <w:rPr>
          <w:rFonts w:ascii="Book Antiqua" w:hAnsi="Book Antiqua" w:cs="Tahoma"/>
          <w:sz w:val="22"/>
          <w:szCs w:val="22"/>
        </w:rPr>
        <w:t xml:space="preserve"> (21,2%)</w:t>
      </w:r>
      <w:r>
        <w:rPr>
          <w:rFonts w:ascii="Book Antiqua" w:hAnsi="Book Antiqua" w:cs="Tahoma"/>
          <w:sz w:val="22"/>
          <w:szCs w:val="22"/>
        </w:rPr>
        <w:t xml:space="preserve">, de l’enseignement coranique ou ayant un niveau secondaire en arabe </w:t>
      </w:r>
      <w:r w:rsidR="005D0BB0">
        <w:rPr>
          <w:rFonts w:ascii="Book Antiqua" w:hAnsi="Book Antiqua" w:cs="Tahoma"/>
          <w:sz w:val="22"/>
          <w:szCs w:val="22"/>
        </w:rPr>
        <w:t xml:space="preserve">(20,0%) </w:t>
      </w:r>
      <w:r>
        <w:rPr>
          <w:rFonts w:ascii="Book Antiqua" w:hAnsi="Book Antiqua" w:cs="Tahoma"/>
          <w:sz w:val="22"/>
          <w:szCs w:val="22"/>
        </w:rPr>
        <w:t xml:space="preserve">ressortent avec les fréquences d’utilisation de la </w:t>
      </w:r>
      <w:r w:rsidR="005D0BB0">
        <w:rPr>
          <w:rFonts w:ascii="Book Antiqua" w:hAnsi="Book Antiqua" w:cs="Tahoma"/>
          <w:sz w:val="22"/>
          <w:szCs w:val="22"/>
        </w:rPr>
        <w:t>carte bancaire les plus faibles.</w:t>
      </w:r>
    </w:p>
    <w:p w:rsidR="00C124C2" w:rsidRDefault="00C124C2" w:rsidP="00E20E48">
      <w:pPr>
        <w:autoSpaceDE w:val="0"/>
        <w:autoSpaceDN w:val="0"/>
        <w:adjustRightInd w:val="0"/>
        <w:spacing w:before="240" w:after="240" w:line="276" w:lineRule="auto"/>
        <w:jc w:val="both"/>
        <w:rPr>
          <w:rFonts w:ascii="Book Antiqua" w:hAnsi="Book Antiqua" w:cs="Tahoma"/>
          <w:sz w:val="22"/>
          <w:szCs w:val="22"/>
        </w:rPr>
      </w:pPr>
      <w:r w:rsidRPr="00E23B0D">
        <w:rPr>
          <w:rFonts w:ascii="Book Antiqua" w:hAnsi="Book Antiqua" w:cs="Tahoma"/>
          <w:sz w:val="22"/>
          <w:szCs w:val="22"/>
        </w:rPr>
        <w:t xml:space="preserve">Par ailleurs, une analyse croisée des informations recueillies de l’enquête montre que l’usage de la carte bancaire décline avec l’âge des enquêtés : des taux d’utilisation de </w:t>
      </w:r>
      <w:r w:rsidR="00C0696A">
        <w:rPr>
          <w:rFonts w:ascii="Book Antiqua" w:hAnsi="Book Antiqua" w:cs="Tahoma"/>
          <w:sz w:val="22"/>
          <w:szCs w:val="22"/>
        </w:rPr>
        <w:t>90</w:t>
      </w:r>
      <w:r w:rsidRPr="00E23B0D">
        <w:rPr>
          <w:rFonts w:ascii="Book Antiqua" w:hAnsi="Book Antiqua" w:cs="Tahoma"/>
          <w:sz w:val="22"/>
          <w:szCs w:val="22"/>
        </w:rPr>
        <w:t>,</w:t>
      </w:r>
      <w:r w:rsidR="00C0696A">
        <w:rPr>
          <w:rFonts w:ascii="Book Antiqua" w:hAnsi="Book Antiqua" w:cs="Tahoma"/>
          <w:sz w:val="22"/>
          <w:szCs w:val="22"/>
        </w:rPr>
        <w:t>2</w:t>
      </w:r>
      <w:r w:rsidRPr="00E23B0D">
        <w:rPr>
          <w:rFonts w:ascii="Book Antiqua" w:hAnsi="Book Antiqua" w:cs="Tahoma"/>
          <w:sz w:val="22"/>
          <w:szCs w:val="22"/>
        </w:rPr>
        <w:t xml:space="preserve">%, </w:t>
      </w:r>
      <w:r w:rsidR="00235E18">
        <w:rPr>
          <w:rFonts w:ascii="Book Antiqua" w:hAnsi="Book Antiqua" w:cs="Tahoma"/>
          <w:sz w:val="22"/>
          <w:szCs w:val="22"/>
        </w:rPr>
        <w:t>90</w:t>
      </w:r>
      <w:r w:rsidRPr="00E23B0D">
        <w:rPr>
          <w:rFonts w:ascii="Book Antiqua" w:hAnsi="Book Antiqua" w:cs="Tahoma"/>
          <w:sz w:val="22"/>
          <w:szCs w:val="22"/>
        </w:rPr>
        <w:t xml:space="preserve">,2%, </w:t>
      </w:r>
      <w:r w:rsidR="00235E18">
        <w:rPr>
          <w:rFonts w:ascii="Book Antiqua" w:hAnsi="Book Antiqua" w:cs="Tahoma"/>
          <w:sz w:val="22"/>
          <w:szCs w:val="22"/>
        </w:rPr>
        <w:t>88,4</w:t>
      </w:r>
      <w:r w:rsidRPr="00E23B0D">
        <w:rPr>
          <w:rFonts w:ascii="Book Antiqua" w:hAnsi="Book Antiqua" w:cs="Tahoma"/>
          <w:sz w:val="22"/>
          <w:szCs w:val="22"/>
        </w:rPr>
        <w:t xml:space="preserve">%, </w:t>
      </w:r>
      <w:r w:rsidR="00235E18">
        <w:rPr>
          <w:rFonts w:ascii="Book Antiqua" w:hAnsi="Book Antiqua" w:cs="Tahoma"/>
          <w:sz w:val="22"/>
          <w:szCs w:val="22"/>
        </w:rPr>
        <w:t>85,3</w:t>
      </w:r>
      <w:r w:rsidRPr="00E23B0D">
        <w:rPr>
          <w:rFonts w:ascii="Book Antiqua" w:hAnsi="Book Antiqua" w:cs="Tahoma"/>
          <w:sz w:val="22"/>
          <w:szCs w:val="22"/>
        </w:rPr>
        <w:t xml:space="preserve">%, </w:t>
      </w:r>
      <w:r w:rsidR="00235E18">
        <w:rPr>
          <w:rFonts w:ascii="Book Antiqua" w:hAnsi="Book Antiqua" w:cs="Tahoma"/>
          <w:sz w:val="22"/>
          <w:szCs w:val="22"/>
        </w:rPr>
        <w:t>83,6</w:t>
      </w:r>
      <w:r w:rsidRPr="00E23B0D">
        <w:rPr>
          <w:rFonts w:ascii="Book Antiqua" w:hAnsi="Book Antiqua" w:cs="Tahoma"/>
          <w:sz w:val="22"/>
          <w:szCs w:val="22"/>
        </w:rPr>
        <w:t xml:space="preserve">% et </w:t>
      </w:r>
      <w:r w:rsidR="00235E18">
        <w:rPr>
          <w:rFonts w:ascii="Book Antiqua" w:hAnsi="Book Antiqua" w:cs="Tahoma"/>
          <w:sz w:val="22"/>
          <w:szCs w:val="22"/>
        </w:rPr>
        <w:t>8</w:t>
      </w:r>
      <w:r w:rsidR="00235E18" w:rsidRPr="00E23B0D">
        <w:rPr>
          <w:rFonts w:ascii="Book Antiqua" w:hAnsi="Book Antiqua" w:cs="Tahoma"/>
          <w:sz w:val="22"/>
          <w:szCs w:val="22"/>
        </w:rPr>
        <w:t>0</w:t>
      </w:r>
      <w:r w:rsidRPr="00E23B0D">
        <w:rPr>
          <w:rFonts w:ascii="Book Antiqua" w:hAnsi="Book Antiqua" w:cs="Tahoma"/>
          <w:sz w:val="22"/>
          <w:szCs w:val="22"/>
        </w:rPr>
        <w:t>,0% sont relevés respectivement chez les classes d’âge [18-24ans], [25-34ans], [35-44</w:t>
      </w:r>
      <w:r w:rsidR="004665E5">
        <w:rPr>
          <w:rFonts w:ascii="Book Antiqua" w:hAnsi="Book Antiqua" w:cs="Tahoma"/>
          <w:sz w:val="22"/>
          <w:szCs w:val="22"/>
        </w:rPr>
        <w:t xml:space="preserve"> </w:t>
      </w:r>
      <w:r w:rsidRPr="00E23B0D">
        <w:rPr>
          <w:rFonts w:ascii="Book Antiqua" w:hAnsi="Book Antiqua" w:cs="Tahoma"/>
          <w:sz w:val="22"/>
          <w:szCs w:val="22"/>
        </w:rPr>
        <w:t>ans], [45-54</w:t>
      </w:r>
      <w:r w:rsidR="004665E5">
        <w:rPr>
          <w:rFonts w:ascii="Book Antiqua" w:hAnsi="Book Antiqua" w:cs="Tahoma"/>
          <w:sz w:val="22"/>
          <w:szCs w:val="22"/>
        </w:rPr>
        <w:t xml:space="preserve"> </w:t>
      </w:r>
      <w:r w:rsidRPr="00E23B0D">
        <w:rPr>
          <w:rFonts w:ascii="Book Antiqua" w:hAnsi="Book Antiqua" w:cs="Tahoma"/>
          <w:sz w:val="22"/>
          <w:szCs w:val="22"/>
        </w:rPr>
        <w:t>ans], [55-64</w:t>
      </w:r>
      <w:r w:rsidR="004665E5">
        <w:rPr>
          <w:rFonts w:ascii="Book Antiqua" w:hAnsi="Book Antiqua" w:cs="Tahoma"/>
          <w:sz w:val="22"/>
          <w:szCs w:val="22"/>
        </w:rPr>
        <w:t xml:space="preserve"> </w:t>
      </w:r>
      <w:r w:rsidRPr="00E23B0D">
        <w:rPr>
          <w:rFonts w:ascii="Book Antiqua" w:hAnsi="Book Antiqua" w:cs="Tahoma"/>
          <w:sz w:val="22"/>
          <w:szCs w:val="22"/>
        </w:rPr>
        <w:t>ans] et [65</w:t>
      </w:r>
      <w:r w:rsidR="004665E5">
        <w:rPr>
          <w:rFonts w:ascii="Book Antiqua" w:hAnsi="Book Antiqua" w:cs="Tahoma"/>
          <w:sz w:val="22"/>
          <w:szCs w:val="22"/>
        </w:rPr>
        <w:t xml:space="preserve"> </w:t>
      </w:r>
      <w:r w:rsidRPr="00E23B0D">
        <w:rPr>
          <w:rFonts w:ascii="Book Antiqua" w:hAnsi="Book Antiqua" w:cs="Tahoma"/>
          <w:sz w:val="22"/>
          <w:szCs w:val="22"/>
        </w:rPr>
        <w:t xml:space="preserve">ans et plus]. </w:t>
      </w:r>
    </w:p>
    <w:p w:rsidR="00D24B39" w:rsidRDefault="00D24B39" w:rsidP="00D4489E">
      <w:pPr>
        <w:autoSpaceDE w:val="0"/>
        <w:autoSpaceDN w:val="0"/>
        <w:adjustRightInd w:val="0"/>
        <w:spacing w:before="120" w:line="276" w:lineRule="auto"/>
        <w:jc w:val="both"/>
        <w:rPr>
          <w:rFonts w:ascii="Book Antiqua" w:hAnsi="Book Antiqua" w:cs="Tahoma"/>
          <w:sz w:val="22"/>
          <w:szCs w:val="22"/>
        </w:rPr>
      </w:pPr>
    </w:p>
    <w:p w:rsidR="001013C8" w:rsidRPr="001013C8" w:rsidRDefault="001013C8" w:rsidP="00D4489E">
      <w:pPr>
        <w:pStyle w:val="Lgende"/>
        <w:keepNext/>
        <w:spacing w:line="276" w:lineRule="auto"/>
        <w:jc w:val="center"/>
        <w:rPr>
          <w:color w:val="auto"/>
        </w:rPr>
      </w:pPr>
      <w:bookmarkStart w:id="261" w:name="_Toc523313837"/>
      <w:r w:rsidRPr="001013C8">
        <w:rPr>
          <w:color w:val="auto"/>
        </w:rPr>
        <w:lastRenderedPageBreak/>
        <w:t xml:space="preserve">Figure </w:t>
      </w:r>
      <w:r w:rsidR="000D65F2" w:rsidRPr="001013C8">
        <w:rPr>
          <w:color w:val="auto"/>
        </w:rPr>
        <w:fldChar w:fldCharType="begin"/>
      </w:r>
      <w:r w:rsidRPr="001013C8">
        <w:rPr>
          <w:color w:val="auto"/>
        </w:rPr>
        <w:instrText xml:space="preserve"> SEQ Figure \* ARABIC </w:instrText>
      </w:r>
      <w:r w:rsidR="000D65F2" w:rsidRPr="001013C8">
        <w:rPr>
          <w:color w:val="auto"/>
        </w:rPr>
        <w:fldChar w:fldCharType="separate"/>
      </w:r>
      <w:r w:rsidR="000F780F">
        <w:rPr>
          <w:noProof/>
          <w:color w:val="auto"/>
        </w:rPr>
        <w:t>154</w:t>
      </w:r>
      <w:r w:rsidR="000D65F2" w:rsidRPr="001013C8">
        <w:rPr>
          <w:color w:val="auto"/>
        </w:rPr>
        <w:fldChar w:fldCharType="end"/>
      </w:r>
      <w:r w:rsidRPr="001013C8">
        <w:rPr>
          <w:color w:val="auto"/>
        </w:rPr>
        <w:t xml:space="preserve"> : Taux d'utilisation des cartes bancaires en fonction de l'âge des personnes enquêtées</w:t>
      </w:r>
      <w:bookmarkEnd w:id="261"/>
    </w:p>
    <w:p w:rsidR="00C0696A" w:rsidRDefault="00F44BC9" w:rsidP="00D4489E">
      <w:pPr>
        <w:autoSpaceDE w:val="0"/>
        <w:autoSpaceDN w:val="0"/>
        <w:adjustRightInd w:val="0"/>
        <w:spacing w:before="120" w:line="276" w:lineRule="auto"/>
        <w:jc w:val="center"/>
        <w:rPr>
          <w:rFonts w:ascii="Book Antiqua" w:hAnsi="Book Antiqua" w:cs="Tahoma"/>
          <w:sz w:val="22"/>
          <w:szCs w:val="22"/>
        </w:rPr>
      </w:pPr>
      <w:r w:rsidRPr="00AE3DF1">
        <w:rPr>
          <w:noProof/>
        </w:rPr>
        <w:drawing>
          <wp:inline distT="0" distB="0" distL="0" distR="0">
            <wp:extent cx="4933950" cy="2676525"/>
            <wp:effectExtent l="19050" t="0" r="19050" b="0"/>
            <wp:docPr id="332" name="Graphique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C124C2" w:rsidRPr="00796448" w:rsidRDefault="00C124C2" w:rsidP="00FA22AD">
      <w:pPr>
        <w:spacing w:before="360" w:after="240" w:line="276" w:lineRule="auto"/>
        <w:ind w:firstLine="567"/>
        <w:outlineLvl w:val="2"/>
        <w:rPr>
          <w:rFonts w:ascii="Book Antiqua" w:hAnsi="Book Antiqua"/>
          <w:b/>
          <w:sz w:val="22"/>
        </w:rPr>
      </w:pPr>
      <w:bookmarkStart w:id="262" w:name="_Toc523322094"/>
      <w:r w:rsidRPr="00796448">
        <w:rPr>
          <w:rFonts w:ascii="Book Antiqua" w:hAnsi="Book Antiqua"/>
          <w:b/>
          <w:sz w:val="22"/>
        </w:rPr>
        <w:t>II.3.1. Répartition géographique des GAB</w:t>
      </w:r>
      <w:bookmarkEnd w:id="262"/>
    </w:p>
    <w:p w:rsidR="007B0FF6" w:rsidRDefault="007B0FF6" w:rsidP="00E20E48">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Des proportions respectives de 50.2% et de 48,5% des clients interrogés déclarent avoir une mauvaise appréciation du nombre de GAB et de leur répartition géographique.</w:t>
      </w:r>
    </w:p>
    <w:p w:rsidR="00A80C20" w:rsidRDefault="002E6AA8" w:rsidP="00E20E48">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S</w:t>
      </w:r>
      <w:r w:rsidR="00C124C2" w:rsidRPr="00E23B0D">
        <w:rPr>
          <w:rFonts w:ascii="Book Antiqua" w:hAnsi="Book Antiqua" w:cs="Tahoma"/>
          <w:sz w:val="22"/>
          <w:szCs w:val="22"/>
        </w:rPr>
        <w:t xml:space="preserve">elon les régions, il ressort des taux d’insatisfaction élevés particulièrement dans les localités </w:t>
      </w:r>
      <w:r>
        <w:rPr>
          <w:rFonts w:ascii="Book Antiqua" w:hAnsi="Book Antiqua" w:cs="Tahoma"/>
          <w:sz w:val="22"/>
          <w:szCs w:val="22"/>
        </w:rPr>
        <w:t xml:space="preserve"> de</w:t>
      </w:r>
      <w:r w:rsidR="009A5BCA">
        <w:rPr>
          <w:rFonts w:ascii="Book Antiqua" w:hAnsi="Book Antiqua" w:cs="Tahoma"/>
          <w:sz w:val="22"/>
          <w:szCs w:val="22"/>
        </w:rPr>
        <w:t xml:space="preserve"> </w:t>
      </w:r>
      <w:proofErr w:type="spellStart"/>
      <w:r w:rsidR="00C124C2" w:rsidRPr="00E23B0D">
        <w:rPr>
          <w:rFonts w:ascii="Book Antiqua" w:hAnsi="Book Antiqua" w:cs="Tahoma"/>
          <w:sz w:val="22"/>
          <w:szCs w:val="22"/>
        </w:rPr>
        <w:t>Kaffrine</w:t>
      </w:r>
      <w:proofErr w:type="spellEnd"/>
      <w:r w:rsidR="00C124C2" w:rsidRPr="00E23B0D">
        <w:rPr>
          <w:rFonts w:ascii="Book Antiqua" w:hAnsi="Book Antiqua" w:cs="Tahoma"/>
          <w:sz w:val="22"/>
          <w:szCs w:val="22"/>
        </w:rPr>
        <w:t xml:space="preserve"> (93,6%), </w:t>
      </w:r>
      <w:proofErr w:type="spellStart"/>
      <w:r w:rsidR="00C124C2" w:rsidRPr="00E23B0D">
        <w:rPr>
          <w:rFonts w:ascii="Book Antiqua" w:hAnsi="Book Antiqua" w:cs="Tahoma"/>
          <w:sz w:val="22"/>
          <w:szCs w:val="22"/>
        </w:rPr>
        <w:t>Sédhiou</w:t>
      </w:r>
      <w:proofErr w:type="spellEnd"/>
      <w:r w:rsidR="00C124C2" w:rsidRPr="00E23B0D">
        <w:rPr>
          <w:rFonts w:ascii="Book Antiqua" w:hAnsi="Book Antiqua" w:cs="Tahoma"/>
          <w:sz w:val="22"/>
          <w:szCs w:val="22"/>
        </w:rPr>
        <w:t xml:space="preserve"> (</w:t>
      </w:r>
      <w:r w:rsidR="00A1778C" w:rsidRPr="00E23B0D">
        <w:rPr>
          <w:rFonts w:ascii="Book Antiqua" w:hAnsi="Book Antiqua" w:cs="Tahoma"/>
          <w:sz w:val="22"/>
          <w:szCs w:val="22"/>
        </w:rPr>
        <w:t>90,</w:t>
      </w:r>
      <w:r w:rsidR="00A1778C">
        <w:rPr>
          <w:rFonts w:ascii="Book Antiqua" w:hAnsi="Book Antiqua" w:cs="Tahoma"/>
          <w:sz w:val="22"/>
          <w:szCs w:val="22"/>
        </w:rPr>
        <w:t>6</w:t>
      </w:r>
      <w:r w:rsidR="00C124C2" w:rsidRPr="00E23B0D">
        <w:rPr>
          <w:rFonts w:ascii="Book Antiqua" w:hAnsi="Book Antiqua" w:cs="Tahoma"/>
          <w:sz w:val="22"/>
          <w:szCs w:val="22"/>
        </w:rPr>
        <w:t>%), Kédougou (</w:t>
      </w:r>
      <w:r w:rsidR="00A1778C">
        <w:rPr>
          <w:rFonts w:ascii="Book Antiqua" w:hAnsi="Book Antiqua" w:cs="Tahoma"/>
          <w:sz w:val="22"/>
          <w:szCs w:val="22"/>
        </w:rPr>
        <w:t>88</w:t>
      </w:r>
      <w:r w:rsidR="00A1778C" w:rsidRPr="00E23B0D">
        <w:rPr>
          <w:rFonts w:ascii="Book Antiqua" w:hAnsi="Book Antiqua" w:cs="Tahoma"/>
          <w:sz w:val="22"/>
          <w:szCs w:val="22"/>
        </w:rPr>
        <w:t>,5</w:t>
      </w:r>
      <w:r w:rsidR="00C124C2" w:rsidRPr="00E23B0D">
        <w:rPr>
          <w:rFonts w:ascii="Book Antiqua" w:hAnsi="Book Antiqua" w:cs="Tahoma"/>
          <w:sz w:val="22"/>
          <w:szCs w:val="22"/>
        </w:rPr>
        <w:t>%)</w:t>
      </w:r>
      <w:r>
        <w:rPr>
          <w:rFonts w:ascii="Book Antiqua" w:hAnsi="Book Antiqua" w:cs="Tahoma"/>
          <w:sz w:val="22"/>
          <w:szCs w:val="22"/>
        </w:rPr>
        <w:t xml:space="preserve"> et</w:t>
      </w:r>
      <w:r w:rsidR="00C124C2" w:rsidRPr="00E23B0D">
        <w:rPr>
          <w:rFonts w:ascii="Book Antiqua" w:hAnsi="Book Antiqua" w:cs="Tahoma"/>
          <w:sz w:val="22"/>
          <w:szCs w:val="22"/>
        </w:rPr>
        <w:t xml:space="preserve"> Tambacounda  (82,6%). Les niveaux de satisfaction les plus élevés </w:t>
      </w:r>
      <w:r>
        <w:rPr>
          <w:rFonts w:ascii="Book Antiqua" w:hAnsi="Book Antiqua" w:cs="Tahoma"/>
          <w:sz w:val="22"/>
          <w:szCs w:val="22"/>
        </w:rPr>
        <w:t>sont observés</w:t>
      </w:r>
      <w:r w:rsidR="009A5BCA">
        <w:rPr>
          <w:rFonts w:ascii="Book Antiqua" w:hAnsi="Book Antiqua" w:cs="Tahoma"/>
          <w:sz w:val="22"/>
          <w:szCs w:val="22"/>
        </w:rPr>
        <w:t xml:space="preserve"> </w:t>
      </w:r>
      <w:r w:rsidR="00C124C2" w:rsidRPr="00E23B0D">
        <w:rPr>
          <w:rFonts w:ascii="Book Antiqua" w:hAnsi="Book Antiqua" w:cs="Tahoma"/>
          <w:sz w:val="22"/>
          <w:szCs w:val="22"/>
        </w:rPr>
        <w:t xml:space="preserve">à Dakar, Saint Louis et Kolda avec des taux respectifs de 59,3%, 57,7% et 55,4%.  </w:t>
      </w:r>
    </w:p>
    <w:p w:rsidR="001013C8" w:rsidRPr="003A3E23" w:rsidRDefault="001013C8" w:rsidP="00E20E48">
      <w:pPr>
        <w:pStyle w:val="Lgende"/>
        <w:keepNext/>
        <w:spacing w:before="240" w:after="240" w:line="276" w:lineRule="auto"/>
        <w:jc w:val="center"/>
        <w:rPr>
          <w:color w:val="auto"/>
        </w:rPr>
      </w:pPr>
      <w:bookmarkStart w:id="263" w:name="_Toc523313838"/>
      <w:r w:rsidRPr="003A3E23">
        <w:rPr>
          <w:color w:val="auto"/>
        </w:rPr>
        <w:t xml:space="preserve">Figure </w:t>
      </w:r>
      <w:r w:rsidR="000D65F2" w:rsidRPr="003A3E23">
        <w:rPr>
          <w:color w:val="auto"/>
        </w:rPr>
        <w:fldChar w:fldCharType="begin"/>
      </w:r>
      <w:r w:rsidRPr="003A3E23">
        <w:rPr>
          <w:color w:val="auto"/>
        </w:rPr>
        <w:instrText xml:space="preserve"> SEQ Figure \* ARABIC </w:instrText>
      </w:r>
      <w:r w:rsidR="000D65F2" w:rsidRPr="003A3E23">
        <w:rPr>
          <w:color w:val="auto"/>
        </w:rPr>
        <w:fldChar w:fldCharType="separate"/>
      </w:r>
      <w:r w:rsidR="000F780F">
        <w:rPr>
          <w:noProof/>
          <w:color w:val="auto"/>
        </w:rPr>
        <w:t>155</w:t>
      </w:r>
      <w:r w:rsidR="000D65F2" w:rsidRPr="003A3E23">
        <w:rPr>
          <w:color w:val="auto"/>
        </w:rPr>
        <w:fldChar w:fldCharType="end"/>
      </w:r>
      <w:r w:rsidRPr="003A3E23">
        <w:rPr>
          <w:color w:val="auto"/>
        </w:rPr>
        <w:t xml:space="preserve"> : Appréciation des enquêtés sur la répartition géographique des GAB selon les régions</w:t>
      </w:r>
      <w:bookmarkEnd w:id="263"/>
    </w:p>
    <w:p w:rsidR="00C124C2" w:rsidRDefault="00C124C2" w:rsidP="00D4489E">
      <w:pPr>
        <w:spacing w:line="276" w:lineRule="auto"/>
        <w:jc w:val="center"/>
        <w:rPr>
          <w:rFonts w:ascii="Book Antiqua" w:hAnsi="Book Antiqua"/>
        </w:rPr>
      </w:pPr>
      <w:r w:rsidRPr="00683D70">
        <w:rPr>
          <w:rFonts w:ascii="Book Antiqua" w:hAnsi="Book Antiqua"/>
          <w:noProof/>
        </w:rPr>
        <w:drawing>
          <wp:inline distT="0" distB="0" distL="0" distR="0">
            <wp:extent cx="5486400" cy="3286125"/>
            <wp:effectExtent l="0" t="0" r="0" b="9525"/>
            <wp:docPr id="23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A80C20" w:rsidRDefault="009A5BCA" w:rsidP="00D4489E">
      <w:pPr>
        <w:spacing w:after="200" w:line="276" w:lineRule="auto"/>
        <w:rPr>
          <w:rFonts w:ascii="Book Antiqua" w:hAnsi="Book Antiqua"/>
        </w:rPr>
      </w:pPr>
      <w:r>
        <w:rPr>
          <w:rFonts w:ascii="Book Antiqua" w:hAnsi="Book Antiqua"/>
        </w:rPr>
        <w:br w:type="page"/>
      </w:r>
    </w:p>
    <w:p w:rsidR="00C124C2" w:rsidRDefault="00C124C2" w:rsidP="00FA22AD">
      <w:pPr>
        <w:spacing w:after="240" w:line="276" w:lineRule="auto"/>
        <w:ind w:firstLine="567"/>
        <w:outlineLvl w:val="2"/>
        <w:rPr>
          <w:rFonts w:ascii="Book Antiqua" w:hAnsi="Book Antiqua"/>
          <w:b/>
        </w:rPr>
      </w:pPr>
      <w:bookmarkStart w:id="264" w:name="_Toc523322095"/>
      <w:r w:rsidRPr="00796448">
        <w:rPr>
          <w:rFonts w:ascii="Book Antiqua" w:hAnsi="Book Antiqua"/>
          <w:b/>
          <w:sz w:val="22"/>
        </w:rPr>
        <w:lastRenderedPageBreak/>
        <w:t>II.3.2. Fonctionnement et sécurité des GAB</w:t>
      </w:r>
      <w:bookmarkEnd w:id="264"/>
    </w:p>
    <w:p w:rsidR="00C124C2" w:rsidRPr="00E23B0D"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t>L’analyse des statistiques recueillies de l’enquête montre que les banques doivent consentir davantage d’efforts pour la fonctionnalité des GAB. En effet, une proportion de 61,9% des clients déplorent leur mauvais fonctionnement</w:t>
      </w:r>
      <w:r w:rsidR="00A1778C">
        <w:rPr>
          <w:rFonts w:ascii="Book Antiqua" w:hAnsi="Book Antiqua" w:cs="Tahoma"/>
          <w:sz w:val="22"/>
          <w:szCs w:val="22"/>
        </w:rPr>
        <w:t>.</w:t>
      </w:r>
    </w:p>
    <w:p w:rsidR="00C124C2" w:rsidRPr="00E23B0D"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t xml:space="preserve">Seuls 1,5% des clients interrogés pensent que les GAB de leur banque principale ne sont pas sécurisés, contre 88,3% qui ont un avis favorable. Une proportion de 15,2% n’a pas une position tranchée sur la question. </w:t>
      </w:r>
    </w:p>
    <w:p w:rsidR="00C124C2" w:rsidRDefault="00C124C2" w:rsidP="00D4489E">
      <w:pPr>
        <w:spacing w:line="276" w:lineRule="auto"/>
        <w:rPr>
          <w:rFonts w:ascii="Book Antiqua" w:hAnsi="Book Antiqua"/>
          <w:b/>
          <w:sz w:val="16"/>
          <w:szCs w:val="16"/>
        </w:rPr>
      </w:pPr>
    </w:p>
    <w:p w:rsidR="003A3E23" w:rsidRPr="003A3E23" w:rsidRDefault="003A3E23" w:rsidP="00D4489E">
      <w:pPr>
        <w:pStyle w:val="Lgende"/>
        <w:keepNext/>
        <w:spacing w:line="276" w:lineRule="auto"/>
        <w:jc w:val="center"/>
        <w:rPr>
          <w:color w:val="auto"/>
        </w:rPr>
      </w:pPr>
      <w:bookmarkStart w:id="265" w:name="_Toc523313839"/>
      <w:r w:rsidRPr="003A3E23">
        <w:rPr>
          <w:color w:val="auto"/>
        </w:rPr>
        <w:t xml:space="preserve">Figure </w:t>
      </w:r>
      <w:r w:rsidR="000D65F2" w:rsidRPr="003A3E23">
        <w:rPr>
          <w:color w:val="auto"/>
        </w:rPr>
        <w:fldChar w:fldCharType="begin"/>
      </w:r>
      <w:r w:rsidRPr="003A3E23">
        <w:rPr>
          <w:color w:val="auto"/>
        </w:rPr>
        <w:instrText xml:space="preserve"> SEQ Figure \* ARABIC </w:instrText>
      </w:r>
      <w:r w:rsidR="000D65F2" w:rsidRPr="003A3E23">
        <w:rPr>
          <w:color w:val="auto"/>
        </w:rPr>
        <w:fldChar w:fldCharType="separate"/>
      </w:r>
      <w:r w:rsidR="000F780F">
        <w:rPr>
          <w:noProof/>
          <w:color w:val="auto"/>
        </w:rPr>
        <w:t>156</w:t>
      </w:r>
      <w:r w:rsidR="000D65F2" w:rsidRPr="003A3E23">
        <w:rPr>
          <w:color w:val="auto"/>
        </w:rPr>
        <w:fldChar w:fldCharType="end"/>
      </w:r>
      <w:r w:rsidRPr="003A3E23">
        <w:rPr>
          <w:color w:val="auto"/>
        </w:rPr>
        <w:t xml:space="preserve"> : Appréciation des personnes enquêtées sur la sécurité des GAB de leur banque principale</w:t>
      </w:r>
      <w:bookmarkEnd w:id="265"/>
    </w:p>
    <w:p w:rsidR="009A5BCA" w:rsidRPr="003A3E23" w:rsidRDefault="00C124C2" w:rsidP="00D4489E">
      <w:pPr>
        <w:spacing w:line="276" w:lineRule="auto"/>
        <w:jc w:val="center"/>
        <w:rPr>
          <w:rFonts w:ascii="Book Antiqua" w:hAnsi="Book Antiqua"/>
        </w:rPr>
      </w:pPr>
      <w:r w:rsidRPr="00126C7D">
        <w:rPr>
          <w:rFonts w:ascii="Book Antiqua" w:hAnsi="Book Antiqua"/>
          <w:noProof/>
        </w:rPr>
        <w:drawing>
          <wp:inline distT="0" distB="0" distL="0" distR="0">
            <wp:extent cx="5076190" cy="2472856"/>
            <wp:effectExtent l="19050" t="0" r="10160" b="3644"/>
            <wp:docPr id="239" name="Graphique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C124C2" w:rsidRPr="00E77301" w:rsidRDefault="00C124C2" w:rsidP="00FA22AD">
      <w:pPr>
        <w:spacing w:before="360" w:after="200" w:line="276" w:lineRule="auto"/>
        <w:ind w:firstLine="567"/>
        <w:rPr>
          <w:rFonts w:ascii="Book Antiqua" w:hAnsi="Book Antiqua"/>
          <w:b/>
          <w:sz w:val="22"/>
        </w:rPr>
      </w:pPr>
      <w:r w:rsidRPr="00E77301">
        <w:rPr>
          <w:rFonts w:ascii="Book Antiqua" w:hAnsi="Book Antiqua"/>
          <w:b/>
          <w:sz w:val="22"/>
        </w:rPr>
        <w:t>II.3.3. Délai de renouvellement de la carte bancaire</w:t>
      </w:r>
    </w:p>
    <w:p w:rsidR="00C124C2" w:rsidRPr="00A80C20" w:rsidRDefault="00D87341"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t xml:space="preserve">Il convient de noter qu’une </w:t>
      </w:r>
      <w:r>
        <w:rPr>
          <w:rFonts w:ascii="Book Antiqua" w:hAnsi="Book Antiqua" w:cs="Tahoma"/>
          <w:sz w:val="22"/>
          <w:szCs w:val="22"/>
        </w:rPr>
        <w:t>part</w:t>
      </w:r>
      <w:r w:rsidRPr="00E23B0D">
        <w:rPr>
          <w:rFonts w:ascii="Book Antiqua" w:hAnsi="Book Antiqua" w:cs="Tahoma"/>
          <w:sz w:val="22"/>
          <w:szCs w:val="22"/>
        </w:rPr>
        <w:t xml:space="preserve"> de 22,1% des </w:t>
      </w:r>
      <w:r>
        <w:rPr>
          <w:rFonts w:ascii="Book Antiqua" w:hAnsi="Book Antiqua" w:cs="Tahoma"/>
          <w:sz w:val="22"/>
          <w:szCs w:val="22"/>
        </w:rPr>
        <w:t>clients personnes physiques</w:t>
      </w:r>
      <w:r w:rsidRPr="00E23B0D">
        <w:rPr>
          <w:rFonts w:ascii="Book Antiqua" w:hAnsi="Book Antiqua" w:cs="Tahoma"/>
          <w:sz w:val="22"/>
          <w:szCs w:val="22"/>
        </w:rPr>
        <w:t xml:space="preserve"> déclare n’avoir jamais renouvelé leur carte bancaire. </w:t>
      </w:r>
      <w:r w:rsidR="00C124C2" w:rsidRPr="00E23B0D">
        <w:rPr>
          <w:rFonts w:ascii="Book Antiqua" w:hAnsi="Book Antiqua" w:cs="Tahoma"/>
          <w:sz w:val="22"/>
          <w:szCs w:val="22"/>
        </w:rPr>
        <w:t xml:space="preserve">Parmi les utilisateurs </w:t>
      </w:r>
      <w:r>
        <w:rPr>
          <w:rFonts w:ascii="Book Antiqua" w:hAnsi="Book Antiqua" w:cs="Tahoma"/>
          <w:sz w:val="22"/>
          <w:szCs w:val="22"/>
        </w:rPr>
        <w:t>ayant eu à renouveler leur carte bancaire</w:t>
      </w:r>
      <w:r w:rsidR="00C124C2" w:rsidRPr="00E23B0D">
        <w:rPr>
          <w:rFonts w:ascii="Book Antiqua" w:hAnsi="Book Antiqua" w:cs="Tahoma"/>
          <w:sz w:val="22"/>
          <w:szCs w:val="22"/>
        </w:rPr>
        <w:t xml:space="preserve">, </w:t>
      </w:r>
      <w:r>
        <w:rPr>
          <w:rFonts w:ascii="Book Antiqua" w:hAnsi="Book Antiqua" w:cs="Tahoma"/>
          <w:sz w:val="22"/>
          <w:szCs w:val="22"/>
        </w:rPr>
        <w:t>une proportion de 80,5</w:t>
      </w:r>
      <w:r w:rsidR="00C124C2" w:rsidRPr="00E23B0D">
        <w:rPr>
          <w:rFonts w:ascii="Book Antiqua" w:hAnsi="Book Antiqua" w:cs="Tahoma"/>
          <w:sz w:val="22"/>
          <w:szCs w:val="22"/>
        </w:rPr>
        <w:t xml:space="preserve">% des enquêtés jugent satisfaisant </w:t>
      </w:r>
      <w:r>
        <w:rPr>
          <w:rFonts w:ascii="Book Antiqua" w:hAnsi="Book Antiqua" w:cs="Tahoma"/>
          <w:sz w:val="22"/>
          <w:szCs w:val="22"/>
        </w:rPr>
        <w:t>le</w:t>
      </w:r>
      <w:r w:rsidR="00E9177B">
        <w:rPr>
          <w:rFonts w:ascii="Book Antiqua" w:hAnsi="Book Antiqua" w:cs="Tahoma"/>
          <w:sz w:val="22"/>
          <w:szCs w:val="22"/>
        </w:rPr>
        <w:t xml:space="preserve"> délai, contre</w:t>
      </w:r>
      <w:r>
        <w:rPr>
          <w:rFonts w:ascii="Book Antiqua" w:hAnsi="Book Antiqua" w:cs="Tahoma"/>
          <w:sz w:val="22"/>
          <w:szCs w:val="22"/>
        </w:rPr>
        <w:t>19</w:t>
      </w:r>
      <w:proofErr w:type="gramStart"/>
      <w:r>
        <w:rPr>
          <w:rFonts w:ascii="Book Antiqua" w:hAnsi="Book Antiqua" w:cs="Tahoma"/>
          <w:sz w:val="22"/>
          <w:szCs w:val="22"/>
        </w:rPr>
        <w:t>,5</w:t>
      </w:r>
      <w:proofErr w:type="gramEnd"/>
      <w:r>
        <w:rPr>
          <w:rFonts w:ascii="Book Antiqua" w:hAnsi="Book Antiqua" w:cs="Tahoma"/>
          <w:sz w:val="22"/>
          <w:szCs w:val="22"/>
        </w:rPr>
        <w:t>%</w:t>
      </w:r>
      <w:r w:rsidR="00C124C2" w:rsidRPr="00E23B0D">
        <w:rPr>
          <w:rFonts w:ascii="Book Antiqua" w:hAnsi="Book Antiqua" w:cs="Tahoma"/>
          <w:sz w:val="22"/>
          <w:szCs w:val="22"/>
        </w:rPr>
        <w:t xml:space="preserve"> qui </w:t>
      </w:r>
      <w:r>
        <w:rPr>
          <w:rFonts w:ascii="Book Antiqua" w:hAnsi="Book Antiqua" w:cs="Tahoma"/>
          <w:sz w:val="22"/>
          <w:szCs w:val="22"/>
        </w:rPr>
        <w:t>sont d’avis contraire.</w:t>
      </w:r>
      <w:r w:rsidR="00C124C2" w:rsidRPr="00E23B0D">
        <w:rPr>
          <w:rFonts w:ascii="Book Antiqua" w:hAnsi="Book Antiqua" w:cs="Tahoma"/>
          <w:sz w:val="22"/>
          <w:szCs w:val="22"/>
        </w:rPr>
        <w:t>.</w:t>
      </w:r>
    </w:p>
    <w:p w:rsidR="003A3E23" w:rsidRPr="003A3E23" w:rsidRDefault="003A3E23" w:rsidP="00E20E48">
      <w:pPr>
        <w:pStyle w:val="Lgende"/>
        <w:keepNext/>
        <w:spacing w:before="240" w:line="276" w:lineRule="auto"/>
        <w:jc w:val="center"/>
        <w:rPr>
          <w:color w:val="auto"/>
        </w:rPr>
      </w:pPr>
      <w:bookmarkStart w:id="266" w:name="_Toc523313840"/>
      <w:r w:rsidRPr="003A3E23">
        <w:rPr>
          <w:color w:val="auto"/>
        </w:rPr>
        <w:t xml:space="preserve">Figure </w:t>
      </w:r>
      <w:r w:rsidR="000D65F2" w:rsidRPr="003A3E23">
        <w:rPr>
          <w:color w:val="auto"/>
        </w:rPr>
        <w:fldChar w:fldCharType="begin"/>
      </w:r>
      <w:r w:rsidRPr="003A3E23">
        <w:rPr>
          <w:color w:val="auto"/>
        </w:rPr>
        <w:instrText xml:space="preserve"> SEQ Figure \* ARABIC </w:instrText>
      </w:r>
      <w:r w:rsidR="000D65F2" w:rsidRPr="003A3E23">
        <w:rPr>
          <w:color w:val="auto"/>
        </w:rPr>
        <w:fldChar w:fldCharType="separate"/>
      </w:r>
      <w:r w:rsidR="000F780F">
        <w:rPr>
          <w:noProof/>
          <w:color w:val="auto"/>
        </w:rPr>
        <w:t>157</w:t>
      </w:r>
      <w:r w:rsidR="000D65F2" w:rsidRPr="003A3E23">
        <w:rPr>
          <w:color w:val="auto"/>
        </w:rPr>
        <w:fldChar w:fldCharType="end"/>
      </w:r>
      <w:r w:rsidRPr="003A3E23">
        <w:rPr>
          <w:color w:val="auto"/>
        </w:rPr>
        <w:t>: Appréciation des personnes enquêtées sur le délai de renouvellement de la carte bancaire</w:t>
      </w:r>
      <w:bookmarkEnd w:id="266"/>
    </w:p>
    <w:p w:rsidR="00D87341" w:rsidRDefault="00D87341" w:rsidP="00D4489E">
      <w:pPr>
        <w:spacing w:line="276" w:lineRule="auto"/>
        <w:jc w:val="center"/>
        <w:rPr>
          <w:rFonts w:ascii="Book Antiqua" w:hAnsi="Book Antiqua"/>
          <w:b/>
        </w:rPr>
      </w:pPr>
      <w:r>
        <w:rPr>
          <w:noProof/>
        </w:rPr>
        <w:drawing>
          <wp:inline distT="0" distB="0" distL="0" distR="0">
            <wp:extent cx="4568852" cy="2584174"/>
            <wp:effectExtent l="19050" t="0" r="22198" b="6626"/>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C124C2" w:rsidRPr="00E77301" w:rsidRDefault="00C124C2" w:rsidP="00FA22AD">
      <w:pPr>
        <w:spacing w:before="240" w:after="240" w:line="276" w:lineRule="auto"/>
        <w:ind w:firstLine="284"/>
        <w:outlineLvl w:val="1"/>
        <w:rPr>
          <w:rFonts w:ascii="Book Antiqua" w:hAnsi="Book Antiqua"/>
          <w:b/>
          <w:sz w:val="22"/>
        </w:rPr>
      </w:pPr>
      <w:bookmarkStart w:id="267" w:name="_Toc523322096"/>
      <w:r w:rsidRPr="00E77301">
        <w:rPr>
          <w:rFonts w:ascii="Book Antiqua" w:hAnsi="Book Antiqua"/>
          <w:b/>
          <w:sz w:val="22"/>
        </w:rPr>
        <w:lastRenderedPageBreak/>
        <w:t>II.4. Satisfaction sur les opérations de virement</w:t>
      </w:r>
      <w:bookmarkEnd w:id="267"/>
    </w:p>
    <w:p w:rsidR="00C124C2" w:rsidRPr="00E23B0D"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t>Seul</w:t>
      </w:r>
      <w:r w:rsidR="00D87341">
        <w:rPr>
          <w:rFonts w:ascii="Book Antiqua" w:hAnsi="Book Antiqua" w:cs="Tahoma"/>
          <w:sz w:val="22"/>
          <w:szCs w:val="22"/>
        </w:rPr>
        <w:t>e</w:t>
      </w:r>
      <w:r w:rsidR="009A5BCA">
        <w:rPr>
          <w:rFonts w:ascii="Book Antiqua" w:hAnsi="Book Antiqua" w:cs="Tahoma"/>
          <w:sz w:val="22"/>
          <w:szCs w:val="22"/>
        </w:rPr>
        <w:t xml:space="preserve"> </w:t>
      </w:r>
      <w:r w:rsidR="00D87341">
        <w:rPr>
          <w:rFonts w:ascii="Book Antiqua" w:hAnsi="Book Antiqua" w:cs="Tahoma"/>
          <w:sz w:val="22"/>
          <w:szCs w:val="22"/>
        </w:rPr>
        <w:t xml:space="preserve">une proportion de </w:t>
      </w:r>
      <w:r w:rsidRPr="00E23B0D">
        <w:rPr>
          <w:rFonts w:ascii="Book Antiqua" w:hAnsi="Book Antiqua" w:cs="Tahoma"/>
          <w:sz w:val="22"/>
          <w:szCs w:val="22"/>
        </w:rPr>
        <w:t>11</w:t>
      </w:r>
      <w:r w:rsidR="00B53C2E">
        <w:rPr>
          <w:rFonts w:ascii="Book Antiqua" w:hAnsi="Book Antiqua" w:cs="Tahoma"/>
          <w:sz w:val="22"/>
          <w:szCs w:val="22"/>
        </w:rPr>
        <w:t>,1</w:t>
      </w:r>
      <w:r w:rsidRPr="00E23B0D">
        <w:rPr>
          <w:rFonts w:ascii="Book Antiqua" w:hAnsi="Book Antiqua" w:cs="Tahoma"/>
          <w:sz w:val="22"/>
          <w:szCs w:val="22"/>
        </w:rPr>
        <w:t xml:space="preserve">% des clients </w:t>
      </w:r>
      <w:r w:rsidR="00D87341">
        <w:rPr>
          <w:rFonts w:ascii="Book Antiqua" w:hAnsi="Book Antiqua" w:cs="Tahoma"/>
          <w:sz w:val="22"/>
          <w:szCs w:val="22"/>
        </w:rPr>
        <w:t xml:space="preserve">personnes physiques </w:t>
      </w:r>
      <w:r w:rsidRPr="00E23B0D">
        <w:rPr>
          <w:rFonts w:ascii="Book Antiqua" w:hAnsi="Book Antiqua" w:cs="Tahoma"/>
          <w:sz w:val="22"/>
          <w:szCs w:val="22"/>
        </w:rPr>
        <w:t xml:space="preserve">interrogés déclare avoir effectué au cours des trois dernières années des opérations de virement vers un autre compte bancaire local. Parmi ceux-ci, une proportion de 29,1% déplore la lenteur de traitement de ces opérations, contre 67,6% qui pensent que ce délai est acceptable et 3,3% qui </w:t>
      </w:r>
      <w:r w:rsidR="009B0736" w:rsidRPr="00E23B0D">
        <w:rPr>
          <w:rFonts w:ascii="Book Antiqua" w:hAnsi="Book Antiqua" w:cs="Tahoma"/>
          <w:sz w:val="22"/>
          <w:szCs w:val="22"/>
        </w:rPr>
        <w:t>l</w:t>
      </w:r>
      <w:r w:rsidR="009B0736">
        <w:rPr>
          <w:rFonts w:ascii="Book Antiqua" w:hAnsi="Book Antiqua" w:cs="Tahoma"/>
          <w:sz w:val="22"/>
          <w:szCs w:val="22"/>
        </w:rPr>
        <w:t>’estiment</w:t>
      </w:r>
      <w:r w:rsidRPr="00E23B0D">
        <w:rPr>
          <w:rFonts w:ascii="Book Antiqua" w:hAnsi="Book Antiqua" w:cs="Tahoma"/>
          <w:sz w:val="22"/>
          <w:szCs w:val="22"/>
        </w:rPr>
        <w:t xml:space="preserve"> court.</w:t>
      </w:r>
    </w:p>
    <w:p w:rsidR="00C124C2" w:rsidRPr="00E23B0D"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t xml:space="preserve">Une analyse suivant la nature de l’activité montre une fréquence d’utilisation de virements locaux plus </w:t>
      </w:r>
      <w:r w:rsidR="00404DBB" w:rsidRPr="00E23B0D">
        <w:rPr>
          <w:rFonts w:ascii="Book Antiqua" w:hAnsi="Book Antiqua" w:cs="Tahoma"/>
          <w:sz w:val="22"/>
          <w:szCs w:val="22"/>
        </w:rPr>
        <w:t>élevée</w:t>
      </w:r>
      <w:r w:rsidRPr="00E23B0D">
        <w:rPr>
          <w:rFonts w:ascii="Book Antiqua" w:hAnsi="Book Antiqua" w:cs="Tahoma"/>
          <w:sz w:val="22"/>
          <w:szCs w:val="22"/>
        </w:rPr>
        <w:t xml:space="preserve"> chez les clients </w:t>
      </w:r>
      <w:r w:rsidR="00404DBB">
        <w:rPr>
          <w:rFonts w:ascii="Book Antiqua" w:hAnsi="Book Antiqua" w:cs="Tahoma"/>
          <w:sz w:val="22"/>
          <w:szCs w:val="22"/>
        </w:rPr>
        <w:t xml:space="preserve">qui relèvent du </w:t>
      </w:r>
      <w:r w:rsidRPr="00E23B0D">
        <w:rPr>
          <w:rFonts w:ascii="Book Antiqua" w:hAnsi="Book Antiqua" w:cs="Tahoma"/>
          <w:sz w:val="22"/>
          <w:szCs w:val="22"/>
        </w:rPr>
        <w:t xml:space="preserve">secteur formel (11,9%) contre seulement 6,5% pour </w:t>
      </w:r>
      <w:r w:rsidR="00404DBB">
        <w:rPr>
          <w:rFonts w:ascii="Book Antiqua" w:hAnsi="Book Antiqua" w:cs="Tahoma"/>
          <w:sz w:val="22"/>
          <w:szCs w:val="22"/>
        </w:rPr>
        <w:t>l’</w:t>
      </w:r>
      <w:r w:rsidRPr="00E23B0D">
        <w:rPr>
          <w:rFonts w:ascii="Book Antiqua" w:hAnsi="Book Antiqua" w:cs="Tahoma"/>
          <w:sz w:val="22"/>
          <w:szCs w:val="22"/>
        </w:rPr>
        <w:t xml:space="preserve">informel. </w:t>
      </w:r>
    </w:p>
    <w:p w:rsidR="003A3E23" w:rsidRPr="003A3E23" w:rsidRDefault="003A3E23" w:rsidP="00E20E48">
      <w:pPr>
        <w:pStyle w:val="Lgende"/>
        <w:keepNext/>
        <w:spacing w:before="240" w:after="240" w:line="276" w:lineRule="auto"/>
        <w:jc w:val="center"/>
        <w:rPr>
          <w:color w:val="auto"/>
        </w:rPr>
      </w:pPr>
      <w:bookmarkStart w:id="268" w:name="_Toc523313841"/>
      <w:r w:rsidRPr="003A3E23">
        <w:rPr>
          <w:color w:val="auto"/>
        </w:rPr>
        <w:t xml:space="preserve">Figure </w:t>
      </w:r>
      <w:r w:rsidR="000D65F2" w:rsidRPr="003A3E23">
        <w:rPr>
          <w:color w:val="auto"/>
        </w:rPr>
        <w:fldChar w:fldCharType="begin"/>
      </w:r>
      <w:r w:rsidRPr="003A3E23">
        <w:rPr>
          <w:color w:val="auto"/>
        </w:rPr>
        <w:instrText xml:space="preserve"> SEQ Figure \* ARABIC </w:instrText>
      </w:r>
      <w:r w:rsidR="000D65F2" w:rsidRPr="003A3E23">
        <w:rPr>
          <w:color w:val="auto"/>
        </w:rPr>
        <w:fldChar w:fldCharType="separate"/>
      </w:r>
      <w:r w:rsidR="000F780F">
        <w:rPr>
          <w:noProof/>
          <w:color w:val="auto"/>
        </w:rPr>
        <w:t>158</w:t>
      </w:r>
      <w:r w:rsidR="000D65F2" w:rsidRPr="003A3E23">
        <w:rPr>
          <w:color w:val="auto"/>
        </w:rPr>
        <w:fldChar w:fldCharType="end"/>
      </w:r>
      <w:r w:rsidRPr="003A3E23">
        <w:rPr>
          <w:color w:val="auto"/>
        </w:rPr>
        <w:t xml:space="preserve"> : Utilisation des virements locaux selon la nature de l'activité exercée par les personnes enquêtées</w:t>
      </w:r>
      <w:bookmarkEnd w:id="268"/>
    </w:p>
    <w:p w:rsidR="009A5BCA" w:rsidRPr="003A3E23" w:rsidRDefault="00C124C2" w:rsidP="00D4489E">
      <w:pPr>
        <w:spacing w:line="276" w:lineRule="auto"/>
        <w:jc w:val="center"/>
      </w:pPr>
      <w:r w:rsidRPr="0070452F">
        <w:rPr>
          <w:noProof/>
        </w:rPr>
        <w:drawing>
          <wp:inline distT="0" distB="0" distL="0" distR="0">
            <wp:extent cx="4986821" cy="2266121"/>
            <wp:effectExtent l="19050" t="0" r="23329" b="829"/>
            <wp:docPr id="244"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C124C2" w:rsidRPr="00E23B0D" w:rsidRDefault="00C124C2" w:rsidP="00E20E48">
      <w:pPr>
        <w:autoSpaceDE w:val="0"/>
        <w:autoSpaceDN w:val="0"/>
        <w:adjustRightInd w:val="0"/>
        <w:spacing w:before="240" w:after="240" w:line="276" w:lineRule="auto"/>
        <w:jc w:val="both"/>
        <w:rPr>
          <w:rFonts w:ascii="Book Antiqua" w:hAnsi="Book Antiqua" w:cs="Tahoma"/>
          <w:sz w:val="22"/>
          <w:szCs w:val="22"/>
        </w:rPr>
      </w:pPr>
      <w:r w:rsidRPr="00E23B0D">
        <w:rPr>
          <w:rFonts w:ascii="Book Antiqua" w:hAnsi="Book Antiqua" w:cs="Tahoma"/>
          <w:sz w:val="22"/>
          <w:szCs w:val="22"/>
        </w:rPr>
        <w:t>Selon les résultats de l’enquête, l</w:t>
      </w:r>
      <w:r w:rsidR="001E39F7">
        <w:rPr>
          <w:rFonts w:ascii="Book Antiqua" w:hAnsi="Book Antiqua" w:cs="Tahoma"/>
          <w:sz w:val="22"/>
          <w:szCs w:val="22"/>
        </w:rPr>
        <w:t>a fréquence d</w:t>
      </w:r>
      <w:r w:rsidRPr="00E23B0D">
        <w:rPr>
          <w:rFonts w:ascii="Book Antiqua" w:hAnsi="Book Antiqua" w:cs="Tahoma"/>
          <w:sz w:val="22"/>
          <w:szCs w:val="22"/>
        </w:rPr>
        <w:t xml:space="preserve">’utilisation des opérations de virements locaux </w:t>
      </w:r>
      <w:r w:rsidR="001E39F7">
        <w:rPr>
          <w:rFonts w:ascii="Book Antiqua" w:hAnsi="Book Antiqua" w:cs="Tahoma"/>
          <w:sz w:val="22"/>
          <w:szCs w:val="22"/>
        </w:rPr>
        <w:t xml:space="preserve">augmente en fonction du </w:t>
      </w:r>
      <w:r w:rsidRPr="00E23B0D">
        <w:rPr>
          <w:rFonts w:ascii="Book Antiqua" w:hAnsi="Book Antiqua" w:cs="Tahoma"/>
          <w:sz w:val="22"/>
          <w:szCs w:val="22"/>
        </w:rPr>
        <w:t>niveau des revenus des clients avec des proportions de 3,3%, 4,7%, 5,4%, 10,8%, 18,8%, 30,8%, 36,0% et 70,</w:t>
      </w:r>
      <w:r w:rsidR="001E39F7">
        <w:rPr>
          <w:rFonts w:ascii="Book Antiqua" w:hAnsi="Book Antiqua" w:cs="Tahoma"/>
          <w:sz w:val="22"/>
          <w:szCs w:val="22"/>
        </w:rPr>
        <w:t>6</w:t>
      </w:r>
      <w:r w:rsidRPr="00E23B0D">
        <w:rPr>
          <w:rFonts w:ascii="Book Antiqua" w:hAnsi="Book Antiqua" w:cs="Tahoma"/>
          <w:sz w:val="22"/>
          <w:szCs w:val="22"/>
        </w:rPr>
        <w:t xml:space="preserve">% qui sont observées </w:t>
      </w:r>
      <w:r w:rsidR="008D0C10">
        <w:rPr>
          <w:rFonts w:ascii="Book Antiqua" w:hAnsi="Book Antiqua" w:cs="Tahoma"/>
          <w:sz w:val="22"/>
          <w:szCs w:val="22"/>
        </w:rPr>
        <w:t xml:space="preserve">respectivement </w:t>
      </w:r>
      <w:r w:rsidRPr="00E23B0D">
        <w:rPr>
          <w:rFonts w:ascii="Book Antiqua" w:hAnsi="Book Antiqua" w:cs="Tahoma"/>
          <w:sz w:val="22"/>
          <w:szCs w:val="22"/>
        </w:rPr>
        <w:t xml:space="preserve">pour les tranches de revenus </w:t>
      </w:r>
      <w:r w:rsidR="00986055">
        <w:rPr>
          <w:rFonts w:ascii="Book Antiqua" w:hAnsi="Book Antiqua" w:cs="Tahoma"/>
          <w:sz w:val="22"/>
          <w:szCs w:val="22"/>
        </w:rPr>
        <w:t xml:space="preserve">de </w:t>
      </w:r>
      <w:r w:rsidRPr="00E23B0D">
        <w:rPr>
          <w:rFonts w:ascii="Book Antiqua" w:hAnsi="Book Antiqua" w:cs="Tahoma"/>
          <w:sz w:val="22"/>
          <w:szCs w:val="22"/>
        </w:rPr>
        <w:t>[</w:t>
      </w:r>
      <w:r w:rsidR="001E39F7">
        <w:rPr>
          <w:rFonts w:ascii="Book Antiqua" w:hAnsi="Book Antiqua" w:cs="Tahoma"/>
          <w:sz w:val="22"/>
          <w:szCs w:val="22"/>
        </w:rPr>
        <w:t>50</w:t>
      </w:r>
      <w:r w:rsidR="009A5BCA">
        <w:rPr>
          <w:rFonts w:ascii="Book Antiqua" w:hAnsi="Book Antiqua" w:cs="Tahoma"/>
          <w:sz w:val="22"/>
          <w:szCs w:val="22"/>
        </w:rPr>
        <w:t> </w:t>
      </w:r>
      <w:r w:rsidR="001E39F7">
        <w:rPr>
          <w:rFonts w:ascii="Book Antiqua" w:hAnsi="Book Antiqua" w:cs="Tahoma"/>
          <w:sz w:val="22"/>
          <w:szCs w:val="22"/>
        </w:rPr>
        <w:t>000</w:t>
      </w:r>
      <w:r w:rsidR="009A5BCA">
        <w:rPr>
          <w:rFonts w:ascii="Book Antiqua" w:hAnsi="Book Antiqua" w:cs="Tahoma"/>
          <w:sz w:val="22"/>
          <w:szCs w:val="22"/>
        </w:rPr>
        <w:t xml:space="preserve"> </w:t>
      </w:r>
      <w:r w:rsidR="001E39F7">
        <w:rPr>
          <w:rFonts w:ascii="Book Antiqua" w:hAnsi="Book Antiqua" w:cs="Tahoma"/>
          <w:sz w:val="22"/>
          <w:szCs w:val="22"/>
        </w:rPr>
        <w:t>F</w:t>
      </w:r>
      <w:r w:rsidR="00E9177B">
        <w:rPr>
          <w:rFonts w:ascii="Book Antiqua" w:hAnsi="Book Antiqua" w:cs="Tahoma"/>
          <w:sz w:val="22"/>
          <w:szCs w:val="22"/>
        </w:rPr>
        <w:t>CFA</w:t>
      </w:r>
      <w:r w:rsidR="009A5BCA">
        <w:rPr>
          <w:rFonts w:ascii="Book Antiqua" w:hAnsi="Book Antiqua" w:cs="Tahoma"/>
          <w:sz w:val="22"/>
          <w:szCs w:val="22"/>
        </w:rPr>
        <w:t xml:space="preserve"> </w:t>
      </w:r>
      <w:r w:rsidR="008D0C10">
        <w:rPr>
          <w:rFonts w:ascii="Book Antiqua" w:hAnsi="Book Antiqua" w:cs="Tahoma"/>
          <w:sz w:val="22"/>
          <w:szCs w:val="22"/>
        </w:rPr>
        <w:t>ou</w:t>
      </w:r>
      <w:r w:rsidR="001E39F7">
        <w:rPr>
          <w:rFonts w:ascii="Book Antiqua" w:hAnsi="Book Antiqua" w:cs="Tahoma"/>
          <w:sz w:val="22"/>
          <w:szCs w:val="22"/>
        </w:rPr>
        <w:t xml:space="preserve"> moins</w:t>
      </w:r>
      <w:r w:rsidRPr="00E23B0D">
        <w:rPr>
          <w:rFonts w:ascii="Book Antiqua" w:hAnsi="Book Antiqua" w:cs="Tahoma"/>
          <w:sz w:val="22"/>
          <w:szCs w:val="22"/>
        </w:rPr>
        <w:t>], [</w:t>
      </w:r>
      <w:r w:rsidR="00E9177B">
        <w:rPr>
          <w:rFonts w:ascii="Book Antiqua" w:hAnsi="Book Antiqua" w:cs="Tahoma"/>
          <w:sz w:val="22"/>
          <w:szCs w:val="22"/>
        </w:rPr>
        <w:t>50</w:t>
      </w:r>
      <w:r w:rsidR="009A5BCA">
        <w:rPr>
          <w:rFonts w:ascii="Book Antiqua" w:hAnsi="Book Antiqua" w:cs="Tahoma"/>
          <w:sz w:val="22"/>
          <w:szCs w:val="22"/>
        </w:rPr>
        <w:t xml:space="preserve"> </w:t>
      </w:r>
      <w:r w:rsidR="00E9177B">
        <w:rPr>
          <w:rFonts w:ascii="Book Antiqua" w:hAnsi="Book Antiqua" w:cs="Tahoma"/>
          <w:sz w:val="22"/>
          <w:szCs w:val="22"/>
        </w:rPr>
        <w:t>000</w:t>
      </w:r>
      <w:r w:rsidRPr="00E23B0D">
        <w:rPr>
          <w:rFonts w:ascii="Book Antiqua" w:hAnsi="Book Antiqua" w:cs="Tahoma"/>
          <w:sz w:val="22"/>
          <w:szCs w:val="22"/>
        </w:rPr>
        <w:t>-</w:t>
      </w:r>
      <w:r w:rsidR="00E9177B">
        <w:rPr>
          <w:rFonts w:ascii="Book Antiqua" w:hAnsi="Book Antiqua" w:cs="Tahoma"/>
          <w:sz w:val="22"/>
          <w:szCs w:val="22"/>
        </w:rPr>
        <w:t>100</w:t>
      </w:r>
      <w:r w:rsidR="009A5BCA">
        <w:rPr>
          <w:rFonts w:ascii="Book Antiqua" w:hAnsi="Book Antiqua" w:cs="Tahoma"/>
          <w:sz w:val="22"/>
          <w:szCs w:val="22"/>
        </w:rPr>
        <w:t xml:space="preserve"> </w:t>
      </w:r>
      <w:r w:rsidR="00E9177B">
        <w:rPr>
          <w:rFonts w:ascii="Book Antiqua" w:hAnsi="Book Antiqua" w:cs="Tahoma"/>
          <w:sz w:val="22"/>
          <w:szCs w:val="22"/>
        </w:rPr>
        <w:t>000FCFA</w:t>
      </w:r>
      <w:r w:rsidRPr="00E23B0D">
        <w:rPr>
          <w:rFonts w:ascii="Book Antiqua" w:hAnsi="Book Antiqua" w:cs="Tahoma"/>
          <w:sz w:val="22"/>
          <w:szCs w:val="22"/>
        </w:rPr>
        <w:t>], [</w:t>
      </w:r>
      <w:r w:rsidR="00E9177B">
        <w:rPr>
          <w:rFonts w:ascii="Book Antiqua" w:hAnsi="Book Antiqua" w:cs="Tahoma"/>
          <w:sz w:val="22"/>
          <w:szCs w:val="22"/>
        </w:rPr>
        <w:t>100</w:t>
      </w:r>
      <w:r w:rsidR="009A5BCA">
        <w:rPr>
          <w:rFonts w:ascii="Book Antiqua" w:hAnsi="Book Antiqua" w:cs="Tahoma"/>
          <w:sz w:val="22"/>
          <w:szCs w:val="22"/>
        </w:rPr>
        <w:t xml:space="preserve"> </w:t>
      </w:r>
      <w:r w:rsidR="00E9177B">
        <w:rPr>
          <w:rFonts w:ascii="Book Antiqua" w:hAnsi="Book Antiqua" w:cs="Tahoma"/>
          <w:sz w:val="22"/>
          <w:szCs w:val="22"/>
        </w:rPr>
        <w:t>000</w:t>
      </w:r>
      <w:r w:rsidRPr="00E23B0D">
        <w:rPr>
          <w:rFonts w:ascii="Book Antiqua" w:hAnsi="Book Antiqua" w:cs="Tahoma"/>
          <w:sz w:val="22"/>
          <w:szCs w:val="22"/>
        </w:rPr>
        <w:t>-</w:t>
      </w:r>
      <w:r w:rsidR="00E9177B">
        <w:rPr>
          <w:rFonts w:ascii="Book Antiqua" w:hAnsi="Book Antiqua" w:cs="Tahoma"/>
          <w:sz w:val="22"/>
          <w:szCs w:val="22"/>
        </w:rPr>
        <w:t>200</w:t>
      </w:r>
      <w:r w:rsidR="009A5BCA">
        <w:rPr>
          <w:rFonts w:ascii="Book Antiqua" w:hAnsi="Book Antiqua" w:cs="Tahoma"/>
          <w:sz w:val="22"/>
          <w:szCs w:val="22"/>
        </w:rPr>
        <w:t xml:space="preserve"> </w:t>
      </w:r>
      <w:r w:rsidR="00E9177B">
        <w:rPr>
          <w:rFonts w:ascii="Book Antiqua" w:hAnsi="Book Antiqua" w:cs="Tahoma"/>
          <w:sz w:val="22"/>
          <w:szCs w:val="22"/>
        </w:rPr>
        <w:t>000FCFA</w:t>
      </w:r>
      <w:r w:rsidRPr="00E23B0D">
        <w:rPr>
          <w:rFonts w:ascii="Book Antiqua" w:hAnsi="Book Antiqua" w:cs="Tahoma"/>
          <w:sz w:val="22"/>
          <w:szCs w:val="22"/>
        </w:rPr>
        <w:t>], [</w:t>
      </w:r>
      <w:r w:rsidR="00E9177B">
        <w:rPr>
          <w:rFonts w:ascii="Book Antiqua" w:hAnsi="Book Antiqua" w:cs="Tahoma"/>
          <w:sz w:val="22"/>
          <w:szCs w:val="22"/>
        </w:rPr>
        <w:t>200</w:t>
      </w:r>
      <w:r w:rsidR="009A5BCA">
        <w:rPr>
          <w:rFonts w:ascii="Book Antiqua" w:hAnsi="Book Antiqua" w:cs="Tahoma"/>
          <w:sz w:val="22"/>
          <w:szCs w:val="22"/>
        </w:rPr>
        <w:t xml:space="preserve"> </w:t>
      </w:r>
      <w:r w:rsidR="00E9177B">
        <w:rPr>
          <w:rFonts w:ascii="Book Antiqua" w:hAnsi="Book Antiqua" w:cs="Tahoma"/>
          <w:sz w:val="22"/>
          <w:szCs w:val="22"/>
        </w:rPr>
        <w:t>000</w:t>
      </w:r>
      <w:r w:rsidRPr="00E23B0D">
        <w:rPr>
          <w:rFonts w:ascii="Book Antiqua" w:hAnsi="Book Antiqua" w:cs="Tahoma"/>
          <w:sz w:val="22"/>
          <w:szCs w:val="22"/>
        </w:rPr>
        <w:t>-</w:t>
      </w:r>
      <w:r w:rsidR="00E9177B">
        <w:rPr>
          <w:rFonts w:ascii="Book Antiqua" w:hAnsi="Book Antiqua" w:cs="Tahoma"/>
          <w:sz w:val="22"/>
          <w:szCs w:val="22"/>
        </w:rPr>
        <w:t>300</w:t>
      </w:r>
      <w:r w:rsidR="009A5BCA">
        <w:rPr>
          <w:rFonts w:ascii="Book Antiqua" w:hAnsi="Book Antiqua" w:cs="Tahoma"/>
          <w:sz w:val="22"/>
          <w:szCs w:val="22"/>
        </w:rPr>
        <w:t xml:space="preserve"> </w:t>
      </w:r>
      <w:r w:rsidR="00E9177B">
        <w:rPr>
          <w:rFonts w:ascii="Book Antiqua" w:hAnsi="Book Antiqua" w:cs="Tahoma"/>
          <w:sz w:val="22"/>
          <w:szCs w:val="22"/>
        </w:rPr>
        <w:t>000FCFA</w:t>
      </w:r>
      <w:r w:rsidRPr="00E23B0D">
        <w:rPr>
          <w:rFonts w:ascii="Book Antiqua" w:hAnsi="Book Antiqua" w:cs="Tahoma"/>
          <w:sz w:val="22"/>
          <w:szCs w:val="22"/>
        </w:rPr>
        <w:t>], [</w:t>
      </w:r>
      <w:r w:rsidR="001E39F7">
        <w:rPr>
          <w:rFonts w:ascii="Book Antiqua" w:hAnsi="Book Antiqua" w:cs="Tahoma"/>
          <w:sz w:val="22"/>
          <w:szCs w:val="22"/>
        </w:rPr>
        <w:t>300</w:t>
      </w:r>
      <w:r w:rsidR="009A5BCA">
        <w:rPr>
          <w:rFonts w:ascii="Book Antiqua" w:hAnsi="Book Antiqua" w:cs="Tahoma"/>
          <w:sz w:val="22"/>
          <w:szCs w:val="22"/>
        </w:rPr>
        <w:t xml:space="preserve"> </w:t>
      </w:r>
      <w:r w:rsidR="001E39F7">
        <w:rPr>
          <w:rFonts w:ascii="Book Antiqua" w:hAnsi="Book Antiqua" w:cs="Tahoma"/>
          <w:sz w:val="22"/>
          <w:szCs w:val="22"/>
        </w:rPr>
        <w:t>000</w:t>
      </w:r>
      <w:r w:rsidRPr="00E23B0D">
        <w:rPr>
          <w:rFonts w:ascii="Book Antiqua" w:hAnsi="Book Antiqua" w:cs="Tahoma"/>
          <w:sz w:val="22"/>
          <w:szCs w:val="22"/>
        </w:rPr>
        <w:t>-</w:t>
      </w:r>
      <w:r w:rsidR="00E9177B">
        <w:rPr>
          <w:rFonts w:ascii="Book Antiqua" w:hAnsi="Book Antiqua" w:cs="Tahoma"/>
          <w:sz w:val="22"/>
          <w:szCs w:val="22"/>
        </w:rPr>
        <w:t>500</w:t>
      </w:r>
      <w:r w:rsidR="009A5BCA">
        <w:rPr>
          <w:rFonts w:ascii="Book Antiqua" w:hAnsi="Book Antiqua" w:cs="Tahoma"/>
          <w:sz w:val="22"/>
          <w:szCs w:val="22"/>
        </w:rPr>
        <w:t xml:space="preserve"> </w:t>
      </w:r>
      <w:r w:rsidR="00E9177B">
        <w:rPr>
          <w:rFonts w:ascii="Book Antiqua" w:hAnsi="Book Antiqua" w:cs="Tahoma"/>
          <w:sz w:val="22"/>
          <w:szCs w:val="22"/>
        </w:rPr>
        <w:t>000FCFA</w:t>
      </w:r>
      <w:r w:rsidRPr="00E23B0D">
        <w:rPr>
          <w:rFonts w:ascii="Book Antiqua" w:hAnsi="Book Antiqua" w:cs="Tahoma"/>
          <w:sz w:val="22"/>
          <w:szCs w:val="22"/>
        </w:rPr>
        <w:t>] et [</w:t>
      </w:r>
      <w:r w:rsidR="00E9177B">
        <w:rPr>
          <w:rFonts w:ascii="Book Antiqua" w:hAnsi="Book Antiqua" w:cs="Tahoma"/>
          <w:sz w:val="22"/>
          <w:szCs w:val="22"/>
        </w:rPr>
        <w:t>500</w:t>
      </w:r>
      <w:r w:rsidR="009A5BCA">
        <w:rPr>
          <w:rFonts w:ascii="Book Antiqua" w:hAnsi="Book Antiqua" w:cs="Tahoma"/>
          <w:sz w:val="22"/>
          <w:szCs w:val="22"/>
        </w:rPr>
        <w:t xml:space="preserve"> </w:t>
      </w:r>
      <w:r w:rsidR="00E9177B">
        <w:rPr>
          <w:rFonts w:ascii="Book Antiqua" w:hAnsi="Book Antiqua" w:cs="Tahoma"/>
          <w:sz w:val="22"/>
          <w:szCs w:val="22"/>
        </w:rPr>
        <w:t>000-1</w:t>
      </w:r>
      <w:r w:rsidR="009A5BCA">
        <w:rPr>
          <w:rFonts w:ascii="Book Antiqua" w:hAnsi="Book Antiqua" w:cs="Tahoma"/>
          <w:sz w:val="22"/>
          <w:szCs w:val="22"/>
        </w:rPr>
        <w:t> </w:t>
      </w:r>
      <w:r w:rsidR="00E9177B">
        <w:rPr>
          <w:rFonts w:ascii="Book Antiqua" w:hAnsi="Book Antiqua" w:cs="Tahoma"/>
          <w:sz w:val="22"/>
          <w:szCs w:val="22"/>
        </w:rPr>
        <w:t>000</w:t>
      </w:r>
      <w:r w:rsidR="009A5BCA">
        <w:rPr>
          <w:rFonts w:ascii="Book Antiqua" w:hAnsi="Book Antiqua" w:cs="Tahoma"/>
          <w:sz w:val="22"/>
          <w:szCs w:val="22"/>
        </w:rPr>
        <w:t> </w:t>
      </w:r>
      <w:r w:rsidR="00E9177B">
        <w:rPr>
          <w:rFonts w:ascii="Book Antiqua" w:hAnsi="Book Antiqua" w:cs="Tahoma"/>
          <w:sz w:val="22"/>
          <w:szCs w:val="22"/>
        </w:rPr>
        <w:t>000</w:t>
      </w:r>
      <w:r w:rsidR="009A5BCA">
        <w:rPr>
          <w:rFonts w:ascii="Book Antiqua" w:hAnsi="Book Antiqua" w:cs="Tahoma"/>
          <w:sz w:val="22"/>
          <w:szCs w:val="22"/>
        </w:rPr>
        <w:t xml:space="preserve"> </w:t>
      </w:r>
      <w:r w:rsidR="00E9177B">
        <w:rPr>
          <w:rFonts w:ascii="Book Antiqua" w:hAnsi="Book Antiqua" w:cs="Tahoma"/>
          <w:sz w:val="22"/>
          <w:szCs w:val="22"/>
        </w:rPr>
        <w:t>FCFA</w:t>
      </w:r>
      <w:r w:rsidRPr="00E23B0D">
        <w:rPr>
          <w:rFonts w:ascii="Book Antiqua" w:hAnsi="Book Antiqua" w:cs="Tahoma"/>
          <w:sz w:val="22"/>
          <w:szCs w:val="22"/>
        </w:rPr>
        <w:t>]</w:t>
      </w:r>
      <w:r w:rsidR="00E9177B">
        <w:rPr>
          <w:rFonts w:ascii="Book Antiqua" w:hAnsi="Book Antiqua" w:cs="Tahoma"/>
          <w:sz w:val="22"/>
          <w:szCs w:val="22"/>
        </w:rPr>
        <w:t>,[1</w:t>
      </w:r>
      <w:r w:rsidR="009A5BCA">
        <w:rPr>
          <w:rFonts w:ascii="Book Antiqua" w:hAnsi="Book Antiqua" w:cs="Tahoma"/>
          <w:sz w:val="22"/>
          <w:szCs w:val="22"/>
        </w:rPr>
        <w:t> </w:t>
      </w:r>
      <w:r w:rsidR="00E9177B">
        <w:rPr>
          <w:rFonts w:ascii="Book Antiqua" w:hAnsi="Book Antiqua" w:cs="Tahoma"/>
          <w:sz w:val="22"/>
          <w:szCs w:val="22"/>
        </w:rPr>
        <w:t>000</w:t>
      </w:r>
      <w:r w:rsidR="009A5BCA">
        <w:rPr>
          <w:rFonts w:ascii="Book Antiqua" w:hAnsi="Book Antiqua" w:cs="Tahoma"/>
          <w:sz w:val="22"/>
          <w:szCs w:val="22"/>
        </w:rPr>
        <w:t xml:space="preserve"> </w:t>
      </w:r>
      <w:r w:rsidR="00E9177B">
        <w:rPr>
          <w:rFonts w:ascii="Book Antiqua" w:hAnsi="Book Antiqua" w:cs="Tahoma"/>
          <w:sz w:val="22"/>
          <w:szCs w:val="22"/>
        </w:rPr>
        <w:t>000-1</w:t>
      </w:r>
      <w:r w:rsidR="009A5BCA">
        <w:rPr>
          <w:rFonts w:ascii="Book Antiqua" w:hAnsi="Book Antiqua" w:cs="Tahoma"/>
          <w:sz w:val="22"/>
          <w:szCs w:val="22"/>
        </w:rPr>
        <w:t> </w:t>
      </w:r>
      <w:r w:rsidR="00E9177B">
        <w:rPr>
          <w:rFonts w:ascii="Book Antiqua" w:hAnsi="Book Antiqua" w:cs="Tahoma"/>
          <w:sz w:val="22"/>
          <w:szCs w:val="22"/>
        </w:rPr>
        <w:t>500</w:t>
      </w:r>
      <w:r w:rsidR="009A5BCA">
        <w:rPr>
          <w:rFonts w:ascii="Book Antiqua" w:hAnsi="Book Antiqua" w:cs="Tahoma"/>
          <w:sz w:val="22"/>
          <w:szCs w:val="22"/>
        </w:rPr>
        <w:t> </w:t>
      </w:r>
      <w:r w:rsidR="00E9177B">
        <w:rPr>
          <w:rFonts w:ascii="Book Antiqua" w:hAnsi="Book Antiqua" w:cs="Tahoma"/>
          <w:sz w:val="22"/>
          <w:szCs w:val="22"/>
        </w:rPr>
        <w:t>000</w:t>
      </w:r>
      <w:r w:rsidR="009A5BCA">
        <w:rPr>
          <w:rFonts w:ascii="Book Antiqua" w:hAnsi="Book Antiqua" w:cs="Tahoma"/>
          <w:sz w:val="22"/>
          <w:szCs w:val="22"/>
        </w:rPr>
        <w:t xml:space="preserve"> </w:t>
      </w:r>
      <w:r w:rsidR="00E9177B">
        <w:rPr>
          <w:rFonts w:ascii="Book Antiqua" w:hAnsi="Book Antiqua" w:cs="Tahoma"/>
          <w:sz w:val="22"/>
          <w:szCs w:val="22"/>
        </w:rPr>
        <w:t>FCFA] et plus de 1</w:t>
      </w:r>
      <w:r w:rsidR="009A5BCA">
        <w:rPr>
          <w:rFonts w:ascii="Book Antiqua" w:hAnsi="Book Antiqua" w:cs="Tahoma"/>
          <w:sz w:val="22"/>
          <w:szCs w:val="22"/>
        </w:rPr>
        <w:t> </w:t>
      </w:r>
      <w:r w:rsidR="00E9177B">
        <w:rPr>
          <w:rFonts w:ascii="Book Antiqua" w:hAnsi="Book Antiqua" w:cs="Tahoma"/>
          <w:sz w:val="22"/>
          <w:szCs w:val="22"/>
        </w:rPr>
        <w:t>500</w:t>
      </w:r>
      <w:r w:rsidR="009A5BCA">
        <w:rPr>
          <w:rFonts w:ascii="Book Antiqua" w:hAnsi="Book Antiqua" w:cs="Tahoma"/>
          <w:sz w:val="22"/>
          <w:szCs w:val="22"/>
        </w:rPr>
        <w:t> </w:t>
      </w:r>
      <w:r w:rsidR="00E9177B">
        <w:rPr>
          <w:rFonts w:ascii="Book Antiqua" w:hAnsi="Book Antiqua" w:cs="Tahoma"/>
          <w:sz w:val="22"/>
          <w:szCs w:val="22"/>
        </w:rPr>
        <w:t>000</w:t>
      </w:r>
      <w:r w:rsidR="009A5BCA">
        <w:rPr>
          <w:rFonts w:ascii="Book Antiqua" w:hAnsi="Book Antiqua" w:cs="Tahoma"/>
          <w:sz w:val="22"/>
          <w:szCs w:val="22"/>
        </w:rPr>
        <w:t xml:space="preserve"> </w:t>
      </w:r>
      <w:r w:rsidR="00E9177B">
        <w:rPr>
          <w:rFonts w:ascii="Book Antiqua" w:hAnsi="Book Antiqua" w:cs="Tahoma"/>
          <w:sz w:val="22"/>
          <w:szCs w:val="22"/>
        </w:rPr>
        <w:t>FCFA</w:t>
      </w:r>
      <w:r w:rsidR="001E39F7">
        <w:rPr>
          <w:rFonts w:ascii="Book Antiqua" w:hAnsi="Book Antiqua" w:cs="Tahoma"/>
          <w:sz w:val="22"/>
          <w:szCs w:val="22"/>
        </w:rPr>
        <w:t xml:space="preserve">. </w:t>
      </w:r>
    </w:p>
    <w:p w:rsidR="003A3E23" w:rsidRPr="003A3E23" w:rsidRDefault="003A3E23" w:rsidP="00E20E48">
      <w:pPr>
        <w:pStyle w:val="Lgende"/>
        <w:keepNext/>
        <w:spacing w:before="240" w:after="240" w:line="276" w:lineRule="auto"/>
        <w:jc w:val="center"/>
        <w:rPr>
          <w:color w:val="auto"/>
        </w:rPr>
      </w:pPr>
      <w:bookmarkStart w:id="269" w:name="_Toc523313842"/>
      <w:r w:rsidRPr="003A3E23">
        <w:rPr>
          <w:color w:val="auto"/>
        </w:rPr>
        <w:t xml:space="preserve">Figure </w:t>
      </w:r>
      <w:r w:rsidR="000D65F2" w:rsidRPr="003A3E23">
        <w:rPr>
          <w:color w:val="auto"/>
        </w:rPr>
        <w:fldChar w:fldCharType="begin"/>
      </w:r>
      <w:r w:rsidRPr="003A3E23">
        <w:rPr>
          <w:color w:val="auto"/>
        </w:rPr>
        <w:instrText xml:space="preserve"> SEQ Figure \* ARABIC </w:instrText>
      </w:r>
      <w:r w:rsidR="000D65F2" w:rsidRPr="003A3E23">
        <w:rPr>
          <w:color w:val="auto"/>
        </w:rPr>
        <w:fldChar w:fldCharType="separate"/>
      </w:r>
      <w:r w:rsidR="000F780F">
        <w:rPr>
          <w:noProof/>
          <w:color w:val="auto"/>
        </w:rPr>
        <w:t>159</w:t>
      </w:r>
      <w:r w:rsidR="000D65F2" w:rsidRPr="003A3E23">
        <w:rPr>
          <w:color w:val="auto"/>
        </w:rPr>
        <w:fldChar w:fldCharType="end"/>
      </w:r>
      <w:r w:rsidRPr="003A3E23">
        <w:rPr>
          <w:color w:val="auto"/>
        </w:rPr>
        <w:t xml:space="preserve"> : Taux d'utilisation des virements locaux selon le niveau de revenu</w:t>
      </w:r>
      <w:bookmarkEnd w:id="269"/>
    </w:p>
    <w:p w:rsidR="00C124C2" w:rsidRDefault="00C124C2" w:rsidP="00D4489E">
      <w:pPr>
        <w:spacing w:line="276" w:lineRule="auto"/>
        <w:jc w:val="center"/>
      </w:pPr>
      <w:r w:rsidRPr="00604B47">
        <w:rPr>
          <w:noProof/>
        </w:rPr>
        <w:drawing>
          <wp:inline distT="0" distB="0" distL="0" distR="0">
            <wp:extent cx="5755640" cy="2533650"/>
            <wp:effectExtent l="0" t="0" r="16510" b="0"/>
            <wp:docPr id="245"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C124C2" w:rsidRPr="00E23B0D"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lastRenderedPageBreak/>
        <w:t>L’</w:t>
      </w:r>
      <w:r w:rsidR="00314339">
        <w:rPr>
          <w:rFonts w:ascii="Book Antiqua" w:hAnsi="Book Antiqua" w:cs="Tahoma"/>
          <w:sz w:val="22"/>
          <w:szCs w:val="22"/>
        </w:rPr>
        <w:t xml:space="preserve">analyse de la </w:t>
      </w:r>
      <w:r w:rsidRPr="00E23B0D">
        <w:rPr>
          <w:rFonts w:ascii="Book Antiqua" w:hAnsi="Book Antiqua" w:cs="Tahoma"/>
          <w:sz w:val="22"/>
          <w:szCs w:val="22"/>
        </w:rPr>
        <w:t xml:space="preserve"> durée de traitement des ordres virements locaux </w:t>
      </w:r>
      <w:r w:rsidR="00314339">
        <w:rPr>
          <w:rFonts w:ascii="Book Antiqua" w:hAnsi="Book Antiqua" w:cs="Tahoma"/>
          <w:sz w:val="22"/>
          <w:szCs w:val="22"/>
        </w:rPr>
        <w:t>selon les régions fait apparaitre</w:t>
      </w:r>
      <w:r w:rsidR="008A771D">
        <w:rPr>
          <w:rFonts w:ascii="Book Antiqua" w:hAnsi="Book Antiqua" w:cs="Tahoma"/>
          <w:sz w:val="22"/>
          <w:szCs w:val="22"/>
        </w:rPr>
        <w:t xml:space="preserve"> </w:t>
      </w:r>
      <w:r w:rsidRPr="00E23B0D">
        <w:rPr>
          <w:rFonts w:ascii="Book Antiqua" w:hAnsi="Book Antiqua" w:cs="Tahoma"/>
          <w:sz w:val="22"/>
          <w:szCs w:val="22"/>
        </w:rPr>
        <w:t>une disparité de</w:t>
      </w:r>
      <w:r w:rsidR="00314339">
        <w:rPr>
          <w:rFonts w:ascii="Book Antiqua" w:hAnsi="Book Antiqua" w:cs="Tahoma"/>
          <w:sz w:val="22"/>
          <w:szCs w:val="22"/>
        </w:rPr>
        <w:t>s</w:t>
      </w:r>
      <w:r w:rsidRPr="00E23B0D">
        <w:rPr>
          <w:rFonts w:ascii="Book Antiqua" w:hAnsi="Book Antiqua" w:cs="Tahoma"/>
          <w:sz w:val="22"/>
          <w:szCs w:val="22"/>
        </w:rPr>
        <w:t xml:space="preserve"> appréciations : Louga (58,</w:t>
      </w:r>
      <w:r w:rsidR="00314339">
        <w:rPr>
          <w:rFonts w:ascii="Book Antiqua" w:hAnsi="Book Antiqua" w:cs="Tahoma"/>
          <w:sz w:val="22"/>
          <w:szCs w:val="22"/>
        </w:rPr>
        <w:t>3</w:t>
      </w:r>
      <w:r w:rsidRPr="00E23B0D">
        <w:rPr>
          <w:rFonts w:ascii="Book Antiqua" w:hAnsi="Book Antiqua" w:cs="Tahoma"/>
          <w:sz w:val="22"/>
          <w:szCs w:val="22"/>
        </w:rPr>
        <w:t xml:space="preserve">%), </w:t>
      </w:r>
      <w:r w:rsidR="009B0736" w:rsidRPr="00E23B0D">
        <w:rPr>
          <w:rFonts w:ascii="Book Antiqua" w:hAnsi="Book Antiqua" w:cs="Tahoma"/>
          <w:sz w:val="22"/>
          <w:szCs w:val="22"/>
        </w:rPr>
        <w:t>Thiès</w:t>
      </w:r>
      <w:r w:rsidRPr="00E23B0D">
        <w:rPr>
          <w:rFonts w:ascii="Book Antiqua" w:hAnsi="Book Antiqua" w:cs="Tahoma"/>
          <w:sz w:val="22"/>
          <w:szCs w:val="22"/>
        </w:rPr>
        <w:t xml:space="preserve"> (55,6%), Matam (50</w:t>
      </w:r>
      <w:r w:rsidR="00314339">
        <w:rPr>
          <w:rFonts w:ascii="Book Antiqua" w:hAnsi="Book Antiqua" w:cs="Tahoma"/>
          <w:sz w:val="22"/>
          <w:szCs w:val="22"/>
        </w:rPr>
        <w:t>,0</w:t>
      </w:r>
      <w:r w:rsidRPr="00E23B0D">
        <w:rPr>
          <w:rFonts w:ascii="Book Antiqua" w:hAnsi="Book Antiqua" w:cs="Tahoma"/>
          <w:sz w:val="22"/>
          <w:szCs w:val="22"/>
        </w:rPr>
        <w:t xml:space="preserve">%) et </w:t>
      </w:r>
      <w:proofErr w:type="spellStart"/>
      <w:r w:rsidR="00314339">
        <w:rPr>
          <w:rFonts w:ascii="Book Antiqua" w:hAnsi="Book Antiqua" w:cs="Tahoma"/>
          <w:sz w:val="22"/>
          <w:szCs w:val="22"/>
        </w:rPr>
        <w:t>Kaffrine</w:t>
      </w:r>
      <w:proofErr w:type="spellEnd"/>
      <w:r w:rsidR="008A771D">
        <w:rPr>
          <w:rFonts w:ascii="Book Antiqua" w:hAnsi="Book Antiqua" w:cs="Tahoma"/>
          <w:sz w:val="22"/>
          <w:szCs w:val="22"/>
        </w:rPr>
        <w:t xml:space="preserve"> </w:t>
      </w:r>
      <w:r w:rsidRPr="00E23B0D">
        <w:rPr>
          <w:rFonts w:ascii="Book Antiqua" w:hAnsi="Book Antiqua" w:cs="Tahoma"/>
          <w:sz w:val="22"/>
          <w:szCs w:val="22"/>
        </w:rPr>
        <w:t>(40,0%) ressortent avec des taux d’insatisfaction les plus élevés</w:t>
      </w:r>
      <w:r w:rsidR="00314339">
        <w:rPr>
          <w:rFonts w:ascii="Book Antiqua" w:hAnsi="Book Antiqua" w:cs="Tahoma"/>
          <w:sz w:val="22"/>
          <w:szCs w:val="22"/>
        </w:rPr>
        <w:t>.</w:t>
      </w:r>
    </w:p>
    <w:p w:rsidR="00C124C2" w:rsidRDefault="00C124C2" w:rsidP="00D4489E">
      <w:pPr>
        <w:spacing w:line="276" w:lineRule="auto"/>
        <w:jc w:val="center"/>
        <w:rPr>
          <w:rFonts w:ascii="Book Antiqua" w:hAnsi="Book Antiqua"/>
          <w:b/>
          <w:sz w:val="16"/>
          <w:szCs w:val="16"/>
        </w:rPr>
      </w:pPr>
    </w:p>
    <w:p w:rsidR="003A3E23" w:rsidRPr="003A3E23" w:rsidRDefault="003A3E23" w:rsidP="00D4489E">
      <w:pPr>
        <w:pStyle w:val="Lgende"/>
        <w:keepNext/>
        <w:spacing w:line="276" w:lineRule="auto"/>
        <w:jc w:val="center"/>
        <w:rPr>
          <w:color w:val="auto"/>
        </w:rPr>
      </w:pPr>
      <w:bookmarkStart w:id="270" w:name="_Toc523313843"/>
      <w:r w:rsidRPr="003A3E23">
        <w:rPr>
          <w:color w:val="auto"/>
        </w:rPr>
        <w:t xml:space="preserve">Figure </w:t>
      </w:r>
      <w:r w:rsidR="000D65F2" w:rsidRPr="003A3E23">
        <w:rPr>
          <w:color w:val="auto"/>
        </w:rPr>
        <w:fldChar w:fldCharType="begin"/>
      </w:r>
      <w:r w:rsidRPr="003A3E23">
        <w:rPr>
          <w:color w:val="auto"/>
        </w:rPr>
        <w:instrText xml:space="preserve"> SEQ Figure \* ARABIC </w:instrText>
      </w:r>
      <w:r w:rsidR="000D65F2" w:rsidRPr="003A3E23">
        <w:rPr>
          <w:color w:val="auto"/>
        </w:rPr>
        <w:fldChar w:fldCharType="separate"/>
      </w:r>
      <w:r w:rsidR="000F780F">
        <w:rPr>
          <w:noProof/>
          <w:color w:val="auto"/>
        </w:rPr>
        <w:t>160</w:t>
      </w:r>
      <w:r w:rsidR="000D65F2" w:rsidRPr="003A3E23">
        <w:rPr>
          <w:color w:val="auto"/>
        </w:rPr>
        <w:fldChar w:fldCharType="end"/>
      </w:r>
      <w:r w:rsidRPr="003A3E23">
        <w:rPr>
          <w:color w:val="auto"/>
        </w:rPr>
        <w:t xml:space="preserve"> : Appréciation des enquêtés selon les régions sur la durée de traitement des virements locaux</w:t>
      </w:r>
      <w:bookmarkEnd w:id="270"/>
    </w:p>
    <w:p w:rsidR="00C124C2" w:rsidRPr="00D33251" w:rsidRDefault="00C124C2" w:rsidP="00D4489E">
      <w:pPr>
        <w:spacing w:line="276" w:lineRule="auto"/>
        <w:jc w:val="center"/>
      </w:pPr>
      <w:r w:rsidRPr="00950EE2">
        <w:rPr>
          <w:noProof/>
        </w:rPr>
        <w:drawing>
          <wp:inline distT="0" distB="0" distL="0" distR="0">
            <wp:extent cx="5133975" cy="2728912"/>
            <wp:effectExtent l="19050" t="0" r="9525" b="0"/>
            <wp:docPr id="247"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9E3F06" w:rsidRDefault="009E3F06" w:rsidP="00863463">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 xml:space="preserve">Sur un autre registre, </w:t>
      </w:r>
      <w:r w:rsidR="00C124C2" w:rsidRPr="00E23B0D">
        <w:rPr>
          <w:rFonts w:ascii="Book Antiqua" w:hAnsi="Book Antiqua" w:cs="Tahoma"/>
          <w:sz w:val="22"/>
          <w:szCs w:val="22"/>
        </w:rPr>
        <w:t xml:space="preserve">une majorité des </w:t>
      </w:r>
      <w:r>
        <w:rPr>
          <w:rFonts w:ascii="Book Antiqua" w:hAnsi="Book Antiqua" w:cs="Tahoma"/>
          <w:sz w:val="22"/>
          <w:szCs w:val="22"/>
        </w:rPr>
        <w:t xml:space="preserve">personnes physiques </w:t>
      </w:r>
      <w:r w:rsidR="00C124C2" w:rsidRPr="00E23B0D">
        <w:rPr>
          <w:rFonts w:ascii="Book Antiqua" w:hAnsi="Book Antiqua" w:cs="Tahoma"/>
          <w:sz w:val="22"/>
          <w:szCs w:val="22"/>
        </w:rPr>
        <w:t>enquêté</w:t>
      </w:r>
      <w:r>
        <w:rPr>
          <w:rFonts w:ascii="Book Antiqua" w:hAnsi="Book Antiqua" w:cs="Tahoma"/>
          <w:sz w:val="22"/>
          <w:szCs w:val="22"/>
        </w:rPr>
        <w:t>e</w:t>
      </w:r>
      <w:r w:rsidR="008A771D">
        <w:rPr>
          <w:rFonts w:ascii="Book Antiqua" w:hAnsi="Book Antiqua" w:cs="Tahoma"/>
          <w:sz w:val="22"/>
          <w:szCs w:val="22"/>
        </w:rPr>
        <w:t>s (95,1%) déclare n’</w:t>
      </w:r>
      <w:r w:rsidR="00C124C2" w:rsidRPr="00E23B0D">
        <w:rPr>
          <w:rFonts w:ascii="Book Antiqua" w:hAnsi="Book Antiqua" w:cs="Tahoma"/>
          <w:sz w:val="22"/>
          <w:szCs w:val="22"/>
        </w:rPr>
        <w:t xml:space="preserve">avoir pas effectué </w:t>
      </w:r>
      <w:r>
        <w:rPr>
          <w:rFonts w:ascii="Book Antiqua" w:hAnsi="Book Antiqua" w:cs="Tahoma"/>
          <w:sz w:val="22"/>
          <w:szCs w:val="22"/>
        </w:rPr>
        <w:t>d’</w:t>
      </w:r>
      <w:r w:rsidRPr="00E23B0D">
        <w:rPr>
          <w:rFonts w:ascii="Book Antiqua" w:hAnsi="Book Antiqua" w:cs="Tahoma"/>
          <w:sz w:val="22"/>
          <w:szCs w:val="22"/>
        </w:rPr>
        <w:t xml:space="preserve">opérations de virement vers l’étranger </w:t>
      </w:r>
      <w:r w:rsidR="00C124C2" w:rsidRPr="00E23B0D">
        <w:rPr>
          <w:rFonts w:ascii="Book Antiqua" w:hAnsi="Book Antiqua" w:cs="Tahoma"/>
          <w:sz w:val="22"/>
          <w:szCs w:val="22"/>
        </w:rPr>
        <w:t xml:space="preserve">au cours des trois dernières années. </w:t>
      </w:r>
    </w:p>
    <w:p w:rsidR="00C124C2" w:rsidRPr="00E23B0D" w:rsidRDefault="00C124C2" w:rsidP="00863463">
      <w:pPr>
        <w:autoSpaceDE w:val="0"/>
        <w:autoSpaceDN w:val="0"/>
        <w:adjustRightInd w:val="0"/>
        <w:spacing w:before="240" w:after="240" w:line="276" w:lineRule="auto"/>
        <w:jc w:val="both"/>
        <w:rPr>
          <w:rFonts w:ascii="Book Antiqua" w:hAnsi="Book Antiqua" w:cs="Tahoma"/>
          <w:sz w:val="22"/>
          <w:szCs w:val="22"/>
        </w:rPr>
      </w:pPr>
      <w:r w:rsidRPr="00E23B0D">
        <w:rPr>
          <w:rFonts w:ascii="Book Antiqua" w:hAnsi="Book Antiqua" w:cs="Tahoma"/>
          <w:sz w:val="22"/>
          <w:szCs w:val="22"/>
        </w:rPr>
        <w:t xml:space="preserve">Parmi les clients utilisateurs de ce service (4,9%), une proportion de 43,4% juge </w:t>
      </w:r>
      <w:r w:rsidR="009E3F06" w:rsidRPr="00E23B0D">
        <w:rPr>
          <w:rFonts w:ascii="Book Antiqua" w:hAnsi="Book Antiqua" w:cs="Tahoma"/>
          <w:sz w:val="22"/>
          <w:szCs w:val="22"/>
        </w:rPr>
        <w:t xml:space="preserve">longue </w:t>
      </w:r>
      <w:r w:rsidRPr="00E23B0D">
        <w:rPr>
          <w:rFonts w:ascii="Book Antiqua" w:hAnsi="Book Antiqua" w:cs="Tahoma"/>
          <w:sz w:val="22"/>
          <w:szCs w:val="22"/>
        </w:rPr>
        <w:t xml:space="preserve">leur durée de traitement </w:t>
      </w:r>
      <w:r w:rsidR="009E3F06">
        <w:rPr>
          <w:rFonts w:ascii="Book Antiqua" w:hAnsi="Book Antiqua" w:cs="Tahoma"/>
          <w:sz w:val="22"/>
          <w:szCs w:val="22"/>
        </w:rPr>
        <w:t xml:space="preserve">contre </w:t>
      </w:r>
      <w:r w:rsidRPr="00E23B0D">
        <w:rPr>
          <w:rFonts w:ascii="Book Antiqua" w:hAnsi="Book Antiqua" w:cs="Tahoma"/>
          <w:sz w:val="22"/>
          <w:szCs w:val="22"/>
        </w:rPr>
        <w:t xml:space="preserve">56,6% qui </w:t>
      </w:r>
      <w:r w:rsidR="009E3F06">
        <w:rPr>
          <w:rFonts w:ascii="Book Antiqua" w:hAnsi="Book Antiqua" w:cs="Tahoma"/>
          <w:sz w:val="22"/>
          <w:szCs w:val="22"/>
        </w:rPr>
        <w:t>soutiennent</w:t>
      </w:r>
      <w:r w:rsidRPr="00E23B0D">
        <w:rPr>
          <w:rFonts w:ascii="Book Antiqua" w:hAnsi="Book Antiqua" w:cs="Tahoma"/>
          <w:sz w:val="22"/>
          <w:szCs w:val="22"/>
        </w:rPr>
        <w:t xml:space="preserve"> le contraire.</w:t>
      </w:r>
    </w:p>
    <w:p w:rsidR="00D56BC4" w:rsidRPr="00E23B0D" w:rsidRDefault="00C124C2" w:rsidP="00863463">
      <w:pPr>
        <w:autoSpaceDE w:val="0"/>
        <w:autoSpaceDN w:val="0"/>
        <w:adjustRightInd w:val="0"/>
        <w:spacing w:before="240" w:after="240" w:line="276" w:lineRule="auto"/>
        <w:jc w:val="both"/>
        <w:rPr>
          <w:rFonts w:ascii="Book Antiqua" w:hAnsi="Book Antiqua" w:cs="Tahoma"/>
          <w:sz w:val="22"/>
          <w:szCs w:val="22"/>
        </w:rPr>
      </w:pPr>
      <w:r w:rsidRPr="00E9177B">
        <w:rPr>
          <w:rFonts w:ascii="Book Antiqua" w:hAnsi="Book Antiqua" w:cs="Tahoma"/>
          <w:sz w:val="22"/>
          <w:szCs w:val="22"/>
        </w:rPr>
        <w:t>L’utilisation de</w:t>
      </w:r>
      <w:r w:rsidR="009E3F06" w:rsidRPr="00E9177B">
        <w:rPr>
          <w:rFonts w:ascii="Book Antiqua" w:hAnsi="Book Antiqua" w:cs="Tahoma"/>
          <w:sz w:val="22"/>
          <w:szCs w:val="22"/>
        </w:rPr>
        <w:t>s</w:t>
      </w:r>
      <w:r w:rsidRPr="00E9177B">
        <w:rPr>
          <w:rFonts w:ascii="Book Antiqua" w:hAnsi="Book Antiqua" w:cs="Tahoma"/>
          <w:sz w:val="22"/>
          <w:szCs w:val="22"/>
        </w:rPr>
        <w:t xml:space="preserve"> ordres de virements </w:t>
      </w:r>
      <w:r w:rsidR="009E3F06" w:rsidRPr="00E9177B">
        <w:rPr>
          <w:rFonts w:ascii="Book Antiqua" w:hAnsi="Book Antiqua" w:cs="Tahoma"/>
          <w:sz w:val="22"/>
          <w:szCs w:val="22"/>
        </w:rPr>
        <w:t xml:space="preserve">étrangers </w:t>
      </w:r>
      <w:r w:rsidRPr="00E9177B">
        <w:rPr>
          <w:rFonts w:ascii="Book Antiqua" w:hAnsi="Book Antiqua" w:cs="Tahoma"/>
          <w:sz w:val="22"/>
          <w:szCs w:val="22"/>
        </w:rPr>
        <w:t xml:space="preserve">reste toutefois faible aussi bien pour le secteur formel (5,2%) que pour le secteur informel (3,3%). Parmi </w:t>
      </w:r>
      <w:r w:rsidR="00E9177B">
        <w:rPr>
          <w:rFonts w:ascii="Book Antiqua" w:hAnsi="Book Antiqua" w:cs="Tahoma"/>
          <w:sz w:val="22"/>
          <w:szCs w:val="22"/>
        </w:rPr>
        <w:t>ceux-ci,</w:t>
      </w:r>
      <w:r w:rsidR="009E3F06" w:rsidRPr="00E9177B">
        <w:rPr>
          <w:rFonts w:ascii="Book Antiqua" w:hAnsi="Book Antiqua" w:cs="Tahoma"/>
          <w:sz w:val="22"/>
          <w:szCs w:val="22"/>
        </w:rPr>
        <w:t xml:space="preserve"> il est relevé </w:t>
      </w:r>
      <w:r w:rsidRPr="00E9177B">
        <w:rPr>
          <w:rFonts w:ascii="Book Antiqua" w:hAnsi="Book Antiqua" w:cs="Tahoma"/>
          <w:sz w:val="22"/>
          <w:szCs w:val="22"/>
        </w:rPr>
        <w:t xml:space="preserve"> des</w:t>
      </w:r>
      <w:r w:rsidR="008A771D">
        <w:rPr>
          <w:rFonts w:ascii="Book Antiqua" w:hAnsi="Book Antiqua" w:cs="Tahoma"/>
          <w:sz w:val="22"/>
          <w:szCs w:val="22"/>
        </w:rPr>
        <w:t xml:space="preserve"> </w:t>
      </w:r>
      <w:r w:rsidR="009E3F06" w:rsidRPr="00E9177B">
        <w:rPr>
          <w:rFonts w:ascii="Book Antiqua" w:hAnsi="Book Antiqua"/>
          <w:sz w:val="22"/>
          <w:szCs w:val="22"/>
        </w:rPr>
        <w:t xml:space="preserve">taux de récrimination quasiment identiques concernant le délai de traitement des </w:t>
      </w:r>
      <w:r w:rsidR="00E9177B" w:rsidRPr="00E9177B">
        <w:rPr>
          <w:rFonts w:ascii="Book Antiqua" w:hAnsi="Book Antiqua"/>
          <w:sz w:val="22"/>
          <w:szCs w:val="22"/>
        </w:rPr>
        <w:t>virements</w:t>
      </w:r>
      <w:r w:rsidR="009E3F06" w:rsidRPr="00E9177B">
        <w:rPr>
          <w:rFonts w:ascii="Book Antiqua" w:hAnsi="Book Antiqua"/>
          <w:sz w:val="22"/>
          <w:szCs w:val="22"/>
        </w:rPr>
        <w:t xml:space="preserve"> étrangers avec des proportions de 29,1% pour le secteur moderne (</w:t>
      </w:r>
      <w:r w:rsidRPr="00E9177B">
        <w:rPr>
          <w:rFonts w:ascii="Book Antiqua" w:hAnsi="Book Antiqua" w:cs="Tahoma"/>
          <w:sz w:val="22"/>
          <w:szCs w:val="22"/>
        </w:rPr>
        <w:t xml:space="preserve">et 29,7% </w:t>
      </w:r>
      <w:r w:rsidR="008C097B" w:rsidRPr="00E9177B">
        <w:rPr>
          <w:rFonts w:ascii="Book Antiqua" w:hAnsi="Book Antiqua" w:cs="Tahoma"/>
          <w:sz w:val="22"/>
          <w:szCs w:val="22"/>
        </w:rPr>
        <w:t xml:space="preserve">pour les clients issus de l’informel. </w:t>
      </w:r>
      <w:r w:rsidR="00E9177B">
        <w:rPr>
          <w:rFonts w:ascii="Book Antiqua" w:hAnsi="Book Antiqua" w:cs="Tahoma"/>
          <w:sz w:val="22"/>
          <w:szCs w:val="22"/>
        </w:rPr>
        <w:t>²</w:t>
      </w:r>
    </w:p>
    <w:p w:rsidR="003A3E23" w:rsidRPr="003A3E23" w:rsidRDefault="003A3E23" w:rsidP="00863463">
      <w:pPr>
        <w:pStyle w:val="Lgende"/>
        <w:keepNext/>
        <w:spacing w:before="240" w:after="240" w:line="276" w:lineRule="auto"/>
        <w:jc w:val="center"/>
        <w:rPr>
          <w:color w:val="auto"/>
        </w:rPr>
      </w:pPr>
      <w:bookmarkStart w:id="271" w:name="_Toc523313844"/>
      <w:r w:rsidRPr="003A3E23">
        <w:rPr>
          <w:color w:val="auto"/>
        </w:rPr>
        <w:t xml:space="preserve">Figure </w:t>
      </w:r>
      <w:r w:rsidR="000D65F2" w:rsidRPr="003A3E23">
        <w:rPr>
          <w:color w:val="auto"/>
        </w:rPr>
        <w:fldChar w:fldCharType="begin"/>
      </w:r>
      <w:r w:rsidRPr="003A3E23">
        <w:rPr>
          <w:color w:val="auto"/>
        </w:rPr>
        <w:instrText xml:space="preserve"> SEQ Figure \* ARABIC </w:instrText>
      </w:r>
      <w:r w:rsidR="000D65F2" w:rsidRPr="003A3E23">
        <w:rPr>
          <w:color w:val="auto"/>
        </w:rPr>
        <w:fldChar w:fldCharType="separate"/>
      </w:r>
      <w:r w:rsidR="000F780F">
        <w:rPr>
          <w:noProof/>
          <w:color w:val="auto"/>
        </w:rPr>
        <w:t>161</w:t>
      </w:r>
      <w:r w:rsidR="000D65F2" w:rsidRPr="003A3E23">
        <w:rPr>
          <w:color w:val="auto"/>
        </w:rPr>
        <w:fldChar w:fldCharType="end"/>
      </w:r>
      <w:r w:rsidRPr="003A3E23">
        <w:rPr>
          <w:color w:val="auto"/>
        </w:rPr>
        <w:t xml:space="preserve"> : Taux d'utilisation des virements étrangers selon la nature de l'activité exercée par les enquêtés</w:t>
      </w:r>
      <w:bookmarkEnd w:id="271"/>
    </w:p>
    <w:p w:rsidR="00C124C2" w:rsidRDefault="00C124C2" w:rsidP="00D4489E">
      <w:pPr>
        <w:spacing w:line="276" w:lineRule="auto"/>
        <w:jc w:val="center"/>
      </w:pPr>
      <w:r w:rsidRPr="00730CBC">
        <w:rPr>
          <w:noProof/>
        </w:rPr>
        <w:drawing>
          <wp:inline distT="0" distB="0" distL="0" distR="0">
            <wp:extent cx="4776787" cy="2133600"/>
            <wp:effectExtent l="19050" t="0" r="23813" b="0"/>
            <wp:docPr id="248"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D42A98" w:rsidRDefault="00D42A98" w:rsidP="00D4489E">
      <w:pPr>
        <w:spacing w:line="276" w:lineRule="auto"/>
        <w:rPr>
          <w:rFonts w:ascii="Book Antiqua" w:hAnsi="Book Antiqua"/>
        </w:rPr>
      </w:pPr>
    </w:p>
    <w:p w:rsidR="00C124C2" w:rsidRDefault="008C097B" w:rsidP="00863463">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lastRenderedPageBreak/>
        <w:t xml:space="preserve">En ce qui concerne les </w:t>
      </w:r>
      <w:r w:rsidR="00C124C2" w:rsidRPr="00E23B0D">
        <w:rPr>
          <w:rFonts w:ascii="Book Antiqua" w:hAnsi="Book Antiqua" w:cs="Tahoma"/>
          <w:sz w:val="22"/>
          <w:szCs w:val="22"/>
        </w:rPr>
        <w:t>ordres de virements provenant de l’étranger</w:t>
      </w:r>
      <w:r>
        <w:rPr>
          <w:rFonts w:ascii="Book Antiqua" w:hAnsi="Book Antiqua" w:cs="Tahoma"/>
          <w:sz w:val="22"/>
          <w:szCs w:val="22"/>
        </w:rPr>
        <w:t>, l’exploitation des statistiques fait ressortir une fréquence d’utilisation relativement</w:t>
      </w:r>
      <w:r w:rsidR="00C124C2" w:rsidRPr="00E23B0D">
        <w:rPr>
          <w:rFonts w:ascii="Book Antiqua" w:hAnsi="Book Antiqua" w:cs="Tahoma"/>
          <w:sz w:val="22"/>
          <w:szCs w:val="22"/>
        </w:rPr>
        <w:t xml:space="preserve"> faible (9,8%) </w:t>
      </w:r>
      <w:r>
        <w:rPr>
          <w:rFonts w:ascii="Book Antiqua" w:hAnsi="Book Antiqua" w:cs="Tahoma"/>
          <w:sz w:val="22"/>
          <w:szCs w:val="22"/>
        </w:rPr>
        <w:t>chez les clients personnes ph</w:t>
      </w:r>
      <w:r w:rsidR="00D5793E">
        <w:rPr>
          <w:rFonts w:ascii="Book Antiqua" w:hAnsi="Book Antiqua" w:cs="Tahoma"/>
          <w:sz w:val="22"/>
          <w:szCs w:val="22"/>
        </w:rPr>
        <w:t>ysiques ; leur appréciation sur</w:t>
      </w:r>
      <w:r w:rsidR="00C124C2" w:rsidRPr="00E23B0D">
        <w:rPr>
          <w:rFonts w:ascii="Book Antiqua" w:hAnsi="Book Antiqua" w:cs="Tahoma"/>
          <w:sz w:val="22"/>
          <w:szCs w:val="22"/>
        </w:rPr>
        <w:t xml:space="preserve"> le délai de réception </w:t>
      </w:r>
      <w:r>
        <w:rPr>
          <w:rFonts w:ascii="Book Antiqua" w:hAnsi="Book Antiqua" w:cs="Tahoma"/>
          <w:sz w:val="22"/>
          <w:szCs w:val="22"/>
        </w:rPr>
        <w:t>des virements étrangers</w:t>
      </w:r>
      <w:r w:rsidR="008A771D">
        <w:rPr>
          <w:rFonts w:ascii="Book Antiqua" w:hAnsi="Book Antiqua" w:cs="Tahoma"/>
          <w:sz w:val="22"/>
          <w:szCs w:val="22"/>
        </w:rPr>
        <w:t xml:space="preserve"> </w:t>
      </w:r>
      <w:r>
        <w:rPr>
          <w:rFonts w:ascii="Book Antiqua" w:hAnsi="Book Antiqua" w:cs="Tahoma"/>
          <w:sz w:val="22"/>
          <w:szCs w:val="22"/>
        </w:rPr>
        <w:t xml:space="preserve">fait apparaitre un taux d’insatisfaction de </w:t>
      </w:r>
      <w:r w:rsidR="00C124C2" w:rsidRPr="00E23B0D">
        <w:rPr>
          <w:rFonts w:ascii="Book Antiqua" w:hAnsi="Book Antiqua" w:cs="Tahoma"/>
          <w:sz w:val="22"/>
          <w:szCs w:val="22"/>
        </w:rPr>
        <w:t>37,4%</w:t>
      </w:r>
      <w:r>
        <w:rPr>
          <w:rFonts w:ascii="Book Antiqua" w:hAnsi="Book Antiqua" w:cs="Tahoma"/>
          <w:sz w:val="22"/>
          <w:szCs w:val="22"/>
        </w:rPr>
        <w:t>.</w:t>
      </w:r>
    </w:p>
    <w:p w:rsidR="00C124C2" w:rsidRPr="00D42A98" w:rsidRDefault="004E330F" w:rsidP="006818E2">
      <w:pPr>
        <w:spacing w:before="240" w:after="240" w:line="276" w:lineRule="auto"/>
        <w:ind w:firstLine="284"/>
        <w:outlineLvl w:val="1"/>
        <w:rPr>
          <w:rFonts w:ascii="Book Antiqua" w:hAnsi="Book Antiqua"/>
          <w:b/>
          <w:sz w:val="22"/>
        </w:rPr>
      </w:pPr>
      <w:bookmarkStart w:id="272" w:name="_Toc523322097"/>
      <w:r>
        <w:rPr>
          <w:rFonts w:ascii="Book Antiqua" w:hAnsi="Book Antiqua"/>
          <w:b/>
          <w:sz w:val="22"/>
        </w:rPr>
        <w:t>II.5</w:t>
      </w:r>
      <w:r w:rsidR="00C124C2" w:rsidRPr="00D42A98">
        <w:rPr>
          <w:rFonts w:ascii="Book Antiqua" w:hAnsi="Book Antiqua"/>
          <w:b/>
          <w:sz w:val="22"/>
        </w:rPr>
        <w:t xml:space="preserve">. </w:t>
      </w:r>
      <w:r w:rsidR="00D42A98" w:rsidRPr="00D42A98">
        <w:rPr>
          <w:rFonts w:ascii="Book Antiqua" w:hAnsi="Book Antiqua"/>
          <w:b/>
          <w:sz w:val="22"/>
        </w:rPr>
        <w:t>Satisfaction sur le fonctionnement du compte</w:t>
      </w:r>
      <w:bookmarkEnd w:id="272"/>
    </w:p>
    <w:p w:rsidR="00C124C2" w:rsidRDefault="003A3E23" w:rsidP="00863463">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L’enquête</w:t>
      </w:r>
      <w:r w:rsidR="008A771D">
        <w:rPr>
          <w:rFonts w:ascii="Book Antiqua" w:hAnsi="Book Antiqua" w:cs="Tahoma"/>
          <w:sz w:val="22"/>
          <w:szCs w:val="22"/>
        </w:rPr>
        <w:t xml:space="preserve"> </w:t>
      </w:r>
      <w:r w:rsidR="00C124C2" w:rsidRPr="00E23B0D">
        <w:rPr>
          <w:rFonts w:ascii="Book Antiqua" w:hAnsi="Book Antiqua" w:cs="Tahoma"/>
          <w:sz w:val="22"/>
          <w:szCs w:val="22"/>
        </w:rPr>
        <w:t xml:space="preserve">a permis de recueillir les opinions des clients sur divers éléments liés </w:t>
      </w:r>
      <w:r w:rsidR="00946CBD">
        <w:rPr>
          <w:rFonts w:ascii="Book Antiqua" w:hAnsi="Book Antiqua" w:cs="Tahoma"/>
          <w:sz w:val="22"/>
          <w:szCs w:val="22"/>
        </w:rPr>
        <w:t xml:space="preserve">au </w:t>
      </w:r>
      <w:r w:rsidR="00C124C2" w:rsidRPr="00E23B0D">
        <w:rPr>
          <w:rFonts w:ascii="Book Antiqua" w:hAnsi="Book Antiqua" w:cs="Tahoma"/>
          <w:sz w:val="22"/>
          <w:szCs w:val="22"/>
        </w:rPr>
        <w:t>fonctionnement de leur compte à savoir</w:t>
      </w:r>
      <w:r w:rsidR="008A771D">
        <w:rPr>
          <w:rFonts w:ascii="Book Antiqua" w:hAnsi="Book Antiqua" w:cs="Tahoma"/>
          <w:sz w:val="22"/>
          <w:szCs w:val="22"/>
        </w:rPr>
        <w:t> :</w:t>
      </w:r>
      <w:r w:rsidR="00C124C2" w:rsidRPr="00E23B0D">
        <w:rPr>
          <w:rFonts w:ascii="Book Antiqua" w:hAnsi="Book Antiqua" w:cs="Tahoma"/>
          <w:sz w:val="22"/>
          <w:szCs w:val="22"/>
        </w:rPr>
        <w:t xml:space="preserve"> la périodicité de délivrance </w:t>
      </w:r>
      <w:r w:rsidR="004D654F">
        <w:rPr>
          <w:rFonts w:ascii="Book Antiqua" w:hAnsi="Book Antiqua" w:cs="Tahoma"/>
          <w:sz w:val="22"/>
          <w:szCs w:val="22"/>
        </w:rPr>
        <w:t>des relevés de compte ainsi que</w:t>
      </w:r>
      <w:r w:rsidR="00C124C2" w:rsidRPr="00E23B0D">
        <w:rPr>
          <w:rFonts w:ascii="Book Antiqua" w:hAnsi="Book Antiqua" w:cs="Tahoma"/>
          <w:sz w:val="22"/>
          <w:szCs w:val="22"/>
        </w:rPr>
        <w:t xml:space="preserve"> les </w:t>
      </w:r>
      <w:r w:rsidR="00D42A98" w:rsidRPr="00E23B0D">
        <w:rPr>
          <w:rFonts w:ascii="Book Antiqua" w:hAnsi="Book Antiqua" w:cs="Tahoma"/>
          <w:sz w:val="22"/>
          <w:szCs w:val="22"/>
        </w:rPr>
        <w:t>irrégularités</w:t>
      </w:r>
      <w:r w:rsidR="00C124C2" w:rsidRPr="00E23B0D">
        <w:rPr>
          <w:rFonts w:ascii="Book Antiqua" w:hAnsi="Book Antiqua" w:cs="Tahoma"/>
          <w:sz w:val="22"/>
          <w:szCs w:val="22"/>
        </w:rPr>
        <w:t xml:space="preserve"> constatées, l’utilisation et le délai de renouvellement du chéquier.</w:t>
      </w:r>
      <w:r w:rsidR="00946CBD">
        <w:rPr>
          <w:rFonts w:ascii="Book Antiqua" w:hAnsi="Book Antiqua" w:cs="Tahoma"/>
          <w:sz w:val="22"/>
          <w:szCs w:val="22"/>
        </w:rPr>
        <w:t xml:space="preserve"> L’appréciation porte également sur les dates de valeur.</w:t>
      </w:r>
    </w:p>
    <w:p w:rsidR="00C124C2" w:rsidRPr="00D42A98" w:rsidRDefault="004E330F" w:rsidP="006818E2">
      <w:pPr>
        <w:spacing w:before="240" w:after="240" w:line="276" w:lineRule="auto"/>
        <w:ind w:firstLine="567"/>
        <w:outlineLvl w:val="2"/>
        <w:rPr>
          <w:rFonts w:ascii="Book Antiqua" w:hAnsi="Book Antiqua"/>
          <w:b/>
          <w:sz w:val="22"/>
        </w:rPr>
      </w:pPr>
      <w:bookmarkStart w:id="273" w:name="_Toc523322098"/>
      <w:r>
        <w:rPr>
          <w:rFonts w:ascii="Book Antiqua" w:hAnsi="Book Antiqua"/>
          <w:b/>
          <w:sz w:val="22"/>
        </w:rPr>
        <w:t>II.5</w:t>
      </w:r>
      <w:r w:rsidR="00C124C2" w:rsidRPr="00D42A98">
        <w:rPr>
          <w:rFonts w:ascii="Book Antiqua" w:hAnsi="Book Antiqua"/>
          <w:b/>
          <w:sz w:val="22"/>
        </w:rPr>
        <w:t>.1. Périodicité de délivrance des relevés de compte</w:t>
      </w:r>
      <w:bookmarkEnd w:id="273"/>
    </w:p>
    <w:p w:rsidR="00B7230F" w:rsidRDefault="008A771D" w:rsidP="00863463">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Une proportion de</w:t>
      </w:r>
      <w:r w:rsidR="00946CBD">
        <w:rPr>
          <w:rFonts w:ascii="Book Antiqua" w:hAnsi="Book Antiqua" w:cs="Tahoma"/>
          <w:sz w:val="22"/>
          <w:szCs w:val="22"/>
        </w:rPr>
        <w:t xml:space="preserve"> 21,1% des clients personnes physiques interrogées</w:t>
      </w:r>
      <w:r>
        <w:rPr>
          <w:rFonts w:ascii="Book Antiqua" w:hAnsi="Book Antiqua" w:cs="Tahoma"/>
          <w:sz w:val="22"/>
          <w:szCs w:val="22"/>
        </w:rPr>
        <w:t xml:space="preserve"> </w:t>
      </w:r>
      <w:r w:rsidR="00946CBD">
        <w:rPr>
          <w:rFonts w:ascii="Book Antiqua" w:hAnsi="Book Antiqua" w:cs="Tahoma"/>
          <w:sz w:val="22"/>
          <w:szCs w:val="22"/>
        </w:rPr>
        <w:t>déclare</w:t>
      </w:r>
      <w:r>
        <w:rPr>
          <w:rFonts w:ascii="Book Antiqua" w:hAnsi="Book Antiqua" w:cs="Tahoma"/>
          <w:sz w:val="22"/>
          <w:szCs w:val="22"/>
        </w:rPr>
        <w:t xml:space="preserve"> </w:t>
      </w:r>
      <w:r w:rsidR="00946CBD">
        <w:rPr>
          <w:rFonts w:ascii="Book Antiqua" w:hAnsi="Book Antiqua" w:cs="Tahoma"/>
          <w:sz w:val="22"/>
          <w:szCs w:val="22"/>
        </w:rPr>
        <w:t xml:space="preserve">ne « jamais » recevoir leur </w:t>
      </w:r>
      <w:r>
        <w:rPr>
          <w:rFonts w:ascii="Book Antiqua" w:hAnsi="Book Antiqua" w:cs="Tahoma"/>
          <w:sz w:val="22"/>
          <w:szCs w:val="22"/>
        </w:rPr>
        <w:t>relevé de compte</w:t>
      </w:r>
      <w:r w:rsidR="00946CBD">
        <w:rPr>
          <w:rFonts w:ascii="Book Antiqua" w:hAnsi="Book Antiqua" w:cs="Tahoma"/>
          <w:sz w:val="22"/>
          <w:szCs w:val="22"/>
        </w:rPr>
        <w:t> </w:t>
      </w:r>
      <w:r w:rsidR="00B7230F">
        <w:rPr>
          <w:rFonts w:ascii="Book Antiqua" w:hAnsi="Book Antiqua" w:cs="Tahoma"/>
          <w:sz w:val="22"/>
          <w:szCs w:val="22"/>
        </w:rPr>
        <w:t>et</w:t>
      </w:r>
      <w:r w:rsidR="00946CBD">
        <w:rPr>
          <w:rFonts w:ascii="Book Antiqua" w:hAnsi="Book Antiqua" w:cs="Tahoma"/>
          <w:sz w:val="22"/>
          <w:szCs w:val="22"/>
        </w:rPr>
        <w:t xml:space="preserve"> 30,0% </w:t>
      </w:r>
      <w:r w:rsidR="00946CBD" w:rsidRPr="00E23B0D">
        <w:rPr>
          <w:rFonts w:ascii="Book Antiqua" w:hAnsi="Book Antiqua" w:cs="Tahoma"/>
          <w:sz w:val="22"/>
          <w:szCs w:val="22"/>
        </w:rPr>
        <w:t xml:space="preserve">de </w:t>
      </w:r>
      <w:r w:rsidR="00946CBD">
        <w:rPr>
          <w:rFonts w:ascii="Book Antiqua" w:hAnsi="Book Antiqua" w:cs="Tahoma"/>
          <w:sz w:val="22"/>
          <w:szCs w:val="22"/>
        </w:rPr>
        <w:t>« </w:t>
      </w:r>
      <w:r w:rsidR="00946CBD" w:rsidRPr="00E23B0D">
        <w:rPr>
          <w:rFonts w:ascii="Book Antiqua" w:hAnsi="Book Antiqua" w:cs="Tahoma"/>
          <w:sz w:val="22"/>
          <w:szCs w:val="22"/>
        </w:rPr>
        <w:t>façon irrégulière</w:t>
      </w:r>
      <w:r w:rsidR="00946CBD">
        <w:rPr>
          <w:rFonts w:ascii="Book Antiqua" w:hAnsi="Book Antiqua" w:cs="Tahoma"/>
          <w:sz w:val="22"/>
          <w:szCs w:val="22"/>
        </w:rPr>
        <w:t> »</w:t>
      </w:r>
      <w:r w:rsidR="00946CBD" w:rsidRPr="00E23B0D">
        <w:rPr>
          <w:rFonts w:ascii="Book Antiqua" w:hAnsi="Book Antiqua" w:cs="Tahoma"/>
          <w:sz w:val="22"/>
          <w:szCs w:val="22"/>
        </w:rPr>
        <w:t xml:space="preserve">. </w:t>
      </w:r>
    </w:p>
    <w:p w:rsidR="00C124C2" w:rsidRPr="00E23B0D" w:rsidRDefault="008A771D" w:rsidP="00863463">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Cependant,</w:t>
      </w:r>
      <w:r w:rsidR="00B7230F">
        <w:rPr>
          <w:rFonts w:ascii="Book Antiqua" w:hAnsi="Book Antiqua" w:cs="Tahoma"/>
          <w:sz w:val="22"/>
          <w:szCs w:val="22"/>
        </w:rPr>
        <w:t xml:space="preserve"> l’exploitation des statistiques indique que </w:t>
      </w:r>
      <w:r w:rsidR="00C124C2" w:rsidRPr="00E23B0D">
        <w:rPr>
          <w:rFonts w:ascii="Book Antiqua" w:hAnsi="Book Antiqua" w:cs="Tahoma"/>
          <w:sz w:val="22"/>
          <w:szCs w:val="22"/>
        </w:rPr>
        <w:t>38,</w:t>
      </w:r>
      <w:r w:rsidR="00B7230F">
        <w:rPr>
          <w:rFonts w:ascii="Book Antiqua" w:hAnsi="Book Antiqua" w:cs="Tahoma"/>
          <w:sz w:val="22"/>
          <w:szCs w:val="22"/>
        </w:rPr>
        <w:t>1</w:t>
      </w:r>
      <w:r w:rsidR="00C124C2" w:rsidRPr="00E23B0D">
        <w:rPr>
          <w:rFonts w:ascii="Book Antiqua" w:hAnsi="Book Antiqua" w:cs="Tahoma"/>
          <w:sz w:val="22"/>
          <w:szCs w:val="22"/>
        </w:rPr>
        <w:t xml:space="preserve">% déclare recevoir leur relevé de compte sur une périodicité mensuelle, </w:t>
      </w:r>
      <w:r w:rsidR="00B7230F">
        <w:rPr>
          <w:rFonts w:ascii="Book Antiqua" w:hAnsi="Book Antiqua" w:cs="Tahoma"/>
          <w:sz w:val="22"/>
          <w:szCs w:val="22"/>
        </w:rPr>
        <w:t>6,2% « tous les deux mois », 3,8% de façon « trimestrielle » et 0,8% selon une fréquence « annuelle ». </w:t>
      </w:r>
    </w:p>
    <w:p w:rsidR="00C124C2" w:rsidRPr="00E23B0D" w:rsidRDefault="00E73EBC" w:rsidP="00863463">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L’analyse basée sur les régions fait ressortir une diversité d’opinions chez les clients interrogés concernant l</w:t>
      </w:r>
      <w:r w:rsidR="00C124C2" w:rsidRPr="00E23B0D">
        <w:rPr>
          <w:rFonts w:ascii="Book Antiqua" w:hAnsi="Book Antiqua" w:cs="Tahoma"/>
          <w:sz w:val="22"/>
          <w:szCs w:val="22"/>
        </w:rPr>
        <w:t xml:space="preserve">a périodicité de réception des relevés de compte: </w:t>
      </w:r>
    </w:p>
    <w:p w:rsidR="00C124C2" w:rsidRPr="004D654F" w:rsidRDefault="00C124C2" w:rsidP="00863463">
      <w:pPr>
        <w:pStyle w:val="Paragraphedeliste"/>
        <w:numPr>
          <w:ilvl w:val="0"/>
          <w:numId w:val="27"/>
        </w:numPr>
        <w:spacing w:before="120" w:after="120" w:line="276" w:lineRule="auto"/>
        <w:ind w:left="568" w:hanging="284"/>
        <w:contextualSpacing w:val="0"/>
        <w:jc w:val="both"/>
        <w:rPr>
          <w:rFonts w:ascii="Book Antiqua" w:hAnsi="Book Antiqua"/>
          <w:sz w:val="22"/>
          <w:szCs w:val="22"/>
        </w:rPr>
      </w:pPr>
      <w:r w:rsidRPr="004D654F">
        <w:rPr>
          <w:rFonts w:ascii="Book Antiqua" w:hAnsi="Book Antiqua"/>
          <w:sz w:val="22"/>
          <w:szCs w:val="22"/>
        </w:rPr>
        <w:t xml:space="preserve">les taux les plus élevés </w:t>
      </w:r>
      <w:r w:rsidR="00E73EBC" w:rsidRPr="004D654F">
        <w:rPr>
          <w:rFonts w:ascii="Book Antiqua" w:hAnsi="Book Antiqua"/>
          <w:sz w:val="22"/>
          <w:szCs w:val="22"/>
        </w:rPr>
        <w:t xml:space="preserve">de réception suivant une périodicité </w:t>
      </w:r>
      <w:r w:rsidR="005A66C6" w:rsidRPr="004D654F">
        <w:rPr>
          <w:rFonts w:ascii="Book Antiqua" w:hAnsi="Book Antiqua"/>
          <w:sz w:val="22"/>
          <w:szCs w:val="22"/>
        </w:rPr>
        <w:t>« </w:t>
      </w:r>
      <w:r w:rsidR="00E73EBC" w:rsidRPr="004D654F">
        <w:rPr>
          <w:rFonts w:ascii="Book Antiqua" w:hAnsi="Book Antiqua"/>
          <w:sz w:val="22"/>
          <w:szCs w:val="22"/>
        </w:rPr>
        <w:t>mensuelle</w:t>
      </w:r>
      <w:r w:rsidR="005A66C6" w:rsidRPr="004D654F">
        <w:rPr>
          <w:rFonts w:ascii="Book Antiqua" w:hAnsi="Book Antiqua"/>
          <w:sz w:val="22"/>
          <w:szCs w:val="22"/>
        </w:rPr>
        <w:t> »</w:t>
      </w:r>
      <w:r w:rsidRPr="004D654F">
        <w:rPr>
          <w:rFonts w:ascii="Book Antiqua" w:hAnsi="Book Antiqua"/>
          <w:sz w:val="22"/>
          <w:szCs w:val="22"/>
        </w:rPr>
        <w:t xml:space="preserve">sont observés </w:t>
      </w:r>
      <w:r w:rsidR="007E1E49" w:rsidRPr="004D654F">
        <w:rPr>
          <w:rFonts w:ascii="Book Antiqua" w:hAnsi="Book Antiqua"/>
          <w:sz w:val="22"/>
          <w:szCs w:val="22"/>
        </w:rPr>
        <w:t>à</w:t>
      </w:r>
      <w:r w:rsidR="008A771D">
        <w:rPr>
          <w:rFonts w:ascii="Book Antiqua" w:hAnsi="Book Antiqua"/>
          <w:sz w:val="22"/>
          <w:szCs w:val="22"/>
        </w:rPr>
        <w:t xml:space="preserve"> </w:t>
      </w:r>
      <w:r w:rsidRPr="004D654F">
        <w:rPr>
          <w:rFonts w:ascii="Book Antiqua" w:hAnsi="Book Antiqua"/>
          <w:sz w:val="22"/>
          <w:szCs w:val="22"/>
        </w:rPr>
        <w:t>Dakar (46,9%), Thiès (43,9%), Louga (38,3%) et Saint-Louis (36,0%)</w:t>
      </w:r>
      <w:r w:rsidR="00014A4C" w:rsidRPr="004D654F">
        <w:rPr>
          <w:rFonts w:ascii="Book Antiqua" w:hAnsi="Book Antiqua"/>
          <w:sz w:val="22"/>
          <w:szCs w:val="22"/>
        </w:rPr>
        <w:t> ;</w:t>
      </w:r>
      <w:r w:rsidR="008A771D">
        <w:rPr>
          <w:rFonts w:ascii="Book Antiqua" w:hAnsi="Book Antiqua"/>
          <w:sz w:val="22"/>
          <w:szCs w:val="22"/>
        </w:rPr>
        <w:t xml:space="preserve"> </w:t>
      </w:r>
      <w:r w:rsidR="00014A4C" w:rsidRPr="004D654F">
        <w:rPr>
          <w:rFonts w:ascii="Book Antiqua" w:hAnsi="Book Antiqua"/>
          <w:sz w:val="22"/>
          <w:szCs w:val="22"/>
        </w:rPr>
        <w:t>les</w:t>
      </w:r>
      <w:r w:rsidR="008A771D">
        <w:rPr>
          <w:rFonts w:ascii="Book Antiqua" w:hAnsi="Book Antiqua"/>
          <w:sz w:val="22"/>
          <w:szCs w:val="22"/>
        </w:rPr>
        <w:t xml:space="preserve"> </w:t>
      </w:r>
      <w:r w:rsidRPr="004D654F">
        <w:rPr>
          <w:rFonts w:ascii="Book Antiqua" w:hAnsi="Book Antiqua"/>
          <w:sz w:val="22"/>
          <w:szCs w:val="22"/>
        </w:rPr>
        <w:t xml:space="preserve">taux  plus faibles </w:t>
      </w:r>
      <w:r w:rsidR="00014A4C" w:rsidRPr="004D654F">
        <w:rPr>
          <w:rFonts w:ascii="Book Antiqua" w:hAnsi="Book Antiqua"/>
          <w:sz w:val="22"/>
          <w:szCs w:val="22"/>
        </w:rPr>
        <w:t xml:space="preserve">sont notés </w:t>
      </w:r>
      <w:r w:rsidRPr="004D654F">
        <w:rPr>
          <w:rFonts w:ascii="Book Antiqua" w:hAnsi="Book Antiqua"/>
          <w:sz w:val="22"/>
          <w:szCs w:val="22"/>
        </w:rPr>
        <w:t xml:space="preserve">à </w:t>
      </w:r>
      <w:proofErr w:type="spellStart"/>
      <w:r w:rsidRPr="004D654F">
        <w:rPr>
          <w:rFonts w:ascii="Book Antiqua" w:hAnsi="Book Antiqua"/>
          <w:sz w:val="22"/>
          <w:szCs w:val="22"/>
        </w:rPr>
        <w:t>Fatick</w:t>
      </w:r>
      <w:proofErr w:type="spellEnd"/>
      <w:r w:rsidRPr="004D654F">
        <w:rPr>
          <w:rFonts w:ascii="Book Antiqua" w:hAnsi="Book Antiqua"/>
          <w:sz w:val="22"/>
          <w:szCs w:val="22"/>
        </w:rPr>
        <w:t xml:space="preserve"> (11,3%), </w:t>
      </w:r>
      <w:proofErr w:type="spellStart"/>
      <w:r w:rsidRPr="004D654F">
        <w:rPr>
          <w:rFonts w:ascii="Book Antiqua" w:hAnsi="Book Antiqua"/>
          <w:sz w:val="22"/>
          <w:szCs w:val="22"/>
        </w:rPr>
        <w:t>Sédhiou</w:t>
      </w:r>
      <w:proofErr w:type="spellEnd"/>
      <w:r w:rsidRPr="004D654F">
        <w:rPr>
          <w:rFonts w:ascii="Book Antiqua" w:hAnsi="Book Antiqua"/>
          <w:sz w:val="22"/>
          <w:szCs w:val="22"/>
        </w:rPr>
        <w:t xml:space="preserve"> (10,2%) et Kédougou (9,6%)</w:t>
      </w:r>
      <w:r w:rsidR="00014A4C" w:rsidRPr="004D654F">
        <w:rPr>
          <w:rFonts w:ascii="Book Antiqua" w:hAnsi="Book Antiqua"/>
          <w:sz w:val="22"/>
          <w:szCs w:val="22"/>
        </w:rPr>
        <w:t> ;</w:t>
      </w:r>
    </w:p>
    <w:p w:rsidR="008A771D" w:rsidRPr="008A771D" w:rsidRDefault="00014A4C" w:rsidP="00863463">
      <w:pPr>
        <w:pStyle w:val="Paragraphedeliste"/>
        <w:numPr>
          <w:ilvl w:val="0"/>
          <w:numId w:val="27"/>
        </w:numPr>
        <w:spacing w:before="120" w:after="120" w:line="276" w:lineRule="auto"/>
        <w:ind w:left="568" w:hanging="284"/>
        <w:contextualSpacing w:val="0"/>
        <w:jc w:val="both"/>
        <w:rPr>
          <w:rFonts w:ascii="Book Antiqua" w:hAnsi="Book Antiqua"/>
          <w:sz w:val="22"/>
          <w:szCs w:val="22"/>
        </w:rPr>
      </w:pPr>
      <w:r w:rsidRPr="004D654F">
        <w:rPr>
          <w:rFonts w:ascii="Book Antiqua" w:hAnsi="Book Antiqua"/>
          <w:sz w:val="22"/>
          <w:szCs w:val="22"/>
        </w:rPr>
        <w:t xml:space="preserve">Les régions de Ziguinchor (21,2%), </w:t>
      </w:r>
      <w:proofErr w:type="spellStart"/>
      <w:r w:rsidRPr="004D654F">
        <w:rPr>
          <w:rFonts w:ascii="Book Antiqua" w:hAnsi="Book Antiqua"/>
          <w:sz w:val="22"/>
          <w:szCs w:val="22"/>
        </w:rPr>
        <w:t>Sédhiou</w:t>
      </w:r>
      <w:proofErr w:type="spellEnd"/>
      <w:r w:rsidRPr="004D654F">
        <w:rPr>
          <w:rFonts w:ascii="Book Antiqua" w:hAnsi="Book Antiqua"/>
          <w:sz w:val="22"/>
          <w:szCs w:val="22"/>
        </w:rPr>
        <w:t xml:space="preserve"> (19,4%) et Kédougou (11,0%) ressortent avec les proportions les plus élevées de clients </w:t>
      </w:r>
      <w:r w:rsidR="003A3E23">
        <w:rPr>
          <w:rFonts w:ascii="Book Antiqua" w:hAnsi="Book Antiqua"/>
          <w:sz w:val="22"/>
          <w:szCs w:val="22"/>
        </w:rPr>
        <w:t>« </w:t>
      </w:r>
      <w:r w:rsidRPr="004D654F">
        <w:rPr>
          <w:rFonts w:ascii="Book Antiqua" w:hAnsi="Book Antiqua"/>
          <w:sz w:val="22"/>
          <w:szCs w:val="22"/>
        </w:rPr>
        <w:t>personnes physiques</w:t>
      </w:r>
      <w:r w:rsidR="003A3E23">
        <w:rPr>
          <w:rFonts w:ascii="Book Antiqua" w:hAnsi="Book Antiqua"/>
          <w:sz w:val="22"/>
          <w:szCs w:val="22"/>
        </w:rPr>
        <w:t> » soutenant</w:t>
      </w:r>
      <w:r w:rsidRPr="004D654F">
        <w:rPr>
          <w:rFonts w:ascii="Book Antiqua" w:hAnsi="Book Antiqua"/>
          <w:sz w:val="22"/>
          <w:szCs w:val="22"/>
        </w:rPr>
        <w:t xml:space="preserve"> recevoir leurs relevés</w:t>
      </w:r>
      <w:r w:rsidR="003A3E23">
        <w:rPr>
          <w:rFonts w:ascii="Book Antiqua" w:hAnsi="Book Antiqua"/>
          <w:sz w:val="22"/>
          <w:szCs w:val="22"/>
        </w:rPr>
        <w:t xml:space="preserve"> de compte</w:t>
      </w:r>
      <w:r w:rsidRPr="004D654F">
        <w:rPr>
          <w:rFonts w:ascii="Book Antiqua" w:hAnsi="Book Antiqua"/>
          <w:sz w:val="22"/>
          <w:szCs w:val="22"/>
        </w:rPr>
        <w:t xml:space="preserve"> </w:t>
      </w:r>
      <w:r w:rsidRPr="004D654F">
        <w:rPr>
          <w:rFonts w:ascii="Book Antiqua" w:hAnsi="Book Antiqua"/>
          <w:i/>
          <w:sz w:val="22"/>
          <w:szCs w:val="22"/>
        </w:rPr>
        <w:t>« tous les deux mois » ;</w:t>
      </w:r>
    </w:p>
    <w:p w:rsidR="008A771D" w:rsidRDefault="00C124C2" w:rsidP="00863463">
      <w:pPr>
        <w:pStyle w:val="Paragraphedeliste"/>
        <w:numPr>
          <w:ilvl w:val="0"/>
          <w:numId w:val="27"/>
        </w:numPr>
        <w:spacing w:before="120" w:after="120" w:line="276" w:lineRule="auto"/>
        <w:ind w:left="568" w:hanging="284"/>
        <w:contextualSpacing w:val="0"/>
        <w:jc w:val="both"/>
        <w:rPr>
          <w:rFonts w:ascii="Book Antiqua" w:hAnsi="Book Antiqua"/>
          <w:sz w:val="22"/>
          <w:szCs w:val="22"/>
        </w:rPr>
      </w:pPr>
      <w:r w:rsidRPr="008A771D">
        <w:rPr>
          <w:rFonts w:ascii="Book Antiqua" w:hAnsi="Book Antiqua"/>
          <w:sz w:val="22"/>
          <w:szCs w:val="22"/>
        </w:rPr>
        <w:t>La réception des relevés</w:t>
      </w:r>
      <w:r w:rsidR="003A3E23">
        <w:rPr>
          <w:rFonts w:ascii="Book Antiqua" w:hAnsi="Book Antiqua"/>
          <w:sz w:val="22"/>
          <w:szCs w:val="22"/>
        </w:rPr>
        <w:t xml:space="preserve"> de compte</w:t>
      </w:r>
      <w:r w:rsidRPr="008A771D">
        <w:rPr>
          <w:rFonts w:ascii="Book Antiqua" w:hAnsi="Book Antiqua"/>
          <w:sz w:val="22"/>
          <w:szCs w:val="22"/>
        </w:rPr>
        <w:t xml:space="preserve"> sur une fréquence trimestrielle est le plus souvent </w:t>
      </w:r>
      <w:r w:rsidR="00014A4C" w:rsidRPr="008A771D">
        <w:rPr>
          <w:rFonts w:ascii="Book Antiqua" w:hAnsi="Book Antiqua"/>
          <w:sz w:val="22"/>
          <w:szCs w:val="22"/>
        </w:rPr>
        <w:t xml:space="preserve">déclarée </w:t>
      </w:r>
      <w:r w:rsidRPr="008A771D">
        <w:rPr>
          <w:rFonts w:ascii="Book Antiqua" w:hAnsi="Book Antiqua"/>
          <w:sz w:val="22"/>
          <w:szCs w:val="22"/>
        </w:rPr>
        <w:t xml:space="preserve">par </w:t>
      </w:r>
      <w:r w:rsidR="00014A4C" w:rsidRPr="008A771D">
        <w:rPr>
          <w:rFonts w:ascii="Book Antiqua" w:hAnsi="Book Antiqua"/>
          <w:sz w:val="22"/>
          <w:szCs w:val="22"/>
        </w:rPr>
        <w:t>l</w:t>
      </w:r>
      <w:r w:rsidRPr="008A771D">
        <w:rPr>
          <w:rFonts w:ascii="Book Antiqua" w:hAnsi="Book Antiqua"/>
          <w:sz w:val="22"/>
          <w:szCs w:val="22"/>
        </w:rPr>
        <w:t>es clients des localités de Matam, Diourbel et Tambacounda à des taux respectifs de 6</w:t>
      </w:r>
      <w:r w:rsidR="00014A4C" w:rsidRPr="008A771D">
        <w:rPr>
          <w:rFonts w:ascii="Book Antiqua" w:hAnsi="Book Antiqua"/>
          <w:sz w:val="22"/>
          <w:szCs w:val="22"/>
        </w:rPr>
        <w:t>,0</w:t>
      </w:r>
      <w:r w:rsidRPr="008A771D">
        <w:rPr>
          <w:rFonts w:ascii="Book Antiqua" w:hAnsi="Book Antiqua"/>
          <w:sz w:val="22"/>
          <w:szCs w:val="22"/>
        </w:rPr>
        <w:t>%, 5</w:t>
      </w:r>
      <w:r w:rsidR="00014A4C" w:rsidRPr="008A771D">
        <w:rPr>
          <w:rFonts w:ascii="Book Antiqua" w:hAnsi="Book Antiqua"/>
          <w:sz w:val="22"/>
          <w:szCs w:val="22"/>
        </w:rPr>
        <w:t>,0</w:t>
      </w:r>
      <w:r w:rsidRPr="008A771D">
        <w:rPr>
          <w:rFonts w:ascii="Book Antiqua" w:hAnsi="Book Antiqua"/>
          <w:sz w:val="22"/>
          <w:szCs w:val="22"/>
        </w:rPr>
        <w:t>% et 4,8%.</w:t>
      </w:r>
    </w:p>
    <w:p w:rsidR="008A771D" w:rsidRDefault="00A671A7" w:rsidP="00863463">
      <w:pPr>
        <w:pStyle w:val="Paragraphedeliste"/>
        <w:numPr>
          <w:ilvl w:val="0"/>
          <w:numId w:val="27"/>
        </w:numPr>
        <w:spacing w:before="120" w:after="120" w:line="276" w:lineRule="auto"/>
        <w:ind w:left="568" w:hanging="284"/>
        <w:contextualSpacing w:val="0"/>
        <w:jc w:val="both"/>
        <w:rPr>
          <w:rFonts w:ascii="Book Antiqua" w:hAnsi="Book Antiqua"/>
          <w:sz w:val="22"/>
          <w:szCs w:val="22"/>
        </w:rPr>
      </w:pPr>
      <w:r w:rsidRPr="008A771D">
        <w:rPr>
          <w:rFonts w:ascii="Book Antiqua" w:hAnsi="Book Antiqua"/>
          <w:sz w:val="22"/>
          <w:szCs w:val="22"/>
        </w:rPr>
        <w:t>Les clients qui déclarent recevoir leurs</w:t>
      </w:r>
      <w:r w:rsidR="00C124C2" w:rsidRPr="008A771D">
        <w:rPr>
          <w:rFonts w:ascii="Book Antiqua" w:hAnsi="Book Antiqua"/>
          <w:sz w:val="22"/>
          <w:szCs w:val="22"/>
        </w:rPr>
        <w:t xml:space="preserve"> relevés sur une périodicité </w:t>
      </w:r>
      <w:r w:rsidR="00C124C2" w:rsidRPr="008A771D">
        <w:rPr>
          <w:rFonts w:ascii="Book Antiqua" w:hAnsi="Book Antiqua"/>
          <w:i/>
          <w:sz w:val="22"/>
          <w:szCs w:val="22"/>
        </w:rPr>
        <w:t>« irrégulière »</w:t>
      </w:r>
      <w:r w:rsidRPr="008A771D">
        <w:rPr>
          <w:rFonts w:ascii="Book Antiqua" w:hAnsi="Book Antiqua"/>
          <w:sz w:val="22"/>
          <w:szCs w:val="22"/>
        </w:rPr>
        <w:t>sont</w:t>
      </w:r>
      <w:r w:rsidR="00C124C2" w:rsidRPr="008A771D">
        <w:rPr>
          <w:rFonts w:ascii="Book Antiqua" w:hAnsi="Book Antiqua"/>
          <w:sz w:val="22"/>
          <w:szCs w:val="22"/>
        </w:rPr>
        <w:t xml:space="preserve"> particulièrement </w:t>
      </w:r>
      <w:r w:rsidRPr="008A771D">
        <w:rPr>
          <w:rFonts w:ascii="Book Antiqua" w:hAnsi="Book Antiqua"/>
          <w:sz w:val="22"/>
          <w:szCs w:val="22"/>
        </w:rPr>
        <w:t>enregistrés à</w:t>
      </w:r>
      <w:r w:rsidR="00C124C2" w:rsidRPr="008A771D">
        <w:rPr>
          <w:rFonts w:ascii="Book Antiqua" w:hAnsi="Book Antiqua"/>
          <w:sz w:val="22"/>
          <w:szCs w:val="22"/>
        </w:rPr>
        <w:t xml:space="preserve"> Kaolack (57,4%), Kédougou (53,4%), </w:t>
      </w:r>
      <w:proofErr w:type="spellStart"/>
      <w:r w:rsidR="00C124C2" w:rsidRPr="008A771D">
        <w:rPr>
          <w:rFonts w:ascii="Book Antiqua" w:hAnsi="Book Antiqua"/>
          <w:sz w:val="22"/>
          <w:szCs w:val="22"/>
        </w:rPr>
        <w:t>Fatick</w:t>
      </w:r>
      <w:proofErr w:type="spellEnd"/>
      <w:r w:rsidR="00C124C2" w:rsidRPr="008A771D">
        <w:rPr>
          <w:rFonts w:ascii="Book Antiqua" w:hAnsi="Book Antiqua"/>
          <w:sz w:val="22"/>
          <w:szCs w:val="22"/>
        </w:rPr>
        <w:t xml:space="preserve"> (52,5%) et Kolda (51,3%) ; </w:t>
      </w:r>
    </w:p>
    <w:p w:rsidR="00C124C2" w:rsidRDefault="00C124C2" w:rsidP="00863463">
      <w:pPr>
        <w:pStyle w:val="Paragraphedeliste"/>
        <w:numPr>
          <w:ilvl w:val="0"/>
          <w:numId w:val="27"/>
        </w:numPr>
        <w:spacing w:before="120" w:after="120" w:line="276" w:lineRule="auto"/>
        <w:ind w:left="568" w:hanging="284"/>
        <w:contextualSpacing w:val="0"/>
        <w:jc w:val="both"/>
        <w:rPr>
          <w:rFonts w:ascii="Book Antiqua" w:hAnsi="Book Antiqua"/>
          <w:sz w:val="22"/>
          <w:szCs w:val="22"/>
        </w:rPr>
      </w:pPr>
      <w:r w:rsidRPr="008A771D">
        <w:rPr>
          <w:rFonts w:ascii="Book Antiqua" w:hAnsi="Book Antiqua"/>
          <w:sz w:val="22"/>
          <w:szCs w:val="22"/>
        </w:rPr>
        <w:t>La proportion des clients</w:t>
      </w:r>
      <w:r w:rsidR="00A671A7" w:rsidRPr="008A771D">
        <w:rPr>
          <w:rFonts w:ascii="Book Antiqua" w:hAnsi="Book Antiqua"/>
          <w:sz w:val="22"/>
          <w:szCs w:val="22"/>
        </w:rPr>
        <w:t xml:space="preserve"> qui déclarent </w:t>
      </w:r>
      <w:r w:rsidRPr="008A771D">
        <w:rPr>
          <w:rFonts w:ascii="Book Antiqua" w:hAnsi="Book Antiqua"/>
          <w:sz w:val="22"/>
          <w:szCs w:val="22"/>
        </w:rPr>
        <w:t>n’ayant</w:t>
      </w:r>
      <w:r w:rsidR="00A671A7" w:rsidRPr="008A771D">
        <w:rPr>
          <w:rFonts w:ascii="Book Antiqua" w:hAnsi="Book Antiqua"/>
          <w:sz w:val="22"/>
          <w:szCs w:val="22"/>
        </w:rPr>
        <w:t>« </w:t>
      </w:r>
      <w:r w:rsidRPr="008A771D">
        <w:rPr>
          <w:rFonts w:ascii="Book Antiqua" w:hAnsi="Book Antiqua"/>
          <w:sz w:val="22"/>
          <w:szCs w:val="22"/>
        </w:rPr>
        <w:t>jamais</w:t>
      </w:r>
      <w:r w:rsidR="00A671A7" w:rsidRPr="008A771D">
        <w:rPr>
          <w:rFonts w:ascii="Book Antiqua" w:hAnsi="Book Antiqua"/>
          <w:sz w:val="22"/>
          <w:szCs w:val="22"/>
        </w:rPr>
        <w:t> »</w:t>
      </w:r>
      <w:r w:rsidRPr="008A771D">
        <w:rPr>
          <w:rFonts w:ascii="Book Antiqua" w:hAnsi="Book Antiqua"/>
          <w:sz w:val="22"/>
          <w:szCs w:val="22"/>
        </w:rPr>
        <w:t xml:space="preserve"> reçu leurs relevés </w:t>
      </w:r>
      <w:r w:rsidR="00A671A7" w:rsidRPr="008A771D">
        <w:rPr>
          <w:rFonts w:ascii="Book Antiqua" w:hAnsi="Book Antiqua"/>
          <w:sz w:val="22"/>
          <w:szCs w:val="22"/>
        </w:rPr>
        <w:t>de compte est  é</w:t>
      </w:r>
      <w:r w:rsidRPr="008A771D">
        <w:rPr>
          <w:rFonts w:ascii="Book Antiqua" w:hAnsi="Book Antiqua"/>
          <w:sz w:val="22"/>
          <w:szCs w:val="22"/>
        </w:rPr>
        <w:t>levée</w:t>
      </w:r>
      <w:r w:rsidR="008A771D" w:rsidRPr="008A771D">
        <w:rPr>
          <w:rFonts w:ascii="Book Antiqua" w:hAnsi="Book Antiqua"/>
          <w:sz w:val="22"/>
          <w:szCs w:val="22"/>
        </w:rPr>
        <w:t xml:space="preserve"> </w:t>
      </w:r>
      <w:r w:rsidRPr="008A771D">
        <w:rPr>
          <w:rFonts w:ascii="Book Antiqua" w:hAnsi="Book Antiqua"/>
          <w:sz w:val="22"/>
          <w:szCs w:val="22"/>
        </w:rPr>
        <w:t xml:space="preserve">dans les régions de </w:t>
      </w:r>
      <w:proofErr w:type="spellStart"/>
      <w:r w:rsidRPr="008A771D">
        <w:rPr>
          <w:rFonts w:ascii="Book Antiqua" w:hAnsi="Book Antiqua"/>
          <w:sz w:val="22"/>
          <w:szCs w:val="22"/>
        </w:rPr>
        <w:t>Kaffrine</w:t>
      </w:r>
      <w:proofErr w:type="spellEnd"/>
      <w:r w:rsidRPr="008A771D">
        <w:rPr>
          <w:rFonts w:ascii="Book Antiqua" w:hAnsi="Book Antiqua"/>
          <w:sz w:val="22"/>
          <w:szCs w:val="22"/>
        </w:rPr>
        <w:t xml:space="preserve"> (32,5%), Kolda (30,3%), </w:t>
      </w:r>
      <w:proofErr w:type="spellStart"/>
      <w:r w:rsidRPr="008A771D">
        <w:rPr>
          <w:rFonts w:ascii="Book Antiqua" w:hAnsi="Book Antiqua"/>
          <w:sz w:val="22"/>
          <w:szCs w:val="22"/>
        </w:rPr>
        <w:t>Fatick</w:t>
      </w:r>
      <w:proofErr w:type="spellEnd"/>
      <w:r w:rsidRPr="008A771D">
        <w:rPr>
          <w:rFonts w:ascii="Book Antiqua" w:hAnsi="Book Antiqua"/>
          <w:sz w:val="22"/>
          <w:szCs w:val="22"/>
        </w:rPr>
        <w:t xml:space="preserve"> (30,0%) et Ziguinchor (30,0%).</w:t>
      </w:r>
    </w:p>
    <w:p w:rsidR="004E330F" w:rsidRPr="008A771D" w:rsidRDefault="004E330F" w:rsidP="00D4489E">
      <w:pPr>
        <w:pStyle w:val="Paragraphedeliste"/>
        <w:spacing w:before="120" w:line="276" w:lineRule="auto"/>
        <w:ind w:left="714"/>
        <w:jc w:val="both"/>
        <w:rPr>
          <w:rFonts w:ascii="Book Antiqua" w:hAnsi="Book Antiqua"/>
          <w:sz w:val="22"/>
          <w:szCs w:val="22"/>
        </w:rPr>
      </w:pPr>
    </w:p>
    <w:p w:rsidR="00C124C2" w:rsidRPr="00D42A98" w:rsidRDefault="00C124C2" w:rsidP="00D4489E">
      <w:pPr>
        <w:spacing w:line="276" w:lineRule="auto"/>
        <w:jc w:val="center"/>
        <w:rPr>
          <w:rFonts w:ascii="Book Antiqua" w:hAnsi="Book Antiqua"/>
          <w:b/>
          <w:sz w:val="14"/>
          <w:szCs w:val="16"/>
        </w:rPr>
      </w:pPr>
    </w:p>
    <w:p w:rsidR="00982797" w:rsidRPr="00982797" w:rsidRDefault="00982797" w:rsidP="00D4489E">
      <w:pPr>
        <w:pStyle w:val="Lgende"/>
        <w:keepNext/>
        <w:spacing w:line="276" w:lineRule="auto"/>
        <w:jc w:val="center"/>
        <w:rPr>
          <w:color w:val="auto"/>
        </w:rPr>
      </w:pPr>
      <w:bookmarkStart w:id="274" w:name="_Toc523313845"/>
      <w:r w:rsidRPr="00982797">
        <w:rPr>
          <w:color w:val="auto"/>
        </w:rPr>
        <w:lastRenderedPageBreak/>
        <w:t xml:space="preserve">Figure </w:t>
      </w:r>
      <w:r w:rsidR="000D65F2" w:rsidRPr="00982797">
        <w:rPr>
          <w:color w:val="auto"/>
        </w:rPr>
        <w:fldChar w:fldCharType="begin"/>
      </w:r>
      <w:r w:rsidRPr="00982797">
        <w:rPr>
          <w:color w:val="auto"/>
        </w:rPr>
        <w:instrText xml:space="preserve"> SEQ Figure \* ARABIC </w:instrText>
      </w:r>
      <w:r w:rsidR="000D65F2" w:rsidRPr="00982797">
        <w:rPr>
          <w:color w:val="auto"/>
        </w:rPr>
        <w:fldChar w:fldCharType="separate"/>
      </w:r>
      <w:r w:rsidR="000F780F">
        <w:rPr>
          <w:noProof/>
          <w:color w:val="auto"/>
        </w:rPr>
        <w:t>162</w:t>
      </w:r>
      <w:r w:rsidR="000D65F2" w:rsidRPr="00982797">
        <w:rPr>
          <w:color w:val="auto"/>
        </w:rPr>
        <w:fldChar w:fldCharType="end"/>
      </w:r>
      <w:r w:rsidRPr="00982797">
        <w:rPr>
          <w:color w:val="auto"/>
        </w:rPr>
        <w:t xml:space="preserve"> : Appréciation des enquêtés sur la périodicité de réception des relevés de compte selon les régions</w:t>
      </w:r>
      <w:bookmarkEnd w:id="274"/>
    </w:p>
    <w:p w:rsidR="00A671A7" w:rsidRPr="00C4709C" w:rsidRDefault="00A671A7" w:rsidP="00D4489E">
      <w:pPr>
        <w:spacing w:line="276" w:lineRule="auto"/>
        <w:jc w:val="center"/>
      </w:pPr>
      <w:r>
        <w:rPr>
          <w:noProof/>
        </w:rPr>
        <w:drawing>
          <wp:inline distT="0" distB="0" distL="0" distR="0">
            <wp:extent cx="5294313" cy="3365500"/>
            <wp:effectExtent l="19050" t="0" r="20637" b="635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C124C2" w:rsidRPr="00D42A98" w:rsidRDefault="00C124C2" w:rsidP="00D4489E">
      <w:pPr>
        <w:spacing w:line="276" w:lineRule="auto"/>
        <w:rPr>
          <w:rFonts w:ascii="Book Antiqua" w:hAnsi="Book Antiqua"/>
          <w:b/>
          <w:sz w:val="22"/>
        </w:rPr>
      </w:pPr>
    </w:p>
    <w:p w:rsidR="00C124C2" w:rsidRPr="00D42A98" w:rsidRDefault="004E330F" w:rsidP="006818E2">
      <w:pPr>
        <w:spacing w:before="240" w:after="240" w:line="276" w:lineRule="auto"/>
        <w:ind w:firstLine="567"/>
        <w:outlineLvl w:val="2"/>
        <w:rPr>
          <w:rFonts w:ascii="Book Antiqua" w:hAnsi="Book Antiqua"/>
          <w:b/>
          <w:sz w:val="22"/>
        </w:rPr>
      </w:pPr>
      <w:bookmarkStart w:id="275" w:name="_Toc523322099"/>
      <w:r>
        <w:rPr>
          <w:rFonts w:ascii="Book Antiqua" w:hAnsi="Book Antiqua"/>
          <w:b/>
          <w:sz w:val="22"/>
        </w:rPr>
        <w:t>II.5</w:t>
      </w:r>
      <w:r w:rsidR="00C124C2" w:rsidRPr="00D42A98">
        <w:rPr>
          <w:rFonts w:ascii="Book Antiqua" w:hAnsi="Book Antiqua"/>
          <w:b/>
          <w:sz w:val="22"/>
        </w:rPr>
        <w:t>.2. Irrégularités déclarées dans les relevés de compte</w:t>
      </w:r>
      <w:bookmarkEnd w:id="275"/>
    </w:p>
    <w:p w:rsidR="00C124C2" w:rsidRDefault="001B779E"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t xml:space="preserve">Une proportion de </w:t>
      </w:r>
      <w:r w:rsidRPr="00E23B0D">
        <w:rPr>
          <w:rFonts w:ascii="Book Antiqua" w:hAnsi="Book Antiqua" w:cs="Tahoma"/>
          <w:sz w:val="22"/>
          <w:szCs w:val="22"/>
        </w:rPr>
        <w:t>6</w:t>
      </w:r>
      <w:r>
        <w:rPr>
          <w:rFonts w:ascii="Book Antiqua" w:hAnsi="Book Antiqua" w:cs="Tahoma"/>
          <w:sz w:val="22"/>
          <w:szCs w:val="22"/>
        </w:rPr>
        <w:t>9,6</w:t>
      </w:r>
      <w:r w:rsidR="00C124C2" w:rsidRPr="00E23B0D">
        <w:rPr>
          <w:rFonts w:ascii="Book Antiqua" w:hAnsi="Book Antiqua" w:cs="Tahoma"/>
          <w:sz w:val="22"/>
          <w:szCs w:val="22"/>
        </w:rPr>
        <w:t xml:space="preserve">% des clients interrogés </w:t>
      </w:r>
      <w:r>
        <w:rPr>
          <w:rFonts w:ascii="Book Antiqua" w:hAnsi="Book Antiqua" w:cs="Tahoma"/>
          <w:sz w:val="22"/>
          <w:szCs w:val="22"/>
        </w:rPr>
        <w:t>déclare</w:t>
      </w:r>
      <w:r w:rsidR="00097E79">
        <w:rPr>
          <w:rFonts w:ascii="Book Antiqua" w:hAnsi="Book Antiqua" w:cs="Tahoma"/>
          <w:sz w:val="22"/>
          <w:szCs w:val="22"/>
        </w:rPr>
        <w:t xml:space="preserve"> </w:t>
      </w:r>
      <w:r w:rsidR="00C124C2" w:rsidRPr="00E23B0D">
        <w:rPr>
          <w:rFonts w:ascii="Book Antiqua" w:hAnsi="Book Antiqua" w:cs="Tahoma"/>
          <w:sz w:val="22"/>
          <w:szCs w:val="22"/>
        </w:rPr>
        <w:t xml:space="preserve">n’avoir jamais décelé </w:t>
      </w:r>
      <w:r w:rsidR="004D654F" w:rsidRPr="00E23B0D">
        <w:rPr>
          <w:rFonts w:ascii="Book Antiqua" w:hAnsi="Book Antiqua" w:cs="Tahoma"/>
          <w:sz w:val="22"/>
          <w:szCs w:val="22"/>
        </w:rPr>
        <w:t>d</w:t>
      </w:r>
      <w:r w:rsidR="004D654F">
        <w:rPr>
          <w:rFonts w:ascii="Book Antiqua" w:hAnsi="Book Antiqua" w:cs="Tahoma"/>
          <w:sz w:val="22"/>
          <w:szCs w:val="22"/>
        </w:rPr>
        <w:t>’</w:t>
      </w:r>
      <w:r w:rsidR="004D654F" w:rsidRPr="00E23B0D">
        <w:rPr>
          <w:rFonts w:ascii="Book Antiqua" w:hAnsi="Book Antiqua" w:cs="Tahoma"/>
          <w:sz w:val="22"/>
          <w:szCs w:val="22"/>
        </w:rPr>
        <w:t>irrégularité</w:t>
      </w:r>
      <w:r w:rsidR="004D654F">
        <w:rPr>
          <w:rFonts w:ascii="Book Antiqua" w:hAnsi="Book Antiqua" w:cs="Tahoma"/>
          <w:sz w:val="22"/>
          <w:szCs w:val="22"/>
        </w:rPr>
        <w:t>s</w:t>
      </w:r>
      <w:r w:rsidR="00C124C2" w:rsidRPr="00E23B0D">
        <w:rPr>
          <w:rFonts w:ascii="Book Antiqua" w:hAnsi="Book Antiqua" w:cs="Tahoma"/>
          <w:sz w:val="22"/>
          <w:szCs w:val="22"/>
        </w:rPr>
        <w:t xml:space="preserve"> dans leurs relevés bancaires. </w:t>
      </w:r>
      <w:r>
        <w:rPr>
          <w:rFonts w:ascii="Book Antiqua" w:hAnsi="Book Antiqua" w:cs="Tahoma"/>
          <w:sz w:val="22"/>
          <w:szCs w:val="22"/>
        </w:rPr>
        <w:t xml:space="preserve">Il est ressorti des proportions </w:t>
      </w:r>
      <w:r w:rsidRPr="00E23B0D">
        <w:rPr>
          <w:rFonts w:ascii="Book Antiqua" w:hAnsi="Book Antiqua" w:cs="Tahoma"/>
          <w:sz w:val="22"/>
          <w:szCs w:val="22"/>
        </w:rPr>
        <w:t xml:space="preserve">respectives de </w:t>
      </w:r>
      <w:r>
        <w:rPr>
          <w:rFonts w:ascii="Book Antiqua" w:hAnsi="Book Antiqua" w:cs="Tahoma"/>
          <w:sz w:val="22"/>
          <w:szCs w:val="22"/>
        </w:rPr>
        <w:t>18,5%, 9,9% et 2,0%  de</w:t>
      </w:r>
      <w:r w:rsidR="00C124C2" w:rsidRPr="00E23B0D">
        <w:rPr>
          <w:rFonts w:ascii="Book Antiqua" w:hAnsi="Book Antiqua" w:cs="Tahoma"/>
          <w:sz w:val="22"/>
          <w:szCs w:val="22"/>
        </w:rPr>
        <w:t xml:space="preserve"> clients qui déclarent constater  « rarement », « souvent »</w:t>
      </w:r>
      <w:r>
        <w:rPr>
          <w:rFonts w:ascii="Book Antiqua" w:hAnsi="Book Antiqua" w:cs="Tahoma"/>
          <w:sz w:val="22"/>
          <w:szCs w:val="22"/>
        </w:rPr>
        <w:t xml:space="preserve"> ou</w:t>
      </w:r>
      <w:r w:rsidR="00C124C2" w:rsidRPr="00E23B0D">
        <w:rPr>
          <w:rFonts w:ascii="Book Antiqua" w:hAnsi="Book Antiqua" w:cs="Tahoma"/>
          <w:sz w:val="22"/>
          <w:szCs w:val="22"/>
        </w:rPr>
        <w:t xml:space="preserve"> « très souvent » des erreurs et anomalies sur leurs relevés. </w:t>
      </w:r>
    </w:p>
    <w:p w:rsidR="00982797" w:rsidRPr="00982797" w:rsidRDefault="00982797" w:rsidP="00FA6E0D">
      <w:pPr>
        <w:pStyle w:val="Lgende"/>
        <w:keepNext/>
        <w:spacing w:before="240" w:line="276" w:lineRule="auto"/>
        <w:jc w:val="center"/>
        <w:rPr>
          <w:color w:val="auto"/>
        </w:rPr>
      </w:pPr>
      <w:bookmarkStart w:id="276" w:name="_Toc523313846"/>
      <w:r w:rsidRPr="00982797">
        <w:rPr>
          <w:color w:val="auto"/>
        </w:rPr>
        <w:t xml:space="preserve">Figure </w:t>
      </w:r>
      <w:r w:rsidR="000D65F2" w:rsidRPr="00982797">
        <w:rPr>
          <w:color w:val="auto"/>
        </w:rPr>
        <w:fldChar w:fldCharType="begin"/>
      </w:r>
      <w:r w:rsidRPr="00982797">
        <w:rPr>
          <w:color w:val="auto"/>
        </w:rPr>
        <w:instrText xml:space="preserve"> SEQ Figure \* ARABIC </w:instrText>
      </w:r>
      <w:r w:rsidR="000D65F2" w:rsidRPr="00982797">
        <w:rPr>
          <w:color w:val="auto"/>
        </w:rPr>
        <w:fldChar w:fldCharType="separate"/>
      </w:r>
      <w:r w:rsidR="000F780F">
        <w:rPr>
          <w:noProof/>
          <w:color w:val="auto"/>
        </w:rPr>
        <w:t>163</w:t>
      </w:r>
      <w:r w:rsidR="000D65F2" w:rsidRPr="00982797">
        <w:rPr>
          <w:color w:val="auto"/>
        </w:rPr>
        <w:fldChar w:fldCharType="end"/>
      </w:r>
      <w:r w:rsidRPr="00982797">
        <w:rPr>
          <w:color w:val="auto"/>
        </w:rPr>
        <w:t xml:space="preserve"> : Fréquence de contestation chez les clients d'irrégularités dans les relevés de compte</w:t>
      </w:r>
      <w:bookmarkEnd w:id="276"/>
    </w:p>
    <w:p w:rsidR="00922E08" w:rsidRPr="00E23B0D" w:rsidRDefault="001B779E" w:rsidP="00D4489E">
      <w:pPr>
        <w:autoSpaceDE w:val="0"/>
        <w:autoSpaceDN w:val="0"/>
        <w:adjustRightInd w:val="0"/>
        <w:spacing w:before="120" w:line="276" w:lineRule="auto"/>
        <w:jc w:val="center"/>
        <w:rPr>
          <w:rFonts w:ascii="Book Antiqua" w:hAnsi="Book Antiqua" w:cs="Tahoma"/>
          <w:sz w:val="22"/>
          <w:szCs w:val="22"/>
        </w:rPr>
      </w:pPr>
      <w:r>
        <w:rPr>
          <w:noProof/>
        </w:rPr>
        <w:drawing>
          <wp:inline distT="0" distB="0" distL="0" distR="0">
            <wp:extent cx="4572000" cy="2743200"/>
            <wp:effectExtent l="19050" t="0" r="1905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255674" w:rsidRDefault="00255674" w:rsidP="00D4489E">
      <w:pPr>
        <w:spacing w:after="200" w:line="276" w:lineRule="auto"/>
        <w:rPr>
          <w:rFonts w:ascii="Book Antiqua" w:hAnsi="Book Antiqua"/>
          <w:b/>
          <w:sz w:val="22"/>
        </w:rPr>
      </w:pPr>
      <w:r>
        <w:rPr>
          <w:rFonts w:ascii="Book Antiqua" w:hAnsi="Book Antiqua"/>
          <w:b/>
          <w:sz w:val="22"/>
        </w:rPr>
        <w:br w:type="page"/>
      </w:r>
    </w:p>
    <w:p w:rsidR="00C124C2" w:rsidRPr="00D42A98" w:rsidRDefault="004E330F" w:rsidP="006818E2">
      <w:pPr>
        <w:spacing w:before="240" w:after="240" w:line="276" w:lineRule="auto"/>
        <w:ind w:firstLine="567"/>
        <w:outlineLvl w:val="2"/>
        <w:rPr>
          <w:rFonts w:ascii="Book Antiqua" w:hAnsi="Book Antiqua"/>
          <w:b/>
          <w:sz w:val="22"/>
        </w:rPr>
      </w:pPr>
      <w:bookmarkStart w:id="277" w:name="_Toc523322100"/>
      <w:r>
        <w:rPr>
          <w:rFonts w:ascii="Book Antiqua" w:hAnsi="Book Antiqua"/>
          <w:b/>
          <w:sz w:val="22"/>
        </w:rPr>
        <w:lastRenderedPageBreak/>
        <w:t>II.5</w:t>
      </w:r>
      <w:r w:rsidR="00C124C2" w:rsidRPr="00D42A98">
        <w:rPr>
          <w:rFonts w:ascii="Book Antiqua" w:hAnsi="Book Antiqua"/>
          <w:b/>
          <w:sz w:val="22"/>
        </w:rPr>
        <w:t>.3. Utilisation et délai de renouvellement du chéquier</w:t>
      </w:r>
      <w:bookmarkEnd w:id="277"/>
    </w:p>
    <w:p w:rsidR="002E7D04"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t xml:space="preserve">Les statistiques recueillies  </w:t>
      </w:r>
      <w:r w:rsidR="002E7D04">
        <w:rPr>
          <w:rFonts w:ascii="Book Antiqua" w:hAnsi="Book Antiqua" w:cs="Tahoma"/>
          <w:sz w:val="22"/>
          <w:szCs w:val="22"/>
        </w:rPr>
        <w:t>indiquent</w:t>
      </w:r>
      <w:r w:rsidR="00D90E4D">
        <w:rPr>
          <w:rFonts w:ascii="Book Antiqua" w:hAnsi="Book Antiqua" w:cs="Tahoma"/>
          <w:sz w:val="22"/>
          <w:szCs w:val="22"/>
        </w:rPr>
        <w:t xml:space="preserve"> </w:t>
      </w:r>
      <w:r w:rsidRPr="00E23B0D">
        <w:rPr>
          <w:rFonts w:ascii="Book Antiqua" w:hAnsi="Book Antiqua" w:cs="Tahoma"/>
          <w:sz w:val="22"/>
          <w:szCs w:val="22"/>
        </w:rPr>
        <w:t>qu</w:t>
      </w:r>
      <w:r w:rsidR="002E7D04">
        <w:rPr>
          <w:rFonts w:ascii="Book Antiqua" w:hAnsi="Book Antiqua" w:cs="Tahoma"/>
          <w:sz w:val="22"/>
          <w:szCs w:val="22"/>
        </w:rPr>
        <w:t>’une proportion d</w:t>
      </w:r>
      <w:r w:rsidRPr="00E23B0D">
        <w:rPr>
          <w:rFonts w:ascii="Book Antiqua" w:hAnsi="Book Antiqua" w:cs="Tahoma"/>
          <w:sz w:val="22"/>
          <w:szCs w:val="22"/>
        </w:rPr>
        <w:t xml:space="preserve">e </w:t>
      </w:r>
      <w:r w:rsidR="00F74C1B">
        <w:rPr>
          <w:rFonts w:ascii="Book Antiqua" w:hAnsi="Book Antiqua" w:cs="Tahoma"/>
          <w:sz w:val="22"/>
          <w:szCs w:val="22"/>
        </w:rPr>
        <w:t>68,9</w:t>
      </w:r>
      <w:r w:rsidRPr="00E23B0D">
        <w:rPr>
          <w:rFonts w:ascii="Book Antiqua" w:hAnsi="Book Antiqua" w:cs="Tahoma"/>
          <w:sz w:val="22"/>
          <w:szCs w:val="22"/>
        </w:rPr>
        <w:t xml:space="preserve">% des clients interrogés </w:t>
      </w:r>
      <w:r w:rsidR="00B91C8B">
        <w:rPr>
          <w:rFonts w:ascii="Book Antiqua" w:hAnsi="Book Antiqua" w:cs="Tahoma"/>
          <w:sz w:val="22"/>
          <w:szCs w:val="22"/>
        </w:rPr>
        <w:t>déclarent</w:t>
      </w:r>
      <w:r w:rsidR="00D90E4D">
        <w:rPr>
          <w:rFonts w:ascii="Book Antiqua" w:hAnsi="Book Antiqua" w:cs="Tahoma"/>
          <w:sz w:val="22"/>
          <w:szCs w:val="22"/>
        </w:rPr>
        <w:t xml:space="preserve"> </w:t>
      </w:r>
      <w:r w:rsidRPr="00E23B0D">
        <w:rPr>
          <w:rFonts w:ascii="Book Antiqua" w:hAnsi="Book Antiqua" w:cs="Tahoma"/>
          <w:sz w:val="22"/>
          <w:szCs w:val="22"/>
        </w:rPr>
        <w:t>être en possession de chéquier</w:t>
      </w:r>
      <w:r w:rsidR="00B91C8B">
        <w:rPr>
          <w:rFonts w:ascii="Book Antiqua" w:hAnsi="Book Antiqua" w:cs="Tahoma"/>
          <w:sz w:val="22"/>
          <w:szCs w:val="22"/>
        </w:rPr>
        <w:t xml:space="preserve"> dont </w:t>
      </w:r>
      <w:r w:rsidR="002E7D04" w:rsidRPr="00E23B0D">
        <w:rPr>
          <w:rFonts w:ascii="Book Antiqua" w:hAnsi="Book Antiqua" w:cs="Tahoma"/>
          <w:sz w:val="22"/>
          <w:szCs w:val="22"/>
        </w:rPr>
        <w:t xml:space="preserve">15,6% </w:t>
      </w:r>
      <w:r w:rsidR="00B91C8B">
        <w:rPr>
          <w:rFonts w:ascii="Book Antiqua" w:hAnsi="Book Antiqua" w:cs="Tahoma"/>
          <w:sz w:val="22"/>
          <w:szCs w:val="22"/>
        </w:rPr>
        <w:t xml:space="preserve">qui </w:t>
      </w:r>
      <w:r w:rsidR="002E7D04" w:rsidRPr="00E23B0D">
        <w:rPr>
          <w:rFonts w:ascii="Book Antiqua" w:hAnsi="Book Antiqua" w:cs="Tahoma"/>
          <w:sz w:val="22"/>
          <w:szCs w:val="22"/>
        </w:rPr>
        <w:t xml:space="preserve">soutiennent n’avoir jamais </w:t>
      </w:r>
      <w:r w:rsidR="00F74C1B">
        <w:rPr>
          <w:rFonts w:ascii="Book Antiqua" w:hAnsi="Book Antiqua" w:cs="Tahoma"/>
          <w:sz w:val="22"/>
          <w:szCs w:val="22"/>
        </w:rPr>
        <w:t xml:space="preserve">eu à le </w:t>
      </w:r>
      <w:r w:rsidR="002E7D04" w:rsidRPr="00E23B0D">
        <w:rPr>
          <w:rFonts w:ascii="Book Antiqua" w:hAnsi="Book Antiqua" w:cs="Tahoma"/>
          <w:sz w:val="22"/>
          <w:szCs w:val="22"/>
        </w:rPr>
        <w:t>renouvel</w:t>
      </w:r>
      <w:r w:rsidR="00F74C1B">
        <w:rPr>
          <w:rFonts w:ascii="Book Antiqua" w:hAnsi="Book Antiqua" w:cs="Tahoma"/>
          <w:sz w:val="22"/>
          <w:szCs w:val="22"/>
        </w:rPr>
        <w:t>er</w:t>
      </w:r>
      <w:r w:rsidR="002E7D04" w:rsidRPr="00E23B0D">
        <w:rPr>
          <w:rFonts w:ascii="Book Antiqua" w:hAnsi="Book Antiqua" w:cs="Tahoma"/>
          <w:sz w:val="22"/>
          <w:szCs w:val="22"/>
        </w:rPr>
        <w:t>.</w:t>
      </w:r>
    </w:p>
    <w:p w:rsidR="004D654F" w:rsidRDefault="002E7D04"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t>P</w:t>
      </w:r>
      <w:r w:rsidRPr="00E23B0D">
        <w:rPr>
          <w:rFonts w:ascii="Book Antiqua" w:hAnsi="Book Antiqua" w:cs="Tahoma"/>
          <w:sz w:val="22"/>
          <w:szCs w:val="22"/>
        </w:rPr>
        <w:t xml:space="preserve">armi </w:t>
      </w:r>
      <w:r w:rsidR="00B91C8B">
        <w:rPr>
          <w:rFonts w:ascii="Book Antiqua" w:hAnsi="Book Antiqua" w:cs="Tahoma"/>
          <w:sz w:val="22"/>
          <w:szCs w:val="22"/>
        </w:rPr>
        <w:t>l</w:t>
      </w:r>
      <w:r>
        <w:rPr>
          <w:rFonts w:ascii="Book Antiqua" w:hAnsi="Book Antiqua" w:cs="Tahoma"/>
          <w:sz w:val="22"/>
          <w:szCs w:val="22"/>
        </w:rPr>
        <w:t xml:space="preserve">es clients </w:t>
      </w:r>
      <w:r w:rsidR="00B91C8B">
        <w:rPr>
          <w:rFonts w:ascii="Book Antiqua" w:hAnsi="Book Antiqua" w:cs="Tahoma"/>
          <w:sz w:val="22"/>
          <w:szCs w:val="22"/>
        </w:rPr>
        <w:t xml:space="preserve">ayant eu à renouveler leur </w:t>
      </w:r>
      <w:r>
        <w:rPr>
          <w:rFonts w:ascii="Book Antiqua" w:hAnsi="Book Antiqua" w:cs="Tahoma"/>
          <w:sz w:val="22"/>
          <w:szCs w:val="22"/>
        </w:rPr>
        <w:t xml:space="preserve">chéquier, </w:t>
      </w:r>
      <w:r w:rsidR="00B91C8B">
        <w:rPr>
          <w:rFonts w:ascii="Book Antiqua" w:hAnsi="Book Antiqua" w:cs="Tahoma"/>
          <w:sz w:val="22"/>
          <w:szCs w:val="22"/>
        </w:rPr>
        <w:t>20,7</w:t>
      </w:r>
      <w:r w:rsidR="00C124C2" w:rsidRPr="00E23B0D">
        <w:rPr>
          <w:rFonts w:ascii="Book Antiqua" w:hAnsi="Book Antiqua" w:cs="Tahoma"/>
          <w:sz w:val="22"/>
          <w:szCs w:val="22"/>
        </w:rPr>
        <w:t>% déplore</w:t>
      </w:r>
      <w:r w:rsidR="00B91C8B">
        <w:rPr>
          <w:rFonts w:ascii="Book Antiqua" w:hAnsi="Book Antiqua" w:cs="Tahoma"/>
          <w:sz w:val="22"/>
          <w:szCs w:val="22"/>
        </w:rPr>
        <w:t>nt</w:t>
      </w:r>
      <w:r w:rsidR="00C124C2" w:rsidRPr="00E23B0D">
        <w:rPr>
          <w:rFonts w:ascii="Book Antiqua" w:hAnsi="Book Antiqua" w:cs="Tahoma"/>
          <w:sz w:val="22"/>
          <w:szCs w:val="22"/>
        </w:rPr>
        <w:t xml:space="preserve"> la lenteur de renouvellement de leur formule de chèques</w:t>
      </w:r>
      <w:r w:rsidR="00B91C8B">
        <w:rPr>
          <w:rFonts w:ascii="Book Antiqua" w:hAnsi="Book Antiqua" w:cs="Tahoma"/>
          <w:sz w:val="22"/>
          <w:szCs w:val="22"/>
        </w:rPr>
        <w:t xml:space="preserve"> contre 79,3</w:t>
      </w:r>
      <w:r w:rsidR="00C124C2" w:rsidRPr="00E23B0D">
        <w:rPr>
          <w:rFonts w:ascii="Book Antiqua" w:hAnsi="Book Antiqua" w:cs="Tahoma"/>
          <w:sz w:val="22"/>
          <w:szCs w:val="22"/>
        </w:rPr>
        <w:t xml:space="preserve">% </w:t>
      </w:r>
      <w:r>
        <w:rPr>
          <w:rFonts w:ascii="Book Antiqua" w:hAnsi="Book Antiqua" w:cs="Tahoma"/>
          <w:sz w:val="22"/>
          <w:szCs w:val="22"/>
        </w:rPr>
        <w:t>qui s</w:t>
      </w:r>
      <w:r w:rsidR="00B91C8B">
        <w:rPr>
          <w:rFonts w:ascii="Book Antiqua" w:hAnsi="Book Antiqua" w:cs="Tahoma"/>
          <w:sz w:val="22"/>
          <w:szCs w:val="22"/>
        </w:rPr>
        <w:t>’estiment satisfaits de</w:t>
      </w:r>
      <w:r w:rsidR="00C124C2" w:rsidRPr="00E23B0D">
        <w:rPr>
          <w:rFonts w:ascii="Book Antiqua" w:hAnsi="Book Antiqua" w:cs="Tahoma"/>
          <w:sz w:val="22"/>
          <w:szCs w:val="22"/>
        </w:rPr>
        <w:t xml:space="preserve"> la diligence </w:t>
      </w:r>
      <w:r>
        <w:rPr>
          <w:rFonts w:ascii="Book Antiqua" w:hAnsi="Book Antiqua" w:cs="Tahoma"/>
          <w:sz w:val="22"/>
          <w:szCs w:val="22"/>
        </w:rPr>
        <w:t>dans le traitement de ce service</w:t>
      </w:r>
      <w:r w:rsidR="00C124C2" w:rsidRPr="00E23B0D">
        <w:rPr>
          <w:rFonts w:ascii="Book Antiqua" w:hAnsi="Book Antiqua" w:cs="Tahoma"/>
          <w:sz w:val="22"/>
          <w:szCs w:val="22"/>
        </w:rPr>
        <w:t xml:space="preserve"> par leur banque principale</w:t>
      </w:r>
      <w:r>
        <w:rPr>
          <w:rFonts w:ascii="Book Antiqua" w:hAnsi="Book Antiqua" w:cs="Tahoma"/>
          <w:sz w:val="22"/>
          <w:szCs w:val="22"/>
        </w:rPr>
        <w:t>.</w:t>
      </w:r>
    </w:p>
    <w:p w:rsidR="00982797" w:rsidRPr="00982797" w:rsidRDefault="00982797" w:rsidP="00FA6E0D">
      <w:pPr>
        <w:pStyle w:val="Lgende"/>
        <w:keepNext/>
        <w:spacing w:before="240" w:line="276" w:lineRule="auto"/>
        <w:jc w:val="center"/>
        <w:rPr>
          <w:color w:val="auto"/>
        </w:rPr>
      </w:pPr>
      <w:bookmarkStart w:id="278" w:name="_Toc523313847"/>
      <w:r w:rsidRPr="00982797">
        <w:rPr>
          <w:color w:val="auto"/>
        </w:rPr>
        <w:t xml:space="preserve">Figure </w:t>
      </w:r>
      <w:r w:rsidR="000D65F2" w:rsidRPr="00982797">
        <w:rPr>
          <w:color w:val="auto"/>
        </w:rPr>
        <w:fldChar w:fldCharType="begin"/>
      </w:r>
      <w:r w:rsidRPr="00982797">
        <w:rPr>
          <w:color w:val="auto"/>
        </w:rPr>
        <w:instrText xml:space="preserve"> SEQ Figure \* ARABIC </w:instrText>
      </w:r>
      <w:r w:rsidR="000D65F2" w:rsidRPr="00982797">
        <w:rPr>
          <w:color w:val="auto"/>
        </w:rPr>
        <w:fldChar w:fldCharType="separate"/>
      </w:r>
      <w:r w:rsidR="000F780F">
        <w:rPr>
          <w:noProof/>
          <w:color w:val="auto"/>
        </w:rPr>
        <w:t>164</w:t>
      </w:r>
      <w:r w:rsidR="000D65F2" w:rsidRPr="00982797">
        <w:rPr>
          <w:color w:val="auto"/>
        </w:rPr>
        <w:fldChar w:fldCharType="end"/>
      </w:r>
      <w:r w:rsidRPr="00982797">
        <w:rPr>
          <w:color w:val="auto"/>
        </w:rPr>
        <w:t xml:space="preserve"> : Appréciation des personnes enquêtées sur le délai de renouvellement du chéquier</w:t>
      </w:r>
      <w:bookmarkEnd w:id="278"/>
    </w:p>
    <w:p w:rsidR="00CB65E0" w:rsidRPr="00E23B0D" w:rsidRDefault="00CB65E0" w:rsidP="00D4489E">
      <w:pPr>
        <w:autoSpaceDE w:val="0"/>
        <w:autoSpaceDN w:val="0"/>
        <w:adjustRightInd w:val="0"/>
        <w:spacing w:before="120" w:line="276" w:lineRule="auto"/>
        <w:jc w:val="center"/>
        <w:rPr>
          <w:rFonts w:ascii="Book Antiqua" w:hAnsi="Book Antiqua" w:cs="Tahoma"/>
          <w:sz w:val="22"/>
          <w:szCs w:val="22"/>
        </w:rPr>
      </w:pPr>
      <w:r>
        <w:rPr>
          <w:noProof/>
        </w:rPr>
        <w:drawing>
          <wp:inline distT="0" distB="0" distL="0" distR="0">
            <wp:extent cx="4572000" cy="2743200"/>
            <wp:effectExtent l="19050" t="0" r="1905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C124C2" w:rsidRPr="00E23B0D" w:rsidRDefault="00C124C2" w:rsidP="00FA6E0D">
      <w:pPr>
        <w:autoSpaceDE w:val="0"/>
        <w:autoSpaceDN w:val="0"/>
        <w:adjustRightInd w:val="0"/>
        <w:spacing w:before="360" w:line="276" w:lineRule="auto"/>
        <w:jc w:val="both"/>
        <w:rPr>
          <w:rFonts w:ascii="Book Antiqua" w:hAnsi="Book Antiqua" w:cs="Tahoma"/>
          <w:sz w:val="22"/>
          <w:szCs w:val="22"/>
        </w:rPr>
      </w:pPr>
      <w:r w:rsidRPr="00E23B0D">
        <w:rPr>
          <w:rFonts w:ascii="Book Antiqua" w:hAnsi="Book Antiqua" w:cs="Tahoma"/>
          <w:sz w:val="22"/>
          <w:szCs w:val="22"/>
        </w:rPr>
        <w:t xml:space="preserve">Une analyse selon le genre fait observer une tendance à l’utilisation du chéquier plus élevée chez les hommes (70,3%) que chez les femmes (64,2%). </w:t>
      </w:r>
    </w:p>
    <w:p w:rsidR="00C124C2" w:rsidRDefault="00C124C2" w:rsidP="00D4489E">
      <w:pPr>
        <w:spacing w:line="276" w:lineRule="auto"/>
        <w:rPr>
          <w:rFonts w:ascii="Book Antiqua" w:hAnsi="Book Antiqua"/>
          <w:b/>
          <w:sz w:val="16"/>
          <w:szCs w:val="16"/>
        </w:rPr>
      </w:pPr>
    </w:p>
    <w:p w:rsidR="0041779C" w:rsidRPr="0041779C" w:rsidRDefault="0041779C" w:rsidP="00D4489E">
      <w:pPr>
        <w:pStyle w:val="Lgende"/>
        <w:keepNext/>
        <w:spacing w:line="276" w:lineRule="auto"/>
        <w:jc w:val="center"/>
        <w:rPr>
          <w:color w:val="auto"/>
        </w:rPr>
      </w:pPr>
      <w:bookmarkStart w:id="279" w:name="_Toc523313848"/>
      <w:r w:rsidRPr="0041779C">
        <w:rPr>
          <w:color w:val="auto"/>
        </w:rPr>
        <w:t xml:space="preserve">Figure </w:t>
      </w:r>
      <w:r w:rsidR="000D65F2" w:rsidRPr="0041779C">
        <w:rPr>
          <w:color w:val="auto"/>
        </w:rPr>
        <w:fldChar w:fldCharType="begin"/>
      </w:r>
      <w:r w:rsidRPr="0041779C">
        <w:rPr>
          <w:color w:val="auto"/>
        </w:rPr>
        <w:instrText xml:space="preserve"> SEQ Figure \* ARABIC </w:instrText>
      </w:r>
      <w:r w:rsidR="000D65F2" w:rsidRPr="0041779C">
        <w:rPr>
          <w:color w:val="auto"/>
        </w:rPr>
        <w:fldChar w:fldCharType="separate"/>
      </w:r>
      <w:r w:rsidR="000F780F">
        <w:rPr>
          <w:noProof/>
          <w:color w:val="auto"/>
        </w:rPr>
        <w:t>165</w:t>
      </w:r>
      <w:r w:rsidR="000D65F2" w:rsidRPr="0041779C">
        <w:rPr>
          <w:color w:val="auto"/>
        </w:rPr>
        <w:fldChar w:fldCharType="end"/>
      </w:r>
      <w:r w:rsidRPr="0041779C">
        <w:rPr>
          <w:color w:val="auto"/>
        </w:rPr>
        <w:t xml:space="preserve"> : Taux d'utilisation du chéquier selon le genre</w:t>
      </w:r>
      <w:bookmarkEnd w:id="279"/>
    </w:p>
    <w:p w:rsidR="00C124C2" w:rsidRPr="00C4709C" w:rsidRDefault="00C124C2" w:rsidP="00D4489E">
      <w:pPr>
        <w:spacing w:line="276" w:lineRule="auto"/>
        <w:jc w:val="center"/>
      </w:pPr>
      <w:r w:rsidRPr="0094391D">
        <w:rPr>
          <w:noProof/>
        </w:rPr>
        <w:drawing>
          <wp:inline distT="0" distB="0" distL="0" distR="0">
            <wp:extent cx="5108934" cy="2671638"/>
            <wp:effectExtent l="19050" t="0" r="15516" b="0"/>
            <wp:docPr id="250"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BD4E52" w:rsidRDefault="00BD4E52" w:rsidP="00D4489E">
      <w:pPr>
        <w:autoSpaceDE w:val="0"/>
        <w:autoSpaceDN w:val="0"/>
        <w:adjustRightInd w:val="0"/>
        <w:spacing w:before="120" w:line="276" w:lineRule="auto"/>
        <w:jc w:val="both"/>
        <w:rPr>
          <w:rFonts w:ascii="Book Antiqua" w:hAnsi="Book Antiqua" w:cs="Tahoma"/>
          <w:sz w:val="22"/>
          <w:szCs w:val="22"/>
        </w:rPr>
      </w:pPr>
    </w:p>
    <w:p w:rsidR="00D90E4D" w:rsidRDefault="002C31C2"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lastRenderedPageBreak/>
        <w:t>Une corrélation semble être établie entre</w:t>
      </w:r>
      <w:r w:rsidR="00D90E4D">
        <w:rPr>
          <w:rFonts w:ascii="Book Antiqua" w:hAnsi="Book Antiqua" w:cs="Tahoma"/>
          <w:sz w:val="22"/>
          <w:szCs w:val="22"/>
        </w:rPr>
        <w:t xml:space="preserve"> la détention du chéquier et la</w:t>
      </w:r>
      <w:r w:rsidR="00C124C2" w:rsidRPr="00E23B0D">
        <w:rPr>
          <w:rFonts w:ascii="Book Antiqua" w:hAnsi="Book Antiqua" w:cs="Tahoma"/>
          <w:sz w:val="22"/>
          <w:szCs w:val="22"/>
        </w:rPr>
        <w:t xml:space="preserve"> nature de l’activité  exercée par les clients</w:t>
      </w:r>
      <w:r>
        <w:rPr>
          <w:rFonts w:ascii="Book Antiqua" w:hAnsi="Book Antiqua" w:cs="Tahoma"/>
          <w:sz w:val="22"/>
          <w:szCs w:val="22"/>
        </w:rPr>
        <w:t xml:space="preserve">. En effet, il est ressorti des statistiques de </w:t>
      </w:r>
      <w:r w:rsidR="00D90E4D">
        <w:rPr>
          <w:rFonts w:ascii="Book Antiqua" w:hAnsi="Book Antiqua" w:cs="Tahoma"/>
          <w:sz w:val="22"/>
          <w:szCs w:val="22"/>
        </w:rPr>
        <w:t>l’enquête</w:t>
      </w:r>
      <w:r>
        <w:rPr>
          <w:rFonts w:ascii="Book Antiqua" w:hAnsi="Book Antiqua" w:cs="Tahoma"/>
          <w:sz w:val="22"/>
          <w:szCs w:val="22"/>
        </w:rPr>
        <w:t xml:space="preserve"> un taux d’utilisation plus élevé chez les clients relevant du secteur moderne (</w:t>
      </w:r>
      <w:r w:rsidR="00C124C2" w:rsidRPr="00E23B0D">
        <w:rPr>
          <w:rFonts w:ascii="Book Antiqua" w:hAnsi="Book Antiqua" w:cs="Tahoma"/>
          <w:sz w:val="22"/>
          <w:szCs w:val="22"/>
        </w:rPr>
        <w:t>73,3%</w:t>
      </w:r>
      <w:r>
        <w:rPr>
          <w:rFonts w:ascii="Book Antiqua" w:hAnsi="Book Antiqua" w:cs="Tahoma"/>
          <w:sz w:val="22"/>
          <w:szCs w:val="22"/>
        </w:rPr>
        <w:t>) que chez ceux de l’informel (</w:t>
      </w:r>
      <w:r w:rsidR="00C124C2" w:rsidRPr="00E23B0D">
        <w:rPr>
          <w:rFonts w:ascii="Book Antiqua" w:hAnsi="Book Antiqua" w:cs="Tahoma"/>
          <w:sz w:val="22"/>
          <w:szCs w:val="22"/>
        </w:rPr>
        <w:t>43,9%</w:t>
      </w:r>
      <w:r>
        <w:rPr>
          <w:rFonts w:ascii="Book Antiqua" w:hAnsi="Book Antiqua" w:cs="Tahoma"/>
          <w:sz w:val="22"/>
          <w:szCs w:val="22"/>
        </w:rPr>
        <w:t>)</w:t>
      </w:r>
      <w:r w:rsidR="00C124C2" w:rsidRPr="00E23B0D">
        <w:rPr>
          <w:rFonts w:ascii="Book Antiqua" w:hAnsi="Book Antiqua" w:cs="Tahoma"/>
          <w:sz w:val="22"/>
          <w:szCs w:val="22"/>
        </w:rPr>
        <w:t xml:space="preserve">. </w:t>
      </w:r>
    </w:p>
    <w:p w:rsidR="0041779C" w:rsidRDefault="0041779C" w:rsidP="00D4489E">
      <w:pPr>
        <w:pStyle w:val="Lgende"/>
        <w:keepNext/>
        <w:spacing w:line="276" w:lineRule="auto"/>
        <w:jc w:val="center"/>
      </w:pPr>
    </w:p>
    <w:p w:rsidR="0041779C" w:rsidRPr="0041779C" w:rsidRDefault="0041779C" w:rsidP="00D4489E">
      <w:pPr>
        <w:pStyle w:val="Lgende"/>
        <w:keepNext/>
        <w:spacing w:line="276" w:lineRule="auto"/>
        <w:jc w:val="center"/>
        <w:rPr>
          <w:color w:val="auto"/>
        </w:rPr>
      </w:pPr>
      <w:bookmarkStart w:id="280" w:name="_Toc523313849"/>
      <w:r w:rsidRPr="0041779C">
        <w:rPr>
          <w:color w:val="auto"/>
        </w:rPr>
        <w:t xml:space="preserve">Figure </w:t>
      </w:r>
      <w:r w:rsidR="000D65F2" w:rsidRPr="0041779C">
        <w:rPr>
          <w:color w:val="auto"/>
        </w:rPr>
        <w:fldChar w:fldCharType="begin"/>
      </w:r>
      <w:r w:rsidRPr="0041779C">
        <w:rPr>
          <w:color w:val="auto"/>
        </w:rPr>
        <w:instrText xml:space="preserve"> SEQ Figure \* ARABIC </w:instrText>
      </w:r>
      <w:r w:rsidR="000D65F2" w:rsidRPr="0041779C">
        <w:rPr>
          <w:color w:val="auto"/>
        </w:rPr>
        <w:fldChar w:fldCharType="separate"/>
      </w:r>
      <w:r w:rsidR="000F780F">
        <w:rPr>
          <w:noProof/>
          <w:color w:val="auto"/>
        </w:rPr>
        <w:t>166</w:t>
      </w:r>
      <w:r w:rsidR="000D65F2" w:rsidRPr="0041779C">
        <w:rPr>
          <w:color w:val="auto"/>
        </w:rPr>
        <w:fldChar w:fldCharType="end"/>
      </w:r>
      <w:r w:rsidRPr="0041779C">
        <w:rPr>
          <w:color w:val="auto"/>
        </w:rPr>
        <w:t xml:space="preserve"> : Taux d'utilisation du chéquier selon la nature de l'activité</w:t>
      </w:r>
      <w:bookmarkEnd w:id="280"/>
    </w:p>
    <w:p w:rsidR="00C124C2" w:rsidRPr="00B4203C" w:rsidRDefault="00C124C2" w:rsidP="00D4489E">
      <w:pPr>
        <w:spacing w:line="276" w:lineRule="auto"/>
        <w:jc w:val="center"/>
      </w:pPr>
      <w:r w:rsidRPr="00315679">
        <w:rPr>
          <w:noProof/>
        </w:rPr>
        <w:drawing>
          <wp:inline distT="0" distB="0" distL="0" distR="0">
            <wp:extent cx="5538636" cy="2600076"/>
            <wp:effectExtent l="19050" t="0" r="23964" b="0"/>
            <wp:docPr id="34"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C124C2" w:rsidRDefault="00C124C2" w:rsidP="00D4489E">
      <w:pPr>
        <w:spacing w:line="276" w:lineRule="auto"/>
        <w:contextualSpacing/>
        <w:rPr>
          <w:rFonts w:ascii="Book Antiqua" w:hAnsi="Book Antiqua"/>
        </w:rPr>
      </w:pPr>
    </w:p>
    <w:p w:rsidR="0041779C"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t xml:space="preserve">Une analyse croisée des statistiques montre que la fréquence </w:t>
      </w:r>
      <w:r w:rsidR="009D2170">
        <w:rPr>
          <w:rFonts w:ascii="Book Antiqua" w:hAnsi="Book Antiqua" w:cs="Tahoma"/>
          <w:sz w:val="22"/>
          <w:szCs w:val="22"/>
        </w:rPr>
        <w:t>d</w:t>
      </w:r>
      <w:r w:rsidR="004C2D4D">
        <w:rPr>
          <w:rFonts w:ascii="Book Antiqua" w:hAnsi="Book Antiqua" w:cs="Tahoma"/>
          <w:sz w:val="22"/>
          <w:szCs w:val="22"/>
        </w:rPr>
        <w:t>e détention</w:t>
      </w:r>
      <w:r w:rsidR="00D90E4D">
        <w:rPr>
          <w:rFonts w:ascii="Book Antiqua" w:hAnsi="Book Antiqua" w:cs="Tahoma"/>
          <w:sz w:val="22"/>
          <w:szCs w:val="22"/>
        </w:rPr>
        <w:t xml:space="preserve"> </w:t>
      </w:r>
      <w:r w:rsidRPr="00E23B0D">
        <w:rPr>
          <w:rFonts w:ascii="Book Antiqua" w:hAnsi="Book Antiqua" w:cs="Tahoma"/>
          <w:sz w:val="22"/>
          <w:szCs w:val="22"/>
        </w:rPr>
        <w:t>du chéquier croit avec l</w:t>
      </w:r>
      <w:r w:rsidR="009D2170">
        <w:rPr>
          <w:rFonts w:ascii="Book Antiqua" w:hAnsi="Book Antiqua" w:cs="Tahoma"/>
          <w:sz w:val="22"/>
          <w:szCs w:val="22"/>
        </w:rPr>
        <w:t>a tranche d’</w:t>
      </w:r>
      <w:r w:rsidRPr="00E23B0D">
        <w:rPr>
          <w:rFonts w:ascii="Book Antiqua" w:hAnsi="Book Antiqua" w:cs="Tahoma"/>
          <w:sz w:val="22"/>
          <w:szCs w:val="22"/>
        </w:rPr>
        <w:t xml:space="preserve">’âge, </w:t>
      </w:r>
      <w:r w:rsidR="009D2170">
        <w:rPr>
          <w:rFonts w:ascii="Book Antiqua" w:hAnsi="Book Antiqua" w:cs="Tahoma"/>
          <w:sz w:val="22"/>
          <w:szCs w:val="22"/>
        </w:rPr>
        <w:t>en dehors de</w:t>
      </w:r>
      <w:r w:rsidRPr="00E23B0D">
        <w:rPr>
          <w:rFonts w:ascii="Book Antiqua" w:hAnsi="Book Antiqua" w:cs="Tahoma"/>
          <w:sz w:val="22"/>
          <w:szCs w:val="22"/>
        </w:rPr>
        <w:t xml:space="preserve"> la classe  des [55-64ans]  où il est noté un taux de 76,1%. En effet, pour  les  [18-24ans], [25-34ans], [35-44ans], [45-54ans] et [65ans et plus], il est observé des proportions respectives de 29,8%, 59,1%, 75,3%, 80,0% et 80,0%. </w:t>
      </w:r>
    </w:p>
    <w:p w:rsidR="0041779C" w:rsidRPr="0041779C" w:rsidRDefault="0041779C" w:rsidP="00D4489E">
      <w:pPr>
        <w:autoSpaceDE w:val="0"/>
        <w:autoSpaceDN w:val="0"/>
        <w:adjustRightInd w:val="0"/>
        <w:spacing w:before="120" w:line="276" w:lineRule="auto"/>
        <w:jc w:val="both"/>
        <w:rPr>
          <w:rFonts w:ascii="Book Antiqua" w:hAnsi="Book Antiqua" w:cs="Tahoma"/>
          <w:sz w:val="22"/>
          <w:szCs w:val="22"/>
        </w:rPr>
      </w:pPr>
    </w:p>
    <w:p w:rsidR="0041779C" w:rsidRPr="0041779C" w:rsidRDefault="0041779C" w:rsidP="00D4489E">
      <w:pPr>
        <w:pStyle w:val="Lgende"/>
        <w:keepNext/>
        <w:spacing w:line="276" w:lineRule="auto"/>
        <w:jc w:val="center"/>
        <w:rPr>
          <w:color w:val="auto"/>
        </w:rPr>
      </w:pPr>
      <w:bookmarkStart w:id="281" w:name="_Toc523313850"/>
      <w:r w:rsidRPr="0041779C">
        <w:rPr>
          <w:color w:val="auto"/>
        </w:rPr>
        <w:t xml:space="preserve">Figure </w:t>
      </w:r>
      <w:r w:rsidR="000D65F2" w:rsidRPr="0041779C">
        <w:rPr>
          <w:color w:val="auto"/>
        </w:rPr>
        <w:fldChar w:fldCharType="begin"/>
      </w:r>
      <w:r w:rsidRPr="0041779C">
        <w:rPr>
          <w:color w:val="auto"/>
        </w:rPr>
        <w:instrText xml:space="preserve"> SEQ Figure \* ARABIC </w:instrText>
      </w:r>
      <w:r w:rsidR="000D65F2" w:rsidRPr="0041779C">
        <w:rPr>
          <w:color w:val="auto"/>
        </w:rPr>
        <w:fldChar w:fldCharType="separate"/>
      </w:r>
      <w:r w:rsidR="000F780F">
        <w:rPr>
          <w:noProof/>
          <w:color w:val="auto"/>
        </w:rPr>
        <w:t>167</w:t>
      </w:r>
      <w:r w:rsidR="000D65F2" w:rsidRPr="0041779C">
        <w:rPr>
          <w:color w:val="auto"/>
        </w:rPr>
        <w:fldChar w:fldCharType="end"/>
      </w:r>
      <w:r w:rsidRPr="0041779C">
        <w:rPr>
          <w:color w:val="auto"/>
        </w:rPr>
        <w:t xml:space="preserve"> : Taux d'utilisation du chéquier selon la tranche d'âge</w:t>
      </w:r>
      <w:bookmarkEnd w:id="281"/>
    </w:p>
    <w:p w:rsidR="00C124C2" w:rsidRPr="00C4709C" w:rsidRDefault="00C124C2" w:rsidP="00D4489E">
      <w:pPr>
        <w:spacing w:line="276" w:lineRule="auto"/>
        <w:jc w:val="center"/>
      </w:pPr>
      <w:r w:rsidRPr="00322245">
        <w:rPr>
          <w:noProof/>
        </w:rPr>
        <w:drawing>
          <wp:inline distT="0" distB="0" distL="0" distR="0">
            <wp:extent cx="5098799" cy="2506687"/>
            <wp:effectExtent l="19050" t="0" r="25651" b="7913"/>
            <wp:docPr id="251"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C124C2" w:rsidRDefault="00C124C2" w:rsidP="00D4489E">
      <w:pPr>
        <w:spacing w:line="276" w:lineRule="auto"/>
        <w:rPr>
          <w:rFonts w:ascii="Book Antiqua" w:hAnsi="Book Antiqua"/>
        </w:rPr>
      </w:pPr>
    </w:p>
    <w:p w:rsidR="0041779C" w:rsidRDefault="0041779C" w:rsidP="00D4489E">
      <w:pPr>
        <w:spacing w:after="200" w:line="276" w:lineRule="auto"/>
        <w:rPr>
          <w:rFonts w:ascii="Book Antiqua" w:hAnsi="Book Antiqua" w:cs="Tahoma"/>
          <w:sz w:val="22"/>
          <w:szCs w:val="22"/>
        </w:rPr>
      </w:pPr>
      <w:r>
        <w:rPr>
          <w:rFonts w:ascii="Book Antiqua" w:hAnsi="Book Antiqua" w:cs="Tahoma"/>
          <w:sz w:val="22"/>
          <w:szCs w:val="22"/>
        </w:rPr>
        <w:br w:type="page"/>
      </w:r>
    </w:p>
    <w:p w:rsidR="00922E08"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lastRenderedPageBreak/>
        <w:t>Concernant l</w:t>
      </w:r>
      <w:r w:rsidR="004C2D4D">
        <w:rPr>
          <w:rFonts w:ascii="Book Antiqua" w:hAnsi="Book Antiqua" w:cs="Tahoma"/>
          <w:sz w:val="22"/>
          <w:szCs w:val="22"/>
        </w:rPr>
        <w:t xml:space="preserve">e </w:t>
      </w:r>
      <w:r w:rsidRPr="00E23B0D">
        <w:rPr>
          <w:rFonts w:ascii="Book Antiqua" w:hAnsi="Book Antiqua" w:cs="Tahoma"/>
          <w:sz w:val="22"/>
          <w:szCs w:val="22"/>
        </w:rPr>
        <w:t xml:space="preserve">délai de traitement du renouvellement du chéquier, il </w:t>
      </w:r>
      <w:r w:rsidR="004C2D4D">
        <w:rPr>
          <w:rFonts w:ascii="Book Antiqua" w:hAnsi="Book Antiqua" w:cs="Tahoma"/>
          <w:sz w:val="22"/>
          <w:szCs w:val="22"/>
        </w:rPr>
        <w:t xml:space="preserve">ressort </w:t>
      </w:r>
      <w:r w:rsidR="00616F0D">
        <w:rPr>
          <w:rFonts w:ascii="Book Antiqua" w:hAnsi="Book Antiqua" w:cs="Tahoma"/>
          <w:sz w:val="22"/>
          <w:szCs w:val="22"/>
        </w:rPr>
        <w:t>que l</w:t>
      </w:r>
      <w:r w:rsidR="004C2D4D">
        <w:rPr>
          <w:rFonts w:ascii="Book Antiqua" w:hAnsi="Book Antiqua" w:cs="Tahoma"/>
          <w:sz w:val="22"/>
          <w:szCs w:val="22"/>
        </w:rPr>
        <w:t xml:space="preserve">es niveaux </w:t>
      </w:r>
      <w:r w:rsidRPr="00E23B0D">
        <w:rPr>
          <w:rFonts w:ascii="Book Antiqua" w:hAnsi="Book Antiqua" w:cs="Tahoma"/>
          <w:sz w:val="22"/>
          <w:szCs w:val="22"/>
        </w:rPr>
        <w:t xml:space="preserve">d’insatisfaction les plus élevés </w:t>
      </w:r>
      <w:r w:rsidR="00616F0D">
        <w:rPr>
          <w:rFonts w:ascii="Book Antiqua" w:hAnsi="Book Antiqua" w:cs="Tahoma"/>
          <w:sz w:val="22"/>
          <w:szCs w:val="22"/>
        </w:rPr>
        <w:t xml:space="preserve">sont observés </w:t>
      </w:r>
      <w:r w:rsidRPr="00E23B0D">
        <w:rPr>
          <w:rFonts w:ascii="Book Antiqua" w:hAnsi="Book Antiqua" w:cs="Tahoma"/>
          <w:sz w:val="22"/>
          <w:szCs w:val="22"/>
        </w:rPr>
        <w:t xml:space="preserve">chez les clients </w:t>
      </w:r>
      <w:r w:rsidR="004C2D4D">
        <w:rPr>
          <w:rFonts w:ascii="Book Antiqua" w:hAnsi="Book Antiqua" w:cs="Tahoma"/>
          <w:sz w:val="22"/>
          <w:szCs w:val="22"/>
        </w:rPr>
        <w:t xml:space="preserve"> de</w:t>
      </w:r>
      <w:r w:rsidR="00D90E4D">
        <w:rPr>
          <w:rFonts w:ascii="Book Antiqua" w:hAnsi="Book Antiqua" w:cs="Tahoma"/>
          <w:sz w:val="22"/>
          <w:szCs w:val="22"/>
        </w:rPr>
        <w:t xml:space="preserve"> </w:t>
      </w:r>
      <w:proofErr w:type="spellStart"/>
      <w:r w:rsidR="00616F0D">
        <w:rPr>
          <w:rFonts w:ascii="Book Antiqua" w:hAnsi="Book Antiqua" w:cs="Tahoma"/>
          <w:sz w:val="22"/>
          <w:szCs w:val="22"/>
        </w:rPr>
        <w:t>Sédhiou</w:t>
      </w:r>
      <w:proofErr w:type="spellEnd"/>
      <w:r w:rsidR="00616F0D">
        <w:rPr>
          <w:rFonts w:ascii="Book Antiqua" w:hAnsi="Book Antiqua" w:cs="Tahoma"/>
          <w:sz w:val="22"/>
          <w:szCs w:val="22"/>
        </w:rPr>
        <w:t xml:space="preserve"> (32,5%), Diourbel (29,9%), </w:t>
      </w:r>
      <w:proofErr w:type="spellStart"/>
      <w:r w:rsidR="00616F0D">
        <w:rPr>
          <w:rFonts w:ascii="Book Antiqua" w:hAnsi="Book Antiqua" w:cs="Tahoma"/>
          <w:sz w:val="22"/>
          <w:szCs w:val="22"/>
        </w:rPr>
        <w:t>Fatick</w:t>
      </w:r>
      <w:proofErr w:type="spellEnd"/>
      <w:r w:rsidR="00616F0D">
        <w:rPr>
          <w:rFonts w:ascii="Book Antiqua" w:hAnsi="Book Antiqua" w:cs="Tahoma"/>
          <w:sz w:val="22"/>
          <w:szCs w:val="22"/>
        </w:rPr>
        <w:t xml:space="preserve"> (28,1%), Kédougou (26,9%), Ziguinchor (26,2%) et Tambacounda (25,4%). </w:t>
      </w:r>
    </w:p>
    <w:p w:rsidR="0041779C" w:rsidRPr="00F84795" w:rsidRDefault="0041779C" w:rsidP="00FA6E0D">
      <w:pPr>
        <w:pStyle w:val="Lgende"/>
        <w:keepNext/>
        <w:spacing w:before="240" w:line="276" w:lineRule="auto"/>
        <w:rPr>
          <w:color w:val="auto"/>
        </w:rPr>
      </w:pPr>
      <w:bookmarkStart w:id="282" w:name="_Toc523313851"/>
      <w:r w:rsidRPr="00F84795">
        <w:rPr>
          <w:color w:val="auto"/>
        </w:rPr>
        <w:t xml:space="preserve">Figure </w:t>
      </w:r>
      <w:r w:rsidR="000D65F2" w:rsidRPr="00F84795">
        <w:rPr>
          <w:color w:val="auto"/>
        </w:rPr>
        <w:fldChar w:fldCharType="begin"/>
      </w:r>
      <w:r w:rsidRPr="00F84795">
        <w:rPr>
          <w:color w:val="auto"/>
        </w:rPr>
        <w:instrText xml:space="preserve"> SEQ Figure \* ARABIC </w:instrText>
      </w:r>
      <w:r w:rsidR="000D65F2" w:rsidRPr="00F84795">
        <w:rPr>
          <w:color w:val="auto"/>
        </w:rPr>
        <w:fldChar w:fldCharType="separate"/>
      </w:r>
      <w:r w:rsidR="000F780F">
        <w:rPr>
          <w:noProof/>
          <w:color w:val="auto"/>
        </w:rPr>
        <w:t>168</w:t>
      </w:r>
      <w:r w:rsidR="000D65F2" w:rsidRPr="00F84795">
        <w:rPr>
          <w:color w:val="auto"/>
        </w:rPr>
        <w:fldChar w:fldCharType="end"/>
      </w:r>
      <w:r w:rsidRPr="00F84795">
        <w:rPr>
          <w:color w:val="auto"/>
        </w:rPr>
        <w:t xml:space="preserve"> : Appréciation des enquêtés selon les régions selon sur le délai de traitement du renouvellement du chéquier</w:t>
      </w:r>
      <w:bookmarkEnd w:id="282"/>
    </w:p>
    <w:p w:rsidR="00616F0D" w:rsidRDefault="00616F0D" w:rsidP="00D4489E">
      <w:pPr>
        <w:spacing w:line="276" w:lineRule="auto"/>
        <w:rPr>
          <w:rFonts w:ascii="Book Antiqua" w:hAnsi="Book Antiqua"/>
          <w:b/>
        </w:rPr>
      </w:pPr>
      <w:r>
        <w:rPr>
          <w:noProof/>
        </w:rPr>
        <w:drawing>
          <wp:inline distT="0" distB="0" distL="0" distR="0">
            <wp:extent cx="5974052" cy="3045349"/>
            <wp:effectExtent l="19050" t="0" r="26698" b="2651"/>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616F0D" w:rsidRDefault="00616F0D" w:rsidP="00D4489E">
      <w:pPr>
        <w:spacing w:line="276" w:lineRule="auto"/>
        <w:rPr>
          <w:rFonts w:ascii="Book Antiqua" w:hAnsi="Book Antiqua"/>
          <w:b/>
        </w:rPr>
      </w:pPr>
    </w:p>
    <w:p w:rsidR="00C124C2" w:rsidRPr="00FA6E0D" w:rsidRDefault="004E330F" w:rsidP="006818E2">
      <w:pPr>
        <w:spacing w:before="240" w:after="240" w:line="276" w:lineRule="auto"/>
        <w:ind w:firstLine="567"/>
        <w:outlineLvl w:val="2"/>
        <w:rPr>
          <w:rFonts w:ascii="Book Antiqua" w:hAnsi="Book Antiqua"/>
          <w:b/>
          <w:sz w:val="22"/>
          <w:szCs w:val="22"/>
        </w:rPr>
      </w:pPr>
      <w:bookmarkStart w:id="283" w:name="_Toc523322101"/>
      <w:r w:rsidRPr="00FA6E0D">
        <w:rPr>
          <w:rFonts w:ascii="Book Antiqua" w:hAnsi="Book Antiqua"/>
          <w:b/>
          <w:sz w:val="22"/>
          <w:szCs w:val="22"/>
        </w:rPr>
        <w:t>II.5</w:t>
      </w:r>
      <w:r w:rsidR="00C124C2" w:rsidRPr="00FA6E0D">
        <w:rPr>
          <w:rFonts w:ascii="Book Antiqua" w:hAnsi="Book Antiqua"/>
          <w:b/>
          <w:sz w:val="22"/>
          <w:szCs w:val="22"/>
        </w:rPr>
        <w:t>.4. Appréciation sur les dates de valeur</w:t>
      </w:r>
      <w:bookmarkEnd w:id="283"/>
    </w:p>
    <w:p w:rsidR="00A60BEE" w:rsidRDefault="00C124C2" w:rsidP="00FA6E0D">
      <w:pPr>
        <w:autoSpaceDE w:val="0"/>
        <w:autoSpaceDN w:val="0"/>
        <w:adjustRightInd w:val="0"/>
        <w:spacing w:before="240" w:after="240" w:line="276" w:lineRule="auto"/>
        <w:jc w:val="both"/>
        <w:rPr>
          <w:rFonts w:ascii="Book Antiqua" w:hAnsi="Book Antiqua" w:cs="Tahoma"/>
          <w:sz w:val="22"/>
          <w:szCs w:val="22"/>
        </w:rPr>
      </w:pPr>
      <w:r w:rsidRPr="00E23B0D">
        <w:rPr>
          <w:rFonts w:ascii="Book Antiqua" w:hAnsi="Book Antiqua" w:cs="Tahoma"/>
          <w:sz w:val="22"/>
          <w:szCs w:val="22"/>
        </w:rPr>
        <w:t xml:space="preserve">Les avis des clients </w:t>
      </w:r>
      <w:r w:rsidR="00D90E4D">
        <w:rPr>
          <w:rFonts w:ascii="Book Antiqua" w:hAnsi="Book Antiqua" w:cs="Tahoma"/>
          <w:sz w:val="22"/>
          <w:szCs w:val="22"/>
        </w:rPr>
        <w:t>« </w:t>
      </w:r>
      <w:r w:rsidR="00F21E4E">
        <w:rPr>
          <w:rFonts w:ascii="Book Antiqua" w:hAnsi="Book Antiqua" w:cs="Tahoma"/>
          <w:sz w:val="22"/>
          <w:szCs w:val="22"/>
        </w:rPr>
        <w:t>personnes physiques</w:t>
      </w:r>
      <w:r w:rsidR="00D90E4D">
        <w:rPr>
          <w:rFonts w:ascii="Book Antiqua" w:hAnsi="Book Antiqua" w:cs="Tahoma"/>
          <w:sz w:val="22"/>
          <w:szCs w:val="22"/>
        </w:rPr>
        <w:t> »</w:t>
      </w:r>
      <w:r w:rsidR="00F21E4E">
        <w:rPr>
          <w:rFonts w:ascii="Book Antiqua" w:hAnsi="Book Antiqua" w:cs="Tahoma"/>
          <w:sz w:val="22"/>
          <w:szCs w:val="22"/>
        </w:rPr>
        <w:t xml:space="preserve"> </w:t>
      </w:r>
      <w:r w:rsidRPr="00E23B0D">
        <w:rPr>
          <w:rFonts w:ascii="Book Antiqua" w:hAnsi="Book Antiqua" w:cs="Tahoma"/>
          <w:sz w:val="22"/>
          <w:szCs w:val="22"/>
        </w:rPr>
        <w:t>ont également porté sur les dates de débit ou de crédit réellement pris</w:t>
      </w:r>
      <w:r w:rsidR="00CE5206">
        <w:rPr>
          <w:rFonts w:ascii="Book Antiqua" w:hAnsi="Book Antiqua" w:cs="Tahoma"/>
          <w:sz w:val="22"/>
          <w:szCs w:val="22"/>
        </w:rPr>
        <w:t>es</w:t>
      </w:r>
      <w:r w:rsidRPr="00E23B0D">
        <w:rPr>
          <w:rFonts w:ascii="Book Antiqua" w:hAnsi="Book Antiqua" w:cs="Tahoma"/>
          <w:sz w:val="22"/>
          <w:szCs w:val="22"/>
        </w:rPr>
        <w:t xml:space="preserve"> en compte par leur banque principale pour le calcul d</w:t>
      </w:r>
      <w:r w:rsidR="00D90E4D">
        <w:rPr>
          <w:rFonts w:ascii="Book Antiqua" w:hAnsi="Book Antiqua" w:cs="Tahoma"/>
          <w:sz w:val="22"/>
          <w:szCs w:val="22"/>
        </w:rPr>
        <w:t>es intérêts</w:t>
      </w:r>
      <w:r w:rsidRPr="00E23B0D">
        <w:rPr>
          <w:rFonts w:ascii="Book Antiqua" w:hAnsi="Book Antiqua" w:cs="Tahoma"/>
          <w:sz w:val="22"/>
          <w:szCs w:val="22"/>
        </w:rPr>
        <w:t xml:space="preserve"> débiteurs ou créditeurs. </w:t>
      </w:r>
    </w:p>
    <w:p w:rsidR="009C248A" w:rsidRDefault="00C124C2" w:rsidP="00FA6E0D">
      <w:pPr>
        <w:autoSpaceDE w:val="0"/>
        <w:autoSpaceDN w:val="0"/>
        <w:adjustRightInd w:val="0"/>
        <w:spacing w:before="240" w:after="240" w:line="276" w:lineRule="auto"/>
        <w:jc w:val="both"/>
        <w:rPr>
          <w:rFonts w:ascii="Book Antiqua" w:hAnsi="Book Antiqua" w:cs="Tahoma"/>
          <w:sz w:val="22"/>
          <w:szCs w:val="22"/>
        </w:rPr>
      </w:pPr>
      <w:r w:rsidRPr="00E23B0D">
        <w:rPr>
          <w:rFonts w:ascii="Book Antiqua" w:hAnsi="Book Antiqua" w:cs="Tahoma"/>
          <w:sz w:val="22"/>
          <w:szCs w:val="22"/>
        </w:rPr>
        <w:t>Les résultats de l’enquête montrent une appréciation globalement satisfaisante sur les dates de valeurs avec un</w:t>
      </w:r>
      <w:r w:rsidR="00121987">
        <w:rPr>
          <w:rFonts w:ascii="Book Antiqua" w:hAnsi="Book Antiqua" w:cs="Tahoma"/>
          <w:sz w:val="22"/>
          <w:szCs w:val="22"/>
        </w:rPr>
        <w:t xml:space="preserve">e proportion de </w:t>
      </w:r>
      <w:r w:rsidRPr="00E23B0D">
        <w:rPr>
          <w:rFonts w:ascii="Book Antiqua" w:hAnsi="Book Antiqua" w:cs="Tahoma"/>
          <w:sz w:val="22"/>
          <w:szCs w:val="22"/>
        </w:rPr>
        <w:t>57,</w:t>
      </w:r>
      <w:r w:rsidR="00121987">
        <w:rPr>
          <w:rFonts w:ascii="Book Antiqua" w:hAnsi="Book Antiqua" w:cs="Tahoma"/>
          <w:sz w:val="22"/>
          <w:szCs w:val="22"/>
        </w:rPr>
        <w:t>7</w:t>
      </w:r>
      <w:r w:rsidRPr="00E23B0D">
        <w:rPr>
          <w:rFonts w:ascii="Book Antiqua" w:hAnsi="Book Antiqua" w:cs="Tahoma"/>
          <w:sz w:val="22"/>
          <w:szCs w:val="22"/>
        </w:rPr>
        <w:t xml:space="preserve">% </w:t>
      </w:r>
      <w:r w:rsidR="004D654F" w:rsidRPr="00E23B0D">
        <w:rPr>
          <w:rFonts w:ascii="Book Antiqua" w:hAnsi="Book Antiqua" w:cs="Tahoma"/>
          <w:sz w:val="22"/>
          <w:szCs w:val="22"/>
        </w:rPr>
        <w:t>d</w:t>
      </w:r>
      <w:r w:rsidR="004D654F">
        <w:rPr>
          <w:rFonts w:ascii="Book Antiqua" w:hAnsi="Book Antiqua" w:cs="Tahoma"/>
          <w:sz w:val="22"/>
          <w:szCs w:val="22"/>
        </w:rPr>
        <w:t>’</w:t>
      </w:r>
      <w:r w:rsidR="004D654F" w:rsidRPr="00E23B0D">
        <w:rPr>
          <w:rFonts w:ascii="Book Antiqua" w:hAnsi="Book Antiqua" w:cs="Tahoma"/>
          <w:sz w:val="22"/>
          <w:szCs w:val="22"/>
        </w:rPr>
        <w:t>opinions</w:t>
      </w:r>
      <w:r w:rsidR="00121987">
        <w:rPr>
          <w:rFonts w:ascii="Book Antiqua" w:hAnsi="Book Antiqua" w:cs="Tahoma"/>
          <w:sz w:val="22"/>
          <w:szCs w:val="22"/>
        </w:rPr>
        <w:t xml:space="preserve"> favorables</w:t>
      </w:r>
      <w:r w:rsidR="009C248A">
        <w:rPr>
          <w:rFonts w:ascii="Book Antiqua" w:hAnsi="Book Antiqua" w:cs="Tahoma"/>
          <w:sz w:val="22"/>
          <w:szCs w:val="22"/>
        </w:rPr>
        <w:t xml:space="preserve">. </w:t>
      </w:r>
    </w:p>
    <w:p w:rsidR="00943977" w:rsidRPr="00943977" w:rsidRDefault="00943977" w:rsidP="00D4489E">
      <w:pPr>
        <w:pStyle w:val="Lgende"/>
        <w:keepNext/>
        <w:spacing w:line="276" w:lineRule="auto"/>
        <w:jc w:val="center"/>
        <w:rPr>
          <w:color w:val="auto"/>
        </w:rPr>
      </w:pPr>
      <w:bookmarkStart w:id="284" w:name="_Toc523313852"/>
      <w:r w:rsidRPr="00943977">
        <w:rPr>
          <w:color w:val="auto"/>
        </w:rPr>
        <w:t xml:space="preserve">Figure </w:t>
      </w:r>
      <w:r w:rsidR="000D65F2" w:rsidRPr="00943977">
        <w:rPr>
          <w:color w:val="auto"/>
        </w:rPr>
        <w:fldChar w:fldCharType="begin"/>
      </w:r>
      <w:r w:rsidRPr="00943977">
        <w:rPr>
          <w:color w:val="auto"/>
        </w:rPr>
        <w:instrText xml:space="preserve"> SEQ Figure \* ARABIC </w:instrText>
      </w:r>
      <w:r w:rsidR="000D65F2" w:rsidRPr="00943977">
        <w:rPr>
          <w:color w:val="auto"/>
        </w:rPr>
        <w:fldChar w:fldCharType="separate"/>
      </w:r>
      <w:r w:rsidR="000F780F">
        <w:rPr>
          <w:noProof/>
          <w:color w:val="auto"/>
        </w:rPr>
        <w:t>169</w:t>
      </w:r>
      <w:r w:rsidR="000D65F2" w:rsidRPr="00943977">
        <w:rPr>
          <w:color w:val="auto"/>
        </w:rPr>
        <w:fldChar w:fldCharType="end"/>
      </w:r>
      <w:r w:rsidRPr="00943977">
        <w:rPr>
          <w:color w:val="auto"/>
        </w:rPr>
        <w:t xml:space="preserve"> : Appréciation des personnes enquêtées sur les dates de valeur</w:t>
      </w:r>
      <w:bookmarkEnd w:id="284"/>
    </w:p>
    <w:p w:rsidR="00F21E4E" w:rsidRDefault="00F21E4E" w:rsidP="00D4489E">
      <w:pPr>
        <w:autoSpaceDE w:val="0"/>
        <w:autoSpaceDN w:val="0"/>
        <w:adjustRightInd w:val="0"/>
        <w:spacing w:before="120" w:line="276" w:lineRule="auto"/>
        <w:jc w:val="center"/>
        <w:rPr>
          <w:rFonts w:ascii="Book Antiqua" w:hAnsi="Book Antiqua" w:cs="Tahoma"/>
          <w:sz w:val="22"/>
          <w:szCs w:val="22"/>
        </w:rPr>
      </w:pPr>
      <w:r>
        <w:rPr>
          <w:noProof/>
        </w:rPr>
        <w:drawing>
          <wp:inline distT="0" distB="0" distL="0" distR="0">
            <wp:extent cx="4574843" cy="2449773"/>
            <wp:effectExtent l="19050" t="0" r="16207" b="7677"/>
            <wp:docPr id="237" name="Graphique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FA6E0D" w:rsidRDefault="00FA6E0D" w:rsidP="00D4489E">
      <w:pPr>
        <w:spacing w:line="276" w:lineRule="auto"/>
        <w:outlineLvl w:val="1"/>
        <w:rPr>
          <w:rFonts w:ascii="Book Antiqua" w:hAnsi="Book Antiqua" w:cs="Tahoma"/>
          <w:sz w:val="22"/>
          <w:szCs w:val="22"/>
        </w:rPr>
      </w:pPr>
      <w:bookmarkStart w:id="285" w:name="_Toc523322102"/>
    </w:p>
    <w:p w:rsidR="00C124C2" w:rsidRPr="00575B92" w:rsidRDefault="00C124C2" w:rsidP="006818E2">
      <w:pPr>
        <w:spacing w:before="240" w:after="240" w:line="276" w:lineRule="auto"/>
        <w:ind w:firstLine="284"/>
        <w:outlineLvl w:val="1"/>
        <w:rPr>
          <w:rFonts w:ascii="Book Antiqua" w:hAnsi="Book Antiqua"/>
          <w:b/>
          <w:sz w:val="22"/>
          <w:szCs w:val="22"/>
        </w:rPr>
      </w:pPr>
      <w:r w:rsidRPr="00575B92">
        <w:rPr>
          <w:rFonts w:ascii="Book Antiqua" w:hAnsi="Book Antiqua"/>
          <w:b/>
          <w:sz w:val="22"/>
          <w:szCs w:val="22"/>
        </w:rPr>
        <w:lastRenderedPageBreak/>
        <w:t>I</w:t>
      </w:r>
      <w:r w:rsidR="004E330F" w:rsidRPr="00575B92">
        <w:rPr>
          <w:rFonts w:ascii="Book Antiqua" w:hAnsi="Book Antiqua"/>
          <w:b/>
          <w:sz w:val="22"/>
          <w:szCs w:val="22"/>
        </w:rPr>
        <w:t>I.6</w:t>
      </w:r>
      <w:r w:rsidRPr="00575B92">
        <w:rPr>
          <w:rFonts w:ascii="Book Antiqua" w:hAnsi="Book Antiqua"/>
          <w:b/>
          <w:sz w:val="22"/>
          <w:szCs w:val="22"/>
        </w:rPr>
        <w:t>. Satisfaction des clients sur les produits offerts par les banques</w:t>
      </w:r>
      <w:bookmarkEnd w:id="285"/>
    </w:p>
    <w:p w:rsidR="00C124C2"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t>La perception de la clientèle sur les produits offerts par leur banque principale est analysée sous l’angle</w:t>
      </w:r>
      <w:r w:rsidR="000924E2">
        <w:rPr>
          <w:rFonts w:ascii="Book Antiqua" w:hAnsi="Book Antiqua" w:cs="Tahoma"/>
          <w:sz w:val="22"/>
          <w:szCs w:val="22"/>
        </w:rPr>
        <w:t xml:space="preserve"> </w:t>
      </w:r>
      <w:r w:rsidRPr="00E23B0D">
        <w:rPr>
          <w:rFonts w:ascii="Book Antiqua" w:hAnsi="Book Antiqua" w:cs="Tahoma"/>
          <w:sz w:val="22"/>
          <w:szCs w:val="22"/>
        </w:rPr>
        <w:t xml:space="preserve">de l’adéquation entre les produits et les revenus des </w:t>
      </w:r>
      <w:r w:rsidR="009C248A">
        <w:rPr>
          <w:rFonts w:ascii="Book Antiqua" w:hAnsi="Book Antiqua" w:cs="Tahoma"/>
          <w:sz w:val="22"/>
          <w:szCs w:val="22"/>
        </w:rPr>
        <w:t>enquêtés</w:t>
      </w:r>
      <w:r w:rsidR="00A537FC">
        <w:rPr>
          <w:rFonts w:ascii="Book Antiqua" w:hAnsi="Book Antiqua" w:cs="Tahoma"/>
          <w:sz w:val="22"/>
          <w:szCs w:val="22"/>
        </w:rPr>
        <w:t>,</w:t>
      </w:r>
      <w:r w:rsidR="00A537FC" w:rsidRPr="00E23B0D">
        <w:rPr>
          <w:rFonts w:ascii="Book Antiqua" w:hAnsi="Book Antiqua" w:cs="Tahoma"/>
          <w:sz w:val="22"/>
          <w:szCs w:val="22"/>
        </w:rPr>
        <w:t xml:space="preserve"> d’une part, </w:t>
      </w:r>
      <w:r w:rsidRPr="00E23B0D">
        <w:rPr>
          <w:rFonts w:ascii="Book Antiqua" w:hAnsi="Book Antiqua" w:cs="Tahoma"/>
          <w:sz w:val="22"/>
          <w:szCs w:val="22"/>
        </w:rPr>
        <w:t>et entre ces produits et leurs besoins</w:t>
      </w:r>
      <w:r w:rsidR="00A537FC">
        <w:rPr>
          <w:rFonts w:ascii="Book Antiqua" w:hAnsi="Book Antiqua" w:cs="Tahoma"/>
          <w:sz w:val="22"/>
          <w:szCs w:val="22"/>
        </w:rPr>
        <w:t>,</w:t>
      </w:r>
      <w:r w:rsidRPr="00E23B0D">
        <w:rPr>
          <w:rFonts w:ascii="Book Antiqua" w:hAnsi="Book Antiqua" w:cs="Tahoma"/>
          <w:sz w:val="22"/>
          <w:szCs w:val="22"/>
        </w:rPr>
        <w:t xml:space="preserve"> d’autre part.</w:t>
      </w:r>
    </w:p>
    <w:p w:rsidR="00C124C2" w:rsidRPr="00575B92" w:rsidRDefault="004E330F" w:rsidP="006818E2">
      <w:pPr>
        <w:spacing w:before="240" w:after="240" w:line="276" w:lineRule="auto"/>
        <w:ind w:firstLine="567"/>
        <w:outlineLvl w:val="2"/>
        <w:rPr>
          <w:rFonts w:ascii="Book Antiqua" w:hAnsi="Book Antiqua"/>
          <w:b/>
          <w:sz w:val="22"/>
          <w:szCs w:val="22"/>
        </w:rPr>
      </w:pPr>
      <w:bookmarkStart w:id="286" w:name="_Toc523322103"/>
      <w:r w:rsidRPr="00575B92">
        <w:rPr>
          <w:rFonts w:ascii="Book Antiqua" w:hAnsi="Book Antiqua"/>
          <w:b/>
          <w:sz w:val="22"/>
          <w:szCs w:val="22"/>
        </w:rPr>
        <w:t>II.6</w:t>
      </w:r>
      <w:r w:rsidR="00C124C2" w:rsidRPr="00575B92">
        <w:rPr>
          <w:rFonts w:ascii="Book Antiqua" w:hAnsi="Book Antiqua"/>
          <w:b/>
          <w:sz w:val="22"/>
          <w:szCs w:val="22"/>
        </w:rPr>
        <w:t>.1. Adéquation entre produits bancaires et revenus des clients</w:t>
      </w:r>
      <w:bookmarkEnd w:id="286"/>
    </w:p>
    <w:p w:rsidR="009C248A"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t xml:space="preserve">La proportion des clients qui juge les produits des banques </w:t>
      </w:r>
      <w:r w:rsidR="00A537FC">
        <w:rPr>
          <w:rFonts w:ascii="Book Antiqua" w:hAnsi="Book Antiqua" w:cs="Tahoma"/>
          <w:sz w:val="22"/>
          <w:szCs w:val="22"/>
        </w:rPr>
        <w:t>« </w:t>
      </w:r>
      <w:r w:rsidRPr="00E23B0D">
        <w:rPr>
          <w:rFonts w:ascii="Book Antiqua" w:hAnsi="Book Antiqua" w:cs="Tahoma"/>
          <w:sz w:val="22"/>
          <w:szCs w:val="22"/>
        </w:rPr>
        <w:t>adaptés</w:t>
      </w:r>
      <w:r w:rsidR="00A537FC">
        <w:rPr>
          <w:rFonts w:ascii="Book Antiqua" w:hAnsi="Book Antiqua" w:cs="Tahoma"/>
          <w:sz w:val="22"/>
          <w:szCs w:val="22"/>
        </w:rPr>
        <w:t> »</w:t>
      </w:r>
      <w:r w:rsidR="002212C0">
        <w:rPr>
          <w:rFonts w:ascii="Book Antiqua" w:hAnsi="Book Antiqua" w:cs="Tahoma"/>
          <w:sz w:val="22"/>
          <w:szCs w:val="22"/>
        </w:rPr>
        <w:t xml:space="preserve">voire « très adaptés » </w:t>
      </w:r>
      <w:r w:rsidRPr="00E23B0D">
        <w:rPr>
          <w:rFonts w:ascii="Book Antiqua" w:hAnsi="Book Antiqua" w:cs="Tahoma"/>
          <w:sz w:val="22"/>
          <w:szCs w:val="22"/>
        </w:rPr>
        <w:t xml:space="preserve">à leurs revenus est de </w:t>
      </w:r>
      <w:r w:rsidR="002212C0">
        <w:rPr>
          <w:rFonts w:ascii="Book Antiqua" w:hAnsi="Book Antiqua" w:cs="Tahoma"/>
          <w:sz w:val="22"/>
          <w:szCs w:val="22"/>
        </w:rPr>
        <w:t>52,7</w:t>
      </w:r>
      <w:r w:rsidRPr="00E23B0D">
        <w:rPr>
          <w:rFonts w:ascii="Book Antiqua" w:hAnsi="Book Antiqua" w:cs="Tahoma"/>
          <w:sz w:val="22"/>
          <w:szCs w:val="22"/>
        </w:rPr>
        <w:t xml:space="preserve">% contre </w:t>
      </w:r>
      <w:r w:rsidR="00A537FC">
        <w:rPr>
          <w:rFonts w:ascii="Book Antiqua" w:hAnsi="Book Antiqua" w:cs="Tahoma"/>
          <w:sz w:val="22"/>
          <w:szCs w:val="22"/>
        </w:rPr>
        <w:t xml:space="preserve">un pourcentage de </w:t>
      </w:r>
      <w:r w:rsidR="002212C0">
        <w:rPr>
          <w:rFonts w:ascii="Book Antiqua" w:hAnsi="Book Antiqua" w:cs="Tahoma"/>
          <w:sz w:val="22"/>
          <w:szCs w:val="22"/>
        </w:rPr>
        <w:t>47,3</w:t>
      </w:r>
      <w:r w:rsidRPr="00E23B0D">
        <w:rPr>
          <w:rFonts w:ascii="Book Antiqua" w:hAnsi="Book Antiqua" w:cs="Tahoma"/>
          <w:sz w:val="22"/>
          <w:szCs w:val="22"/>
        </w:rPr>
        <w:t xml:space="preserve">% qui pense que ces produits sont </w:t>
      </w:r>
      <w:r w:rsidR="00A537FC">
        <w:rPr>
          <w:rFonts w:ascii="Book Antiqua" w:hAnsi="Book Antiqua" w:cs="Tahoma"/>
          <w:sz w:val="22"/>
          <w:szCs w:val="22"/>
        </w:rPr>
        <w:t>« </w:t>
      </w:r>
      <w:r w:rsidRPr="00E23B0D">
        <w:rPr>
          <w:rFonts w:ascii="Book Antiqua" w:hAnsi="Book Antiqua" w:cs="Tahoma"/>
          <w:sz w:val="22"/>
          <w:szCs w:val="22"/>
        </w:rPr>
        <w:t>inadaptés</w:t>
      </w:r>
      <w:r w:rsidR="00A537FC">
        <w:rPr>
          <w:rFonts w:ascii="Book Antiqua" w:hAnsi="Book Antiqua" w:cs="Tahoma"/>
          <w:sz w:val="22"/>
          <w:szCs w:val="22"/>
        </w:rPr>
        <w:t> »</w:t>
      </w:r>
      <w:r w:rsidR="002212C0">
        <w:rPr>
          <w:rFonts w:ascii="Book Antiqua" w:hAnsi="Book Antiqua" w:cs="Tahoma"/>
          <w:sz w:val="22"/>
          <w:szCs w:val="22"/>
        </w:rPr>
        <w:t xml:space="preserve"> voire « très inadaptés ».</w:t>
      </w:r>
      <w:r w:rsidRPr="00E23B0D">
        <w:rPr>
          <w:rFonts w:ascii="Book Antiqua" w:hAnsi="Book Antiqua" w:cs="Tahoma"/>
          <w:sz w:val="22"/>
          <w:szCs w:val="22"/>
        </w:rPr>
        <w:t xml:space="preserve">  </w:t>
      </w:r>
    </w:p>
    <w:p w:rsidR="00575B92" w:rsidRPr="00E23B0D" w:rsidRDefault="00575B92" w:rsidP="00D4489E">
      <w:pPr>
        <w:autoSpaceDE w:val="0"/>
        <w:autoSpaceDN w:val="0"/>
        <w:adjustRightInd w:val="0"/>
        <w:spacing w:before="120" w:line="276" w:lineRule="auto"/>
        <w:jc w:val="both"/>
        <w:rPr>
          <w:rFonts w:ascii="Book Antiqua" w:hAnsi="Book Antiqua" w:cs="Tahoma"/>
          <w:sz w:val="22"/>
          <w:szCs w:val="22"/>
        </w:rPr>
      </w:pPr>
    </w:p>
    <w:p w:rsidR="00943977" w:rsidRPr="00943977" w:rsidRDefault="00943977" w:rsidP="00D4489E">
      <w:pPr>
        <w:pStyle w:val="Lgende"/>
        <w:keepNext/>
        <w:spacing w:line="276" w:lineRule="auto"/>
        <w:jc w:val="center"/>
        <w:rPr>
          <w:color w:val="auto"/>
        </w:rPr>
      </w:pPr>
      <w:bookmarkStart w:id="287" w:name="_Toc523313853"/>
      <w:r w:rsidRPr="00943977">
        <w:rPr>
          <w:color w:val="auto"/>
        </w:rPr>
        <w:t xml:space="preserve">Figure </w:t>
      </w:r>
      <w:r w:rsidR="000D65F2" w:rsidRPr="00943977">
        <w:rPr>
          <w:color w:val="auto"/>
        </w:rPr>
        <w:fldChar w:fldCharType="begin"/>
      </w:r>
      <w:r w:rsidRPr="00943977">
        <w:rPr>
          <w:color w:val="auto"/>
        </w:rPr>
        <w:instrText xml:space="preserve"> SEQ Figure \* ARABIC </w:instrText>
      </w:r>
      <w:r w:rsidR="000D65F2" w:rsidRPr="00943977">
        <w:rPr>
          <w:color w:val="auto"/>
        </w:rPr>
        <w:fldChar w:fldCharType="separate"/>
      </w:r>
      <w:r w:rsidR="000F780F">
        <w:rPr>
          <w:noProof/>
          <w:color w:val="auto"/>
        </w:rPr>
        <w:t>170</w:t>
      </w:r>
      <w:r w:rsidR="000D65F2" w:rsidRPr="00943977">
        <w:rPr>
          <w:color w:val="auto"/>
        </w:rPr>
        <w:fldChar w:fldCharType="end"/>
      </w:r>
      <w:r w:rsidRPr="00943977">
        <w:rPr>
          <w:color w:val="auto"/>
        </w:rPr>
        <w:t xml:space="preserve"> : Appréciation sur l'adéquation entre produits bancaires et revenus des enquêtés</w:t>
      </w:r>
      <w:bookmarkEnd w:id="287"/>
    </w:p>
    <w:p w:rsidR="002212C0" w:rsidRDefault="002212C0" w:rsidP="00D4489E">
      <w:pPr>
        <w:spacing w:line="276" w:lineRule="auto"/>
        <w:jc w:val="center"/>
        <w:rPr>
          <w:rFonts w:ascii="Book Antiqua" w:hAnsi="Book Antiqua"/>
          <w:b/>
        </w:rPr>
      </w:pPr>
      <w:r>
        <w:rPr>
          <w:noProof/>
        </w:rPr>
        <w:drawing>
          <wp:inline distT="0" distB="0" distL="0" distR="0">
            <wp:extent cx="4574843" cy="2142698"/>
            <wp:effectExtent l="19050" t="0" r="16207" b="0"/>
            <wp:docPr id="330" name="Graphique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9C248A" w:rsidRDefault="009C248A" w:rsidP="00D4489E">
      <w:pPr>
        <w:autoSpaceDE w:val="0"/>
        <w:autoSpaceDN w:val="0"/>
        <w:adjustRightInd w:val="0"/>
        <w:spacing w:before="120" w:line="276" w:lineRule="auto"/>
        <w:jc w:val="both"/>
        <w:rPr>
          <w:rFonts w:ascii="Book Antiqua" w:hAnsi="Book Antiqua" w:cs="Tahoma"/>
          <w:sz w:val="22"/>
          <w:szCs w:val="22"/>
        </w:rPr>
      </w:pPr>
    </w:p>
    <w:p w:rsidR="00C124C2" w:rsidRPr="00E23B0D" w:rsidRDefault="002212C0" w:rsidP="00D4489E">
      <w:pPr>
        <w:autoSpaceDE w:val="0"/>
        <w:autoSpaceDN w:val="0"/>
        <w:adjustRightInd w:val="0"/>
        <w:spacing w:before="120" w:line="276" w:lineRule="auto"/>
        <w:jc w:val="both"/>
        <w:rPr>
          <w:rFonts w:ascii="Book Antiqua" w:hAnsi="Book Antiqua" w:cs="Tahoma"/>
          <w:sz w:val="22"/>
          <w:szCs w:val="22"/>
        </w:rPr>
      </w:pPr>
      <w:r>
        <w:rPr>
          <w:rFonts w:ascii="Book Antiqua" w:hAnsi="Book Antiqua" w:cs="Tahoma"/>
          <w:sz w:val="22"/>
          <w:szCs w:val="22"/>
        </w:rPr>
        <w:t xml:space="preserve">Il ressort </w:t>
      </w:r>
      <w:r w:rsidR="00806630">
        <w:rPr>
          <w:rFonts w:ascii="Book Antiqua" w:hAnsi="Book Antiqua" w:cs="Tahoma"/>
          <w:sz w:val="22"/>
          <w:szCs w:val="22"/>
        </w:rPr>
        <w:t xml:space="preserve">de l’exploitation des statistiques de l’ESUB 2015 que l’appréciation négative  </w:t>
      </w:r>
      <w:r w:rsidR="00C124C2" w:rsidRPr="00E23B0D">
        <w:rPr>
          <w:rFonts w:ascii="Book Antiqua" w:hAnsi="Book Antiqua" w:cs="Tahoma"/>
          <w:sz w:val="22"/>
          <w:szCs w:val="22"/>
        </w:rPr>
        <w:t xml:space="preserve"> des enquêtés sur l’adéquation entre les produits de la banque et leurs revenus </w:t>
      </w:r>
      <w:r w:rsidR="00806630">
        <w:rPr>
          <w:rFonts w:ascii="Book Antiqua" w:hAnsi="Book Antiqua" w:cs="Tahoma"/>
          <w:sz w:val="22"/>
          <w:szCs w:val="22"/>
        </w:rPr>
        <w:t xml:space="preserve">croît avec </w:t>
      </w:r>
      <w:r w:rsidR="00C124C2" w:rsidRPr="00E23B0D">
        <w:rPr>
          <w:rFonts w:ascii="Book Antiqua" w:hAnsi="Book Antiqua" w:cs="Tahoma"/>
          <w:sz w:val="22"/>
          <w:szCs w:val="22"/>
        </w:rPr>
        <w:t>l’âge</w:t>
      </w:r>
      <w:r w:rsidR="00806630">
        <w:rPr>
          <w:rFonts w:ascii="Book Antiqua" w:hAnsi="Book Antiqua" w:cs="Tahoma"/>
          <w:sz w:val="22"/>
          <w:szCs w:val="22"/>
        </w:rPr>
        <w:t>. En effet</w:t>
      </w:r>
      <w:r w:rsidR="009C248A">
        <w:rPr>
          <w:rFonts w:ascii="Book Antiqua" w:hAnsi="Book Antiqua" w:cs="Tahoma"/>
          <w:sz w:val="22"/>
          <w:szCs w:val="22"/>
        </w:rPr>
        <w:t>,</w:t>
      </w:r>
      <w:r w:rsidR="000924E2">
        <w:rPr>
          <w:rFonts w:ascii="Book Antiqua" w:hAnsi="Book Antiqua" w:cs="Tahoma"/>
          <w:sz w:val="22"/>
          <w:szCs w:val="22"/>
        </w:rPr>
        <w:t xml:space="preserve"> </w:t>
      </w:r>
      <w:r w:rsidR="00806630">
        <w:rPr>
          <w:rFonts w:ascii="Book Antiqua" w:hAnsi="Book Antiqua" w:cs="Tahoma"/>
          <w:sz w:val="22"/>
          <w:szCs w:val="22"/>
        </w:rPr>
        <w:t>des taux d’insatisfactions</w:t>
      </w:r>
      <w:r w:rsidR="00A436F9">
        <w:rPr>
          <w:rFonts w:ascii="Book Antiqua" w:hAnsi="Book Antiqua" w:cs="Tahoma"/>
          <w:sz w:val="22"/>
          <w:szCs w:val="22"/>
        </w:rPr>
        <w:t xml:space="preserve"> respectifs</w:t>
      </w:r>
      <w:r w:rsidR="00806630">
        <w:rPr>
          <w:rFonts w:ascii="Book Antiqua" w:hAnsi="Book Antiqua" w:cs="Tahoma"/>
          <w:sz w:val="22"/>
          <w:szCs w:val="22"/>
        </w:rPr>
        <w:t xml:space="preserve"> de 41,1%, 43,5%, 49,1%, 51,0% et 52,9% sont observés pour les tranches d’âge de </w:t>
      </w:r>
      <w:r w:rsidR="00C124C2" w:rsidRPr="00E23B0D">
        <w:rPr>
          <w:rFonts w:ascii="Book Antiqua" w:hAnsi="Book Antiqua" w:cs="Tahoma"/>
          <w:sz w:val="22"/>
          <w:szCs w:val="22"/>
        </w:rPr>
        <w:t>[18-24ans], [25-34ans], [35-44ans], [45-54ans] et [65ans et plus]</w:t>
      </w:r>
      <w:r w:rsidR="00806630">
        <w:rPr>
          <w:rFonts w:ascii="Book Antiqua" w:hAnsi="Book Antiqua" w:cs="Tahoma"/>
          <w:sz w:val="22"/>
          <w:szCs w:val="22"/>
        </w:rPr>
        <w:t> ;</w:t>
      </w:r>
      <w:r w:rsidR="009C248A">
        <w:rPr>
          <w:rFonts w:ascii="Book Antiqua" w:hAnsi="Book Antiqua" w:cs="Tahoma"/>
          <w:sz w:val="22"/>
          <w:szCs w:val="22"/>
        </w:rPr>
        <w:t xml:space="preserve"> </w:t>
      </w:r>
      <w:r w:rsidR="00806630">
        <w:rPr>
          <w:rFonts w:ascii="Book Antiqua" w:hAnsi="Book Antiqua" w:cs="Tahoma"/>
          <w:sz w:val="22"/>
          <w:szCs w:val="22"/>
        </w:rPr>
        <w:t xml:space="preserve">la tranche d’âge des [55-64ans] affiche </w:t>
      </w:r>
      <w:r w:rsidR="00A436F9">
        <w:rPr>
          <w:rFonts w:ascii="Book Antiqua" w:hAnsi="Book Antiqua" w:cs="Tahoma"/>
          <w:sz w:val="22"/>
          <w:szCs w:val="22"/>
        </w:rPr>
        <w:t xml:space="preserve">cependant </w:t>
      </w:r>
      <w:r w:rsidR="00806630">
        <w:rPr>
          <w:rFonts w:ascii="Book Antiqua" w:hAnsi="Book Antiqua" w:cs="Tahoma"/>
          <w:sz w:val="22"/>
          <w:szCs w:val="22"/>
        </w:rPr>
        <w:t>un taux d’insatisfaction de 48,4%.</w:t>
      </w:r>
    </w:p>
    <w:p w:rsidR="00C124C2" w:rsidRDefault="00C124C2" w:rsidP="00D4489E">
      <w:pPr>
        <w:spacing w:line="276" w:lineRule="auto"/>
        <w:rPr>
          <w:rFonts w:ascii="Book Antiqua" w:hAnsi="Book Antiqua"/>
          <w:b/>
          <w:sz w:val="16"/>
          <w:szCs w:val="16"/>
        </w:rPr>
      </w:pPr>
    </w:p>
    <w:p w:rsidR="00943977" w:rsidRPr="00943977" w:rsidRDefault="00943977" w:rsidP="00D4489E">
      <w:pPr>
        <w:pStyle w:val="Lgende"/>
        <w:keepNext/>
        <w:spacing w:line="276" w:lineRule="auto"/>
        <w:jc w:val="center"/>
        <w:rPr>
          <w:color w:val="auto"/>
        </w:rPr>
      </w:pPr>
      <w:bookmarkStart w:id="288" w:name="_Toc523313854"/>
      <w:r w:rsidRPr="00943977">
        <w:rPr>
          <w:color w:val="auto"/>
        </w:rPr>
        <w:t xml:space="preserve">Figure </w:t>
      </w:r>
      <w:r w:rsidR="000D65F2" w:rsidRPr="00943977">
        <w:rPr>
          <w:color w:val="auto"/>
        </w:rPr>
        <w:fldChar w:fldCharType="begin"/>
      </w:r>
      <w:r w:rsidRPr="00943977">
        <w:rPr>
          <w:color w:val="auto"/>
        </w:rPr>
        <w:instrText xml:space="preserve"> SEQ Figure \* ARABIC </w:instrText>
      </w:r>
      <w:r w:rsidR="000D65F2" w:rsidRPr="00943977">
        <w:rPr>
          <w:color w:val="auto"/>
        </w:rPr>
        <w:fldChar w:fldCharType="separate"/>
      </w:r>
      <w:r w:rsidR="000F780F">
        <w:rPr>
          <w:noProof/>
          <w:color w:val="auto"/>
        </w:rPr>
        <w:t>171</w:t>
      </w:r>
      <w:r w:rsidR="000D65F2" w:rsidRPr="00943977">
        <w:rPr>
          <w:color w:val="auto"/>
        </w:rPr>
        <w:fldChar w:fldCharType="end"/>
      </w:r>
      <w:r w:rsidRPr="00943977">
        <w:rPr>
          <w:color w:val="auto"/>
        </w:rPr>
        <w:t xml:space="preserve"> : Appréciation sur l'adéquation entre produits bancaires et revenus des personnes enquêtées selon l'âge</w:t>
      </w:r>
      <w:bookmarkEnd w:id="288"/>
    </w:p>
    <w:p w:rsidR="00C124C2" w:rsidRPr="004D654F" w:rsidRDefault="00A436F9" w:rsidP="00D4489E">
      <w:pPr>
        <w:spacing w:line="276" w:lineRule="auto"/>
        <w:jc w:val="center"/>
        <w:rPr>
          <w:rFonts w:ascii="Book Antiqua" w:hAnsi="Book Antiqua"/>
          <w:b/>
          <w:sz w:val="16"/>
          <w:szCs w:val="16"/>
        </w:rPr>
      </w:pPr>
      <w:r>
        <w:rPr>
          <w:noProof/>
        </w:rPr>
        <w:drawing>
          <wp:inline distT="0" distB="0" distL="0" distR="0">
            <wp:extent cx="4572303" cy="1992573"/>
            <wp:effectExtent l="19050" t="0" r="18747" b="7677"/>
            <wp:docPr id="333" name="Graphique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9C248A" w:rsidRDefault="009C248A" w:rsidP="00D4489E">
      <w:pPr>
        <w:spacing w:after="200" w:line="276" w:lineRule="auto"/>
        <w:rPr>
          <w:rFonts w:ascii="Book Antiqua" w:hAnsi="Book Antiqua" w:cs="Tahoma"/>
          <w:sz w:val="22"/>
          <w:szCs w:val="22"/>
        </w:rPr>
      </w:pPr>
      <w:r>
        <w:rPr>
          <w:rFonts w:ascii="Book Antiqua" w:hAnsi="Book Antiqua" w:cs="Tahoma"/>
          <w:sz w:val="22"/>
          <w:szCs w:val="22"/>
        </w:rPr>
        <w:br w:type="page"/>
      </w:r>
    </w:p>
    <w:p w:rsidR="009C248A"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lastRenderedPageBreak/>
        <w:t xml:space="preserve">Une analyse selon la nature de l’activité </w:t>
      </w:r>
      <w:r w:rsidR="00176F3A">
        <w:rPr>
          <w:rFonts w:ascii="Book Antiqua" w:hAnsi="Book Antiqua" w:cs="Tahoma"/>
          <w:sz w:val="22"/>
          <w:szCs w:val="22"/>
        </w:rPr>
        <w:t xml:space="preserve">révèle </w:t>
      </w:r>
      <w:r w:rsidRPr="00E23B0D">
        <w:rPr>
          <w:rFonts w:ascii="Book Antiqua" w:hAnsi="Book Antiqua" w:cs="Tahoma"/>
          <w:sz w:val="22"/>
          <w:szCs w:val="22"/>
        </w:rPr>
        <w:t xml:space="preserve">également un taux </w:t>
      </w:r>
      <w:r w:rsidR="00176F3A">
        <w:rPr>
          <w:rFonts w:ascii="Book Antiqua" w:hAnsi="Book Antiqua" w:cs="Tahoma"/>
          <w:sz w:val="22"/>
          <w:szCs w:val="22"/>
        </w:rPr>
        <w:t xml:space="preserve">de récrimination </w:t>
      </w:r>
      <w:r w:rsidRPr="00E23B0D">
        <w:rPr>
          <w:rFonts w:ascii="Book Antiqua" w:hAnsi="Book Antiqua" w:cs="Tahoma"/>
          <w:sz w:val="22"/>
          <w:szCs w:val="22"/>
        </w:rPr>
        <w:t xml:space="preserve">plus élevé chez les clients exerçant dans le secteur </w:t>
      </w:r>
      <w:r w:rsidR="00D3046B">
        <w:rPr>
          <w:rFonts w:ascii="Book Antiqua" w:hAnsi="Book Antiqua" w:cs="Tahoma"/>
          <w:sz w:val="22"/>
          <w:szCs w:val="22"/>
        </w:rPr>
        <w:t>in</w:t>
      </w:r>
      <w:r w:rsidRPr="00E23B0D">
        <w:rPr>
          <w:rFonts w:ascii="Book Antiqua" w:hAnsi="Book Antiqua" w:cs="Tahoma"/>
          <w:sz w:val="22"/>
          <w:szCs w:val="22"/>
        </w:rPr>
        <w:t>formel (</w:t>
      </w:r>
      <w:r w:rsidR="00D3046B">
        <w:rPr>
          <w:rFonts w:ascii="Book Antiqua" w:hAnsi="Book Antiqua" w:cs="Tahoma"/>
          <w:sz w:val="22"/>
          <w:szCs w:val="22"/>
        </w:rPr>
        <w:t>50</w:t>
      </w:r>
      <w:r w:rsidRPr="00E23B0D">
        <w:rPr>
          <w:rFonts w:ascii="Book Antiqua" w:hAnsi="Book Antiqua" w:cs="Tahoma"/>
          <w:sz w:val="22"/>
          <w:szCs w:val="22"/>
        </w:rPr>
        <w:t>,</w:t>
      </w:r>
      <w:r w:rsidR="00D3046B">
        <w:rPr>
          <w:rFonts w:ascii="Book Antiqua" w:hAnsi="Book Antiqua" w:cs="Tahoma"/>
          <w:sz w:val="22"/>
          <w:szCs w:val="22"/>
        </w:rPr>
        <w:t>3</w:t>
      </w:r>
      <w:r w:rsidRPr="00E23B0D">
        <w:rPr>
          <w:rFonts w:ascii="Book Antiqua" w:hAnsi="Book Antiqua" w:cs="Tahoma"/>
          <w:sz w:val="22"/>
          <w:szCs w:val="22"/>
        </w:rPr>
        <w:t xml:space="preserve">%) que ceux </w:t>
      </w:r>
      <w:r w:rsidR="00D3046B">
        <w:rPr>
          <w:rFonts w:ascii="Book Antiqua" w:hAnsi="Book Antiqua" w:cs="Tahoma"/>
          <w:sz w:val="22"/>
          <w:szCs w:val="22"/>
        </w:rPr>
        <w:t xml:space="preserve">issus </w:t>
      </w:r>
      <w:r w:rsidRPr="00E23B0D">
        <w:rPr>
          <w:rFonts w:ascii="Book Antiqua" w:hAnsi="Book Antiqua" w:cs="Tahoma"/>
          <w:sz w:val="22"/>
          <w:szCs w:val="22"/>
        </w:rPr>
        <w:t>du secteur</w:t>
      </w:r>
      <w:r w:rsidR="00D3046B">
        <w:rPr>
          <w:rFonts w:ascii="Book Antiqua" w:hAnsi="Book Antiqua" w:cs="Tahoma"/>
          <w:sz w:val="22"/>
          <w:szCs w:val="22"/>
        </w:rPr>
        <w:t xml:space="preserve"> moderne</w:t>
      </w:r>
      <w:r w:rsidRPr="00E23B0D">
        <w:rPr>
          <w:rFonts w:ascii="Book Antiqua" w:hAnsi="Book Antiqua" w:cs="Tahoma"/>
          <w:sz w:val="22"/>
          <w:szCs w:val="22"/>
        </w:rPr>
        <w:t xml:space="preserve"> (</w:t>
      </w:r>
      <w:r w:rsidR="00D3046B">
        <w:rPr>
          <w:rFonts w:ascii="Book Antiqua" w:hAnsi="Book Antiqua" w:cs="Tahoma"/>
          <w:sz w:val="22"/>
          <w:szCs w:val="22"/>
        </w:rPr>
        <w:t>46,9</w:t>
      </w:r>
      <w:r w:rsidRPr="00E23B0D">
        <w:rPr>
          <w:rFonts w:ascii="Book Antiqua" w:hAnsi="Book Antiqua" w:cs="Tahoma"/>
          <w:sz w:val="22"/>
          <w:szCs w:val="22"/>
        </w:rPr>
        <w:t xml:space="preserve">%). </w:t>
      </w:r>
    </w:p>
    <w:p w:rsidR="00A5070A" w:rsidRPr="00E23B0D" w:rsidRDefault="00A5070A" w:rsidP="00D4489E">
      <w:pPr>
        <w:autoSpaceDE w:val="0"/>
        <w:autoSpaceDN w:val="0"/>
        <w:adjustRightInd w:val="0"/>
        <w:spacing w:before="120" w:line="276" w:lineRule="auto"/>
        <w:contextualSpacing/>
        <w:jc w:val="both"/>
        <w:rPr>
          <w:rFonts w:ascii="Book Antiqua" w:hAnsi="Book Antiqua" w:cs="Tahoma"/>
          <w:sz w:val="22"/>
          <w:szCs w:val="22"/>
        </w:rPr>
      </w:pPr>
    </w:p>
    <w:p w:rsidR="00943977" w:rsidRPr="00943977" w:rsidRDefault="00943977" w:rsidP="00D4489E">
      <w:pPr>
        <w:pStyle w:val="Lgende"/>
        <w:keepNext/>
        <w:spacing w:line="276" w:lineRule="auto"/>
        <w:jc w:val="center"/>
        <w:rPr>
          <w:color w:val="auto"/>
        </w:rPr>
      </w:pPr>
      <w:bookmarkStart w:id="289" w:name="_Toc523313855"/>
      <w:r w:rsidRPr="00943977">
        <w:rPr>
          <w:color w:val="auto"/>
        </w:rPr>
        <w:t xml:space="preserve">Figure </w:t>
      </w:r>
      <w:r w:rsidR="000D65F2" w:rsidRPr="00943977">
        <w:rPr>
          <w:color w:val="auto"/>
        </w:rPr>
        <w:fldChar w:fldCharType="begin"/>
      </w:r>
      <w:r w:rsidRPr="00943977">
        <w:rPr>
          <w:color w:val="auto"/>
        </w:rPr>
        <w:instrText xml:space="preserve"> SEQ Figure \* ARABIC </w:instrText>
      </w:r>
      <w:r w:rsidR="000D65F2" w:rsidRPr="00943977">
        <w:rPr>
          <w:color w:val="auto"/>
        </w:rPr>
        <w:fldChar w:fldCharType="separate"/>
      </w:r>
      <w:r w:rsidR="000F780F">
        <w:rPr>
          <w:noProof/>
          <w:color w:val="auto"/>
        </w:rPr>
        <w:t>172</w:t>
      </w:r>
      <w:r w:rsidR="000D65F2" w:rsidRPr="00943977">
        <w:rPr>
          <w:color w:val="auto"/>
        </w:rPr>
        <w:fldChar w:fldCharType="end"/>
      </w:r>
      <w:r w:rsidRPr="00943977">
        <w:rPr>
          <w:color w:val="auto"/>
        </w:rPr>
        <w:t xml:space="preserve"> : Appréciation sur l'adéquation entre produits de la banque et revenus des enquêtés selon la nature de l'activité</w:t>
      </w:r>
      <w:bookmarkEnd w:id="289"/>
    </w:p>
    <w:p w:rsidR="00D3046B" w:rsidRPr="00AE3DF1" w:rsidRDefault="00D3046B" w:rsidP="00D4489E">
      <w:pPr>
        <w:spacing w:line="276" w:lineRule="auto"/>
        <w:jc w:val="center"/>
      </w:pPr>
      <w:r>
        <w:rPr>
          <w:noProof/>
        </w:rPr>
        <w:drawing>
          <wp:inline distT="0" distB="0" distL="0" distR="0">
            <wp:extent cx="4572000" cy="2743200"/>
            <wp:effectExtent l="19050" t="0" r="19050" b="0"/>
            <wp:docPr id="334" name="Graphique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C124C2" w:rsidRDefault="00C124C2" w:rsidP="00D4489E">
      <w:pPr>
        <w:spacing w:line="276" w:lineRule="auto"/>
        <w:rPr>
          <w:rFonts w:ascii="Book Antiqua" w:hAnsi="Book Antiqua"/>
        </w:rPr>
      </w:pPr>
    </w:p>
    <w:p w:rsidR="00C124C2" w:rsidRPr="00E23B0D" w:rsidRDefault="00C124C2" w:rsidP="00D4489E">
      <w:pPr>
        <w:autoSpaceDE w:val="0"/>
        <w:autoSpaceDN w:val="0"/>
        <w:adjustRightInd w:val="0"/>
        <w:spacing w:before="120" w:line="276" w:lineRule="auto"/>
        <w:jc w:val="both"/>
        <w:rPr>
          <w:rFonts w:ascii="Book Antiqua" w:hAnsi="Book Antiqua" w:cs="Tahoma"/>
          <w:sz w:val="22"/>
          <w:szCs w:val="22"/>
        </w:rPr>
      </w:pPr>
      <w:r w:rsidRPr="00E23B0D">
        <w:rPr>
          <w:rFonts w:ascii="Book Antiqua" w:hAnsi="Book Antiqua" w:cs="Tahoma"/>
          <w:sz w:val="22"/>
          <w:szCs w:val="22"/>
        </w:rPr>
        <w:t xml:space="preserve">En outre, des taux  élevés d’insatisfaction sur l’offre des produits de la banque sont </w:t>
      </w:r>
      <w:r w:rsidR="002C1B35">
        <w:rPr>
          <w:rFonts w:ascii="Book Antiqua" w:hAnsi="Book Antiqua" w:cs="Tahoma"/>
          <w:sz w:val="22"/>
          <w:szCs w:val="22"/>
        </w:rPr>
        <w:t xml:space="preserve">plus </w:t>
      </w:r>
      <w:r w:rsidRPr="00E23B0D">
        <w:rPr>
          <w:rFonts w:ascii="Book Antiqua" w:hAnsi="Book Antiqua" w:cs="Tahoma"/>
          <w:sz w:val="22"/>
          <w:szCs w:val="22"/>
        </w:rPr>
        <w:t xml:space="preserve">relevés </w:t>
      </w:r>
      <w:r w:rsidR="002C1B35">
        <w:rPr>
          <w:rFonts w:ascii="Book Antiqua" w:hAnsi="Book Antiqua" w:cs="Tahoma"/>
          <w:sz w:val="22"/>
          <w:szCs w:val="22"/>
        </w:rPr>
        <w:t xml:space="preserve"> pour les clients dont les revenus sont inférieurs à 300 000F</w:t>
      </w:r>
      <w:r w:rsidR="00A5070A">
        <w:rPr>
          <w:rFonts w:ascii="Book Antiqua" w:hAnsi="Book Antiqua" w:cs="Tahoma"/>
          <w:sz w:val="22"/>
          <w:szCs w:val="22"/>
        </w:rPr>
        <w:t>CFA</w:t>
      </w:r>
      <w:r w:rsidR="002C1B35">
        <w:rPr>
          <w:rFonts w:ascii="Book Antiqua" w:hAnsi="Book Antiqua" w:cs="Tahoma"/>
          <w:sz w:val="22"/>
          <w:szCs w:val="22"/>
        </w:rPr>
        <w:t xml:space="preserve">. En effet, les </w:t>
      </w:r>
      <w:r w:rsidRPr="00E23B0D">
        <w:rPr>
          <w:rFonts w:ascii="Book Antiqua" w:hAnsi="Book Antiqua" w:cs="Tahoma"/>
          <w:sz w:val="22"/>
          <w:szCs w:val="22"/>
        </w:rPr>
        <w:t>classes de revenus</w:t>
      </w:r>
      <w:r w:rsidR="002C1B35">
        <w:rPr>
          <w:rFonts w:ascii="Book Antiqua" w:hAnsi="Book Antiqua" w:cs="Tahoma"/>
          <w:sz w:val="22"/>
          <w:szCs w:val="22"/>
        </w:rPr>
        <w:t xml:space="preserve"> d</w:t>
      </w:r>
      <w:r w:rsidR="007F7F24">
        <w:rPr>
          <w:rFonts w:ascii="Book Antiqua" w:hAnsi="Book Antiqua" w:cs="Tahoma"/>
          <w:sz w:val="22"/>
          <w:szCs w:val="22"/>
        </w:rPr>
        <w:t>e « moins de 50 000F</w:t>
      </w:r>
      <w:r w:rsidR="00A5070A">
        <w:rPr>
          <w:rFonts w:ascii="Book Antiqua" w:hAnsi="Book Antiqua" w:cs="Tahoma"/>
          <w:sz w:val="22"/>
          <w:szCs w:val="22"/>
        </w:rPr>
        <w:t>CFA</w:t>
      </w:r>
      <w:r w:rsidR="007F7F24">
        <w:rPr>
          <w:rFonts w:ascii="Book Antiqua" w:hAnsi="Book Antiqua" w:cs="Tahoma"/>
          <w:sz w:val="22"/>
          <w:szCs w:val="22"/>
        </w:rPr>
        <w:t> »</w:t>
      </w:r>
      <w:proofErr w:type="gramStart"/>
      <w:r w:rsidR="007F7F24">
        <w:rPr>
          <w:rFonts w:ascii="Book Antiqua" w:hAnsi="Book Antiqua" w:cs="Tahoma"/>
          <w:sz w:val="22"/>
          <w:szCs w:val="22"/>
        </w:rPr>
        <w:t>, ]</w:t>
      </w:r>
      <w:proofErr w:type="gramEnd"/>
      <w:r w:rsidR="00943977">
        <w:rPr>
          <w:rFonts w:ascii="Book Antiqua" w:hAnsi="Book Antiqua" w:cs="Tahoma"/>
          <w:sz w:val="22"/>
          <w:szCs w:val="22"/>
        </w:rPr>
        <w:t xml:space="preserve"> </w:t>
      </w:r>
      <w:r w:rsidR="007F7F24">
        <w:rPr>
          <w:rFonts w:ascii="Book Antiqua" w:hAnsi="Book Antiqua" w:cs="Tahoma"/>
          <w:sz w:val="22"/>
          <w:szCs w:val="22"/>
        </w:rPr>
        <w:t>50 000</w:t>
      </w:r>
      <w:r w:rsidR="002C1B35">
        <w:rPr>
          <w:rFonts w:ascii="Book Antiqua" w:hAnsi="Book Antiqua" w:cs="Tahoma"/>
          <w:sz w:val="22"/>
          <w:szCs w:val="22"/>
        </w:rPr>
        <w:t> ;</w:t>
      </w:r>
      <w:r w:rsidR="00A5070A">
        <w:rPr>
          <w:rFonts w:ascii="Book Antiqua" w:hAnsi="Book Antiqua" w:cs="Tahoma"/>
          <w:sz w:val="22"/>
          <w:szCs w:val="22"/>
        </w:rPr>
        <w:t xml:space="preserve"> </w:t>
      </w:r>
      <w:r w:rsidR="002C1B35">
        <w:rPr>
          <w:rFonts w:ascii="Book Antiqua" w:hAnsi="Book Antiqua" w:cs="Tahoma"/>
          <w:sz w:val="22"/>
          <w:szCs w:val="22"/>
        </w:rPr>
        <w:t>100</w:t>
      </w:r>
      <w:r w:rsidR="007F7F24">
        <w:rPr>
          <w:rFonts w:ascii="Book Antiqua" w:hAnsi="Book Antiqua" w:cs="Tahoma"/>
          <w:sz w:val="22"/>
          <w:szCs w:val="22"/>
        </w:rPr>
        <w:t> </w:t>
      </w:r>
      <w:r w:rsidR="002C1B35">
        <w:rPr>
          <w:rFonts w:ascii="Book Antiqua" w:hAnsi="Book Antiqua" w:cs="Tahoma"/>
          <w:sz w:val="22"/>
          <w:szCs w:val="22"/>
        </w:rPr>
        <w:t>000</w:t>
      </w:r>
      <w:r w:rsidR="007F7F24">
        <w:rPr>
          <w:rFonts w:ascii="Book Antiqua" w:hAnsi="Book Antiqua" w:cs="Tahoma"/>
          <w:sz w:val="22"/>
          <w:szCs w:val="22"/>
        </w:rPr>
        <w:t xml:space="preserve"> FCFA</w:t>
      </w:r>
      <w:r w:rsidR="002C1B35">
        <w:rPr>
          <w:rFonts w:ascii="Book Antiqua" w:hAnsi="Book Antiqua" w:cs="Tahoma"/>
          <w:sz w:val="22"/>
          <w:szCs w:val="22"/>
        </w:rPr>
        <w:t>],</w:t>
      </w:r>
      <w:r w:rsidR="00A5070A">
        <w:rPr>
          <w:rFonts w:ascii="Book Antiqua" w:hAnsi="Book Antiqua" w:cs="Tahoma"/>
          <w:sz w:val="22"/>
          <w:szCs w:val="22"/>
        </w:rPr>
        <w:t xml:space="preserve"> </w:t>
      </w:r>
      <w:r w:rsidRPr="00E23B0D">
        <w:rPr>
          <w:rFonts w:ascii="Book Antiqua" w:hAnsi="Book Antiqua" w:cs="Tahoma"/>
          <w:sz w:val="22"/>
          <w:szCs w:val="22"/>
        </w:rPr>
        <w:t>]100 000 ; 200</w:t>
      </w:r>
      <w:r w:rsidR="007F7F24">
        <w:rPr>
          <w:rFonts w:ascii="Book Antiqua" w:hAnsi="Book Antiqua" w:cs="Tahoma"/>
          <w:sz w:val="22"/>
          <w:szCs w:val="22"/>
        </w:rPr>
        <w:t> </w:t>
      </w:r>
      <w:r w:rsidRPr="00E23B0D">
        <w:rPr>
          <w:rFonts w:ascii="Book Antiqua" w:hAnsi="Book Antiqua" w:cs="Tahoma"/>
          <w:sz w:val="22"/>
          <w:szCs w:val="22"/>
        </w:rPr>
        <w:t>000</w:t>
      </w:r>
      <w:r w:rsidR="007F7F24">
        <w:rPr>
          <w:rFonts w:ascii="Book Antiqua" w:hAnsi="Book Antiqua" w:cs="Tahoma"/>
          <w:sz w:val="22"/>
          <w:szCs w:val="22"/>
        </w:rPr>
        <w:t xml:space="preserve"> FCFA</w:t>
      </w:r>
      <w:r w:rsidRPr="00E23B0D">
        <w:rPr>
          <w:rFonts w:ascii="Book Antiqua" w:hAnsi="Book Antiqua" w:cs="Tahoma"/>
          <w:sz w:val="22"/>
          <w:szCs w:val="22"/>
        </w:rPr>
        <w:t>]</w:t>
      </w:r>
      <w:r w:rsidR="002C1B35">
        <w:rPr>
          <w:rFonts w:ascii="Book Antiqua" w:hAnsi="Book Antiqua" w:cs="Tahoma"/>
          <w:sz w:val="22"/>
          <w:szCs w:val="22"/>
        </w:rPr>
        <w:t xml:space="preserve"> et</w:t>
      </w:r>
      <w:r w:rsidRPr="00E23B0D">
        <w:rPr>
          <w:rFonts w:ascii="Book Antiqua" w:hAnsi="Book Antiqua" w:cs="Tahoma"/>
          <w:sz w:val="22"/>
          <w:szCs w:val="22"/>
        </w:rPr>
        <w:t xml:space="preserve"> ]200 000 ; 300</w:t>
      </w:r>
      <w:r w:rsidR="007F7F24">
        <w:rPr>
          <w:rFonts w:ascii="Book Antiqua" w:hAnsi="Book Antiqua" w:cs="Tahoma"/>
          <w:sz w:val="22"/>
          <w:szCs w:val="22"/>
        </w:rPr>
        <w:t> </w:t>
      </w:r>
      <w:r w:rsidRPr="00E23B0D">
        <w:rPr>
          <w:rFonts w:ascii="Book Antiqua" w:hAnsi="Book Antiqua" w:cs="Tahoma"/>
          <w:sz w:val="22"/>
          <w:szCs w:val="22"/>
        </w:rPr>
        <w:t>000</w:t>
      </w:r>
      <w:r w:rsidR="007F7F24">
        <w:rPr>
          <w:rFonts w:ascii="Book Antiqua" w:hAnsi="Book Antiqua" w:cs="Tahoma"/>
          <w:sz w:val="22"/>
          <w:szCs w:val="22"/>
        </w:rPr>
        <w:t xml:space="preserve"> FCFA</w:t>
      </w:r>
      <w:r w:rsidRPr="00E23B0D">
        <w:rPr>
          <w:rFonts w:ascii="Book Antiqua" w:hAnsi="Book Antiqua" w:cs="Tahoma"/>
          <w:sz w:val="22"/>
          <w:szCs w:val="22"/>
        </w:rPr>
        <w:t xml:space="preserve">] </w:t>
      </w:r>
      <w:r w:rsidR="00A5070A">
        <w:rPr>
          <w:rFonts w:ascii="Book Antiqua" w:hAnsi="Book Antiqua" w:cs="Tahoma"/>
          <w:sz w:val="22"/>
          <w:szCs w:val="22"/>
        </w:rPr>
        <w:t>ressortent</w:t>
      </w:r>
      <w:r w:rsidR="002C1B35">
        <w:rPr>
          <w:rFonts w:ascii="Book Antiqua" w:hAnsi="Book Antiqua" w:cs="Tahoma"/>
          <w:sz w:val="22"/>
          <w:szCs w:val="22"/>
        </w:rPr>
        <w:t xml:space="preserve"> </w:t>
      </w:r>
      <w:r w:rsidRPr="00E23B0D">
        <w:rPr>
          <w:rFonts w:ascii="Book Antiqua" w:hAnsi="Book Antiqua" w:cs="Tahoma"/>
          <w:sz w:val="22"/>
          <w:szCs w:val="22"/>
        </w:rPr>
        <w:t xml:space="preserve">avec des proportions respectives de </w:t>
      </w:r>
      <w:r w:rsidR="002C1B35">
        <w:rPr>
          <w:rFonts w:ascii="Book Antiqua" w:hAnsi="Book Antiqua" w:cs="Tahoma"/>
          <w:sz w:val="22"/>
          <w:szCs w:val="22"/>
        </w:rPr>
        <w:t>48,5%, 48,3%, 50,3% et 47,5%</w:t>
      </w:r>
      <w:r w:rsidR="00A5070A">
        <w:rPr>
          <w:rFonts w:ascii="Book Antiqua" w:hAnsi="Book Antiqua" w:cs="Tahoma"/>
          <w:sz w:val="22"/>
          <w:szCs w:val="22"/>
        </w:rPr>
        <w:t>.</w:t>
      </w:r>
    </w:p>
    <w:p w:rsidR="00C124C2" w:rsidRDefault="00C124C2" w:rsidP="00D4489E">
      <w:pPr>
        <w:spacing w:line="276" w:lineRule="auto"/>
        <w:rPr>
          <w:rFonts w:ascii="Book Antiqua" w:hAnsi="Book Antiqua"/>
          <w:b/>
          <w:sz w:val="16"/>
          <w:szCs w:val="16"/>
        </w:rPr>
      </w:pPr>
    </w:p>
    <w:p w:rsidR="00C124C2" w:rsidRPr="0027686D" w:rsidRDefault="00C124C2" w:rsidP="00D4489E">
      <w:pPr>
        <w:spacing w:line="276" w:lineRule="auto"/>
        <w:jc w:val="center"/>
        <w:rPr>
          <w:rFonts w:ascii="Book Antiqua" w:hAnsi="Book Antiqua"/>
          <w:b/>
          <w:sz w:val="16"/>
          <w:szCs w:val="16"/>
        </w:rPr>
      </w:pPr>
    </w:p>
    <w:p w:rsidR="00541655" w:rsidRPr="00A5070A" w:rsidRDefault="00541655" w:rsidP="00D4489E">
      <w:pPr>
        <w:pStyle w:val="Lgende"/>
        <w:keepNext/>
        <w:spacing w:line="276" w:lineRule="auto"/>
        <w:jc w:val="center"/>
        <w:rPr>
          <w:rFonts w:ascii="Book Antiqua" w:hAnsi="Book Antiqua"/>
          <w:color w:val="auto"/>
          <w:sz w:val="16"/>
        </w:rPr>
      </w:pPr>
      <w:r w:rsidRPr="00A5070A">
        <w:rPr>
          <w:rFonts w:ascii="Book Antiqua" w:hAnsi="Book Antiqua"/>
          <w:color w:val="auto"/>
          <w:sz w:val="16"/>
        </w:rPr>
        <w:t xml:space="preserve">Figure </w:t>
      </w:r>
      <w:r w:rsidR="00A5070A" w:rsidRPr="00A5070A">
        <w:rPr>
          <w:rFonts w:ascii="Book Antiqua" w:hAnsi="Book Antiqua"/>
          <w:color w:val="auto"/>
          <w:sz w:val="16"/>
        </w:rPr>
        <w:t xml:space="preserve">170 </w:t>
      </w:r>
      <w:r w:rsidRPr="00A5070A">
        <w:rPr>
          <w:rFonts w:ascii="Book Antiqua" w:hAnsi="Book Antiqua"/>
          <w:color w:val="auto"/>
          <w:sz w:val="16"/>
        </w:rPr>
        <w:t>: Appréciation sur l’adéquation entre produits de la banque et revenus des enquêtés selon la nature de l’activité</w:t>
      </w:r>
    </w:p>
    <w:p w:rsidR="00C124C2" w:rsidRDefault="007F49CB" w:rsidP="00D4489E">
      <w:pPr>
        <w:spacing w:line="276" w:lineRule="auto"/>
        <w:jc w:val="center"/>
      </w:pPr>
      <w:r>
        <w:rPr>
          <w:noProof/>
        </w:rPr>
        <w:drawing>
          <wp:inline distT="0" distB="0" distL="0" distR="0">
            <wp:extent cx="4572000" cy="2743200"/>
            <wp:effectExtent l="19050" t="0" r="19050" b="0"/>
            <wp:docPr id="335" name="Graphique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C124C2" w:rsidRDefault="00C124C2" w:rsidP="00D4489E">
      <w:pPr>
        <w:spacing w:line="276" w:lineRule="auto"/>
        <w:rPr>
          <w:rFonts w:ascii="Book Antiqua" w:hAnsi="Book Antiqua"/>
          <w:b/>
        </w:rPr>
      </w:pPr>
    </w:p>
    <w:p w:rsidR="004D654F" w:rsidRDefault="004D654F" w:rsidP="00D4489E">
      <w:pPr>
        <w:spacing w:after="200" w:line="276" w:lineRule="auto"/>
        <w:rPr>
          <w:rFonts w:ascii="Book Antiqua" w:hAnsi="Book Antiqua"/>
          <w:b/>
        </w:rPr>
      </w:pPr>
      <w:r>
        <w:rPr>
          <w:rFonts w:ascii="Book Antiqua" w:hAnsi="Book Antiqua"/>
          <w:b/>
        </w:rPr>
        <w:br w:type="page"/>
      </w:r>
    </w:p>
    <w:p w:rsidR="00C124C2" w:rsidRPr="00055B66" w:rsidRDefault="004E330F" w:rsidP="006818E2">
      <w:pPr>
        <w:spacing w:before="240" w:after="240" w:line="276" w:lineRule="auto"/>
        <w:ind w:firstLine="567"/>
        <w:outlineLvl w:val="2"/>
        <w:rPr>
          <w:rFonts w:ascii="Book Antiqua" w:hAnsi="Book Antiqua"/>
          <w:b/>
          <w:sz w:val="22"/>
          <w:szCs w:val="22"/>
        </w:rPr>
      </w:pPr>
      <w:bookmarkStart w:id="290" w:name="_Toc523322104"/>
      <w:r>
        <w:rPr>
          <w:rFonts w:ascii="Book Antiqua" w:hAnsi="Book Antiqua"/>
          <w:b/>
          <w:sz w:val="22"/>
          <w:szCs w:val="22"/>
        </w:rPr>
        <w:lastRenderedPageBreak/>
        <w:t>II.6</w:t>
      </w:r>
      <w:r w:rsidR="00C124C2" w:rsidRPr="00055B66">
        <w:rPr>
          <w:rFonts w:ascii="Book Antiqua" w:hAnsi="Book Antiqua"/>
          <w:b/>
          <w:sz w:val="22"/>
          <w:szCs w:val="22"/>
        </w:rPr>
        <w:t>.2. Adéquation des produits bancaires avec les besoins des clients</w:t>
      </w:r>
      <w:bookmarkEnd w:id="290"/>
    </w:p>
    <w:p w:rsidR="00922E08" w:rsidRPr="00E23B0D" w:rsidRDefault="00C124C2" w:rsidP="00575B92">
      <w:pPr>
        <w:autoSpaceDE w:val="0"/>
        <w:autoSpaceDN w:val="0"/>
        <w:adjustRightInd w:val="0"/>
        <w:spacing w:before="240" w:after="240" w:line="276" w:lineRule="auto"/>
        <w:jc w:val="both"/>
        <w:rPr>
          <w:rFonts w:ascii="Book Antiqua" w:hAnsi="Book Antiqua" w:cs="Tahoma"/>
          <w:sz w:val="22"/>
          <w:szCs w:val="22"/>
        </w:rPr>
      </w:pPr>
      <w:r w:rsidRPr="00E23B0D">
        <w:rPr>
          <w:rFonts w:ascii="Book Antiqua" w:hAnsi="Book Antiqua" w:cs="Tahoma"/>
          <w:sz w:val="22"/>
          <w:szCs w:val="22"/>
        </w:rPr>
        <w:t xml:space="preserve">Pour </w:t>
      </w:r>
      <w:r w:rsidR="001272EF">
        <w:rPr>
          <w:rFonts w:ascii="Book Antiqua" w:hAnsi="Book Antiqua" w:cs="Tahoma"/>
          <w:sz w:val="22"/>
          <w:szCs w:val="22"/>
        </w:rPr>
        <w:t>une proportion de 41,9</w:t>
      </w:r>
      <w:r w:rsidRPr="00E23B0D">
        <w:rPr>
          <w:rFonts w:ascii="Book Antiqua" w:hAnsi="Book Antiqua" w:cs="Tahoma"/>
          <w:sz w:val="22"/>
          <w:szCs w:val="22"/>
        </w:rPr>
        <w:t xml:space="preserve">% des </w:t>
      </w:r>
      <w:r w:rsidR="001272EF">
        <w:rPr>
          <w:rFonts w:ascii="Book Antiqua" w:hAnsi="Book Antiqua" w:cs="Tahoma"/>
          <w:sz w:val="22"/>
          <w:szCs w:val="22"/>
        </w:rPr>
        <w:t xml:space="preserve">clients </w:t>
      </w:r>
      <w:r w:rsidR="001E021A">
        <w:rPr>
          <w:rFonts w:ascii="Book Antiqua" w:hAnsi="Book Antiqua" w:cs="Tahoma"/>
          <w:sz w:val="22"/>
          <w:szCs w:val="22"/>
        </w:rPr>
        <w:t>« </w:t>
      </w:r>
      <w:r w:rsidRPr="00E23B0D">
        <w:rPr>
          <w:rFonts w:ascii="Book Antiqua" w:hAnsi="Book Antiqua" w:cs="Tahoma"/>
          <w:sz w:val="22"/>
          <w:szCs w:val="22"/>
        </w:rPr>
        <w:t>personnes</w:t>
      </w:r>
      <w:r w:rsidR="001272EF">
        <w:rPr>
          <w:rFonts w:ascii="Book Antiqua" w:hAnsi="Book Antiqua" w:cs="Tahoma"/>
          <w:sz w:val="22"/>
          <w:szCs w:val="22"/>
        </w:rPr>
        <w:t xml:space="preserve"> physiques</w:t>
      </w:r>
      <w:r w:rsidR="001E021A">
        <w:rPr>
          <w:rFonts w:ascii="Book Antiqua" w:hAnsi="Book Antiqua" w:cs="Tahoma"/>
          <w:sz w:val="22"/>
          <w:szCs w:val="22"/>
        </w:rPr>
        <w:t> »</w:t>
      </w:r>
      <w:r w:rsidR="000506F3">
        <w:rPr>
          <w:rFonts w:ascii="Book Antiqua" w:hAnsi="Book Antiqua" w:cs="Tahoma"/>
          <w:sz w:val="22"/>
          <w:szCs w:val="22"/>
        </w:rPr>
        <w:t xml:space="preserve"> interrogé</w:t>
      </w:r>
      <w:r w:rsidRPr="00E23B0D">
        <w:rPr>
          <w:rFonts w:ascii="Book Antiqua" w:hAnsi="Book Antiqua" w:cs="Tahoma"/>
          <w:sz w:val="22"/>
          <w:szCs w:val="22"/>
        </w:rPr>
        <w:t xml:space="preserve">s, les produits proposés par les banques ne sont </w:t>
      </w:r>
      <w:r w:rsidR="001272EF">
        <w:rPr>
          <w:rFonts w:ascii="Book Antiqua" w:hAnsi="Book Antiqua" w:cs="Tahoma"/>
          <w:sz w:val="22"/>
          <w:szCs w:val="22"/>
        </w:rPr>
        <w:t>« </w:t>
      </w:r>
      <w:r w:rsidRPr="00E23B0D">
        <w:rPr>
          <w:rFonts w:ascii="Book Antiqua" w:hAnsi="Book Antiqua" w:cs="Tahoma"/>
          <w:sz w:val="22"/>
          <w:szCs w:val="22"/>
        </w:rPr>
        <w:t>pas adaptés</w:t>
      </w:r>
      <w:r w:rsidR="001272EF">
        <w:rPr>
          <w:rFonts w:ascii="Book Antiqua" w:hAnsi="Book Antiqua" w:cs="Tahoma"/>
          <w:sz w:val="22"/>
          <w:szCs w:val="22"/>
        </w:rPr>
        <w:t> »</w:t>
      </w:r>
      <w:r w:rsidRPr="00E23B0D">
        <w:rPr>
          <w:rFonts w:ascii="Book Antiqua" w:hAnsi="Book Antiqua" w:cs="Tahoma"/>
          <w:sz w:val="22"/>
          <w:szCs w:val="22"/>
        </w:rPr>
        <w:t xml:space="preserve"> à leurs projets</w:t>
      </w:r>
      <w:r w:rsidR="001272EF">
        <w:rPr>
          <w:rFonts w:ascii="Book Antiqua" w:hAnsi="Book Antiqua" w:cs="Tahoma"/>
          <w:sz w:val="22"/>
          <w:szCs w:val="22"/>
        </w:rPr>
        <w:t xml:space="preserve"> et 10,0% jugent l’offre de produits « pas du tout adaptés » à leurs besoins. </w:t>
      </w:r>
    </w:p>
    <w:p w:rsidR="00C124C2" w:rsidRPr="00E23B0D" w:rsidRDefault="0072152F" w:rsidP="00575B92">
      <w:pPr>
        <w:autoSpaceDE w:val="0"/>
        <w:autoSpaceDN w:val="0"/>
        <w:adjustRightInd w:val="0"/>
        <w:spacing w:before="240" w:after="240" w:line="276" w:lineRule="auto"/>
        <w:jc w:val="both"/>
        <w:rPr>
          <w:rFonts w:ascii="Book Antiqua" w:hAnsi="Book Antiqua" w:cs="Tahoma"/>
          <w:sz w:val="22"/>
          <w:szCs w:val="22"/>
        </w:rPr>
      </w:pPr>
      <w:r>
        <w:rPr>
          <w:rFonts w:ascii="Book Antiqua" w:hAnsi="Book Antiqua" w:cs="Tahoma"/>
          <w:sz w:val="22"/>
          <w:szCs w:val="22"/>
        </w:rPr>
        <w:t xml:space="preserve">L’analyse croisée de l’appréciation des clients personnes physiques sur l’adéquation entre les produits offerts et leurs besoins met en évidence des taux relativement élevés d’insatisfaction pour toutes les tranches d’âge. De plus, le niveau d’insatisfaction s’accentue avec l’âge : </w:t>
      </w:r>
      <w:r w:rsidR="000506F3">
        <w:rPr>
          <w:rFonts w:ascii="Book Antiqua" w:hAnsi="Book Antiqua" w:cs="Tahoma"/>
          <w:sz w:val="22"/>
          <w:szCs w:val="22"/>
        </w:rPr>
        <w:t>l</w:t>
      </w:r>
      <w:r w:rsidR="00C124C2" w:rsidRPr="00E23B0D">
        <w:rPr>
          <w:rFonts w:ascii="Book Antiqua" w:hAnsi="Book Antiqua" w:cs="Tahoma"/>
          <w:sz w:val="22"/>
          <w:szCs w:val="22"/>
        </w:rPr>
        <w:t xml:space="preserve">es produits offerts par les banques ne sont pas adaptés pour </w:t>
      </w:r>
      <w:r>
        <w:rPr>
          <w:rFonts w:ascii="Book Antiqua" w:hAnsi="Book Antiqua" w:cs="Tahoma"/>
          <w:sz w:val="22"/>
          <w:szCs w:val="22"/>
        </w:rPr>
        <w:t>46,3</w:t>
      </w:r>
      <w:r w:rsidR="00C124C2" w:rsidRPr="00E23B0D">
        <w:rPr>
          <w:rFonts w:ascii="Book Antiqua" w:hAnsi="Book Antiqua" w:cs="Tahoma"/>
          <w:sz w:val="22"/>
          <w:szCs w:val="22"/>
        </w:rPr>
        <w:t xml:space="preserve">% </w:t>
      </w:r>
      <w:r>
        <w:rPr>
          <w:rFonts w:ascii="Book Antiqua" w:hAnsi="Book Antiqua" w:cs="Tahoma"/>
          <w:sz w:val="22"/>
          <w:szCs w:val="22"/>
        </w:rPr>
        <w:t xml:space="preserve">pour les </w:t>
      </w:r>
      <w:r w:rsidR="00C124C2" w:rsidRPr="00E23B0D">
        <w:rPr>
          <w:rFonts w:ascii="Book Antiqua" w:hAnsi="Book Antiqua" w:cs="Tahoma"/>
          <w:sz w:val="22"/>
          <w:szCs w:val="22"/>
        </w:rPr>
        <w:t xml:space="preserve"> [18-24ans], </w:t>
      </w:r>
      <w:r>
        <w:rPr>
          <w:rFonts w:ascii="Book Antiqua" w:hAnsi="Book Antiqua" w:cs="Tahoma"/>
          <w:sz w:val="22"/>
          <w:szCs w:val="22"/>
        </w:rPr>
        <w:t>49,5</w:t>
      </w:r>
      <w:r w:rsidR="00C124C2" w:rsidRPr="00E23B0D">
        <w:rPr>
          <w:rFonts w:ascii="Book Antiqua" w:hAnsi="Book Antiqua" w:cs="Tahoma"/>
          <w:sz w:val="22"/>
          <w:szCs w:val="22"/>
        </w:rPr>
        <w:t xml:space="preserve">% pour la tranche [25-34ans], </w:t>
      </w:r>
      <w:r>
        <w:rPr>
          <w:rFonts w:ascii="Book Antiqua" w:hAnsi="Book Antiqua" w:cs="Tahoma"/>
          <w:sz w:val="22"/>
          <w:szCs w:val="22"/>
        </w:rPr>
        <w:t>53,2</w:t>
      </w:r>
      <w:r w:rsidR="00C124C2" w:rsidRPr="00E23B0D">
        <w:rPr>
          <w:rFonts w:ascii="Book Antiqua" w:hAnsi="Book Antiqua" w:cs="Tahoma"/>
          <w:sz w:val="22"/>
          <w:szCs w:val="22"/>
        </w:rPr>
        <w:t xml:space="preserve">% pour ceux </w:t>
      </w:r>
      <w:r>
        <w:rPr>
          <w:rFonts w:ascii="Book Antiqua" w:hAnsi="Book Antiqua" w:cs="Tahoma"/>
          <w:sz w:val="22"/>
          <w:szCs w:val="22"/>
        </w:rPr>
        <w:t>se</w:t>
      </w:r>
      <w:r w:rsidR="000924E2">
        <w:rPr>
          <w:rFonts w:ascii="Book Antiqua" w:hAnsi="Book Antiqua" w:cs="Tahoma"/>
          <w:sz w:val="22"/>
          <w:szCs w:val="22"/>
        </w:rPr>
        <w:t xml:space="preserve"> </w:t>
      </w:r>
      <w:r w:rsidR="00C124C2" w:rsidRPr="00E23B0D">
        <w:rPr>
          <w:rFonts w:ascii="Book Antiqua" w:hAnsi="Book Antiqua" w:cs="Tahoma"/>
          <w:sz w:val="22"/>
          <w:szCs w:val="22"/>
        </w:rPr>
        <w:t xml:space="preserve">situant dans la classe  [35-44ans], </w:t>
      </w:r>
      <w:r>
        <w:rPr>
          <w:rFonts w:ascii="Book Antiqua" w:hAnsi="Book Antiqua" w:cs="Tahoma"/>
          <w:sz w:val="22"/>
          <w:szCs w:val="22"/>
        </w:rPr>
        <w:t>56,0</w:t>
      </w:r>
      <w:r w:rsidR="00C124C2" w:rsidRPr="00E23B0D">
        <w:rPr>
          <w:rFonts w:ascii="Book Antiqua" w:hAnsi="Book Antiqua" w:cs="Tahoma"/>
          <w:sz w:val="22"/>
          <w:szCs w:val="22"/>
        </w:rPr>
        <w:t xml:space="preserve">% pour les [45-54ans], </w:t>
      </w:r>
      <w:r>
        <w:rPr>
          <w:rFonts w:ascii="Book Antiqua" w:hAnsi="Book Antiqua" w:cs="Tahoma"/>
          <w:sz w:val="22"/>
          <w:szCs w:val="22"/>
        </w:rPr>
        <w:t>58,6</w:t>
      </w:r>
      <w:r w:rsidR="00C124C2" w:rsidRPr="00E23B0D">
        <w:rPr>
          <w:rFonts w:ascii="Book Antiqua" w:hAnsi="Book Antiqua" w:cs="Tahoma"/>
          <w:sz w:val="22"/>
          <w:szCs w:val="22"/>
        </w:rPr>
        <w:t xml:space="preserve">% pour les </w:t>
      </w:r>
      <w:r>
        <w:rPr>
          <w:rFonts w:ascii="Book Antiqua" w:hAnsi="Book Antiqua" w:cs="Tahoma"/>
          <w:sz w:val="22"/>
          <w:szCs w:val="22"/>
        </w:rPr>
        <w:t xml:space="preserve">plus de 65 ans ; la classe modale </w:t>
      </w:r>
      <w:r w:rsidR="00C124C2" w:rsidRPr="00E23B0D">
        <w:rPr>
          <w:rFonts w:ascii="Book Antiqua" w:hAnsi="Book Antiqua" w:cs="Tahoma"/>
          <w:sz w:val="22"/>
          <w:szCs w:val="22"/>
        </w:rPr>
        <w:t>[55-64 ans]</w:t>
      </w:r>
      <w:r w:rsidR="00166A5D">
        <w:rPr>
          <w:rFonts w:ascii="Book Antiqua" w:hAnsi="Book Antiqua" w:cs="Tahoma"/>
          <w:sz w:val="22"/>
          <w:szCs w:val="22"/>
        </w:rPr>
        <w:t xml:space="preserve"> ressort toutefois avec un taux de 48,0%</w:t>
      </w:r>
      <w:r w:rsidR="00C124C2" w:rsidRPr="00E23B0D">
        <w:rPr>
          <w:rFonts w:ascii="Book Antiqua" w:hAnsi="Book Antiqua" w:cs="Tahoma"/>
          <w:sz w:val="22"/>
          <w:szCs w:val="22"/>
        </w:rPr>
        <w:t xml:space="preserve">.  </w:t>
      </w:r>
    </w:p>
    <w:p w:rsidR="00943977" w:rsidRDefault="00943977" w:rsidP="00575B92">
      <w:pPr>
        <w:pStyle w:val="Lgende"/>
        <w:keepNext/>
        <w:spacing w:before="240" w:after="240" w:line="276" w:lineRule="auto"/>
        <w:jc w:val="center"/>
      </w:pPr>
    </w:p>
    <w:p w:rsidR="00943977" w:rsidRPr="00817527" w:rsidRDefault="00943977" w:rsidP="00575B92">
      <w:pPr>
        <w:pStyle w:val="Lgende"/>
        <w:keepNext/>
        <w:spacing w:before="240" w:after="240" w:line="276" w:lineRule="auto"/>
        <w:jc w:val="center"/>
        <w:rPr>
          <w:color w:val="auto"/>
        </w:rPr>
      </w:pPr>
      <w:bookmarkStart w:id="291" w:name="_Toc523313856"/>
      <w:r w:rsidRPr="00817527">
        <w:rPr>
          <w:color w:val="auto"/>
        </w:rPr>
        <w:t xml:space="preserve">Figure </w:t>
      </w:r>
      <w:r w:rsidR="000D65F2" w:rsidRPr="00817527">
        <w:rPr>
          <w:color w:val="auto"/>
        </w:rPr>
        <w:fldChar w:fldCharType="begin"/>
      </w:r>
      <w:r w:rsidRPr="00817527">
        <w:rPr>
          <w:color w:val="auto"/>
        </w:rPr>
        <w:instrText xml:space="preserve"> SEQ Figure \* ARABIC </w:instrText>
      </w:r>
      <w:r w:rsidR="000D65F2" w:rsidRPr="00817527">
        <w:rPr>
          <w:color w:val="auto"/>
        </w:rPr>
        <w:fldChar w:fldCharType="separate"/>
      </w:r>
      <w:r w:rsidR="000F780F">
        <w:rPr>
          <w:noProof/>
          <w:color w:val="auto"/>
        </w:rPr>
        <w:t>173</w:t>
      </w:r>
      <w:r w:rsidR="000D65F2" w:rsidRPr="00817527">
        <w:rPr>
          <w:color w:val="auto"/>
        </w:rPr>
        <w:fldChar w:fldCharType="end"/>
      </w:r>
      <w:r w:rsidRPr="00817527">
        <w:rPr>
          <w:color w:val="auto"/>
        </w:rPr>
        <w:t xml:space="preserve"> : Appréciation  sur l'adéquation des produits de la banque avec les projets des clients enquêtés selon leur âge</w:t>
      </w:r>
      <w:bookmarkEnd w:id="291"/>
    </w:p>
    <w:p w:rsidR="008C19C7" w:rsidRPr="00AE3DF1" w:rsidRDefault="008C19C7" w:rsidP="00575B92">
      <w:pPr>
        <w:spacing w:before="240" w:after="240" w:line="276" w:lineRule="auto"/>
        <w:jc w:val="center"/>
      </w:pPr>
      <w:r>
        <w:rPr>
          <w:noProof/>
        </w:rPr>
        <w:drawing>
          <wp:inline distT="0" distB="0" distL="0" distR="0">
            <wp:extent cx="4303313" cy="1916265"/>
            <wp:effectExtent l="19050" t="0" r="21037" b="7785"/>
            <wp:docPr id="336" name="Graphique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807A47" w:rsidRPr="004D654F" w:rsidRDefault="00827E8F" w:rsidP="00575B92">
      <w:pPr>
        <w:widowControl w:val="0"/>
        <w:spacing w:before="240" w:after="240" w:line="276" w:lineRule="auto"/>
        <w:jc w:val="both"/>
        <w:rPr>
          <w:rFonts w:ascii="Book Antiqua" w:hAnsi="Book Antiqua" w:cs="Arial"/>
          <w:sz w:val="22"/>
          <w:szCs w:val="22"/>
        </w:rPr>
      </w:pPr>
      <w:r w:rsidRPr="004D654F">
        <w:rPr>
          <w:rFonts w:ascii="Book Antiqua" w:hAnsi="Book Antiqua" w:cs="Arial"/>
          <w:sz w:val="22"/>
          <w:szCs w:val="22"/>
        </w:rPr>
        <w:t>Les résultats de l’enquête laissent apparaitre selon le niveau des revenus des taux d’insatisfactions plus prononcés pour les clients dont les revenus sont inférieurs à 300</w:t>
      </w:r>
      <w:r w:rsidR="00055B66">
        <w:rPr>
          <w:rFonts w:ascii="Book Antiqua" w:hAnsi="Book Antiqua" w:cs="Arial"/>
          <w:sz w:val="22"/>
          <w:szCs w:val="22"/>
        </w:rPr>
        <w:t> </w:t>
      </w:r>
      <w:r w:rsidRPr="004D654F">
        <w:rPr>
          <w:rFonts w:ascii="Book Antiqua" w:hAnsi="Book Antiqua" w:cs="Arial"/>
          <w:sz w:val="22"/>
          <w:szCs w:val="22"/>
        </w:rPr>
        <w:t>000</w:t>
      </w:r>
      <w:r w:rsidR="00055B66">
        <w:rPr>
          <w:rFonts w:ascii="Book Antiqua" w:hAnsi="Book Antiqua" w:cs="Arial"/>
          <w:sz w:val="22"/>
          <w:szCs w:val="22"/>
        </w:rPr>
        <w:t xml:space="preserve"> </w:t>
      </w:r>
      <w:r w:rsidRPr="004D654F">
        <w:rPr>
          <w:rFonts w:ascii="Book Antiqua" w:hAnsi="Book Antiqua" w:cs="Arial"/>
          <w:sz w:val="22"/>
          <w:szCs w:val="22"/>
        </w:rPr>
        <w:t>FCFA. En effet, il est relevé des proportions de 53,4%, 53,8% et 53,0% respectivement pour les classes de revenus des «</w:t>
      </w:r>
      <w:r w:rsidR="007F7F24">
        <w:rPr>
          <w:rFonts w:ascii="Book Antiqua" w:hAnsi="Book Antiqua" w:cs="Arial"/>
          <w:sz w:val="22"/>
          <w:szCs w:val="22"/>
        </w:rPr>
        <w:t> moins de 50 000FCFA »</w:t>
      </w:r>
      <w:proofErr w:type="gramStart"/>
      <w:r w:rsidR="007F7F24">
        <w:rPr>
          <w:rFonts w:ascii="Book Antiqua" w:hAnsi="Book Antiqua" w:cs="Arial"/>
          <w:sz w:val="22"/>
          <w:szCs w:val="22"/>
        </w:rPr>
        <w:t>,</w:t>
      </w:r>
      <w:r w:rsidR="00575B92">
        <w:rPr>
          <w:rFonts w:ascii="Book Antiqua" w:hAnsi="Book Antiqua" w:cs="Arial"/>
          <w:sz w:val="22"/>
          <w:szCs w:val="22"/>
        </w:rPr>
        <w:t xml:space="preserve"> ]</w:t>
      </w:r>
      <w:r w:rsidR="007F7F24">
        <w:rPr>
          <w:rFonts w:ascii="Book Antiqua" w:hAnsi="Book Antiqua" w:cs="Arial"/>
          <w:sz w:val="22"/>
          <w:szCs w:val="22"/>
        </w:rPr>
        <w:t>50</w:t>
      </w:r>
      <w:proofErr w:type="gramEnd"/>
      <w:r w:rsidR="007F7F24">
        <w:rPr>
          <w:rFonts w:ascii="Book Antiqua" w:hAnsi="Book Antiqua" w:cs="Arial"/>
          <w:sz w:val="22"/>
          <w:szCs w:val="22"/>
        </w:rPr>
        <w:t> 000</w:t>
      </w:r>
      <w:r w:rsidRPr="004D654F">
        <w:rPr>
          <w:rFonts w:ascii="Book Antiqua" w:hAnsi="Book Antiqua" w:cs="Arial"/>
          <w:sz w:val="22"/>
          <w:szCs w:val="22"/>
        </w:rPr>
        <w:t>-100 000F</w:t>
      </w:r>
      <w:r w:rsidR="00817527">
        <w:rPr>
          <w:rFonts w:ascii="Book Antiqua" w:hAnsi="Book Antiqua" w:cs="Arial"/>
          <w:sz w:val="22"/>
          <w:szCs w:val="22"/>
        </w:rPr>
        <w:t>CFA] et</w:t>
      </w:r>
      <w:r w:rsidR="00055B66">
        <w:rPr>
          <w:rFonts w:ascii="Book Antiqua" w:hAnsi="Book Antiqua" w:cs="Arial"/>
          <w:sz w:val="22"/>
          <w:szCs w:val="22"/>
        </w:rPr>
        <w:t xml:space="preserve"> </w:t>
      </w:r>
      <w:r w:rsidR="007F7F24">
        <w:rPr>
          <w:rFonts w:ascii="Book Antiqua" w:hAnsi="Book Antiqua" w:cs="Arial"/>
          <w:sz w:val="22"/>
          <w:szCs w:val="22"/>
        </w:rPr>
        <w:t>]100 000</w:t>
      </w:r>
      <w:r w:rsidRPr="004D654F">
        <w:rPr>
          <w:rFonts w:ascii="Book Antiqua" w:hAnsi="Book Antiqua" w:cs="Arial"/>
          <w:sz w:val="22"/>
          <w:szCs w:val="22"/>
        </w:rPr>
        <w:t>-200</w:t>
      </w:r>
      <w:r w:rsidR="00817527">
        <w:rPr>
          <w:rFonts w:ascii="Book Antiqua" w:hAnsi="Book Antiqua" w:cs="Arial"/>
          <w:sz w:val="22"/>
          <w:szCs w:val="22"/>
        </w:rPr>
        <w:t> </w:t>
      </w:r>
      <w:r w:rsidRPr="004D654F">
        <w:rPr>
          <w:rFonts w:ascii="Book Antiqua" w:hAnsi="Book Antiqua" w:cs="Arial"/>
          <w:sz w:val="22"/>
          <w:szCs w:val="22"/>
        </w:rPr>
        <w:t>000</w:t>
      </w:r>
      <w:r w:rsidR="00817527">
        <w:rPr>
          <w:rFonts w:ascii="Book Antiqua" w:hAnsi="Book Antiqua" w:cs="Arial"/>
          <w:sz w:val="22"/>
          <w:szCs w:val="22"/>
        </w:rPr>
        <w:t xml:space="preserve"> </w:t>
      </w:r>
      <w:r w:rsidRPr="004D654F">
        <w:rPr>
          <w:rFonts w:ascii="Book Antiqua" w:hAnsi="Book Antiqua" w:cs="Arial"/>
          <w:sz w:val="22"/>
          <w:szCs w:val="22"/>
        </w:rPr>
        <w:t>F</w:t>
      </w:r>
      <w:r w:rsidR="007F7F24">
        <w:rPr>
          <w:rFonts w:ascii="Book Antiqua" w:hAnsi="Book Antiqua" w:cs="Arial"/>
          <w:sz w:val="22"/>
          <w:szCs w:val="22"/>
        </w:rPr>
        <w:t>CFA</w:t>
      </w:r>
      <w:r w:rsidRPr="004D654F">
        <w:rPr>
          <w:rFonts w:ascii="Book Antiqua" w:hAnsi="Book Antiqua" w:cs="Arial"/>
          <w:sz w:val="22"/>
          <w:szCs w:val="22"/>
        </w:rPr>
        <w:t>]</w:t>
      </w:r>
      <w:r w:rsidR="000924E2">
        <w:rPr>
          <w:rFonts w:ascii="Book Antiqua" w:hAnsi="Book Antiqua" w:cs="Arial"/>
          <w:sz w:val="22"/>
          <w:szCs w:val="22"/>
        </w:rPr>
        <w:t>.</w:t>
      </w:r>
      <w:r w:rsidRPr="004D654F">
        <w:rPr>
          <w:rFonts w:ascii="Book Antiqua" w:hAnsi="Book Antiqua" w:cs="Arial"/>
          <w:sz w:val="22"/>
          <w:szCs w:val="22"/>
        </w:rPr>
        <w:t xml:space="preserve"> </w:t>
      </w:r>
    </w:p>
    <w:p w:rsidR="00817527" w:rsidRPr="00817527" w:rsidRDefault="00817527" w:rsidP="00575B92">
      <w:pPr>
        <w:pStyle w:val="Lgende"/>
        <w:keepNext/>
        <w:spacing w:before="240" w:after="240" w:line="276" w:lineRule="auto"/>
        <w:jc w:val="center"/>
        <w:rPr>
          <w:color w:val="auto"/>
        </w:rPr>
      </w:pPr>
      <w:bookmarkStart w:id="292" w:name="_Toc523313857"/>
      <w:r w:rsidRPr="00817527">
        <w:rPr>
          <w:color w:val="auto"/>
        </w:rPr>
        <w:t xml:space="preserve">Figure </w:t>
      </w:r>
      <w:r w:rsidR="000D65F2" w:rsidRPr="00817527">
        <w:rPr>
          <w:color w:val="auto"/>
        </w:rPr>
        <w:fldChar w:fldCharType="begin"/>
      </w:r>
      <w:r w:rsidRPr="00817527">
        <w:rPr>
          <w:color w:val="auto"/>
        </w:rPr>
        <w:instrText xml:space="preserve"> SEQ Figure \* ARABIC </w:instrText>
      </w:r>
      <w:r w:rsidR="000D65F2" w:rsidRPr="00817527">
        <w:rPr>
          <w:color w:val="auto"/>
        </w:rPr>
        <w:fldChar w:fldCharType="separate"/>
      </w:r>
      <w:r w:rsidR="000F780F">
        <w:rPr>
          <w:noProof/>
          <w:color w:val="auto"/>
        </w:rPr>
        <w:t>174</w:t>
      </w:r>
      <w:r w:rsidR="000D65F2" w:rsidRPr="00817527">
        <w:rPr>
          <w:color w:val="auto"/>
        </w:rPr>
        <w:fldChar w:fldCharType="end"/>
      </w:r>
      <w:r w:rsidRPr="00817527">
        <w:rPr>
          <w:color w:val="auto"/>
        </w:rPr>
        <w:t xml:space="preserve"> : Appréciation sur l'adéquation des produits bancaires avec les projets des enquêtés selon leur niveau de revenus</w:t>
      </w:r>
      <w:bookmarkEnd w:id="292"/>
    </w:p>
    <w:p w:rsidR="00A62935" w:rsidRPr="00807A47" w:rsidRDefault="00A62935" w:rsidP="00575B92">
      <w:pPr>
        <w:widowControl w:val="0"/>
        <w:spacing w:before="240" w:after="240" w:line="276" w:lineRule="auto"/>
        <w:jc w:val="center"/>
        <w:rPr>
          <w:rFonts w:ascii="Arial" w:hAnsi="Arial" w:cs="Arial"/>
          <w:sz w:val="18"/>
          <w:szCs w:val="22"/>
        </w:rPr>
      </w:pPr>
      <w:r>
        <w:rPr>
          <w:noProof/>
        </w:rPr>
        <w:drawing>
          <wp:inline distT="0" distB="0" distL="0" distR="0">
            <wp:extent cx="4572000" cy="2406650"/>
            <wp:effectExtent l="19050" t="0" r="19050" b="0"/>
            <wp:docPr id="337" name="Graphique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807A47" w:rsidRPr="00055B66" w:rsidRDefault="004204AC" w:rsidP="006818E2">
      <w:pPr>
        <w:numPr>
          <w:ilvl w:val="0"/>
          <w:numId w:val="9"/>
        </w:numPr>
        <w:tabs>
          <w:tab w:val="clear" w:pos="587"/>
          <w:tab w:val="left" w:pos="-720"/>
        </w:tabs>
        <w:suppressAutoHyphens/>
        <w:spacing w:before="120" w:after="120" w:line="276" w:lineRule="auto"/>
        <w:ind w:left="357"/>
        <w:jc w:val="both"/>
        <w:outlineLvl w:val="0"/>
        <w:rPr>
          <w:rFonts w:ascii="Book Antiqua" w:hAnsi="Book Antiqua" w:cs="Arial"/>
          <w:b/>
          <w:sz w:val="22"/>
          <w:szCs w:val="22"/>
        </w:rPr>
      </w:pPr>
      <w:bookmarkStart w:id="293" w:name="_Toc289159184"/>
      <w:bookmarkStart w:id="294" w:name="_Toc523322105"/>
      <w:r w:rsidRPr="00055B66">
        <w:rPr>
          <w:rFonts w:ascii="Book Antiqua" w:hAnsi="Book Antiqua" w:cs="Arial"/>
          <w:b/>
          <w:sz w:val="22"/>
          <w:szCs w:val="22"/>
        </w:rPr>
        <w:lastRenderedPageBreak/>
        <w:t>Satisfaction sur les coûts de</w:t>
      </w:r>
      <w:r w:rsidR="00F36DA9" w:rsidRPr="00055B66">
        <w:rPr>
          <w:rFonts w:ascii="Book Antiqua" w:hAnsi="Book Antiqua" w:cs="Arial"/>
          <w:b/>
          <w:sz w:val="22"/>
          <w:szCs w:val="22"/>
        </w:rPr>
        <w:t>s services</w:t>
      </w:r>
      <w:bookmarkEnd w:id="293"/>
      <w:bookmarkEnd w:id="294"/>
    </w:p>
    <w:p w:rsidR="0056621A" w:rsidRPr="004D654F" w:rsidRDefault="00F36DA9" w:rsidP="00575B92">
      <w:pPr>
        <w:spacing w:before="120" w:after="120" w:line="276" w:lineRule="auto"/>
        <w:jc w:val="both"/>
        <w:rPr>
          <w:rFonts w:ascii="Book Antiqua" w:eastAsia="Calibri" w:hAnsi="Book Antiqua"/>
          <w:sz w:val="22"/>
          <w:szCs w:val="22"/>
        </w:rPr>
      </w:pPr>
      <w:r>
        <w:rPr>
          <w:rFonts w:ascii="Book Antiqua" w:eastAsia="Calibri" w:hAnsi="Book Antiqua"/>
          <w:sz w:val="22"/>
          <w:szCs w:val="22"/>
        </w:rPr>
        <w:t>L’appréciation sur la tarification des services</w:t>
      </w:r>
      <w:r w:rsidR="000924E2">
        <w:rPr>
          <w:rFonts w:ascii="Book Antiqua" w:eastAsia="Calibri" w:hAnsi="Book Antiqua"/>
          <w:sz w:val="22"/>
          <w:szCs w:val="22"/>
        </w:rPr>
        <w:t xml:space="preserve"> </w:t>
      </w:r>
      <w:r>
        <w:rPr>
          <w:rFonts w:ascii="Book Antiqua" w:eastAsia="Calibri" w:hAnsi="Book Antiqua"/>
          <w:sz w:val="22"/>
          <w:szCs w:val="22"/>
        </w:rPr>
        <w:t xml:space="preserve">offerts </w:t>
      </w:r>
      <w:r w:rsidR="00831113">
        <w:rPr>
          <w:rFonts w:ascii="Book Antiqua" w:eastAsia="Calibri" w:hAnsi="Book Antiqua"/>
          <w:sz w:val="22"/>
          <w:szCs w:val="22"/>
        </w:rPr>
        <w:t>est</w:t>
      </w:r>
      <w:r>
        <w:rPr>
          <w:rFonts w:ascii="Book Antiqua" w:eastAsia="Calibri" w:hAnsi="Book Antiqua"/>
          <w:sz w:val="22"/>
          <w:szCs w:val="22"/>
        </w:rPr>
        <w:t xml:space="preserve"> appréhendée à travers l’analyse du degré de satisfaction des clients sur  le</w:t>
      </w:r>
      <w:r w:rsidR="0056621A" w:rsidRPr="0056621A">
        <w:rPr>
          <w:rFonts w:ascii="Book Antiqua" w:eastAsia="Calibri" w:hAnsi="Book Antiqua"/>
          <w:sz w:val="22"/>
          <w:szCs w:val="22"/>
        </w:rPr>
        <w:t xml:space="preserve"> coût des différents types de produits et services </w:t>
      </w:r>
      <w:r w:rsidR="00831113">
        <w:rPr>
          <w:rFonts w:ascii="Book Antiqua" w:eastAsia="Calibri" w:hAnsi="Book Antiqua"/>
          <w:sz w:val="22"/>
          <w:szCs w:val="22"/>
        </w:rPr>
        <w:t xml:space="preserve">(cartes bancaires, </w:t>
      </w:r>
      <w:r w:rsidR="004D654F">
        <w:rPr>
          <w:rFonts w:ascii="Book Antiqua" w:eastAsia="Calibri" w:hAnsi="Book Antiqua"/>
          <w:sz w:val="22"/>
          <w:szCs w:val="22"/>
        </w:rPr>
        <w:t>crédit, gestion du compte</w:t>
      </w:r>
      <w:r w:rsidR="00055B66">
        <w:rPr>
          <w:rFonts w:ascii="Book Antiqua" w:eastAsia="Calibri" w:hAnsi="Book Antiqua"/>
          <w:sz w:val="22"/>
          <w:szCs w:val="22"/>
        </w:rPr>
        <w:t>,</w:t>
      </w:r>
      <w:r w:rsidR="004D654F">
        <w:rPr>
          <w:rFonts w:ascii="Book Antiqua" w:eastAsia="Calibri" w:hAnsi="Book Antiqua"/>
          <w:sz w:val="22"/>
          <w:szCs w:val="22"/>
        </w:rPr>
        <w:t xml:space="preserve"> etc.)</w:t>
      </w:r>
      <w:r w:rsidR="0056621A" w:rsidRPr="0056621A">
        <w:rPr>
          <w:rFonts w:ascii="Book Antiqua" w:eastAsia="Calibri" w:hAnsi="Book Antiqua"/>
          <w:sz w:val="22"/>
          <w:szCs w:val="22"/>
        </w:rPr>
        <w:t>.</w:t>
      </w:r>
    </w:p>
    <w:p w:rsidR="0056621A" w:rsidRPr="004D654F" w:rsidRDefault="000D65F2" w:rsidP="003D5415">
      <w:pPr>
        <w:tabs>
          <w:tab w:val="left" w:pos="880"/>
          <w:tab w:val="right" w:leader="dot" w:pos="9572"/>
        </w:tabs>
        <w:spacing w:before="120" w:after="120" w:line="276" w:lineRule="auto"/>
        <w:ind w:firstLine="284"/>
        <w:jc w:val="both"/>
        <w:outlineLvl w:val="1"/>
        <w:rPr>
          <w:rFonts w:ascii="Book Antiqua" w:hAnsi="Book Antiqua" w:cs="Arial"/>
          <w:b/>
          <w:noProof/>
          <w:sz w:val="22"/>
          <w:szCs w:val="22"/>
        </w:rPr>
      </w:pPr>
      <w:hyperlink w:anchor="_Toc309810034" w:history="1">
        <w:bookmarkStart w:id="295" w:name="_Toc433232112"/>
        <w:bookmarkStart w:id="296" w:name="_Toc523322106"/>
        <w:r w:rsidR="0056621A" w:rsidRPr="004D654F">
          <w:rPr>
            <w:rFonts w:ascii="Book Antiqua" w:hAnsi="Book Antiqua" w:cs="Arial"/>
            <w:b/>
            <w:noProof/>
            <w:sz w:val="22"/>
            <w:szCs w:val="22"/>
          </w:rPr>
          <w:t>III.1. Satisfaction sur le coût des cartes bancaires</w:t>
        </w:r>
        <w:bookmarkEnd w:id="295"/>
        <w:bookmarkEnd w:id="296"/>
      </w:hyperlink>
    </w:p>
    <w:p w:rsidR="0056621A" w:rsidRPr="004E330F" w:rsidRDefault="000D65F2" w:rsidP="003D5415">
      <w:pPr>
        <w:pStyle w:val="Titre1"/>
        <w:numPr>
          <w:ilvl w:val="0"/>
          <w:numId w:val="0"/>
        </w:numPr>
        <w:spacing w:before="120" w:after="120" w:line="276" w:lineRule="auto"/>
        <w:ind w:firstLine="567"/>
      </w:pPr>
      <w:hyperlink w:anchor="_Toc309810035" w:history="1">
        <w:bookmarkStart w:id="297" w:name="_Toc433232113"/>
        <w:bookmarkStart w:id="298" w:name="_Toc523322107"/>
        <w:r w:rsidR="0056621A" w:rsidRPr="004E330F">
          <w:t>III.1.1. Connaissance et avis des clients sur le coût de la carte bancaire</w:t>
        </w:r>
        <w:bookmarkEnd w:id="297"/>
        <w:bookmarkEnd w:id="298"/>
      </w:hyperlink>
    </w:p>
    <w:p w:rsidR="0056621A" w:rsidRDefault="006449CD"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P</w:t>
      </w:r>
      <w:r w:rsidR="0056621A" w:rsidRPr="0056621A">
        <w:rPr>
          <w:rFonts w:ascii="Book Antiqua" w:eastAsia="Calibri" w:hAnsi="Book Antiqua"/>
          <w:sz w:val="22"/>
          <w:szCs w:val="22"/>
          <w:lang w:eastAsia="en-US"/>
        </w:rPr>
        <w:t xml:space="preserve">armi </w:t>
      </w:r>
      <w:r>
        <w:rPr>
          <w:rFonts w:ascii="Book Antiqua" w:eastAsia="Calibri" w:hAnsi="Book Antiqua"/>
          <w:sz w:val="22"/>
          <w:szCs w:val="22"/>
          <w:lang w:eastAsia="en-US"/>
        </w:rPr>
        <w:t>les détenteurs de carte bancaire (26,8% de l’échantillon), une proportion de 48,3</w:t>
      </w:r>
      <w:r w:rsidR="0056621A" w:rsidRPr="0056621A">
        <w:rPr>
          <w:rFonts w:ascii="Book Antiqua" w:eastAsia="Calibri" w:hAnsi="Book Antiqua"/>
          <w:sz w:val="22"/>
          <w:szCs w:val="22"/>
          <w:lang w:eastAsia="en-US"/>
        </w:rPr>
        <w:t xml:space="preserve">% </w:t>
      </w:r>
      <w:r>
        <w:rPr>
          <w:rFonts w:ascii="Book Antiqua" w:eastAsia="Calibri" w:hAnsi="Book Antiqua"/>
          <w:sz w:val="22"/>
          <w:szCs w:val="22"/>
          <w:lang w:eastAsia="en-US"/>
        </w:rPr>
        <w:t>déclare</w:t>
      </w:r>
      <w:r w:rsidR="000924E2">
        <w:rPr>
          <w:rFonts w:ascii="Book Antiqua" w:eastAsia="Calibri" w:hAnsi="Book Antiqua"/>
          <w:sz w:val="22"/>
          <w:szCs w:val="22"/>
          <w:lang w:eastAsia="en-US"/>
        </w:rPr>
        <w:t xml:space="preserve"> </w:t>
      </w:r>
      <w:r>
        <w:rPr>
          <w:rFonts w:ascii="Book Antiqua" w:eastAsia="Calibri" w:hAnsi="Book Antiqua"/>
          <w:sz w:val="22"/>
          <w:szCs w:val="22"/>
          <w:lang w:eastAsia="en-US"/>
        </w:rPr>
        <w:t xml:space="preserve">en </w:t>
      </w:r>
      <w:r w:rsidR="0056621A" w:rsidRPr="0056621A">
        <w:rPr>
          <w:rFonts w:ascii="Book Antiqua" w:eastAsia="Calibri" w:hAnsi="Book Antiqua"/>
          <w:sz w:val="22"/>
          <w:szCs w:val="22"/>
          <w:lang w:eastAsia="en-US"/>
        </w:rPr>
        <w:t>connai</w:t>
      </w:r>
      <w:r w:rsidR="00055B66">
        <w:rPr>
          <w:rFonts w:ascii="Book Antiqua" w:eastAsia="Calibri" w:hAnsi="Book Antiqua"/>
          <w:sz w:val="22"/>
          <w:szCs w:val="22"/>
          <w:lang w:eastAsia="en-US"/>
        </w:rPr>
        <w:t>tre le coût.</w:t>
      </w:r>
      <w:r>
        <w:rPr>
          <w:rFonts w:ascii="Book Antiqua" w:eastAsia="Calibri" w:hAnsi="Book Antiqua"/>
          <w:sz w:val="22"/>
          <w:szCs w:val="22"/>
          <w:lang w:eastAsia="en-US"/>
        </w:rPr>
        <w:t xml:space="preserve"> Il ressort des opinions des titulaires de cartes qu’une proportion importante  </w:t>
      </w:r>
      <w:r w:rsidR="006B1D05">
        <w:rPr>
          <w:rFonts w:ascii="Book Antiqua" w:eastAsia="Calibri" w:hAnsi="Book Antiqua"/>
          <w:sz w:val="22"/>
          <w:szCs w:val="22"/>
          <w:lang w:eastAsia="en-US"/>
        </w:rPr>
        <w:t xml:space="preserve">(71,4%) </w:t>
      </w:r>
      <w:r>
        <w:rPr>
          <w:rFonts w:ascii="Book Antiqua" w:eastAsia="Calibri" w:hAnsi="Book Antiqua"/>
          <w:sz w:val="22"/>
          <w:szCs w:val="22"/>
          <w:lang w:eastAsia="en-US"/>
        </w:rPr>
        <w:t xml:space="preserve">estime le coût </w:t>
      </w:r>
      <w:r w:rsidR="006B1D05">
        <w:rPr>
          <w:rFonts w:ascii="Book Antiqua" w:eastAsia="Calibri" w:hAnsi="Book Antiqua"/>
          <w:sz w:val="22"/>
          <w:szCs w:val="22"/>
          <w:lang w:eastAsia="en-US"/>
        </w:rPr>
        <w:t>annuel « </w:t>
      </w:r>
      <w:r>
        <w:rPr>
          <w:rFonts w:ascii="Book Antiqua" w:eastAsia="Calibri" w:hAnsi="Book Antiqua"/>
          <w:sz w:val="22"/>
          <w:szCs w:val="22"/>
          <w:lang w:eastAsia="en-US"/>
        </w:rPr>
        <w:t>élevé</w:t>
      </w:r>
      <w:r w:rsidR="006B1D05">
        <w:rPr>
          <w:rFonts w:ascii="Book Antiqua" w:eastAsia="Calibri" w:hAnsi="Book Antiqua"/>
          <w:sz w:val="22"/>
          <w:szCs w:val="22"/>
          <w:lang w:eastAsia="en-US"/>
        </w:rPr>
        <w:t xml:space="preserve"> » (49,6%) voire « très élevé » (21,8%). </w:t>
      </w:r>
    </w:p>
    <w:p w:rsidR="00647773" w:rsidRPr="00647773" w:rsidRDefault="00647773" w:rsidP="00575B92">
      <w:pPr>
        <w:pStyle w:val="Lgende"/>
        <w:keepNext/>
        <w:spacing w:before="240" w:after="240" w:line="276" w:lineRule="auto"/>
        <w:jc w:val="center"/>
        <w:rPr>
          <w:color w:val="auto"/>
        </w:rPr>
      </w:pPr>
      <w:bookmarkStart w:id="299" w:name="_Toc523313858"/>
      <w:r w:rsidRPr="00647773">
        <w:rPr>
          <w:color w:val="auto"/>
        </w:rPr>
        <w:t xml:space="preserve">Figure </w:t>
      </w:r>
      <w:r w:rsidR="000D65F2" w:rsidRPr="00647773">
        <w:rPr>
          <w:color w:val="auto"/>
        </w:rPr>
        <w:fldChar w:fldCharType="begin"/>
      </w:r>
      <w:r w:rsidRPr="00647773">
        <w:rPr>
          <w:color w:val="auto"/>
        </w:rPr>
        <w:instrText xml:space="preserve"> SEQ Figure \* ARABIC </w:instrText>
      </w:r>
      <w:r w:rsidR="000D65F2" w:rsidRPr="00647773">
        <w:rPr>
          <w:color w:val="auto"/>
        </w:rPr>
        <w:fldChar w:fldCharType="separate"/>
      </w:r>
      <w:r w:rsidR="000F780F">
        <w:rPr>
          <w:noProof/>
          <w:color w:val="auto"/>
        </w:rPr>
        <w:t>175</w:t>
      </w:r>
      <w:r w:rsidR="000D65F2" w:rsidRPr="00647773">
        <w:rPr>
          <w:color w:val="auto"/>
        </w:rPr>
        <w:fldChar w:fldCharType="end"/>
      </w:r>
      <w:r w:rsidRPr="00647773">
        <w:rPr>
          <w:color w:val="auto"/>
        </w:rPr>
        <w:t xml:space="preserve"> : Appréciation des personnes enquêtées sur le coût de la carte bancaire</w:t>
      </w:r>
      <w:bookmarkEnd w:id="299"/>
    </w:p>
    <w:p w:rsidR="00055B66" w:rsidRPr="00055B66" w:rsidRDefault="0056621A" w:rsidP="00575B92">
      <w:pPr>
        <w:spacing w:before="240" w:after="240" w:line="276" w:lineRule="auto"/>
        <w:jc w:val="center"/>
        <w:rPr>
          <w:rFonts w:ascii="Book Antiqua" w:eastAsia="Calibri" w:hAnsi="Book Antiqua"/>
          <w:szCs w:val="22"/>
          <w:lang w:eastAsia="en-US"/>
        </w:rPr>
      </w:pPr>
      <w:r w:rsidRPr="0056621A">
        <w:rPr>
          <w:rFonts w:ascii="Book Antiqua" w:eastAsia="Calibri" w:hAnsi="Book Antiqua"/>
          <w:noProof/>
          <w:szCs w:val="22"/>
        </w:rPr>
        <w:drawing>
          <wp:inline distT="0" distB="0" distL="0" distR="0">
            <wp:extent cx="3779469" cy="1982419"/>
            <wp:effectExtent l="19050" t="0" r="11481" b="0"/>
            <wp:docPr id="17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56621A" w:rsidRPr="003D5415" w:rsidRDefault="000D65F2" w:rsidP="003D5415">
      <w:pPr>
        <w:tabs>
          <w:tab w:val="left" w:pos="1320"/>
          <w:tab w:val="right" w:leader="dot" w:pos="9572"/>
        </w:tabs>
        <w:spacing w:before="240" w:after="240" w:line="276" w:lineRule="auto"/>
        <w:ind w:firstLine="567"/>
        <w:jc w:val="both"/>
        <w:outlineLvl w:val="2"/>
        <w:rPr>
          <w:rFonts w:ascii="Book Antiqua" w:hAnsi="Book Antiqua"/>
          <w:b/>
          <w:sz w:val="22"/>
          <w:szCs w:val="22"/>
        </w:rPr>
      </w:pPr>
      <w:hyperlink w:anchor="_Toc309810036" w:history="1">
        <w:bookmarkStart w:id="300" w:name="_Toc433232114"/>
        <w:bookmarkStart w:id="301" w:name="_Toc523322108"/>
        <w:r w:rsidR="0056621A" w:rsidRPr="003D5415">
          <w:rPr>
            <w:rFonts w:ascii="Book Antiqua" w:hAnsi="Book Antiqua" w:cs="Arial"/>
            <w:b/>
            <w:noProof/>
            <w:sz w:val="22"/>
            <w:szCs w:val="22"/>
          </w:rPr>
          <w:t>III.1.2</w:t>
        </w:r>
        <w:r w:rsidR="0056621A" w:rsidRPr="003D5415">
          <w:rPr>
            <w:rFonts w:ascii="Book Antiqua" w:hAnsi="Book Antiqua"/>
            <w:b/>
            <w:noProof/>
            <w:sz w:val="22"/>
            <w:szCs w:val="22"/>
          </w:rPr>
          <w:t xml:space="preserve">. </w:t>
        </w:r>
        <w:r w:rsidR="0056621A" w:rsidRPr="003D5415">
          <w:rPr>
            <w:rFonts w:ascii="Book Antiqua" w:hAnsi="Book Antiqua" w:cs="Arial"/>
            <w:b/>
            <w:noProof/>
            <w:sz w:val="22"/>
            <w:szCs w:val="22"/>
          </w:rPr>
          <w:t>Coût des opérations effectuées par les clients hors du réseau GAB de leur banque</w:t>
        </w:r>
        <w:bookmarkEnd w:id="300"/>
        <w:bookmarkEnd w:id="301"/>
      </w:hyperlink>
    </w:p>
    <w:p w:rsidR="0056621A" w:rsidRPr="0056621A" w:rsidRDefault="006B1D05"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Une proportion de 30,1% </w:t>
      </w:r>
      <w:r w:rsidR="0056621A" w:rsidRPr="0056621A">
        <w:rPr>
          <w:rFonts w:ascii="Book Antiqua" w:eastAsia="Calibri" w:hAnsi="Book Antiqua"/>
          <w:sz w:val="22"/>
          <w:szCs w:val="22"/>
          <w:lang w:eastAsia="en-US"/>
        </w:rPr>
        <w:t xml:space="preserve"> des usagers</w:t>
      </w:r>
      <w:r w:rsidR="007B0FF6">
        <w:rPr>
          <w:rFonts w:ascii="Book Antiqua" w:eastAsia="Calibri" w:hAnsi="Book Antiqua"/>
          <w:sz w:val="22"/>
          <w:szCs w:val="22"/>
          <w:lang w:eastAsia="en-US"/>
        </w:rPr>
        <w:t xml:space="preserve"> détenteurs de carte </w:t>
      </w:r>
      <w:r>
        <w:rPr>
          <w:rFonts w:ascii="Book Antiqua" w:eastAsia="Calibri" w:hAnsi="Book Antiqua"/>
          <w:sz w:val="22"/>
          <w:szCs w:val="22"/>
          <w:lang w:eastAsia="en-US"/>
        </w:rPr>
        <w:t xml:space="preserve">déclare avoir </w:t>
      </w:r>
      <w:r w:rsidR="0056621A" w:rsidRPr="0056621A">
        <w:rPr>
          <w:rFonts w:ascii="Book Antiqua" w:eastAsia="Calibri" w:hAnsi="Book Antiqua"/>
          <w:sz w:val="22"/>
          <w:szCs w:val="22"/>
          <w:lang w:eastAsia="en-US"/>
        </w:rPr>
        <w:t xml:space="preserve"> eu </w:t>
      </w:r>
      <w:r>
        <w:rPr>
          <w:rFonts w:ascii="Book Antiqua" w:eastAsia="Calibri" w:hAnsi="Book Antiqua"/>
          <w:sz w:val="22"/>
          <w:szCs w:val="22"/>
          <w:lang w:eastAsia="en-US"/>
        </w:rPr>
        <w:t xml:space="preserve">à effectuer des opérations de retrait d’espèces auprès </w:t>
      </w:r>
      <w:r w:rsidR="0056621A" w:rsidRPr="0056621A">
        <w:rPr>
          <w:rFonts w:ascii="Book Antiqua" w:eastAsia="Calibri" w:hAnsi="Book Antiqua"/>
          <w:sz w:val="22"/>
          <w:szCs w:val="22"/>
          <w:lang w:eastAsia="en-US"/>
        </w:rPr>
        <w:t xml:space="preserve"> des GAB en dehors du réseau de leur banque.</w:t>
      </w:r>
    </w:p>
    <w:p w:rsidR="0056621A" w:rsidRPr="00055B66" w:rsidRDefault="00420E2C"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L’appréciation du </w:t>
      </w:r>
      <w:r w:rsidR="0056621A" w:rsidRPr="0056621A">
        <w:rPr>
          <w:rFonts w:ascii="Book Antiqua" w:eastAsia="Calibri" w:hAnsi="Book Antiqua"/>
          <w:sz w:val="22"/>
          <w:szCs w:val="22"/>
          <w:lang w:eastAsia="en-US"/>
        </w:rPr>
        <w:t xml:space="preserve">coût </w:t>
      </w:r>
      <w:r>
        <w:rPr>
          <w:rFonts w:ascii="Book Antiqua" w:eastAsia="Calibri" w:hAnsi="Book Antiqua"/>
          <w:sz w:val="22"/>
          <w:szCs w:val="22"/>
          <w:lang w:eastAsia="en-US"/>
        </w:rPr>
        <w:t xml:space="preserve">de ces transactions fait ressortir qu’une proportion très élevée </w:t>
      </w:r>
      <w:proofErr w:type="gramStart"/>
      <w:r>
        <w:rPr>
          <w:rFonts w:ascii="Book Antiqua" w:eastAsia="Calibri" w:hAnsi="Book Antiqua"/>
          <w:sz w:val="22"/>
          <w:szCs w:val="22"/>
          <w:lang w:eastAsia="en-US"/>
        </w:rPr>
        <w:t>( 71</w:t>
      </w:r>
      <w:r w:rsidR="0056621A" w:rsidRPr="0056621A">
        <w:rPr>
          <w:rFonts w:ascii="Book Antiqua" w:eastAsia="Calibri" w:hAnsi="Book Antiqua"/>
          <w:sz w:val="22"/>
          <w:szCs w:val="22"/>
          <w:lang w:eastAsia="en-US"/>
        </w:rPr>
        <w:t>,7</w:t>
      </w:r>
      <w:proofErr w:type="gramEnd"/>
      <w:r w:rsidR="0056621A" w:rsidRPr="0056621A">
        <w:rPr>
          <w:rFonts w:ascii="Book Antiqua" w:eastAsia="Calibri" w:hAnsi="Book Antiqua"/>
          <w:sz w:val="22"/>
          <w:szCs w:val="22"/>
          <w:lang w:eastAsia="en-US"/>
        </w:rPr>
        <w:t>%</w:t>
      </w:r>
      <w:r>
        <w:rPr>
          <w:rFonts w:ascii="Book Antiqua" w:eastAsia="Calibri" w:hAnsi="Book Antiqua"/>
          <w:sz w:val="22"/>
          <w:szCs w:val="22"/>
          <w:lang w:eastAsia="en-US"/>
        </w:rPr>
        <w:t>)</w:t>
      </w:r>
      <w:r w:rsidR="0056621A" w:rsidRPr="0056621A">
        <w:rPr>
          <w:rFonts w:ascii="Book Antiqua" w:eastAsia="Calibri" w:hAnsi="Book Antiqua"/>
          <w:sz w:val="22"/>
          <w:szCs w:val="22"/>
          <w:lang w:eastAsia="en-US"/>
        </w:rPr>
        <w:t xml:space="preserve"> des </w:t>
      </w:r>
      <w:r>
        <w:rPr>
          <w:rFonts w:ascii="Book Antiqua" w:eastAsia="Calibri" w:hAnsi="Book Antiqua"/>
          <w:sz w:val="22"/>
          <w:szCs w:val="22"/>
          <w:lang w:eastAsia="en-US"/>
        </w:rPr>
        <w:t xml:space="preserve">usagers </w:t>
      </w:r>
      <w:r w:rsidR="00F825F6">
        <w:rPr>
          <w:rFonts w:ascii="Book Antiqua" w:eastAsia="Calibri" w:hAnsi="Book Antiqua"/>
          <w:sz w:val="22"/>
          <w:szCs w:val="22"/>
          <w:lang w:eastAsia="en-US"/>
        </w:rPr>
        <w:t xml:space="preserve">juge « </w:t>
      </w:r>
      <w:r w:rsidR="0056621A" w:rsidRPr="0056621A">
        <w:rPr>
          <w:rFonts w:ascii="Book Antiqua" w:eastAsia="Calibri" w:hAnsi="Book Antiqua"/>
          <w:sz w:val="22"/>
          <w:szCs w:val="22"/>
          <w:lang w:eastAsia="en-US"/>
        </w:rPr>
        <w:t xml:space="preserve">élevé » voir </w:t>
      </w:r>
      <w:r>
        <w:rPr>
          <w:rFonts w:ascii="Book Antiqua" w:eastAsia="Calibri" w:hAnsi="Book Antiqua"/>
          <w:sz w:val="22"/>
          <w:szCs w:val="22"/>
          <w:lang w:eastAsia="en-US"/>
        </w:rPr>
        <w:t>« </w:t>
      </w:r>
      <w:r w:rsidR="0056621A" w:rsidRPr="0056621A">
        <w:rPr>
          <w:rFonts w:ascii="Book Antiqua" w:eastAsia="Calibri" w:hAnsi="Book Antiqua"/>
          <w:sz w:val="22"/>
          <w:szCs w:val="22"/>
          <w:lang w:eastAsia="en-US"/>
        </w:rPr>
        <w:t xml:space="preserve">très élevé » </w:t>
      </w:r>
      <w:r>
        <w:rPr>
          <w:rFonts w:ascii="Book Antiqua" w:eastAsia="Calibri" w:hAnsi="Book Antiqua"/>
          <w:sz w:val="22"/>
          <w:szCs w:val="22"/>
          <w:lang w:eastAsia="en-US"/>
        </w:rPr>
        <w:t>les frais liés à ce service</w:t>
      </w:r>
      <w:r w:rsidR="0056621A" w:rsidRPr="0056621A">
        <w:rPr>
          <w:rFonts w:ascii="Book Antiqua" w:eastAsia="Calibri" w:hAnsi="Book Antiqua"/>
          <w:sz w:val="22"/>
          <w:szCs w:val="22"/>
          <w:lang w:eastAsia="en-US"/>
        </w:rPr>
        <w:t>.</w:t>
      </w:r>
    </w:p>
    <w:p w:rsidR="00647773" w:rsidRPr="00647773" w:rsidRDefault="00647773" w:rsidP="00575B92">
      <w:pPr>
        <w:pStyle w:val="Lgende"/>
        <w:keepNext/>
        <w:spacing w:before="240" w:after="240" w:line="276" w:lineRule="auto"/>
        <w:jc w:val="center"/>
        <w:rPr>
          <w:color w:val="auto"/>
        </w:rPr>
      </w:pPr>
      <w:bookmarkStart w:id="302" w:name="_Toc523313859"/>
      <w:r w:rsidRPr="00647773">
        <w:rPr>
          <w:color w:val="auto"/>
        </w:rPr>
        <w:t xml:space="preserve">Figure </w:t>
      </w:r>
      <w:r w:rsidR="000D65F2" w:rsidRPr="00647773">
        <w:rPr>
          <w:color w:val="auto"/>
        </w:rPr>
        <w:fldChar w:fldCharType="begin"/>
      </w:r>
      <w:r w:rsidRPr="00647773">
        <w:rPr>
          <w:color w:val="auto"/>
        </w:rPr>
        <w:instrText xml:space="preserve"> SEQ Figure \* ARABIC </w:instrText>
      </w:r>
      <w:r w:rsidR="000D65F2" w:rsidRPr="00647773">
        <w:rPr>
          <w:color w:val="auto"/>
        </w:rPr>
        <w:fldChar w:fldCharType="separate"/>
      </w:r>
      <w:r w:rsidR="000F780F">
        <w:rPr>
          <w:noProof/>
          <w:color w:val="auto"/>
        </w:rPr>
        <w:t>176</w:t>
      </w:r>
      <w:r w:rsidR="000D65F2" w:rsidRPr="00647773">
        <w:rPr>
          <w:color w:val="auto"/>
        </w:rPr>
        <w:fldChar w:fldCharType="end"/>
      </w:r>
      <w:r w:rsidRPr="00647773">
        <w:rPr>
          <w:color w:val="auto"/>
        </w:rPr>
        <w:t xml:space="preserve"> : Appréciation des personnes enquêtées sur le coût hors réseau GAB</w:t>
      </w:r>
      <w:bookmarkEnd w:id="302"/>
    </w:p>
    <w:p w:rsidR="0056621A" w:rsidRPr="00D50439" w:rsidRDefault="00420E2C" w:rsidP="00575B92">
      <w:pPr>
        <w:spacing w:before="240" w:after="240" w:line="276" w:lineRule="auto"/>
        <w:jc w:val="center"/>
      </w:pPr>
      <w:r>
        <w:rPr>
          <w:noProof/>
        </w:rPr>
        <w:drawing>
          <wp:inline distT="0" distB="0" distL="0" distR="0">
            <wp:extent cx="4574843" cy="2422478"/>
            <wp:effectExtent l="19050" t="0" r="16207" b="0"/>
            <wp:docPr id="339" name="Graphique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56621A" w:rsidRPr="0056621A" w:rsidRDefault="007B0FF6" w:rsidP="003D5415">
      <w:pPr>
        <w:spacing w:before="240" w:after="240" w:line="276" w:lineRule="auto"/>
        <w:ind w:firstLine="284"/>
        <w:rPr>
          <w:rFonts w:ascii="Book Antiqua" w:hAnsi="Book Antiqua" w:cs="Arial"/>
          <w:b/>
          <w:noProof/>
          <w:sz w:val="22"/>
          <w:szCs w:val="22"/>
        </w:rPr>
      </w:pPr>
      <w:r>
        <w:br w:type="page"/>
      </w:r>
      <w:hyperlink w:anchor="_Toc309810037" w:history="1">
        <w:bookmarkStart w:id="303" w:name="_Toc433232115"/>
        <w:bookmarkStart w:id="304" w:name="_Toc523322109"/>
        <w:r w:rsidR="0056621A" w:rsidRPr="0056621A">
          <w:rPr>
            <w:rFonts w:ascii="Book Antiqua" w:hAnsi="Book Antiqua" w:cs="Arial"/>
            <w:b/>
            <w:noProof/>
            <w:sz w:val="22"/>
            <w:szCs w:val="22"/>
          </w:rPr>
          <w:t>III.2. Satisfaction sur le</w:t>
        </w:r>
        <w:r w:rsidR="003F27D7">
          <w:rPr>
            <w:rFonts w:ascii="Book Antiqua" w:hAnsi="Book Antiqua" w:cs="Arial"/>
            <w:b/>
            <w:noProof/>
            <w:sz w:val="22"/>
            <w:szCs w:val="22"/>
          </w:rPr>
          <w:t xml:space="preserve">s conditions d’octroi du </w:t>
        </w:r>
        <w:r w:rsidR="0056621A" w:rsidRPr="0056621A">
          <w:rPr>
            <w:rFonts w:ascii="Book Antiqua" w:hAnsi="Book Antiqua" w:cs="Arial"/>
            <w:b/>
            <w:noProof/>
            <w:sz w:val="22"/>
            <w:szCs w:val="22"/>
          </w:rPr>
          <w:t>prêt</w:t>
        </w:r>
        <w:bookmarkEnd w:id="303"/>
        <w:bookmarkEnd w:id="304"/>
      </w:hyperlink>
    </w:p>
    <w:p w:rsidR="00B25228" w:rsidRPr="0056621A" w:rsidRDefault="003F27D7" w:rsidP="00575B92">
      <w:pPr>
        <w:spacing w:before="240" w:after="240" w:line="276" w:lineRule="auto"/>
        <w:jc w:val="both"/>
        <w:rPr>
          <w:rFonts w:ascii="Book Antiqua" w:hAnsi="Book Antiqua"/>
          <w:sz w:val="22"/>
          <w:szCs w:val="22"/>
        </w:rPr>
      </w:pPr>
      <w:r>
        <w:rPr>
          <w:rFonts w:ascii="Book Antiqua" w:hAnsi="Book Antiqua"/>
          <w:sz w:val="22"/>
          <w:szCs w:val="22"/>
        </w:rPr>
        <w:t>La perception des clients sur les conditions d’octroi de prêt est analysée sous plusi</w:t>
      </w:r>
      <w:r w:rsidR="00D50439">
        <w:rPr>
          <w:rFonts w:ascii="Book Antiqua" w:hAnsi="Book Antiqua"/>
          <w:sz w:val="22"/>
          <w:szCs w:val="22"/>
        </w:rPr>
        <w:t>eurs angles : nature du crédit,</w:t>
      </w:r>
      <w:r>
        <w:rPr>
          <w:rFonts w:ascii="Book Antiqua" w:hAnsi="Book Antiqua"/>
          <w:sz w:val="22"/>
          <w:szCs w:val="22"/>
        </w:rPr>
        <w:t xml:space="preserve"> connaissance des engagements antérieurs et des composantes du Taux Effectif Global (TEG), délai d’instruction du dossier</w:t>
      </w:r>
      <w:r w:rsidR="00EF358E">
        <w:rPr>
          <w:rFonts w:ascii="Book Antiqua" w:hAnsi="Book Antiqua"/>
          <w:sz w:val="22"/>
          <w:szCs w:val="22"/>
        </w:rPr>
        <w:t xml:space="preserve"> de prêt</w:t>
      </w:r>
      <w:r>
        <w:rPr>
          <w:rFonts w:ascii="Book Antiqua" w:hAnsi="Book Antiqua"/>
          <w:sz w:val="22"/>
          <w:szCs w:val="22"/>
        </w:rPr>
        <w:t>, niveaux des taux débiteurs</w:t>
      </w:r>
      <w:r w:rsidR="00EF358E">
        <w:rPr>
          <w:rFonts w:ascii="Book Antiqua" w:hAnsi="Book Antiqua"/>
          <w:sz w:val="22"/>
          <w:szCs w:val="22"/>
        </w:rPr>
        <w:t xml:space="preserve">, </w:t>
      </w:r>
      <w:r w:rsidR="009713CE">
        <w:rPr>
          <w:rFonts w:ascii="Book Antiqua" w:hAnsi="Book Antiqua"/>
          <w:sz w:val="22"/>
          <w:szCs w:val="22"/>
        </w:rPr>
        <w:t xml:space="preserve">constitution des </w:t>
      </w:r>
      <w:r w:rsidR="00EF358E">
        <w:rPr>
          <w:rFonts w:ascii="Book Antiqua" w:hAnsi="Book Antiqua"/>
          <w:sz w:val="22"/>
          <w:szCs w:val="22"/>
        </w:rPr>
        <w:t xml:space="preserve">garanties et </w:t>
      </w:r>
      <w:r w:rsidR="009713CE">
        <w:rPr>
          <w:rFonts w:ascii="Book Antiqua" w:hAnsi="Book Antiqua"/>
          <w:sz w:val="22"/>
          <w:szCs w:val="22"/>
        </w:rPr>
        <w:t xml:space="preserve">coûts liés aux </w:t>
      </w:r>
      <w:r w:rsidR="00EF358E">
        <w:rPr>
          <w:rFonts w:ascii="Book Antiqua" w:hAnsi="Book Antiqua"/>
          <w:sz w:val="22"/>
          <w:szCs w:val="22"/>
        </w:rPr>
        <w:t>facilités de caisse</w:t>
      </w:r>
      <w:r>
        <w:rPr>
          <w:rFonts w:ascii="Book Antiqua" w:hAnsi="Book Antiqua"/>
          <w:sz w:val="22"/>
          <w:szCs w:val="22"/>
        </w:rPr>
        <w:t xml:space="preserve">. </w:t>
      </w:r>
    </w:p>
    <w:p w:rsidR="0056621A" w:rsidRPr="004E330F" w:rsidRDefault="000D65F2" w:rsidP="003D5415">
      <w:pPr>
        <w:pStyle w:val="Titre1"/>
        <w:numPr>
          <w:ilvl w:val="0"/>
          <w:numId w:val="0"/>
        </w:numPr>
        <w:spacing w:before="240" w:after="240" w:line="276" w:lineRule="auto"/>
        <w:ind w:firstLine="567"/>
      </w:pPr>
      <w:hyperlink w:anchor="_Toc309810038" w:history="1">
        <w:bookmarkStart w:id="305" w:name="_Toc433232117"/>
        <w:bookmarkStart w:id="306" w:name="_Toc523322110"/>
        <w:r w:rsidR="004E330F" w:rsidRPr="004E330F">
          <w:rPr>
            <w:rFonts w:cs="Arial"/>
            <w:noProof/>
          </w:rPr>
          <w:t>III.2.1</w:t>
        </w:r>
        <w:r w:rsidR="0056621A" w:rsidRPr="004E330F">
          <w:rPr>
            <w:rFonts w:cs="Arial"/>
            <w:noProof/>
          </w:rPr>
          <w:t>. Clients ayant bénéficié d’un prêt et nature des prêts</w:t>
        </w:r>
        <w:bookmarkEnd w:id="305"/>
        <w:bookmarkEnd w:id="306"/>
      </w:hyperlink>
    </w:p>
    <w:p w:rsidR="00C20494" w:rsidRDefault="009713CE"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Parmi les clients ayant eu à formuler une demande de prêt auprès de leur banque (53,1%), une </w:t>
      </w:r>
      <w:r w:rsidR="0056621A" w:rsidRPr="0056621A">
        <w:rPr>
          <w:rFonts w:ascii="Book Antiqua" w:eastAsia="Calibri" w:hAnsi="Book Antiqua"/>
          <w:sz w:val="22"/>
          <w:szCs w:val="22"/>
          <w:lang w:eastAsia="en-US"/>
        </w:rPr>
        <w:t xml:space="preserve"> proportion </w:t>
      </w:r>
      <w:r w:rsidR="004149A8">
        <w:rPr>
          <w:rFonts w:ascii="Book Antiqua" w:eastAsia="Calibri" w:hAnsi="Book Antiqua"/>
          <w:sz w:val="22"/>
          <w:szCs w:val="22"/>
          <w:lang w:eastAsia="en-US"/>
        </w:rPr>
        <w:t xml:space="preserve">élevée </w:t>
      </w:r>
      <w:r>
        <w:rPr>
          <w:rFonts w:ascii="Book Antiqua" w:eastAsia="Calibri" w:hAnsi="Book Antiqua"/>
          <w:sz w:val="22"/>
          <w:szCs w:val="22"/>
          <w:lang w:eastAsia="en-US"/>
        </w:rPr>
        <w:t>de 88,0% déclare avoir bénéficié d’une ligne de crédit</w:t>
      </w:r>
      <w:r w:rsidR="00C20494">
        <w:rPr>
          <w:rFonts w:ascii="Book Antiqua" w:eastAsia="Calibri" w:hAnsi="Book Antiqua"/>
          <w:sz w:val="22"/>
          <w:szCs w:val="22"/>
          <w:lang w:eastAsia="en-US"/>
        </w:rPr>
        <w:t xml:space="preserve"> au cours des trois dernières années</w:t>
      </w:r>
      <w:r>
        <w:rPr>
          <w:rFonts w:ascii="Book Antiqua" w:eastAsia="Calibri" w:hAnsi="Book Antiqua"/>
          <w:sz w:val="22"/>
          <w:szCs w:val="22"/>
          <w:lang w:eastAsia="en-US"/>
        </w:rPr>
        <w:t xml:space="preserve">. </w:t>
      </w:r>
    </w:p>
    <w:p w:rsidR="00C20494" w:rsidRDefault="00C20494" w:rsidP="00575B92">
      <w:pPr>
        <w:spacing w:before="240" w:after="240" w:line="276" w:lineRule="auto"/>
        <w:jc w:val="both"/>
        <w:rPr>
          <w:rFonts w:ascii="Book Antiqua" w:eastAsia="Calibri" w:hAnsi="Book Antiqua"/>
          <w:sz w:val="22"/>
          <w:szCs w:val="22"/>
        </w:rPr>
      </w:pPr>
      <w:r>
        <w:rPr>
          <w:rFonts w:ascii="Book Antiqua" w:eastAsia="Calibri" w:hAnsi="Book Antiqua"/>
          <w:sz w:val="22"/>
          <w:szCs w:val="22"/>
        </w:rPr>
        <w:t xml:space="preserve">L’analyse croisée de la propension à bénéficier d’un crédit avec l’âge </w:t>
      </w:r>
      <w:r w:rsidR="00733B83">
        <w:rPr>
          <w:rFonts w:ascii="Book Antiqua" w:eastAsia="Calibri" w:hAnsi="Book Antiqua"/>
          <w:sz w:val="22"/>
          <w:szCs w:val="22"/>
        </w:rPr>
        <w:t xml:space="preserve">fait apparaitre des taux élevés chez les classes modales des </w:t>
      </w:r>
      <w:r w:rsidRPr="0056621A">
        <w:rPr>
          <w:rFonts w:ascii="Book Antiqua" w:eastAsia="Calibri" w:hAnsi="Book Antiqua"/>
          <w:sz w:val="22"/>
          <w:szCs w:val="22"/>
        </w:rPr>
        <w:t xml:space="preserve"> 35-44 ans </w:t>
      </w:r>
      <w:r w:rsidR="00733B83">
        <w:rPr>
          <w:rFonts w:ascii="Book Antiqua" w:eastAsia="Calibri" w:hAnsi="Book Antiqua"/>
          <w:sz w:val="22"/>
          <w:szCs w:val="22"/>
        </w:rPr>
        <w:t>(</w:t>
      </w:r>
      <w:r>
        <w:rPr>
          <w:rFonts w:ascii="Book Antiqua" w:eastAsia="Calibri" w:hAnsi="Book Antiqua"/>
          <w:sz w:val="22"/>
          <w:szCs w:val="22"/>
        </w:rPr>
        <w:t>91,8</w:t>
      </w:r>
      <w:r w:rsidRPr="0056621A">
        <w:rPr>
          <w:rFonts w:ascii="Book Antiqua" w:eastAsia="Calibri" w:hAnsi="Book Antiqua"/>
          <w:sz w:val="22"/>
          <w:szCs w:val="22"/>
        </w:rPr>
        <w:t>%</w:t>
      </w:r>
      <w:r w:rsidR="00733B83">
        <w:rPr>
          <w:rFonts w:ascii="Book Antiqua" w:eastAsia="Calibri" w:hAnsi="Book Antiqua"/>
          <w:sz w:val="22"/>
          <w:szCs w:val="22"/>
        </w:rPr>
        <w:t>)</w:t>
      </w:r>
      <w:r w:rsidRPr="0056621A">
        <w:rPr>
          <w:rFonts w:ascii="Book Antiqua" w:eastAsia="Calibri" w:hAnsi="Book Antiqua"/>
          <w:sz w:val="22"/>
          <w:szCs w:val="22"/>
        </w:rPr>
        <w:t xml:space="preserve">, suivis des </w:t>
      </w:r>
      <w:r w:rsidR="00733B83">
        <w:rPr>
          <w:rFonts w:ascii="Book Antiqua" w:eastAsia="Calibri" w:hAnsi="Book Antiqua"/>
          <w:sz w:val="22"/>
          <w:szCs w:val="22"/>
        </w:rPr>
        <w:t>4</w:t>
      </w:r>
      <w:r w:rsidRPr="0056621A">
        <w:rPr>
          <w:rFonts w:ascii="Book Antiqua" w:eastAsia="Calibri" w:hAnsi="Book Antiqua"/>
          <w:sz w:val="22"/>
          <w:szCs w:val="22"/>
        </w:rPr>
        <w:t>5-</w:t>
      </w:r>
      <w:r w:rsidR="00733B83">
        <w:rPr>
          <w:rFonts w:ascii="Book Antiqua" w:eastAsia="Calibri" w:hAnsi="Book Antiqua"/>
          <w:sz w:val="22"/>
          <w:szCs w:val="22"/>
        </w:rPr>
        <w:t>5</w:t>
      </w:r>
      <w:r w:rsidRPr="0056621A">
        <w:rPr>
          <w:rFonts w:ascii="Book Antiqua" w:eastAsia="Calibri" w:hAnsi="Book Antiqua"/>
          <w:sz w:val="22"/>
          <w:szCs w:val="22"/>
        </w:rPr>
        <w:t xml:space="preserve">4 ans </w:t>
      </w:r>
      <w:r w:rsidR="00733B83">
        <w:rPr>
          <w:rFonts w:ascii="Book Antiqua" w:eastAsia="Calibri" w:hAnsi="Book Antiqua"/>
          <w:sz w:val="22"/>
          <w:szCs w:val="22"/>
        </w:rPr>
        <w:t>(88,0%), des 55-64 ans (87,3%) et des 25-34 ans (84,5%). Les taux les moins élevés sont enregistrés chez les plus jeunes, 18-25</w:t>
      </w:r>
      <w:r w:rsidR="00595C17">
        <w:rPr>
          <w:rFonts w:ascii="Book Antiqua" w:eastAsia="Calibri" w:hAnsi="Book Antiqua"/>
          <w:sz w:val="22"/>
          <w:szCs w:val="22"/>
        </w:rPr>
        <w:t xml:space="preserve"> </w:t>
      </w:r>
      <w:r w:rsidR="00733B83">
        <w:rPr>
          <w:rFonts w:ascii="Book Antiqua" w:eastAsia="Calibri" w:hAnsi="Book Antiqua"/>
          <w:sz w:val="22"/>
          <w:szCs w:val="22"/>
        </w:rPr>
        <w:t>ans (57,1%) et chez ceux dont l’âge est supérieur à 65 ans (71,4%).</w:t>
      </w:r>
    </w:p>
    <w:p w:rsidR="00647773" w:rsidRDefault="00647773" w:rsidP="00575B92">
      <w:pPr>
        <w:pStyle w:val="Lgende"/>
        <w:keepNext/>
        <w:spacing w:before="240" w:after="240" w:line="276" w:lineRule="auto"/>
        <w:jc w:val="center"/>
      </w:pPr>
    </w:p>
    <w:p w:rsidR="00647773" w:rsidRPr="00647773" w:rsidRDefault="00647773" w:rsidP="00575B92">
      <w:pPr>
        <w:pStyle w:val="Lgende"/>
        <w:keepNext/>
        <w:spacing w:before="240" w:after="240" w:line="276" w:lineRule="auto"/>
        <w:jc w:val="center"/>
        <w:rPr>
          <w:color w:val="auto"/>
        </w:rPr>
      </w:pPr>
      <w:bookmarkStart w:id="307" w:name="_Toc523313860"/>
      <w:r w:rsidRPr="00647773">
        <w:rPr>
          <w:color w:val="auto"/>
        </w:rPr>
        <w:t xml:space="preserve">Figure </w:t>
      </w:r>
      <w:r w:rsidR="000D65F2" w:rsidRPr="00647773">
        <w:rPr>
          <w:color w:val="auto"/>
        </w:rPr>
        <w:fldChar w:fldCharType="begin"/>
      </w:r>
      <w:r w:rsidRPr="00647773">
        <w:rPr>
          <w:color w:val="auto"/>
        </w:rPr>
        <w:instrText xml:space="preserve"> SEQ Figure \* ARABIC </w:instrText>
      </w:r>
      <w:r w:rsidR="000D65F2" w:rsidRPr="00647773">
        <w:rPr>
          <w:color w:val="auto"/>
        </w:rPr>
        <w:fldChar w:fldCharType="separate"/>
      </w:r>
      <w:r w:rsidR="000F780F">
        <w:rPr>
          <w:noProof/>
          <w:color w:val="auto"/>
        </w:rPr>
        <w:t>177</w:t>
      </w:r>
      <w:r w:rsidR="000D65F2" w:rsidRPr="00647773">
        <w:rPr>
          <w:color w:val="auto"/>
        </w:rPr>
        <w:fldChar w:fldCharType="end"/>
      </w:r>
      <w:r w:rsidRPr="00647773">
        <w:rPr>
          <w:color w:val="auto"/>
        </w:rPr>
        <w:t xml:space="preserve"> : Proportion des clients personnes physiques bénéficiaires de crédits selon l'âge</w:t>
      </w:r>
      <w:bookmarkEnd w:id="307"/>
    </w:p>
    <w:p w:rsidR="00C3597B" w:rsidRDefault="00C3597B" w:rsidP="00575B92">
      <w:pPr>
        <w:spacing w:before="240" w:after="240" w:line="276" w:lineRule="auto"/>
        <w:jc w:val="center"/>
        <w:rPr>
          <w:rFonts w:ascii="Book Antiqua" w:eastAsia="Calibri" w:hAnsi="Book Antiqua"/>
          <w:sz w:val="22"/>
          <w:szCs w:val="22"/>
        </w:rPr>
      </w:pPr>
      <w:r w:rsidRPr="00C3597B">
        <w:rPr>
          <w:rFonts w:ascii="Book Antiqua" w:eastAsia="Calibri" w:hAnsi="Book Antiqua"/>
          <w:noProof/>
          <w:sz w:val="22"/>
          <w:szCs w:val="22"/>
        </w:rPr>
        <w:drawing>
          <wp:inline distT="0" distB="0" distL="0" distR="0">
            <wp:extent cx="4277563" cy="2472538"/>
            <wp:effectExtent l="19050" t="0" r="27737" b="3962"/>
            <wp:docPr id="7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C20494" w:rsidRDefault="00E313EC"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L’exploitation des résultats de l’ESUB laisse transparaitre des proportions élevées de bénéficiaires de crédit chez les c</w:t>
      </w:r>
      <w:r w:rsidR="00595C17">
        <w:rPr>
          <w:rFonts w:ascii="Book Antiqua" w:eastAsia="Calibri" w:hAnsi="Book Antiqua"/>
          <w:sz w:val="22"/>
          <w:szCs w:val="22"/>
          <w:lang w:eastAsia="en-US"/>
        </w:rPr>
        <w:t>atégories socioprofessionnelles</w:t>
      </w:r>
      <w:r>
        <w:rPr>
          <w:rFonts w:ascii="Book Antiqua" w:eastAsia="Calibri" w:hAnsi="Book Antiqua"/>
          <w:sz w:val="22"/>
          <w:szCs w:val="22"/>
          <w:lang w:eastAsia="en-US"/>
        </w:rPr>
        <w:t xml:space="preserve"> suivantes : les corps habillés (95,8%), les chefs de division ou de bureau (95,1%),  les employés (90,1%) et les directeurs (83,6%). En revanche, les étudiants (16,7%), les éleveurs (50,0%), les artisans (61,1%) et les professions libérales (63,8%) constituent les franges de clients les moins privilégiées dans l’octroi de prêts. </w:t>
      </w:r>
    </w:p>
    <w:p w:rsidR="00B25228" w:rsidRDefault="00B25228" w:rsidP="00575B92">
      <w:pPr>
        <w:spacing w:before="240" w:after="240" w:line="276" w:lineRule="auto"/>
        <w:rPr>
          <w:rFonts w:ascii="Book Antiqua" w:eastAsia="Calibri" w:hAnsi="Book Antiqua"/>
          <w:sz w:val="22"/>
          <w:szCs w:val="22"/>
          <w:highlight w:val="yellow"/>
          <w:lang w:eastAsia="en-US"/>
        </w:rPr>
      </w:pPr>
      <w:r>
        <w:rPr>
          <w:rFonts w:ascii="Book Antiqua" w:eastAsia="Calibri" w:hAnsi="Book Antiqua"/>
          <w:sz w:val="22"/>
          <w:szCs w:val="22"/>
          <w:highlight w:val="yellow"/>
          <w:lang w:eastAsia="en-US"/>
        </w:rPr>
        <w:br w:type="page"/>
      </w:r>
    </w:p>
    <w:p w:rsidR="00647773" w:rsidRPr="00647773" w:rsidRDefault="00647773" w:rsidP="00575B92">
      <w:pPr>
        <w:pStyle w:val="Lgende"/>
        <w:keepNext/>
        <w:spacing w:before="240" w:after="240" w:line="276" w:lineRule="auto"/>
        <w:jc w:val="center"/>
        <w:rPr>
          <w:color w:val="auto"/>
        </w:rPr>
      </w:pPr>
      <w:bookmarkStart w:id="308" w:name="_Toc523313861"/>
      <w:r w:rsidRPr="00647773">
        <w:rPr>
          <w:color w:val="auto"/>
        </w:rPr>
        <w:lastRenderedPageBreak/>
        <w:t xml:space="preserve">Figure </w:t>
      </w:r>
      <w:r w:rsidR="000D65F2" w:rsidRPr="00647773">
        <w:rPr>
          <w:color w:val="auto"/>
        </w:rPr>
        <w:fldChar w:fldCharType="begin"/>
      </w:r>
      <w:r w:rsidRPr="00647773">
        <w:rPr>
          <w:color w:val="auto"/>
        </w:rPr>
        <w:instrText xml:space="preserve"> SEQ Figure \* ARABIC </w:instrText>
      </w:r>
      <w:r w:rsidR="000D65F2" w:rsidRPr="00647773">
        <w:rPr>
          <w:color w:val="auto"/>
        </w:rPr>
        <w:fldChar w:fldCharType="separate"/>
      </w:r>
      <w:r w:rsidR="000F780F">
        <w:rPr>
          <w:noProof/>
          <w:color w:val="auto"/>
        </w:rPr>
        <w:t>178</w:t>
      </w:r>
      <w:r w:rsidR="000D65F2" w:rsidRPr="00647773">
        <w:rPr>
          <w:color w:val="auto"/>
        </w:rPr>
        <w:fldChar w:fldCharType="end"/>
      </w:r>
      <w:r w:rsidRPr="00647773">
        <w:rPr>
          <w:color w:val="auto"/>
        </w:rPr>
        <w:t xml:space="preserve"> : Proportion des clients personnes physiques bénéficiaires de crédits selon la catégorie socioprofessionnelle</w:t>
      </w:r>
      <w:bookmarkEnd w:id="308"/>
    </w:p>
    <w:p w:rsidR="00B25228" w:rsidRDefault="00B25228" w:rsidP="00575B92">
      <w:pPr>
        <w:spacing w:before="240" w:after="240" w:line="276" w:lineRule="auto"/>
        <w:jc w:val="center"/>
        <w:rPr>
          <w:rFonts w:ascii="Book Antiqua" w:eastAsia="Calibri" w:hAnsi="Book Antiqua"/>
          <w:sz w:val="22"/>
          <w:szCs w:val="22"/>
          <w:lang w:eastAsia="en-US"/>
        </w:rPr>
      </w:pPr>
      <w:r w:rsidRPr="00B25228">
        <w:rPr>
          <w:rFonts w:ascii="Book Antiqua" w:eastAsia="Calibri" w:hAnsi="Book Antiqua"/>
          <w:noProof/>
          <w:sz w:val="22"/>
          <w:szCs w:val="22"/>
        </w:rPr>
        <w:drawing>
          <wp:inline distT="0" distB="0" distL="0" distR="0">
            <wp:extent cx="5167426" cy="2918765"/>
            <wp:effectExtent l="19050" t="0" r="14174" b="0"/>
            <wp:docPr id="246" name="Graphique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647773" w:rsidRDefault="00ED768D"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Le niveau de revenu semble être un critère déterminant pour l’obtention d’un crédit. En effet, il est observé que 90,0% des  clients dont les reven</w:t>
      </w:r>
      <w:r w:rsidR="00F30F96">
        <w:rPr>
          <w:rFonts w:ascii="Book Antiqua" w:eastAsia="Calibri" w:hAnsi="Book Antiqua"/>
          <w:sz w:val="22"/>
          <w:szCs w:val="22"/>
          <w:lang w:eastAsia="en-US"/>
        </w:rPr>
        <w:t>us sont supérieurs à un million</w:t>
      </w:r>
      <w:r>
        <w:rPr>
          <w:rFonts w:ascii="Book Antiqua" w:eastAsia="Calibri" w:hAnsi="Book Antiqua"/>
          <w:sz w:val="22"/>
          <w:szCs w:val="22"/>
          <w:lang w:eastAsia="en-US"/>
        </w:rPr>
        <w:t xml:space="preserve"> ont bénéficié d’un prêt lors des trois</w:t>
      </w:r>
      <w:r w:rsidR="00F30F96">
        <w:rPr>
          <w:rFonts w:ascii="Book Antiqua" w:eastAsia="Calibri" w:hAnsi="Book Antiqua"/>
          <w:sz w:val="22"/>
          <w:szCs w:val="22"/>
          <w:lang w:eastAsia="en-US"/>
        </w:rPr>
        <w:t xml:space="preserve"> (3)</w:t>
      </w:r>
      <w:r>
        <w:rPr>
          <w:rFonts w:ascii="Book Antiqua" w:eastAsia="Calibri" w:hAnsi="Book Antiqua"/>
          <w:sz w:val="22"/>
          <w:szCs w:val="22"/>
          <w:lang w:eastAsia="en-US"/>
        </w:rPr>
        <w:t xml:space="preserve"> dernières années. Il en est de même pour ceux dont les revenus sont compris entre 200</w:t>
      </w:r>
      <w:r w:rsidR="00F30F96">
        <w:rPr>
          <w:rFonts w:ascii="Book Antiqua" w:eastAsia="Calibri" w:hAnsi="Book Antiqua"/>
          <w:sz w:val="22"/>
          <w:szCs w:val="22"/>
          <w:lang w:eastAsia="en-US"/>
        </w:rPr>
        <w:t> </w:t>
      </w:r>
      <w:r>
        <w:rPr>
          <w:rFonts w:ascii="Book Antiqua" w:eastAsia="Calibri" w:hAnsi="Book Antiqua"/>
          <w:sz w:val="22"/>
          <w:szCs w:val="22"/>
          <w:lang w:eastAsia="en-US"/>
        </w:rPr>
        <w:t>000</w:t>
      </w:r>
      <w:r w:rsidR="00F30F96">
        <w:rPr>
          <w:rFonts w:ascii="Book Antiqua" w:eastAsia="Calibri" w:hAnsi="Book Antiqua"/>
          <w:sz w:val="22"/>
          <w:szCs w:val="22"/>
          <w:lang w:eastAsia="en-US"/>
        </w:rPr>
        <w:t xml:space="preserve"> </w:t>
      </w:r>
      <w:r>
        <w:rPr>
          <w:rFonts w:ascii="Book Antiqua" w:eastAsia="Calibri" w:hAnsi="Book Antiqua"/>
          <w:sz w:val="22"/>
          <w:szCs w:val="22"/>
          <w:lang w:eastAsia="en-US"/>
        </w:rPr>
        <w:t>et 500</w:t>
      </w:r>
      <w:r w:rsidR="00BD445A">
        <w:rPr>
          <w:rFonts w:ascii="Book Antiqua" w:eastAsia="Calibri" w:hAnsi="Book Antiqua"/>
          <w:sz w:val="22"/>
          <w:szCs w:val="22"/>
          <w:lang w:eastAsia="en-US"/>
        </w:rPr>
        <w:t> </w:t>
      </w:r>
      <w:r>
        <w:rPr>
          <w:rFonts w:ascii="Book Antiqua" w:eastAsia="Calibri" w:hAnsi="Book Antiqua"/>
          <w:sz w:val="22"/>
          <w:szCs w:val="22"/>
          <w:lang w:eastAsia="en-US"/>
        </w:rPr>
        <w:t>000</w:t>
      </w:r>
      <w:r w:rsidR="00BD445A">
        <w:rPr>
          <w:rFonts w:ascii="Book Antiqua" w:eastAsia="Calibri" w:hAnsi="Book Antiqua"/>
          <w:sz w:val="22"/>
          <w:szCs w:val="22"/>
          <w:lang w:eastAsia="en-US"/>
        </w:rPr>
        <w:t xml:space="preserve"> </w:t>
      </w:r>
      <w:r>
        <w:rPr>
          <w:rFonts w:ascii="Book Antiqua" w:eastAsia="Calibri" w:hAnsi="Book Antiqua"/>
          <w:sz w:val="22"/>
          <w:szCs w:val="22"/>
          <w:lang w:eastAsia="en-US"/>
        </w:rPr>
        <w:t xml:space="preserve">FCFA (90,0%). Ces clients sont suivis de très près par ceux dont les revenus varient entre 500 000 et 1 million </w:t>
      </w:r>
      <w:r w:rsidR="00BD445A">
        <w:rPr>
          <w:rFonts w:ascii="Book Antiqua" w:eastAsia="Calibri" w:hAnsi="Book Antiqua"/>
          <w:sz w:val="22"/>
          <w:szCs w:val="22"/>
          <w:lang w:eastAsia="en-US"/>
        </w:rPr>
        <w:t xml:space="preserve">FCFA </w:t>
      </w:r>
      <w:r>
        <w:rPr>
          <w:rFonts w:ascii="Book Antiqua" w:eastAsia="Calibri" w:hAnsi="Book Antiqua"/>
          <w:sz w:val="22"/>
          <w:szCs w:val="22"/>
          <w:lang w:eastAsia="en-US"/>
        </w:rPr>
        <w:t>(89,0%). Les plus faible taux d’allocation de crédit sont enregistrés chez les catégories de clients à revenus modestes : 78,0% pour les moins de 100 000FCFA et  87,0% pou</w:t>
      </w:r>
      <w:r w:rsidR="00684BB3">
        <w:rPr>
          <w:rFonts w:ascii="Book Antiqua" w:eastAsia="Calibri" w:hAnsi="Book Antiqua"/>
          <w:sz w:val="22"/>
          <w:szCs w:val="22"/>
          <w:lang w:eastAsia="en-US"/>
        </w:rPr>
        <w:t>r la tranche de revenus compris</w:t>
      </w:r>
      <w:r>
        <w:rPr>
          <w:rFonts w:ascii="Book Antiqua" w:eastAsia="Calibri" w:hAnsi="Book Antiqua"/>
          <w:sz w:val="22"/>
          <w:szCs w:val="22"/>
          <w:lang w:eastAsia="en-US"/>
        </w:rPr>
        <w:t xml:space="preserve"> entre 100 000 et 200</w:t>
      </w:r>
      <w:r w:rsidR="00BD445A">
        <w:rPr>
          <w:rFonts w:ascii="Book Antiqua" w:eastAsia="Calibri" w:hAnsi="Book Antiqua"/>
          <w:sz w:val="22"/>
          <w:szCs w:val="22"/>
          <w:lang w:eastAsia="en-US"/>
        </w:rPr>
        <w:t> </w:t>
      </w:r>
      <w:r>
        <w:rPr>
          <w:rFonts w:ascii="Book Antiqua" w:eastAsia="Calibri" w:hAnsi="Book Antiqua"/>
          <w:sz w:val="22"/>
          <w:szCs w:val="22"/>
          <w:lang w:eastAsia="en-US"/>
        </w:rPr>
        <w:t>000</w:t>
      </w:r>
      <w:r w:rsidR="00BD445A">
        <w:rPr>
          <w:rFonts w:ascii="Book Antiqua" w:eastAsia="Calibri" w:hAnsi="Book Antiqua"/>
          <w:sz w:val="22"/>
          <w:szCs w:val="22"/>
          <w:lang w:eastAsia="en-US"/>
        </w:rPr>
        <w:t xml:space="preserve"> </w:t>
      </w:r>
      <w:r>
        <w:rPr>
          <w:rFonts w:ascii="Book Antiqua" w:eastAsia="Calibri" w:hAnsi="Book Antiqua"/>
          <w:sz w:val="22"/>
          <w:szCs w:val="22"/>
          <w:lang w:eastAsia="en-US"/>
        </w:rPr>
        <w:t xml:space="preserve">FCFA. </w:t>
      </w:r>
    </w:p>
    <w:p w:rsidR="00647773" w:rsidRPr="00647773" w:rsidRDefault="00647773" w:rsidP="00575B92">
      <w:pPr>
        <w:pStyle w:val="Lgende"/>
        <w:keepNext/>
        <w:spacing w:before="240" w:after="240" w:line="276" w:lineRule="auto"/>
        <w:jc w:val="center"/>
        <w:rPr>
          <w:color w:val="auto"/>
        </w:rPr>
      </w:pPr>
      <w:bookmarkStart w:id="309" w:name="_Toc523313862"/>
      <w:r w:rsidRPr="00647773">
        <w:rPr>
          <w:color w:val="auto"/>
        </w:rPr>
        <w:t xml:space="preserve">Figure </w:t>
      </w:r>
      <w:r w:rsidR="000D65F2" w:rsidRPr="00647773">
        <w:rPr>
          <w:color w:val="auto"/>
        </w:rPr>
        <w:fldChar w:fldCharType="begin"/>
      </w:r>
      <w:r w:rsidRPr="00647773">
        <w:rPr>
          <w:color w:val="auto"/>
        </w:rPr>
        <w:instrText xml:space="preserve"> SEQ Figure \* ARABIC </w:instrText>
      </w:r>
      <w:r w:rsidR="000D65F2" w:rsidRPr="00647773">
        <w:rPr>
          <w:color w:val="auto"/>
        </w:rPr>
        <w:fldChar w:fldCharType="separate"/>
      </w:r>
      <w:r w:rsidR="000F780F">
        <w:rPr>
          <w:noProof/>
          <w:color w:val="auto"/>
        </w:rPr>
        <w:t>179</w:t>
      </w:r>
      <w:r w:rsidR="000D65F2" w:rsidRPr="00647773">
        <w:rPr>
          <w:color w:val="auto"/>
        </w:rPr>
        <w:fldChar w:fldCharType="end"/>
      </w:r>
      <w:r w:rsidRPr="00647773">
        <w:rPr>
          <w:color w:val="auto"/>
        </w:rPr>
        <w:t xml:space="preserve"> : Proportion des clients personnes physiques bénéficiaires de crédits selon le niveau de revenu</w:t>
      </w:r>
      <w:bookmarkEnd w:id="309"/>
    </w:p>
    <w:p w:rsidR="00B25228" w:rsidRDefault="00B25228" w:rsidP="00575B92">
      <w:pPr>
        <w:spacing w:before="240" w:after="240" w:line="276" w:lineRule="auto"/>
        <w:jc w:val="center"/>
        <w:rPr>
          <w:rFonts w:ascii="Book Antiqua" w:eastAsia="Calibri" w:hAnsi="Book Antiqua"/>
          <w:sz w:val="22"/>
          <w:szCs w:val="22"/>
          <w:lang w:eastAsia="en-US"/>
        </w:rPr>
      </w:pPr>
      <w:r w:rsidRPr="00B25228">
        <w:rPr>
          <w:rFonts w:ascii="Book Antiqua" w:eastAsia="Calibri" w:hAnsi="Book Antiqua"/>
          <w:noProof/>
          <w:sz w:val="22"/>
          <w:szCs w:val="22"/>
        </w:rPr>
        <w:drawing>
          <wp:inline distT="0" distB="0" distL="0" distR="0">
            <wp:extent cx="5657545" cy="2406701"/>
            <wp:effectExtent l="19050" t="0" r="19355" b="0"/>
            <wp:docPr id="249" name="Graphique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56621A" w:rsidRPr="0056621A" w:rsidRDefault="007576F6"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L’analyse suivant la typologie des crédits place au premier rang </w:t>
      </w:r>
      <w:proofErr w:type="gramStart"/>
      <w:r>
        <w:rPr>
          <w:rFonts w:ascii="Book Antiqua" w:eastAsia="Calibri" w:hAnsi="Book Antiqua"/>
          <w:sz w:val="22"/>
          <w:szCs w:val="22"/>
          <w:lang w:eastAsia="en-US"/>
        </w:rPr>
        <w:t>les prêts consommation</w:t>
      </w:r>
      <w:proofErr w:type="gramEnd"/>
      <w:r>
        <w:rPr>
          <w:rFonts w:ascii="Book Antiqua" w:eastAsia="Calibri" w:hAnsi="Book Antiqua"/>
          <w:sz w:val="22"/>
          <w:szCs w:val="22"/>
          <w:lang w:eastAsia="en-US"/>
        </w:rPr>
        <w:t xml:space="preserve"> (4</w:t>
      </w:r>
      <w:r w:rsidR="00F43B88">
        <w:rPr>
          <w:rFonts w:ascii="Book Antiqua" w:eastAsia="Calibri" w:hAnsi="Book Antiqua"/>
          <w:sz w:val="22"/>
          <w:szCs w:val="22"/>
          <w:lang w:eastAsia="en-US"/>
        </w:rPr>
        <w:t xml:space="preserve">0,4%) suivis des prêts immobiliers (33,3%) et </w:t>
      </w:r>
      <w:r w:rsidR="00183183">
        <w:rPr>
          <w:rFonts w:ascii="Book Antiqua" w:eastAsia="Calibri" w:hAnsi="Book Antiqua"/>
          <w:sz w:val="22"/>
          <w:szCs w:val="22"/>
          <w:lang w:eastAsia="en-US"/>
        </w:rPr>
        <w:t>des prêts équipements</w:t>
      </w:r>
      <w:r w:rsidR="00F43B88">
        <w:rPr>
          <w:rFonts w:ascii="Book Antiqua" w:eastAsia="Calibri" w:hAnsi="Book Antiqua"/>
          <w:sz w:val="22"/>
          <w:szCs w:val="22"/>
          <w:lang w:eastAsia="en-US"/>
        </w:rPr>
        <w:t xml:space="preserve"> (22,6%). Les autres types de prêts déclarés par les enquêtés représentent</w:t>
      </w:r>
      <w:r w:rsidR="00BD445A">
        <w:rPr>
          <w:rFonts w:ascii="Book Antiqua" w:eastAsia="Calibri" w:hAnsi="Book Antiqua"/>
          <w:sz w:val="22"/>
          <w:szCs w:val="22"/>
          <w:lang w:eastAsia="en-US"/>
        </w:rPr>
        <w:t xml:space="preserve"> une proportion de</w:t>
      </w:r>
      <w:r w:rsidR="00F43B88">
        <w:rPr>
          <w:rFonts w:ascii="Book Antiqua" w:eastAsia="Calibri" w:hAnsi="Book Antiqua"/>
          <w:sz w:val="22"/>
          <w:szCs w:val="22"/>
          <w:lang w:eastAsia="en-US"/>
        </w:rPr>
        <w:t xml:space="preserve"> 3,7%. </w:t>
      </w:r>
    </w:p>
    <w:p w:rsidR="0056621A" w:rsidRPr="0056621A" w:rsidRDefault="0056621A" w:rsidP="00575B92">
      <w:pPr>
        <w:spacing w:before="240" w:after="240" w:line="276" w:lineRule="auto"/>
        <w:jc w:val="center"/>
        <w:rPr>
          <w:rFonts w:ascii="Book Antiqua" w:eastAsia="Calibri" w:hAnsi="Book Antiqua"/>
          <w:szCs w:val="22"/>
          <w:lang w:eastAsia="en-US"/>
        </w:rPr>
      </w:pPr>
    </w:p>
    <w:p w:rsidR="00647773" w:rsidRPr="00647773" w:rsidRDefault="00647773" w:rsidP="00575B92">
      <w:pPr>
        <w:pStyle w:val="Lgende"/>
        <w:keepNext/>
        <w:spacing w:before="240" w:after="240" w:line="276" w:lineRule="auto"/>
        <w:jc w:val="center"/>
        <w:rPr>
          <w:color w:val="auto"/>
        </w:rPr>
      </w:pPr>
      <w:bookmarkStart w:id="310" w:name="_Toc523313863"/>
      <w:r w:rsidRPr="00647773">
        <w:rPr>
          <w:color w:val="auto"/>
        </w:rPr>
        <w:lastRenderedPageBreak/>
        <w:t xml:space="preserve">Figure </w:t>
      </w:r>
      <w:r w:rsidR="000D65F2" w:rsidRPr="00647773">
        <w:rPr>
          <w:color w:val="auto"/>
        </w:rPr>
        <w:fldChar w:fldCharType="begin"/>
      </w:r>
      <w:r w:rsidRPr="00647773">
        <w:rPr>
          <w:color w:val="auto"/>
        </w:rPr>
        <w:instrText xml:space="preserve"> SEQ Figure \* ARABIC </w:instrText>
      </w:r>
      <w:r w:rsidR="000D65F2" w:rsidRPr="00647773">
        <w:rPr>
          <w:color w:val="auto"/>
        </w:rPr>
        <w:fldChar w:fldCharType="separate"/>
      </w:r>
      <w:r w:rsidR="000F780F">
        <w:rPr>
          <w:noProof/>
          <w:color w:val="auto"/>
        </w:rPr>
        <w:t>180</w:t>
      </w:r>
      <w:r w:rsidR="000D65F2" w:rsidRPr="00647773">
        <w:rPr>
          <w:color w:val="auto"/>
        </w:rPr>
        <w:fldChar w:fldCharType="end"/>
      </w:r>
      <w:r w:rsidRPr="00647773">
        <w:rPr>
          <w:color w:val="auto"/>
        </w:rPr>
        <w:t xml:space="preserve"> : Typologie des prêts consentis aux personnes physiques enquêtées</w:t>
      </w:r>
      <w:bookmarkEnd w:id="310"/>
    </w:p>
    <w:p w:rsidR="0056621A" w:rsidRPr="0056621A" w:rsidRDefault="0056621A" w:rsidP="00575B92">
      <w:pPr>
        <w:spacing w:before="240" w:after="240" w:line="276" w:lineRule="auto"/>
        <w:jc w:val="center"/>
        <w:rPr>
          <w:rFonts w:ascii="Book Antiqua" w:eastAsia="Calibri" w:hAnsi="Book Antiqua"/>
          <w:szCs w:val="22"/>
          <w:lang w:eastAsia="en-US"/>
        </w:rPr>
      </w:pPr>
      <w:r w:rsidRPr="0056621A">
        <w:rPr>
          <w:rFonts w:ascii="Book Antiqua" w:eastAsia="Calibri" w:hAnsi="Book Antiqua"/>
          <w:noProof/>
          <w:szCs w:val="22"/>
        </w:rPr>
        <w:drawing>
          <wp:inline distT="0" distB="0" distL="0" distR="0">
            <wp:extent cx="4857750" cy="2867025"/>
            <wp:effectExtent l="19050" t="0" r="19050" b="0"/>
            <wp:docPr id="17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56621A" w:rsidRPr="004E330F" w:rsidRDefault="000D65F2" w:rsidP="003D5415">
      <w:pPr>
        <w:tabs>
          <w:tab w:val="left" w:pos="1320"/>
          <w:tab w:val="right" w:leader="dot" w:pos="9572"/>
        </w:tabs>
        <w:spacing w:before="360" w:after="240" w:line="276" w:lineRule="auto"/>
        <w:ind w:firstLine="567"/>
        <w:jc w:val="both"/>
        <w:outlineLvl w:val="2"/>
        <w:rPr>
          <w:rFonts w:ascii="Book Antiqua" w:hAnsi="Book Antiqua"/>
          <w:b/>
          <w:sz w:val="22"/>
          <w:szCs w:val="22"/>
        </w:rPr>
      </w:pPr>
      <w:hyperlink w:anchor="_Toc309810039" w:history="1">
        <w:bookmarkStart w:id="311" w:name="_Toc523322111"/>
        <w:bookmarkStart w:id="312" w:name="_Toc433232118"/>
        <w:r w:rsidR="004E330F">
          <w:rPr>
            <w:rFonts w:ascii="Book Antiqua" w:hAnsi="Book Antiqua" w:cs="Arial"/>
            <w:b/>
            <w:noProof/>
            <w:sz w:val="22"/>
            <w:szCs w:val="22"/>
          </w:rPr>
          <w:t>III.2.2</w:t>
        </w:r>
        <w:r w:rsidR="0056621A" w:rsidRPr="004E330F">
          <w:rPr>
            <w:rFonts w:ascii="Book Antiqua" w:hAnsi="Book Antiqua"/>
            <w:b/>
            <w:noProof/>
            <w:sz w:val="22"/>
            <w:szCs w:val="22"/>
          </w:rPr>
          <w:t xml:space="preserve">. </w:t>
        </w:r>
        <w:r w:rsidR="0056621A" w:rsidRPr="004E330F">
          <w:rPr>
            <w:rFonts w:ascii="Book Antiqua" w:hAnsi="Book Antiqua" w:cs="Arial"/>
            <w:b/>
            <w:noProof/>
            <w:sz w:val="22"/>
            <w:szCs w:val="22"/>
          </w:rPr>
          <w:t>Connaissance des engagements antérieurs</w:t>
        </w:r>
        <w:bookmarkEnd w:id="311"/>
        <w:r w:rsidR="0056621A" w:rsidRPr="004E330F">
          <w:rPr>
            <w:rFonts w:ascii="Book Antiqua" w:hAnsi="Book Antiqua" w:cs="Arial"/>
            <w:b/>
            <w:noProof/>
            <w:sz w:val="22"/>
            <w:szCs w:val="22"/>
          </w:rPr>
          <w:t xml:space="preserve"> </w:t>
        </w:r>
        <w:bookmarkEnd w:id="312"/>
      </w:hyperlink>
    </w:p>
    <w:p w:rsidR="0056621A" w:rsidRPr="0056621A" w:rsidRDefault="003F688D"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L’exp</w:t>
      </w:r>
      <w:r w:rsidR="00F07A3B">
        <w:rPr>
          <w:rFonts w:ascii="Book Antiqua" w:eastAsia="Calibri" w:hAnsi="Book Antiqua"/>
          <w:sz w:val="22"/>
          <w:szCs w:val="22"/>
          <w:lang w:eastAsia="en-US"/>
        </w:rPr>
        <w:t>loitation des données de l’ESUB</w:t>
      </w:r>
      <w:r>
        <w:rPr>
          <w:rFonts w:ascii="Book Antiqua" w:eastAsia="Calibri" w:hAnsi="Book Antiqua"/>
          <w:sz w:val="22"/>
          <w:szCs w:val="22"/>
          <w:lang w:eastAsia="en-US"/>
        </w:rPr>
        <w:t xml:space="preserve"> révèle que </w:t>
      </w:r>
      <w:r w:rsidR="00157B03" w:rsidRPr="0056621A">
        <w:rPr>
          <w:rFonts w:ascii="Book Antiqua" w:eastAsia="Calibri" w:hAnsi="Book Antiqua"/>
          <w:sz w:val="22"/>
          <w:szCs w:val="22"/>
          <w:lang w:eastAsia="en-US"/>
        </w:rPr>
        <w:t>pour 29,7% des prêts accordés</w:t>
      </w:r>
      <w:r w:rsidR="00157B03">
        <w:rPr>
          <w:rFonts w:ascii="Book Antiqua" w:eastAsia="Calibri" w:hAnsi="Book Antiqua"/>
          <w:sz w:val="22"/>
          <w:szCs w:val="22"/>
          <w:lang w:eastAsia="en-US"/>
        </w:rPr>
        <w:t xml:space="preserve"> aux personnes physiques,</w:t>
      </w:r>
      <w:r w:rsidR="00F07A3B">
        <w:rPr>
          <w:rFonts w:ascii="Book Antiqua" w:eastAsia="Calibri" w:hAnsi="Book Antiqua"/>
          <w:sz w:val="22"/>
          <w:szCs w:val="22"/>
          <w:lang w:eastAsia="en-US"/>
        </w:rPr>
        <w:t xml:space="preserve"> </w:t>
      </w:r>
      <w:r w:rsidR="0056621A" w:rsidRPr="0056621A">
        <w:rPr>
          <w:rFonts w:ascii="Book Antiqua" w:eastAsia="Calibri" w:hAnsi="Book Antiqua"/>
          <w:sz w:val="22"/>
          <w:szCs w:val="22"/>
          <w:lang w:eastAsia="en-US"/>
        </w:rPr>
        <w:t>la banque n’aurait pas vérifié le niveau d</w:t>
      </w:r>
      <w:r w:rsidR="00157B03">
        <w:rPr>
          <w:rFonts w:ascii="Book Antiqua" w:eastAsia="Calibri" w:hAnsi="Book Antiqua"/>
          <w:sz w:val="22"/>
          <w:szCs w:val="22"/>
          <w:lang w:eastAsia="en-US"/>
        </w:rPr>
        <w:t xml:space="preserve">es </w:t>
      </w:r>
      <w:r w:rsidR="0056621A" w:rsidRPr="0056621A">
        <w:rPr>
          <w:rFonts w:ascii="Book Antiqua" w:eastAsia="Calibri" w:hAnsi="Book Antiqua"/>
          <w:sz w:val="22"/>
          <w:szCs w:val="22"/>
          <w:lang w:eastAsia="en-US"/>
        </w:rPr>
        <w:t xml:space="preserve">engagements antérieurs </w:t>
      </w:r>
      <w:r>
        <w:rPr>
          <w:rFonts w:ascii="Book Antiqua" w:eastAsia="Calibri" w:hAnsi="Book Antiqua"/>
          <w:sz w:val="22"/>
          <w:szCs w:val="22"/>
          <w:lang w:eastAsia="en-US"/>
        </w:rPr>
        <w:t>avant l’octr</w:t>
      </w:r>
      <w:r w:rsidR="00157B03">
        <w:rPr>
          <w:rFonts w:ascii="Book Antiqua" w:eastAsia="Calibri" w:hAnsi="Book Antiqua"/>
          <w:sz w:val="22"/>
          <w:szCs w:val="22"/>
          <w:lang w:eastAsia="en-US"/>
        </w:rPr>
        <w:t>oi du crédit</w:t>
      </w:r>
      <w:r w:rsidR="0056621A" w:rsidRPr="0056621A">
        <w:rPr>
          <w:rFonts w:ascii="Book Antiqua" w:eastAsia="Calibri" w:hAnsi="Book Antiqua"/>
          <w:sz w:val="22"/>
          <w:szCs w:val="22"/>
          <w:lang w:eastAsia="en-US"/>
        </w:rPr>
        <w:t>.</w:t>
      </w:r>
    </w:p>
    <w:p w:rsidR="0056621A" w:rsidRDefault="0056621A" w:rsidP="00575B92">
      <w:pPr>
        <w:spacing w:before="240" w:after="240" w:line="276" w:lineRule="auto"/>
        <w:jc w:val="both"/>
        <w:rPr>
          <w:rFonts w:ascii="Book Antiqua" w:eastAsia="Calibri" w:hAnsi="Book Antiqua"/>
          <w:sz w:val="22"/>
          <w:szCs w:val="22"/>
          <w:lang w:eastAsia="en-US"/>
        </w:rPr>
      </w:pPr>
      <w:r w:rsidRPr="0056621A">
        <w:rPr>
          <w:rFonts w:ascii="Book Antiqua" w:eastAsia="Calibri" w:hAnsi="Book Antiqua"/>
          <w:sz w:val="22"/>
          <w:szCs w:val="22"/>
          <w:lang w:eastAsia="en-US"/>
        </w:rPr>
        <w:t xml:space="preserve">Les résultats de l’analyse croisée selon </w:t>
      </w:r>
      <w:r w:rsidR="004E5226">
        <w:rPr>
          <w:rFonts w:ascii="Book Antiqua" w:eastAsia="Calibri" w:hAnsi="Book Antiqua"/>
          <w:sz w:val="22"/>
          <w:szCs w:val="22"/>
          <w:lang w:eastAsia="en-US"/>
        </w:rPr>
        <w:t xml:space="preserve">la nature de l’activité </w:t>
      </w:r>
      <w:r w:rsidR="003F688D">
        <w:rPr>
          <w:rFonts w:ascii="Book Antiqua" w:eastAsia="Calibri" w:hAnsi="Book Antiqua"/>
          <w:sz w:val="22"/>
          <w:szCs w:val="22"/>
          <w:lang w:eastAsia="en-US"/>
        </w:rPr>
        <w:t>indiquent</w:t>
      </w:r>
      <w:r w:rsidR="004E5226">
        <w:rPr>
          <w:rFonts w:ascii="Book Antiqua" w:eastAsia="Calibri" w:hAnsi="Book Antiqua"/>
          <w:sz w:val="22"/>
          <w:szCs w:val="22"/>
          <w:lang w:eastAsia="en-US"/>
        </w:rPr>
        <w:t xml:space="preserve"> une prévalence des enquêtés issus du secteur informel qui af</w:t>
      </w:r>
      <w:r w:rsidR="00B93488">
        <w:rPr>
          <w:rFonts w:ascii="Book Antiqua" w:eastAsia="Calibri" w:hAnsi="Book Antiqua"/>
          <w:sz w:val="22"/>
          <w:szCs w:val="22"/>
          <w:lang w:eastAsia="en-US"/>
        </w:rPr>
        <w:t>firment à une proportion de 79,2</w:t>
      </w:r>
      <w:r w:rsidR="004E5226">
        <w:rPr>
          <w:rFonts w:ascii="Book Antiqua" w:eastAsia="Calibri" w:hAnsi="Book Antiqua"/>
          <w:sz w:val="22"/>
          <w:szCs w:val="22"/>
          <w:lang w:eastAsia="en-US"/>
        </w:rPr>
        <w:t>% avoir été interrogés sur leurs engagements antérieurs avant l’octroi du prêt. Ce taux est de 70,0% pour les clients du secteur moderne.</w:t>
      </w:r>
    </w:p>
    <w:p w:rsidR="00224E24" w:rsidRPr="00224E24" w:rsidRDefault="00224E24" w:rsidP="00575B92">
      <w:pPr>
        <w:pStyle w:val="Lgende"/>
        <w:keepNext/>
        <w:spacing w:before="240" w:after="240" w:line="276" w:lineRule="auto"/>
        <w:jc w:val="center"/>
        <w:rPr>
          <w:color w:val="auto"/>
          <w:sz w:val="16"/>
          <w:szCs w:val="16"/>
        </w:rPr>
      </w:pPr>
      <w:bookmarkStart w:id="313" w:name="_Toc523313864"/>
      <w:r w:rsidRPr="00224E24">
        <w:rPr>
          <w:color w:val="auto"/>
          <w:sz w:val="16"/>
          <w:szCs w:val="16"/>
        </w:rPr>
        <w:t xml:space="preserve">Figure </w:t>
      </w:r>
      <w:r w:rsidR="000D65F2" w:rsidRPr="00224E24">
        <w:rPr>
          <w:color w:val="auto"/>
          <w:sz w:val="16"/>
          <w:szCs w:val="16"/>
        </w:rPr>
        <w:fldChar w:fldCharType="begin"/>
      </w:r>
      <w:r w:rsidRPr="00224E24">
        <w:rPr>
          <w:color w:val="auto"/>
          <w:sz w:val="16"/>
          <w:szCs w:val="16"/>
        </w:rPr>
        <w:instrText xml:space="preserve"> SEQ Figure \* ARABIC </w:instrText>
      </w:r>
      <w:r w:rsidR="000D65F2" w:rsidRPr="00224E24">
        <w:rPr>
          <w:color w:val="auto"/>
          <w:sz w:val="16"/>
          <w:szCs w:val="16"/>
        </w:rPr>
        <w:fldChar w:fldCharType="separate"/>
      </w:r>
      <w:r w:rsidR="000F780F">
        <w:rPr>
          <w:noProof/>
          <w:color w:val="auto"/>
          <w:sz w:val="16"/>
          <w:szCs w:val="16"/>
        </w:rPr>
        <w:t>181</w:t>
      </w:r>
      <w:r w:rsidR="000D65F2" w:rsidRPr="00224E24">
        <w:rPr>
          <w:color w:val="auto"/>
          <w:sz w:val="16"/>
          <w:szCs w:val="16"/>
        </w:rPr>
        <w:fldChar w:fldCharType="end"/>
      </w:r>
      <w:r w:rsidRPr="00224E24">
        <w:rPr>
          <w:color w:val="auto"/>
          <w:sz w:val="16"/>
          <w:szCs w:val="16"/>
        </w:rPr>
        <w:t xml:space="preserve"> : Niveau de connaissance des engagements antérieurs des clients avant l'octroi de crédit selon la nature de l'activité</w:t>
      </w:r>
      <w:bookmarkEnd w:id="313"/>
    </w:p>
    <w:p w:rsidR="006C6275" w:rsidRDefault="006C6275" w:rsidP="00575B92">
      <w:pPr>
        <w:spacing w:before="240" w:after="240" w:line="276" w:lineRule="auto"/>
        <w:jc w:val="center"/>
        <w:rPr>
          <w:rFonts w:ascii="Book Antiqua" w:eastAsia="Calibri" w:hAnsi="Book Antiqua"/>
          <w:sz w:val="22"/>
          <w:szCs w:val="22"/>
          <w:lang w:eastAsia="en-US"/>
        </w:rPr>
      </w:pPr>
      <w:r w:rsidRPr="006C6275">
        <w:rPr>
          <w:rFonts w:ascii="Book Antiqua" w:eastAsia="Calibri" w:hAnsi="Book Antiqua"/>
          <w:noProof/>
          <w:sz w:val="22"/>
          <w:szCs w:val="22"/>
        </w:rPr>
        <w:drawing>
          <wp:inline distT="0" distB="0" distL="0" distR="0">
            <wp:extent cx="4942417" cy="2743200"/>
            <wp:effectExtent l="19050" t="0" r="10583" b="0"/>
            <wp:docPr id="77" name="Graphique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4E5226" w:rsidRDefault="00AE4C99" w:rsidP="00575B92">
      <w:pPr>
        <w:spacing w:before="240" w:after="240" w:line="276" w:lineRule="auto"/>
        <w:jc w:val="both"/>
        <w:rPr>
          <w:rFonts w:ascii="Book Antiqua" w:eastAsia="Calibri" w:hAnsi="Book Antiqua"/>
          <w:sz w:val="22"/>
          <w:szCs w:val="22"/>
          <w:lang w:eastAsia="en-US"/>
        </w:rPr>
      </w:pPr>
      <w:r w:rsidRPr="00AE3DF1">
        <w:rPr>
          <w:rFonts w:ascii="Book Antiqua" w:eastAsia="Calibri" w:hAnsi="Book Antiqua"/>
          <w:sz w:val="22"/>
          <w:szCs w:val="22"/>
          <w:lang w:eastAsia="en-US"/>
        </w:rPr>
        <w:lastRenderedPageBreak/>
        <w:t xml:space="preserve">La propension à recueillir le niveau des engagements antérieurs des clients est plus prononcée chez les retraités, les artisans et les mareyeurs/commerçants </w:t>
      </w:r>
      <w:r w:rsidR="003F688D">
        <w:rPr>
          <w:rFonts w:ascii="Book Antiqua" w:eastAsia="Calibri" w:hAnsi="Book Antiqua"/>
          <w:sz w:val="22"/>
          <w:szCs w:val="22"/>
          <w:lang w:eastAsia="en-US"/>
        </w:rPr>
        <w:t>dont les opinions exprimées font ressortir des taux respectifs de 82,6%, 81,8% et 80,0%.</w:t>
      </w:r>
    </w:p>
    <w:p w:rsidR="00224E24" w:rsidRPr="00224E24" w:rsidRDefault="00224E24" w:rsidP="00575B92">
      <w:pPr>
        <w:pStyle w:val="Lgende"/>
        <w:keepNext/>
        <w:spacing w:before="240" w:after="240" w:line="276" w:lineRule="auto"/>
        <w:jc w:val="center"/>
        <w:rPr>
          <w:color w:val="auto"/>
        </w:rPr>
      </w:pPr>
      <w:bookmarkStart w:id="314" w:name="_Toc523313865"/>
      <w:r w:rsidRPr="00224E24">
        <w:rPr>
          <w:color w:val="auto"/>
        </w:rPr>
        <w:t xml:space="preserve">Figure </w:t>
      </w:r>
      <w:r w:rsidR="000D65F2" w:rsidRPr="00224E24">
        <w:rPr>
          <w:color w:val="auto"/>
        </w:rPr>
        <w:fldChar w:fldCharType="begin"/>
      </w:r>
      <w:r w:rsidRPr="00224E24">
        <w:rPr>
          <w:color w:val="auto"/>
        </w:rPr>
        <w:instrText xml:space="preserve"> SEQ Figure \* ARABIC </w:instrText>
      </w:r>
      <w:r w:rsidR="000D65F2" w:rsidRPr="00224E24">
        <w:rPr>
          <w:color w:val="auto"/>
        </w:rPr>
        <w:fldChar w:fldCharType="separate"/>
      </w:r>
      <w:r w:rsidR="000F780F">
        <w:rPr>
          <w:noProof/>
          <w:color w:val="auto"/>
        </w:rPr>
        <w:t>182</w:t>
      </w:r>
      <w:r w:rsidR="000D65F2" w:rsidRPr="00224E24">
        <w:rPr>
          <w:color w:val="auto"/>
        </w:rPr>
        <w:fldChar w:fldCharType="end"/>
      </w:r>
      <w:r w:rsidRPr="00224E24">
        <w:rPr>
          <w:color w:val="auto"/>
        </w:rPr>
        <w:t xml:space="preserve"> : Niveau de connaissance des engagements antérieurs des clients selon la catégorie professionnelle</w:t>
      </w:r>
      <w:bookmarkEnd w:id="314"/>
    </w:p>
    <w:p w:rsidR="0094147E" w:rsidRDefault="00DC23C2" w:rsidP="00575B92">
      <w:pPr>
        <w:tabs>
          <w:tab w:val="left" w:pos="1320"/>
          <w:tab w:val="right" w:leader="dot" w:pos="9572"/>
        </w:tabs>
        <w:spacing w:before="240" w:after="240" w:line="276" w:lineRule="auto"/>
        <w:jc w:val="both"/>
        <w:outlineLvl w:val="2"/>
      </w:pPr>
      <w:r w:rsidRPr="00DC23C2">
        <w:rPr>
          <w:noProof/>
        </w:rPr>
        <w:drawing>
          <wp:inline distT="0" distB="0" distL="0" distR="0">
            <wp:extent cx="5958416" cy="3461809"/>
            <wp:effectExtent l="19050" t="0" r="23284" b="5291"/>
            <wp:docPr id="79" name="Graphique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56621A" w:rsidRPr="004E330F" w:rsidRDefault="000D65F2" w:rsidP="003D5415">
      <w:pPr>
        <w:tabs>
          <w:tab w:val="left" w:pos="1320"/>
          <w:tab w:val="right" w:leader="dot" w:pos="9572"/>
        </w:tabs>
        <w:spacing w:before="360" w:after="240" w:line="276" w:lineRule="auto"/>
        <w:ind w:firstLine="567"/>
        <w:jc w:val="both"/>
        <w:outlineLvl w:val="2"/>
        <w:rPr>
          <w:rFonts w:ascii="Book Antiqua" w:hAnsi="Book Antiqua"/>
          <w:b/>
          <w:sz w:val="22"/>
          <w:szCs w:val="22"/>
        </w:rPr>
      </w:pPr>
      <w:hyperlink w:anchor="_Toc309810040" w:history="1">
        <w:bookmarkStart w:id="315" w:name="_Toc433232119"/>
        <w:bookmarkStart w:id="316" w:name="_Toc523322112"/>
        <w:r w:rsidR="004E330F" w:rsidRPr="004E330F">
          <w:rPr>
            <w:rFonts w:ascii="Book Antiqua" w:hAnsi="Book Antiqua" w:cs="Arial"/>
            <w:b/>
            <w:noProof/>
            <w:sz w:val="22"/>
            <w:szCs w:val="22"/>
          </w:rPr>
          <w:t>III.2.3</w:t>
        </w:r>
        <w:r w:rsidR="0056621A" w:rsidRPr="004E330F">
          <w:rPr>
            <w:rFonts w:ascii="Book Antiqua" w:hAnsi="Book Antiqua"/>
            <w:b/>
            <w:noProof/>
            <w:sz w:val="22"/>
            <w:szCs w:val="22"/>
          </w:rPr>
          <w:t xml:space="preserve">. </w:t>
        </w:r>
        <w:r w:rsidR="0056621A" w:rsidRPr="004E330F">
          <w:rPr>
            <w:rFonts w:ascii="Book Antiqua" w:hAnsi="Book Antiqua" w:cs="Arial"/>
            <w:b/>
            <w:noProof/>
            <w:sz w:val="22"/>
            <w:szCs w:val="22"/>
          </w:rPr>
          <w:t>Délais de traitement de la demande de prêt</w:t>
        </w:r>
        <w:bookmarkEnd w:id="315"/>
        <w:bookmarkEnd w:id="316"/>
      </w:hyperlink>
    </w:p>
    <w:p w:rsidR="00DC23C2" w:rsidRDefault="002833C1"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L’examen des statistiques relatives à la durée moyenne d’instruction des demandes de prêt met en exergue les résultats sui</w:t>
      </w:r>
      <w:r w:rsidR="0094147E">
        <w:rPr>
          <w:rFonts w:ascii="Book Antiqua" w:eastAsia="Calibri" w:hAnsi="Book Antiqua"/>
          <w:sz w:val="22"/>
          <w:szCs w:val="22"/>
          <w:lang w:eastAsia="en-US"/>
        </w:rPr>
        <w:t>vants : une proportion de</w:t>
      </w:r>
      <w:r w:rsidR="0056621A" w:rsidRPr="0056621A">
        <w:rPr>
          <w:rFonts w:ascii="Book Antiqua" w:eastAsia="Calibri" w:hAnsi="Book Antiqua"/>
          <w:sz w:val="22"/>
          <w:szCs w:val="22"/>
          <w:lang w:eastAsia="en-US"/>
        </w:rPr>
        <w:t xml:space="preserve"> 30,5% des bénéficiaires de prêt interrogés déclarent </w:t>
      </w:r>
      <w:r>
        <w:rPr>
          <w:rFonts w:ascii="Book Antiqua" w:eastAsia="Calibri" w:hAnsi="Book Antiqua"/>
          <w:sz w:val="22"/>
          <w:szCs w:val="22"/>
          <w:lang w:eastAsia="en-US"/>
        </w:rPr>
        <w:t xml:space="preserve">constater la mise en place effective du prêt dans un délai de </w:t>
      </w:r>
      <w:r w:rsidR="0056621A" w:rsidRPr="0056621A">
        <w:rPr>
          <w:rFonts w:ascii="Book Antiqua" w:eastAsia="Calibri" w:hAnsi="Book Antiqua"/>
          <w:sz w:val="22"/>
          <w:szCs w:val="22"/>
          <w:lang w:eastAsia="en-US"/>
        </w:rPr>
        <w:t xml:space="preserve"> huit (8) </w:t>
      </w:r>
      <w:r>
        <w:rPr>
          <w:rFonts w:ascii="Book Antiqua" w:eastAsia="Calibri" w:hAnsi="Book Antiqua"/>
          <w:sz w:val="22"/>
          <w:szCs w:val="22"/>
          <w:lang w:eastAsia="en-US"/>
        </w:rPr>
        <w:t>à</w:t>
      </w:r>
      <w:r w:rsidR="0094147E">
        <w:rPr>
          <w:rFonts w:ascii="Book Antiqua" w:eastAsia="Calibri" w:hAnsi="Book Antiqua"/>
          <w:sz w:val="22"/>
          <w:szCs w:val="22"/>
          <w:lang w:eastAsia="en-US"/>
        </w:rPr>
        <w:t xml:space="preserve"> </w:t>
      </w:r>
      <w:r w:rsidR="0056621A" w:rsidRPr="0056621A">
        <w:rPr>
          <w:rFonts w:ascii="Book Antiqua" w:eastAsia="Calibri" w:hAnsi="Book Antiqua"/>
          <w:sz w:val="22"/>
          <w:szCs w:val="22"/>
          <w:lang w:eastAsia="en-US"/>
        </w:rPr>
        <w:t xml:space="preserve">quinze (15) jours, contre </w:t>
      </w:r>
      <w:r>
        <w:rPr>
          <w:rFonts w:ascii="Book Antiqua" w:eastAsia="Calibri" w:hAnsi="Book Antiqua"/>
          <w:sz w:val="22"/>
          <w:szCs w:val="22"/>
          <w:lang w:eastAsia="en-US"/>
        </w:rPr>
        <w:t xml:space="preserve">27,9% entre trois (3) et sept (7) jours et 21,7% entre seize (16) et trente (30) jours. </w:t>
      </w:r>
    </w:p>
    <w:p w:rsidR="002833C1" w:rsidRDefault="002833C1"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Des proportions relativement faibles sont relevées pour les délais de traitement de moins de trois (3) jours (3,2%) et ceux excédant trente (30) jours (12,8%).</w:t>
      </w:r>
    </w:p>
    <w:p w:rsidR="00224E24" w:rsidRPr="00224E24" w:rsidRDefault="00224E24" w:rsidP="00575B92">
      <w:pPr>
        <w:pStyle w:val="Lgende"/>
        <w:keepNext/>
        <w:spacing w:before="240" w:after="240" w:line="276" w:lineRule="auto"/>
        <w:jc w:val="center"/>
        <w:rPr>
          <w:color w:val="auto"/>
        </w:rPr>
      </w:pPr>
      <w:bookmarkStart w:id="317" w:name="_Toc523313866"/>
      <w:r w:rsidRPr="00224E24">
        <w:rPr>
          <w:color w:val="auto"/>
        </w:rPr>
        <w:lastRenderedPageBreak/>
        <w:t xml:space="preserve">Figure </w:t>
      </w:r>
      <w:r w:rsidR="000D65F2" w:rsidRPr="00224E24">
        <w:rPr>
          <w:color w:val="auto"/>
        </w:rPr>
        <w:fldChar w:fldCharType="begin"/>
      </w:r>
      <w:r w:rsidRPr="00224E24">
        <w:rPr>
          <w:color w:val="auto"/>
        </w:rPr>
        <w:instrText xml:space="preserve"> SEQ Figure \* ARABIC </w:instrText>
      </w:r>
      <w:r w:rsidR="000D65F2" w:rsidRPr="00224E24">
        <w:rPr>
          <w:color w:val="auto"/>
        </w:rPr>
        <w:fldChar w:fldCharType="separate"/>
      </w:r>
      <w:r w:rsidR="000F780F">
        <w:rPr>
          <w:noProof/>
          <w:color w:val="auto"/>
        </w:rPr>
        <w:t>183</w:t>
      </w:r>
      <w:r w:rsidR="000D65F2" w:rsidRPr="00224E24">
        <w:rPr>
          <w:color w:val="auto"/>
        </w:rPr>
        <w:fldChar w:fldCharType="end"/>
      </w:r>
      <w:r w:rsidRPr="00224E24">
        <w:rPr>
          <w:color w:val="auto"/>
        </w:rPr>
        <w:t xml:space="preserve"> : Délais d'instruction des demandes de prêt des clients personnes physiques</w:t>
      </w:r>
      <w:bookmarkEnd w:id="317"/>
    </w:p>
    <w:p w:rsidR="000E12E5" w:rsidRDefault="0056621A" w:rsidP="00575B92">
      <w:pPr>
        <w:spacing w:before="240" w:after="240" w:line="276" w:lineRule="auto"/>
        <w:jc w:val="center"/>
        <w:rPr>
          <w:rFonts w:ascii="Book Antiqua" w:eastAsia="Calibri" w:hAnsi="Book Antiqua"/>
          <w:szCs w:val="22"/>
          <w:lang w:eastAsia="en-US"/>
        </w:rPr>
      </w:pPr>
      <w:r w:rsidRPr="0056621A">
        <w:rPr>
          <w:rFonts w:ascii="Book Antiqua" w:eastAsia="Calibri" w:hAnsi="Book Antiqua"/>
          <w:noProof/>
          <w:szCs w:val="22"/>
        </w:rPr>
        <w:drawing>
          <wp:inline distT="0" distB="0" distL="0" distR="0">
            <wp:extent cx="5105400" cy="3239770"/>
            <wp:effectExtent l="19050" t="0" r="19050" b="0"/>
            <wp:docPr id="180"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C04A87" w:rsidRPr="00183183" w:rsidRDefault="00C04A87" w:rsidP="003D5415">
      <w:pPr>
        <w:spacing w:before="360" w:after="240" w:line="276" w:lineRule="auto"/>
        <w:jc w:val="both"/>
        <w:rPr>
          <w:rFonts w:ascii="Book Antiqua" w:eastAsia="Calibri" w:hAnsi="Book Antiqua"/>
          <w:sz w:val="22"/>
          <w:szCs w:val="22"/>
          <w:lang w:eastAsia="en-US"/>
        </w:rPr>
      </w:pPr>
      <w:r w:rsidRPr="00183183">
        <w:rPr>
          <w:rFonts w:ascii="Book Antiqua" w:eastAsia="Calibri" w:hAnsi="Book Antiqua"/>
          <w:sz w:val="22"/>
          <w:szCs w:val="22"/>
          <w:lang w:eastAsia="en-US"/>
        </w:rPr>
        <w:t xml:space="preserve">L’analyse de la durée d’instruction des demandes de prêt selon leurs natures fait apparaitre que : </w:t>
      </w:r>
    </w:p>
    <w:p w:rsidR="00C04A87" w:rsidRPr="00183183" w:rsidRDefault="00C04A87" w:rsidP="00F825F6">
      <w:pPr>
        <w:pStyle w:val="Paragraphedeliste"/>
        <w:numPr>
          <w:ilvl w:val="0"/>
          <w:numId w:val="27"/>
        </w:numPr>
        <w:spacing w:before="120" w:after="120" w:line="276" w:lineRule="auto"/>
        <w:ind w:left="567" w:hanging="283"/>
        <w:contextualSpacing w:val="0"/>
        <w:jc w:val="both"/>
        <w:rPr>
          <w:rFonts w:ascii="Book Antiqua" w:eastAsia="Calibri" w:hAnsi="Book Antiqua"/>
          <w:sz w:val="22"/>
          <w:szCs w:val="22"/>
          <w:lang w:eastAsia="en-US"/>
        </w:rPr>
      </w:pPr>
      <w:r w:rsidRPr="00183183">
        <w:rPr>
          <w:rFonts w:ascii="Book Antiqua" w:eastAsia="Calibri" w:hAnsi="Book Antiqua"/>
          <w:sz w:val="22"/>
          <w:szCs w:val="22"/>
          <w:lang w:eastAsia="en-US"/>
        </w:rPr>
        <w:t>les dossiers de crédit immobilier</w:t>
      </w:r>
      <w:r w:rsidR="000E12E5">
        <w:rPr>
          <w:rFonts w:ascii="Book Antiqua" w:eastAsia="Calibri" w:hAnsi="Book Antiqua"/>
          <w:sz w:val="22"/>
          <w:szCs w:val="22"/>
          <w:lang w:eastAsia="en-US"/>
        </w:rPr>
        <w:t xml:space="preserve"> </w:t>
      </w:r>
      <w:r w:rsidRPr="00183183">
        <w:rPr>
          <w:rFonts w:ascii="Book Antiqua" w:eastAsia="Calibri" w:hAnsi="Book Antiqua"/>
          <w:sz w:val="22"/>
          <w:szCs w:val="22"/>
          <w:lang w:eastAsia="en-US"/>
        </w:rPr>
        <w:t>sont traités suivant des délais de moins de trois jours (5,9%), entre trois et sept jours (26,5%), entre huit et quinze jours (31,6%), entre seize et trente jours (21,3%) et plus de trente jours (14,7%)</w:t>
      </w:r>
    </w:p>
    <w:p w:rsidR="003C73C3" w:rsidRPr="00183183" w:rsidRDefault="00C04A87" w:rsidP="00F825F6">
      <w:pPr>
        <w:pStyle w:val="Paragraphedeliste"/>
        <w:numPr>
          <w:ilvl w:val="0"/>
          <w:numId w:val="27"/>
        </w:numPr>
        <w:spacing w:before="120" w:after="120" w:line="276" w:lineRule="auto"/>
        <w:ind w:left="567" w:hanging="283"/>
        <w:contextualSpacing w:val="0"/>
        <w:jc w:val="both"/>
        <w:rPr>
          <w:rFonts w:ascii="Book Antiqua" w:eastAsia="Calibri" w:hAnsi="Book Antiqua"/>
          <w:sz w:val="22"/>
          <w:szCs w:val="22"/>
          <w:lang w:eastAsia="en-US"/>
        </w:rPr>
      </w:pPr>
      <w:r w:rsidRPr="00183183">
        <w:rPr>
          <w:rFonts w:ascii="Book Antiqua" w:eastAsia="Calibri" w:hAnsi="Book Antiqua"/>
          <w:sz w:val="22"/>
          <w:szCs w:val="22"/>
          <w:lang w:eastAsia="en-US"/>
        </w:rPr>
        <w:t>en ce qui concerne</w:t>
      </w:r>
      <w:r w:rsidR="00183E69" w:rsidRPr="00183183">
        <w:rPr>
          <w:rFonts w:ascii="Book Antiqua" w:eastAsia="Calibri" w:hAnsi="Book Antiqua"/>
          <w:sz w:val="22"/>
          <w:szCs w:val="22"/>
          <w:lang w:eastAsia="en-US"/>
        </w:rPr>
        <w:t xml:space="preserve"> les demandes de crédit consommation, il est observé des  délais de traitement de moins de trois jours à une proportion de 9,6%, contre 29,8% entre trois et sept jours, 28,0% entre huit et quinze jours, 19,9% entre seize et trente jours et 12,6% pour plus de trente jours </w:t>
      </w:r>
    </w:p>
    <w:p w:rsidR="00DC23C2" w:rsidRDefault="003C73C3" w:rsidP="00F825F6">
      <w:pPr>
        <w:pStyle w:val="Paragraphedeliste"/>
        <w:numPr>
          <w:ilvl w:val="0"/>
          <w:numId w:val="27"/>
        </w:numPr>
        <w:spacing w:before="120" w:after="120" w:line="276" w:lineRule="auto"/>
        <w:ind w:left="567" w:hanging="283"/>
        <w:contextualSpacing w:val="0"/>
        <w:jc w:val="both"/>
        <w:rPr>
          <w:rFonts w:ascii="Book Antiqua" w:eastAsia="Calibri" w:hAnsi="Book Antiqua"/>
          <w:sz w:val="22"/>
          <w:szCs w:val="22"/>
          <w:lang w:eastAsia="en-US"/>
        </w:rPr>
      </w:pPr>
      <w:r w:rsidRPr="00183183">
        <w:rPr>
          <w:rFonts w:ascii="Book Antiqua" w:eastAsia="Calibri" w:hAnsi="Book Antiqua"/>
          <w:sz w:val="22"/>
          <w:szCs w:val="22"/>
          <w:lang w:eastAsia="en-US"/>
        </w:rPr>
        <w:t>les diligences observées dans le traitement des dossiers de demandes de crédit d’équipement font apparaitre les taux de 4,0%, 27,2%, 35,4%, 23,4% et 10,0% respectivement pour les délais de moins de trois jours, entre trois et sept jours,  entre huit et quinze jours, entre seize et trente jours et pour plus de trente jours</w:t>
      </w:r>
      <w:r w:rsidR="00DC23C2">
        <w:rPr>
          <w:rFonts w:ascii="Book Antiqua" w:eastAsia="Calibri" w:hAnsi="Book Antiqua"/>
          <w:sz w:val="22"/>
          <w:szCs w:val="22"/>
          <w:lang w:eastAsia="en-US"/>
        </w:rPr>
        <w:t>.</w:t>
      </w:r>
    </w:p>
    <w:p w:rsidR="00DC23C2" w:rsidRDefault="00DC23C2" w:rsidP="00575B92">
      <w:pPr>
        <w:spacing w:before="240" w:after="240" w:line="276" w:lineRule="auto"/>
        <w:ind w:left="3"/>
        <w:jc w:val="both"/>
        <w:rPr>
          <w:rFonts w:ascii="Book Antiqua" w:eastAsia="Calibri" w:hAnsi="Book Antiqua"/>
          <w:sz w:val="22"/>
          <w:szCs w:val="22"/>
          <w:lang w:eastAsia="en-US"/>
        </w:rPr>
      </w:pPr>
    </w:p>
    <w:p w:rsidR="00DC23C2" w:rsidRDefault="003C73C3" w:rsidP="00575B92">
      <w:pPr>
        <w:pStyle w:val="Lgende"/>
        <w:keepNext/>
        <w:spacing w:before="240" w:after="240" w:line="276" w:lineRule="auto"/>
        <w:jc w:val="center"/>
        <w:rPr>
          <w:rFonts w:ascii="Book Antiqua" w:eastAsia="Calibri" w:hAnsi="Book Antiqua"/>
          <w:sz w:val="22"/>
          <w:szCs w:val="22"/>
          <w:lang w:eastAsia="en-US"/>
        </w:rPr>
      </w:pPr>
      <w:r w:rsidRPr="00DC23C2">
        <w:rPr>
          <w:rFonts w:ascii="Book Antiqua" w:eastAsia="Calibri" w:hAnsi="Book Antiqua"/>
          <w:sz w:val="22"/>
          <w:szCs w:val="22"/>
          <w:lang w:eastAsia="en-US"/>
        </w:rPr>
        <w:t xml:space="preserve">  </w:t>
      </w:r>
    </w:p>
    <w:p w:rsidR="00DC23C2" w:rsidRDefault="00DC23C2" w:rsidP="00575B92">
      <w:pPr>
        <w:pStyle w:val="Lgende"/>
        <w:keepNext/>
        <w:spacing w:before="240" w:after="240" w:line="276" w:lineRule="auto"/>
        <w:jc w:val="center"/>
        <w:rPr>
          <w:rFonts w:ascii="Book Antiqua" w:eastAsia="Calibri" w:hAnsi="Book Antiqua"/>
          <w:sz w:val="22"/>
          <w:szCs w:val="22"/>
          <w:lang w:eastAsia="en-US"/>
        </w:rPr>
      </w:pPr>
    </w:p>
    <w:p w:rsidR="00DC23C2" w:rsidRDefault="00DC23C2" w:rsidP="00575B92">
      <w:pPr>
        <w:pStyle w:val="Lgende"/>
        <w:keepNext/>
        <w:spacing w:before="240" w:after="240" w:line="276" w:lineRule="auto"/>
        <w:jc w:val="center"/>
        <w:rPr>
          <w:rFonts w:ascii="Book Antiqua" w:eastAsia="Calibri" w:hAnsi="Book Antiqua"/>
          <w:sz w:val="22"/>
          <w:szCs w:val="22"/>
          <w:lang w:eastAsia="en-US"/>
        </w:rPr>
      </w:pPr>
    </w:p>
    <w:p w:rsidR="00DC23C2" w:rsidRDefault="00DC23C2" w:rsidP="00575B92">
      <w:pPr>
        <w:spacing w:before="240" w:after="240" w:line="276" w:lineRule="auto"/>
        <w:rPr>
          <w:rFonts w:eastAsia="Calibri"/>
          <w:lang w:eastAsia="en-US"/>
        </w:rPr>
      </w:pPr>
    </w:p>
    <w:p w:rsidR="00DC23C2" w:rsidRDefault="00DC23C2" w:rsidP="00575B92">
      <w:pPr>
        <w:spacing w:before="240" w:after="240" w:line="276" w:lineRule="auto"/>
        <w:rPr>
          <w:rFonts w:eastAsia="Calibri"/>
          <w:lang w:eastAsia="en-US"/>
        </w:rPr>
      </w:pPr>
    </w:p>
    <w:p w:rsidR="00224E24" w:rsidRPr="00224E24" w:rsidRDefault="00224E24" w:rsidP="00575B92">
      <w:pPr>
        <w:pStyle w:val="Lgende"/>
        <w:keepNext/>
        <w:spacing w:before="240" w:after="240" w:line="276" w:lineRule="auto"/>
        <w:jc w:val="center"/>
        <w:rPr>
          <w:color w:val="auto"/>
        </w:rPr>
      </w:pPr>
      <w:bookmarkStart w:id="318" w:name="_Toc523313867"/>
      <w:r w:rsidRPr="00224E24">
        <w:rPr>
          <w:color w:val="auto"/>
        </w:rPr>
        <w:lastRenderedPageBreak/>
        <w:t xml:space="preserve">Figure </w:t>
      </w:r>
      <w:r w:rsidR="000D65F2" w:rsidRPr="00224E24">
        <w:rPr>
          <w:color w:val="auto"/>
        </w:rPr>
        <w:fldChar w:fldCharType="begin"/>
      </w:r>
      <w:r w:rsidRPr="00224E24">
        <w:rPr>
          <w:color w:val="auto"/>
        </w:rPr>
        <w:instrText xml:space="preserve"> SEQ Figure \* ARABIC </w:instrText>
      </w:r>
      <w:r w:rsidR="000D65F2" w:rsidRPr="00224E24">
        <w:rPr>
          <w:color w:val="auto"/>
        </w:rPr>
        <w:fldChar w:fldCharType="separate"/>
      </w:r>
      <w:r w:rsidR="000F780F">
        <w:rPr>
          <w:noProof/>
          <w:color w:val="auto"/>
        </w:rPr>
        <w:t>184</w:t>
      </w:r>
      <w:r w:rsidR="000D65F2" w:rsidRPr="00224E24">
        <w:rPr>
          <w:color w:val="auto"/>
        </w:rPr>
        <w:fldChar w:fldCharType="end"/>
      </w:r>
      <w:r w:rsidRPr="00224E24">
        <w:rPr>
          <w:color w:val="auto"/>
        </w:rPr>
        <w:t>: Délais d'instruction des demandes de prêts selon leur nature</w:t>
      </w:r>
      <w:bookmarkEnd w:id="318"/>
    </w:p>
    <w:p w:rsidR="00DC23C2" w:rsidRDefault="00DC23C2" w:rsidP="00575B92">
      <w:pPr>
        <w:spacing w:before="240" w:after="240" w:line="276" w:lineRule="auto"/>
        <w:jc w:val="both"/>
        <w:rPr>
          <w:rFonts w:ascii="Book Antiqua" w:eastAsia="Calibri" w:hAnsi="Book Antiqua"/>
          <w:sz w:val="22"/>
          <w:szCs w:val="22"/>
          <w:lang w:eastAsia="en-US"/>
        </w:rPr>
      </w:pPr>
      <w:r w:rsidRPr="00DC23C2">
        <w:rPr>
          <w:rFonts w:ascii="Book Antiqua" w:eastAsia="Calibri" w:hAnsi="Book Antiqua"/>
          <w:noProof/>
          <w:sz w:val="22"/>
          <w:szCs w:val="22"/>
        </w:rPr>
        <w:drawing>
          <wp:inline distT="0" distB="0" distL="0" distR="0">
            <wp:extent cx="5972810" cy="3152775"/>
            <wp:effectExtent l="19050" t="0" r="27940" b="0"/>
            <wp:docPr id="256" name="Graphique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DC23C2" w:rsidRDefault="00DC23C2" w:rsidP="00575B92">
      <w:pPr>
        <w:spacing w:before="240" w:after="240" w:line="276" w:lineRule="auto"/>
        <w:jc w:val="both"/>
        <w:rPr>
          <w:rFonts w:ascii="Book Antiqua" w:eastAsia="Calibri" w:hAnsi="Book Antiqua"/>
          <w:sz w:val="22"/>
          <w:szCs w:val="22"/>
          <w:lang w:eastAsia="en-US"/>
        </w:rPr>
      </w:pPr>
    </w:p>
    <w:p w:rsidR="0056621A" w:rsidRDefault="0056621A" w:rsidP="00575B92">
      <w:pPr>
        <w:spacing w:before="240" w:after="240" w:line="276" w:lineRule="auto"/>
        <w:jc w:val="both"/>
        <w:rPr>
          <w:rFonts w:ascii="Book Antiqua" w:eastAsia="Calibri" w:hAnsi="Book Antiqua"/>
          <w:sz w:val="22"/>
          <w:szCs w:val="22"/>
          <w:lang w:eastAsia="en-US"/>
        </w:rPr>
      </w:pPr>
      <w:r w:rsidRPr="0056621A">
        <w:rPr>
          <w:rFonts w:ascii="Book Antiqua" w:eastAsia="Calibri" w:hAnsi="Book Antiqua"/>
          <w:sz w:val="22"/>
          <w:szCs w:val="22"/>
          <w:lang w:eastAsia="en-US"/>
        </w:rPr>
        <w:t xml:space="preserve">Quant à l’appréciation des délais d’instruction des demandes de prêt, 45,4% des clients bénéficiaires de prêt les trouvent </w:t>
      </w:r>
      <w:r w:rsidR="00BF615D">
        <w:rPr>
          <w:rFonts w:ascii="Book Antiqua" w:eastAsia="Calibri" w:hAnsi="Book Antiqua"/>
          <w:sz w:val="22"/>
          <w:szCs w:val="22"/>
          <w:lang w:eastAsia="en-US"/>
        </w:rPr>
        <w:t>« </w:t>
      </w:r>
      <w:r w:rsidRPr="0056621A">
        <w:rPr>
          <w:rFonts w:ascii="Book Antiqua" w:eastAsia="Calibri" w:hAnsi="Book Antiqua"/>
          <w:sz w:val="22"/>
          <w:szCs w:val="22"/>
          <w:lang w:eastAsia="en-US"/>
        </w:rPr>
        <w:t>raisonnables</w:t>
      </w:r>
      <w:r w:rsidR="00BF615D">
        <w:rPr>
          <w:rFonts w:ascii="Book Antiqua" w:eastAsia="Calibri" w:hAnsi="Book Antiqua"/>
          <w:sz w:val="22"/>
          <w:szCs w:val="22"/>
          <w:lang w:eastAsia="en-US"/>
        </w:rPr>
        <w:t> »</w:t>
      </w:r>
      <w:r w:rsidR="000E12E5">
        <w:rPr>
          <w:rFonts w:ascii="Book Antiqua" w:eastAsia="Calibri" w:hAnsi="Book Antiqua"/>
          <w:sz w:val="22"/>
          <w:szCs w:val="22"/>
          <w:lang w:eastAsia="en-US"/>
        </w:rPr>
        <w:t xml:space="preserve"> </w:t>
      </w:r>
      <w:r w:rsidR="00BF615D">
        <w:rPr>
          <w:rFonts w:ascii="Book Antiqua" w:eastAsia="Calibri" w:hAnsi="Book Antiqua"/>
          <w:sz w:val="22"/>
          <w:szCs w:val="22"/>
          <w:lang w:eastAsia="en-US"/>
        </w:rPr>
        <w:t>ou</w:t>
      </w:r>
      <w:r w:rsidR="000E12E5">
        <w:rPr>
          <w:rFonts w:ascii="Book Antiqua" w:eastAsia="Calibri" w:hAnsi="Book Antiqua"/>
          <w:sz w:val="22"/>
          <w:szCs w:val="22"/>
          <w:lang w:eastAsia="en-US"/>
        </w:rPr>
        <w:t xml:space="preserve"> </w:t>
      </w:r>
      <w:r w:rsidR="00BF615D">
        <w:rPr>
          <w:rFonts w:ascii="Book Antiqua" w:eastAsia="Calibri" w:hAnsi="Book Antiqua"/>
          <w:sz w:val="22"/>
          <w:szCs w:val="22"/>
          <w:lang w:eastAsia="en-US"/>
        </w:rPr>
        <w:t>« </w:t>
      </w:r>
      <w:r w:rsidRPr="0056621A">
        <w:rPr>
          <w:rFonts w:ascii="Book Antiqua" w:eastAsia="Calibri" w:hAnsi="Book Antiqua"/>
          <w:sz w:val="22"/>
          <w:szCs w:val="22"/>
          <w:lang w:eastAsia="en-US"/>
        </w:rPr>
        <w:t>très raisonnables</w:t>
      </w:r>
      <w:r w:rsidR="00BF615D">
        <w:rPr>
          <w:rFonts w:ascii="Book Antiqua" w:eastAsia="Calibri" w:hAnsi="Book Antiqua"/>
          <w:sz w:val="22"/>
          <w:szCs w:val="22"/>
          <w:lang w:eastAsia="en-US"/>
        </w:rPr>
        <w:t> » (</w:t>
      </w:r>
      <w:r w:rsidR="00BF615D" w:rsidRPr="0056621A">
        <w:rPr>
          <w:rFonts w:ascii="Book Antiqua" w:eastAsia="Calibri" w:hAnsi="Book Antiqua"/>
          <w:sz w:val="22"/>
          <w:szCs w:val="22"/>
          <w:lang w:eastAsia="en-US"/>
        </w:rPr>
        <w:t>6,5%</w:t>
      </w:r>
      <w:r w:rsidR="00BF615D">
        <w:rPr>
          <w:rFonts w:ascii="Book Antiqua" w:eastAsia="Calibri" w:hAnsi="Book Antiqua"/>
          <w:sz w:val="22"/>
          <w:szCs w:val="22"/>
          <w:lang w:eastAsia="en-US"/>
        </w:rPr>
        <w:t>)</w:t>
      </w:r>
      <w:r w:rsidR="00FC1052">
        <w:rPr>
          <w:rFonts w:ascii="Book Antiqua" w:eastAsia="Calibri" w:hAnsi="Book Antiqua"/>
          <w:sz w:val="22"/>
          <w:szCs w:val="22"/>
          <w:lang w:eastAsia="en-US"/>
        </w:rPr>
        <w:t xml:space="preserve"> </w:t>
      </w:r>
      <w:r w:rsidRPr="0056621A">
        <w:rPr>
          <w:rFonts w:ascii="Book Antiqua" w:eastAsia="Calibri" w:hAnsi="Book Antiqua"/>
          <w:sz w:val="22"/>
          <w:szCs w:val="22"/>
          <w:lang w:eastAsia="en-US"/>
        </w:rPr>
        <w:t xml:space="preserve">; </w:t>
      </w:r>
      <w:r w:rsidR="00BF615D">
        <w:rPr>
          <w:rFonts w:ascii="Book Antiqua" w:eastAsia="Calibri" w:hAnsi="Book Antiqua"/>
          <w:sz w:val="22"/>
          <w:szCs w:val="22"/>
          <w:lang w:eastAsia="en-US"/>
        </w:rPr>
        <w:t xml:space="preserve">une proportion non négligeable de 48,2% estime que les diligences apportées dans le traitement de leur dossier de prêt </w:t>
      </w:r>
      <w:r w:rsidRPr="0056621A">
        <w:rPr>
          <w:rFonts w:ascii="Book Antiqua" w:eastAsia="Calibri" w:hAnsi="Book Antiqua"/>
          <w:sz w:val="22"/>
          <w:szCs w:val="22"/>
          <w:lang w:eastAsia="en-US"/>
        </w:rPr>
        <w:t xml:space="preserve"> sont </w:t>
      </w:r>
      <w:r w:rsidR="00BF615D">
        <w:rPr>
          <w:rFonts w:ascii="Book Antiqua" w:eastAsia="Calibri" w:hAnsi="Book Antiqua"/>
          <w:sz w:val="22"/>
          <w:szCs w:val="22"/>
          <w:lang w:eastAsia="en-US"/>
        </w:rPr>
        <w:t>« </w:t>
      </w:r>
      <w:r w:rsidRPr="0056621A">
        <w:rPr>
          <w:rFonts w:ascii="Book Antiqua" w:eastAsia="Calibri" w:hAnsi="Book Antiqua"/>
          <w:sz w:val="22"/>
          <w:szCs w:val="22"/>
          <w:lang w:eastAsia="en-US"/>
        </w:rPr>
        <w:t>long</w:t>
      </w:r>
      <w:r w:rsidR="00BF615D">
        <w:rPr>
          <w:rFonts w:ascii="Book Antiqua" w:eastAsia="Calibri" w:hAnsi="Book Antiqua"/>
          <w:sz w:val="22"/>
          <w:szCs w:val="22"/>
          <w:lang w:eastAsia="en-US"/>
        </w:rPr>
        <w:t>ue</w:t>
      </w:r>
      <w:r w:rsidRPr="0056621A">
        <w:rPr>
          <w:rFonts w:ascii="Book Antiqua" w:eastAsia="Calibri" w:hAnsi="Book Antiqua"/>
          <w:sz w:val="22"/>
          <w:szCs w:val="22"/>
          <w:lang w:eastAsia="en-US"/>
        </w:rPr>
        <w:t>s</w:t>
      </w:r>
      <w:r w:rsidR="00BF615D">
        <w:rPr>
          <w:rFonts w:ascii="Book Antiqua" w:eastAsia="Calibri" w:hAnsi="Book Antiqua"/>
          <w:sz w:val="22"/>
          <w:szCs w:val="22"/>
          <w:lang w:eastAsia="en-US"/>
        </w:rPr>
        <w:t> »</w:t>
      </w:r>
      <w:r w:rsidR="000E12E5">
        <w:rPr>
          <w:rFonts w:ascii="Book Antiqua" w:eastAsia="Calibri" w:hAnsi="Book Antiqua"/>
          <w:sz w:val="22"/>
          <w:szCs w:val="22"/>
          <w:lang w:eastAsia="en-US"/>
        </w:rPr>
        <w:t xml:space="preserve"> </w:t>
      </w:r>
      <w:r w:rsidR="00BF615D">
        <w:rPr>
          <w:rFonts w:ascii="Book Antiqua" w:eastAsia="Calibri" w:hAnsi="Book Antiqua"/>
          <w:sz w:val="22"/>
          <w:szCs w:val="22"/>
          <w:lang w:eastAsia="en-US"/>
        </w:rPr>
        <w:t>voire « trop longues »</w:t>
      </w:r>
      <w:r w:rsidR="000E12E5">
        <w:rPr>
          <w:rFonts w:ascii="Book Antiqua" w:eastAsia="Calibri" w:hAnsi="Book Antiqua"/>
          <w:sz w:val="22"/>
          <w:szCs w:val="22"/>
          <w:lang w:eastAsia="en-US"/>
        </w:rPr>
        <w:t>.</w:t>
      </w:r>
      <w:r w:rsidR="00BF615D">
        <w:rPr>
          <w:rFonts w:ascii="Book Antiqua" w:eastAsia="Calibri" w:hAnsi="Book Antiqua"/>
          <w:sz w:val="22"/>
          <w:szCs w:val="22"/>
          <w:lang w:eastAsia="en-US"/>
        </w:rPr>
        <w:t xml:space="preserve"> </w:t>
      </w:r>
    </w:p>
    <w:p w:rsidR="00224E24" w:rsidRDefault="00224E24" w:rsidP="00575B92">
      <w:pPr>
        <w:pStyle w:val="Lgende"/>
        <w:keepNext/>
        <w:spacing w:before="240" w:after="240" w:line="276" w:lineRule="auto"/>
        <w:jc w:val="center"/>
      </w:pPr>
    </w:p>
    <w:p w:rsidR="00224E24" w:rsidRPr="00224E24" w:rsidRDefault="00224E24" w:rsidP="00575B92">
      <w:pPr>
        <w:pStyle w:val="Lgende"/>
        <w:keepNext/>
        <w:spacing w:before="240" w:after="240" w:line="276" w:lineRule="auto"/>
        <w:jc w:val="center"/>
        <w:rPr>
          <w:color w:val="auto"/>
        </w:rPr>
      </w:pPr>
      <w:bookmarkStart w:id="319" w:name="_Toc523313868"/>
      <w:r w:rsidRPr="00224E24">
        <w:rPr>
          <w:color w:val="auto"/>
        </w:rPr>
        <w:t xml:space="preserve">Figure </w:t>
      </w:r>
      <w:r w:rsidR="000D65F2" w:rsidRPr="00224E24">
        <w:rPr>
          <w:color w:val="auto"/>
        </w:rPr>
        <w:fldChar w:fldCharType="begin"/>
      </w:r>
      <w:r w:rsidRPr="00224E24">
        <w:rPr>
          <w:color w:val="auto"/>
        </w:rPr>
        <w:instrText xml:space="preserve"> SEQ Figure \* ARABIC </w:instrText>
      </w:r>
      <w:r w:rsidR="000D65F2" w:rsidRPr="00224E24">
        <w:rPr>
          <w:color w:val="auto"/>
        </w:rPr>
        <w:fldChar w:fldCharType="separate"/>
      </w:r>
      <w:r w:rsidR="000F780F">
        <w:rPr>
          <w:noProof/>
          <w:color w:val="auto"/>
        </w:rPr>
        <w:t>185</w:t>
      </w:r>
      <w:r w:rsidR="000D65F2" w:rsidRPr="00224E24">
        <w:rPr>
          <w:color w:val="auto"/>
        </w:rPr>
        <w:fldChar w:fldCharType="end"/>
      </w:r>
      <w:r w:rsidRPr="00224E24">
        <w:rPr>
          <w:color w:val="auto"/>
        </w:rPr>
        <w:t xml:space="preserve"> : Appréciation des clients personnes physiques sur les délais de traitement des demandes de prêts</w:t>
      </w:r>
      <w:bookmarkEnd w:id="319"/>
    </w:p>
    <w:p w:rsidR="00183183" w:rsidRPr="005B471F" w:rsidRDefault="0056621A" w:rsidP="00575B92">
      <w:pPr>
        <w:spacing w:before="240" w:after="240" w:line="276" w:lineRule="auto"/>
        <w:jc w:val="center"/>
        <w:rPr>
          <w:rFonts w:ascii="Book Antiqua" w:eastAsia="Calibri" w:hAnsi="Book Antiqua"/>
          <w:szCs w:val="22"/>
          <w:lang w:eastAsia="en-US"/>
        </w:rPr>
      </w:pPr>
      <w:r w:rsidRPr="0056621A">
        <w:rPr>
          <w:rFonts w:ascii="Book Antiqua" w:eastAsia="Calibri" w:hAnsi="Book Antiqua"/>
          <w:noProof/>
          <w:szCs w:val="22"/>
        </w:rPr>
        <w:drawing>
          <wp:inline distT="0" distB="0" distL="0" distR="0">
            <wp:extent cx="5543550" cy="2809875"/>
            <wp:effectExtent l="19050" t="0" r="19050" b="0"/>
            <wp:docPr id="199"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4E330F" w:rsidRDefault="004E330F" w:rsidP="00575B92">
      <w:pPr>
        <w:tabs>
          <w:tab w:val="left" w:pos="1320"/>
          <w:tab w:val="right" w:leader="dot" w:pos="9572"/>
        </w:tabs>
        <w:spacing w:before="240" w:after="240" w:line="276" w:lineRule="auto"/>
        <w:jc w:val="both"/>
        <w:outlineLvl w:val="2"/>
      </w:pPr>
    </w:p>
    <w:p w:rsidR="000856BA" w:rsidRDefault="000856BA" w:rsidP="00575B92">
      <w:pPr>
        <w:spacing w:before="240" w:after="240" w:line="276" w:lineRule="auto"/>
      </w:pPr>
      <w:r>
        <w:br w:type="page"/>
      </w:r>
    </w:p>
    <w:p w:rsidR="0056621A" w:rsidRPr="004E330F" w:rsidRDefault="000D65F2" w:rsidP="003D5415">
      <w:pPr>
        <w:tabs>
          <w:tab w:val="left" w:pos="1320"/>
          <w:tab w:val="right" w:leader="dot" w:pos="9572"/>
        </w:tabs>
        <w:spacing w:before="240" w:after="240" w:line="276" w:lineRule="auto"/>
        <w:ind w:firstLine="567"/>
        <w:jc w:val="both"/>
        <w:outlineLvl w:val="2"/>
        <w:rPr>
          <w:rFonts w:ascii="Book Antiqua" w:hAnsi="Book Antiqua"/>
          <w:b/>
          <w:sz w:val="22"/>
          <w:szCs w:val="22"/>
        </w:rPr>
      </w:pPr>
      <w:hyperlink w:anchor="_Toc309810041" w:history="1">
        <w:bookmarkStart w:id="320" w:name="_Toc523322113"/>
        <w:bookmarkStart w:id="321" w:name="_Toc433232120"/>
        <w:r w:rsidR="004E330F" w:rsidRPr="004E330F">
          <w:rPr>
            <w:rFonts w:ascii="Book Antiqua" w:hAnsi="Book Antiqua" w:cs="Arial"/>
            <w:b/>
            <w:noProof/>
            <w:sz w:val="22"/>
            <w:szCs w:val="22"/>
          </w:rPr>
          <w:t>III.2.4</w:t>
        </w:r>
        <w:r w:rsidR="0056621A" w:rsidRPr="004E330F">
          <w:rPr>
            <w:rFonts w:ascii="Book Antiqua" w:hAnsi="Book Antiqua" w:cs="Arial"/>
            <w:b/>
            <w:noProof/>
            <w:sz w:val="22"/>
            <w:szCs w:val="22"/>
          </w:rPr>
          <w:t xml:space="preserve">. </w:t>
        </w:r>
        <w:r w:rsidR="00E248A1" w:rsidRPr="004E330F">
          <w:rPr>
            <w:rFonts w:ascii="Book Antiqua" w:hAnsi="Book Antiqua" w:cs="Arial"/>
            <w:b/>
            <w:noProof/>
            <w:sz w:val="22"/>
            <w:szCs w:val="22"/>
          </w:rPr>
          <w:t>Avis sur les t</w:t>
        </w:r>
        <w:r w:rsidR="0056621A" w:rsidRPr="004E330F">
          <w:rPr>
            <w:rFonts w:ascii="Book Antiqua" w:hAnsi="Book Antiqua" w:cs="Arial"/>
            <w:b/>
            <w:noProof/>
            <w:sz w:val="22"/>
            <w:szCs w:val="22"/>
          </w:rPr>
          <w:t>aux d’intérêt débiteurs</w:t>
        </w:r>
        <w:bookmarkEnd w:id="320"/>
        <w:r w:rsidR="0056621A" w:rsidRPr="004E330F">
          <w:rPr>
            <w:rFonts w:ascii="Book Antiqua" w:hAnsi="Book Antiqua" w:cs="Arial"/>
            <w:b/>
            <w:noProof/>
            <w:sz w:val="22"/>
            <w:szCs w:val="22"/>
          </w:rPr>
          <w:t xml:space="preserve"> </w:t>
        </w:r>
        <w:bookmarkEnd w:id="321"/>
      </w:hyperlink>
    </w:p>
    <w:p w:rsidR="0048075E" w:rsidRDefault="009D3DE1" w:rsidP="00575B92">
      <w:pPr>
        <w:spacing w:before="240" w:after="240" w:line="276" w:lineRule="auto"/>
        <w:jc w:val="both"/>
        <w:rPr>
          <w:rFonts w:ascii="Book Antiqua" w:eastAsia="Calibri" w:hAnsi="Book Antiqua"/>
          <w:sz w:val="22"/>
          <w:szCs w:val="22"/>
        </w:rPr>
      </w:pPr>
      <w:r>
        <w:rPr>
          <w:rFonts w:ascii="Book Antiqua" w:eastAsia="Calibri" w:hAnsi="Book Antiqua"/>
          <w:sz w:val="22"/>
          <w:szCs w:val="22"/>
        </w:rPr>
        <w:t>I</w:t>
      </w:r>
      <w:r w:rsidRPr="0056621A">
        <w:rPr>
          <w:rFonts w:ascii="Book Antiqua" w:eastAsia="Calibri" w:hAnsi="Book Antiqua"/>
          <w:sz w:val="22"/>
          <w:szCs w:val="22"/>
        </w:rPr>
        <w:t xml:space="preserve">l ressort des résultats </w:t>
      </w:r>
      <w:r w:rsidR="00FC1052">
        <w:rPr>
          <w:rFonts w:ascii="Book Antiqua" w:eastAsia="Calibri" w:hAnsi="Book Antiqua"/>
          <w:sz w:val="22"/>
          <w:szCs w:val="22"/>
        </w:rPr>
        <w:t>de l’ESUB</w:t>
      </w:r>
      <w:r w:rsidR="000F23F6">
        <w:rPr>
          <w:rFonts w:ascii="Book Antiqua" w:eastAsia="Calibri" w:hAnsi="Book Antiqua"/>
          <w:sz w:val="22"/>
          <w:szCs w:val="22"/>
        </w:rPr>
        <w:t xml:space="preserve"> </w:t>
      </w:r>
      <w:r w:rsidRPr="0056621A">
        <w:rPr>
          <w:rFonts w:ascii="Book Antiqua" w:eastAsia="Calibri" w:hAnsi="Book Antiqua"/>
          <w:sz w:val="22"/>
          <w:szCs w:val="22"/>
        </w:rPr>
        <w:t xml:space="preserve">qu’une proportion </w:t>
      </w:r>
      <w:r>
        <w:rPr>
          <w:rFonts w:ascii="Book Antiqua" w:eastAsia="Calibri" w:hAnsi="Book Antiqua"/>
          <w:sz w:val="22"/>
          <w:szCs w:val="22"/>
        </w:rPr>
        <w:t xml:space="preserve">de </w:t>
      </w:r>
      <w:r w:rsidRPr="0056621A">
        <w:rPr>
          <w:rFonts w:ascii="Book Antiqua" w:eastAsia="Calibri" w:hAnsi="Book Antiqua"/>
          <w:sz w:val="22"/>
          <w:szCs w:val="22"/>
        </w:rPr>
        <w:t>22,9%</w:t>
      </w:r>
      <w:r>
        <w:rPr>
          <w:rFonts w:ascii="Book Antiqua" w:eastAsia="Calibri" w:hAnsi="Book Antiqua"/>
          <w:sz w:val="22"/>
          <w:szCs w:val="22"/>
        </w:rPr>
        <w:t xml:space="preserve"> des clients interrogés déclare ignorer </w:t>
      </w:r>
      <w:r w:rsidRPr="0056621A">
        <w:rPr>
          <w:rFonts w:ascii="Book Antiqua" w:eastAsia="Calibri" w:hAnsi="Book Antiqua"/>
          <w:sz w:val="22"/>
          <w:szCs w:val="22"/>
        </w:rPr>
        <w:t xml:space="preserve">les taux d’intérêt </w:t>
      </w:r>
      <w:r>
        <w:rPr>
          <w:rFonts w:ascii="Book Antiqua" w:eastAsia="Calibri" w:hAnsi="Book Antiqua"/>
          <w:sz w:val="22"/>
          <w:szCs w:val="22"/>
        </w:rPr>
        <w:t xml:space="preserve">débiteurs </w:t>
      </w:r>
      <w:r w:rsidRPr="0056621A">
        <w:rPr>
          <w:rFonts w:ascii="Book Antiqua" w:eastAsia="Calibri" w:hAnsi="Book Antiqua"/>
          <w:sz w:val="22"/>
          <w:szCs w:val="22"/>
        </w:rPr>
        <w:t xml:space="preserve">qui sont appliqués </w:t>
      </w:r>
      <w:r>
        <w:rPr>
          <w:rFonts w:ascii="Book Antiqua" w:eastAsia="Calibri" w:hAnsi="Book Antiqua"/>
          <w:sz w:val="22"/>
          <w:szCs w:val="22"/>
        </w:rPr>
        <w:t>aux</w:t>
      </w:r>
      <w:r w:rsidRPr="0056621A">
        <w:rPr>
          <w:rFonts w:ascii="Book Antiqua" w:eastAsia="Calibri" w:hAnsi="Book Antiqua"/>
          <w:sz w:val="22"/>
          <w:szCs w:val="22"/>
        </w:rPr>
        <w:t xml:space="preserve"> prêt</w:t>
      </w:r>
      <w:r>
        <w:rPr>
          <w:rFonts w:ascii="Book Antiqua" w:eastAsia="Calibri" w:hAnsi="Book Antiqua"/>
          <w:sz w:val="22"/>
          <w:szCs w:val="22"/>
        </w:rPr>
        <w:t>s</w:t>
      </w:r>
      <w:r w:rsidRPr="0056621A">
        <w:rPr>
          <w:rFonts w:ascii="Book Antiqua" w:eastAsia="Calibri" w:hAnsi="Book Antiqua"/>
          <w:sz w:val="22"/>
          <w:szCs w:val="22"/>
        </w:rPr>
        <w:t>.</w:t>
      </w:r>
      <w:r w:rsidR="000F23F6">
        <w:rPr>
          <w:rFonts w:ascii="Book Antiqua" w:eastAsia="Calibri" w:hAnsi="Book Antiqua"/>
          <w:sz w:val="22"/>
          <w:szCs w:val="22"/>
        </w:rPr>
        <w:t xml:space="preserve"> Les clients issus de l’enseignement arabe affichent un taux moyen relativement élevé de 33,6% qui déclarent méconnaitre les taux d’intérêt débiteurs des banques. De plus, les étudiants, les commerçants/mareyeurs, les artisans et les employés ressortent avec les niveaux de méconnaissance les plus élevés, respectivement de 62,3%, 41,9%, 40,8% et 20,6%. </w:t>
      </w:r>
    </w:p>
    <w:p w:rsidR="00224E24" w:rsidRDefault="000F23F6" w:rsidP="00575B92">
      <w:pPr>
        <w:spacing w:before="240" w:after="240" w:line="276" w:lineRule="auto"/>
        <w:jc w:val="both"/>
        <w:rPr>
          <w:rFonts w:ascii="Book Antiqua" w:eastAsia="Calibri" w:hAnsi="Book Antiqua"/>
          <w:sz w:val="22"/>
          <w:szCs w:val="22"/>
        </w:rPr>
      </w:pPr>
      <w:r>
        <w:rPr>
          <w:rFonts w:ascii="Book Antiqua" w:eastAsia="Calibri" w:hAnsi="Book Antiqua"/>
          <w:sz w:val="22"/>
          <w:szCs w:val="22"/>
        </w:rPr>
        <w:t xml:space="preserve">Par ailleurs, </w:t>
      </w:r>
      <w:r w:rsidR="00361553">
        <w:rPr>
          <w:rFonts w:ascii="Book Antiqua" w:eastAsia="Calibri" w:hAnsi="Book Antiqua"/>
          <w:sz w:val="22"/>
          <w:szCs w:val="22"/>
        </w:rPr>
        <w:t xml:space="preserve">une appréciation largement négative transparait dans les avis des clients relativement aux </w:t>
      </w:r>
      <w:r w:rsidR="00A43BA3">
        <w:rPr>
          <w:rFonts w:ascii="Book Antiqua" w:eastAsia="Calibri" w:hAnsi="Book Antiqua"/>
          <w:sz w:val="22"/>
          <w:szCs w:val="22"/>
        </w:rPr>
        <w:t>taux d’intérêt jugés exorbitants adossés aux crédits.</w:t>
      </w:r>
      <w:r w:rsidR="00FC1052">
        <w:rPr>
          <w:rFonts w:ascii="Book Antiqua" w:eastAsia="Calibri" w:hAnsi="Book Antiqua"/>
          <w:sz w:val="22"/>
          <w:szCs w:val="22"/>
        </w:rPr>
        <w:t xml:space="preserve"> </w:t>
      </w:r>
      <w:r w:rsidR="00A43BA3">
        <w:rPr>
          <w:rFonts w:ascii="Book Antiqua" w:eastAsia="Calibri" w:hAnsi="Book Antiqua"/>
          <w:sz w:val="22"/>
          <w:szCs w:val="22"/>
        </w:rPr>
        <w:t xml:space="preserve">En effet, une proportion de </w:t>
      </w:r>
      <w:r w:rsidR="00492242">
        <w:rPr>
          <w:rFonts w:ascii="Book Antiqua" w:eastAsia="Calibri" w:hAnsi="Book Antiqua"/>
          <w:sz w:val="22"/>
          <w:szCs w:val="22"/>
        </w:rPr>
        <w:t>91,0</w:t>
      </w:r>
      <w:r w:rsidR="00FC1052">
        <w:rPr>
          <w:rFonts w:ascii="Book Antiqua" w:eastAsia="Calibri" w:hAnsi="Book Antiqua"/>
          <w:sz w:val="22"/>
          <w:szCs w:val="22"/>
        </w:rPr>
        <w:t>% des clients trouve</w:t>
      </w:r>
      <w:r w:rsidR="0056621A" w:rsidRPr="0056621A">
        <w:rPr>
          <w:rFonts w:ascii="Book Antiqua" w:eastAsia="Calibri" w:hAnsi="Book Antiqua"/>
          <w:sz w:val="22"/>
          <w:szCs w:val="22"/>
        </w:rPr>
        <w:t xml:space="preserve"> </w:t>
      </w:r>
      <w:r w:rsidR="00A43BA3">
        <w:rPr>
          <w:rFonts w:ascii="Book Antiqua" w:eastAsia="Calibri" w:hAnsi="Book Antiqua"/>
          <w:sz w:val="22"/>
          <w:szCs w:val="22"/>
        </w:rPr>
        <w:t>« </w:t>
      </w:r>
      <w:r w:rsidR="0056621A" w:rsidRPr="0056621A">
        <w:rPr>
          <w:rFonts w:ascii="Book Antiqua" w:eastAsia="Calibri" w:hAnsi="Book Antiqua"/>
          <w:sz w:val="22"/>
          <w:szCs w:val="22"/>
        </w:rPr>
        <w:t>élevés</w:t>
      </w:r>
      <w:r w:rsidR="00A43BA3">
        <w:rPr>
          <w:rFonts w:ascii="Book Antiqua" w:eastAsia="Calibri" w:hAnsi="Book Antiqua"/>
          <w:sz w:val="22"/>
          <w:szCs w:val="22"/>
        </w:rPr>
        <w:t> »</w:t>
      </w:r>
      <w:r w:rsidR="00FC1052">
        <w:rPr>
          <w:rFonts w:ascii="Book Antiqua" w:eastAsia="Calibri" w:hAnsi="Book Antiqua"/>
          <w:sz w:val="22"/>
          <w:szCs w:val="22"/>
        </w:rPr>
        <w:t xml:space="preserve"> </w:t>
      </w:r>
      <w:r w:rsidR="00A43BA3">
        <w:rPr>
          <w:rFonts w:ascii="Book Antiqua" w:eastAsia="Calibri" w:hAnsi="Book Antiqua"/>
          <w:sz w:val="22"/>
          <w:szCs w:val="22"/>
        </w:rPr>
        <w:t>voire</w:t>
      </w:r>
      <w:r w:rsidR="00FC1052">
        <w:rPr>
          <w:rFonts w:ascii="Book Antiqua" w:eastAsia="Calibri" w:hAnsi="Book Antiqua"/>
          <w:sz w:val="22"/>
          <w:szCs w:val="22"/>
        </w:rPr>
        <w:t xml:space="preserve"> </w:t>
      </w:r>
      <w:r w:rsidR="00A43BA3">
        <w:rPr>
          <w:rFonts w:ascii="Book Antiqua" w:eastAsia="Calibri" w:hAnsi="Book Antiqua"/>
          <w:sz w:val="22"/>
          <w:szCs w:val="22"/>
        </w:rPr>
        <w:t>« </w:t>
      </w:r>
      <w:r w:rsidR="0056621A" w:rsidRPr="0056621A">
        <w:rPr>
          <w:rFonts w:ascii="Book Antiqua" w:eastAsia="Calibri" w:hAnsi="Book Antiqua"/>
          <w:sz w:val="22"/>
          <w:szCs w:val="22"/>
        </w:rPr>
        <w:t>très élevés</w:t>
      </w:r>
      <w:r w:rsidR="00A43BA3">
        <w:rPr>
          <w:rFonts w:ascii="Book Antiqua" w:eastAsia="Calibri" w:hAnsi="Book Antiqua"/>
          <w:sz w:val="22"/>
          <w:szCs w:val="22"/>
        </w:rPr>
        <w:t> »</w:t>
      </w:r>
      <w:r w:rsidR="00FC1052">
        <w:rPr>
          <w:rFonts w:ascii="Book Antiqua" w:eastAsia="Calibri" w:hAnsi="Book Antiqua"/>
          <w:sz w:val="22"/>
          <w:szCs w:val="22"/>
        </w:rPr>
        <w:t xml:space="preserve"> </w:t>
      </w:r>
      <w:r w:rsidR="00A43BA3">
        <w:rPr>
          <w:rFonts w:ascii="Book Antiqua" w:eastAsia="Calibri" w:hAnsi="Book Antiqua"/>
          <w:sz w:val="22"/>
          <w:szCs w:val="22"/>
        </w:rPr>
        <w:t xml:space="preserve">ces taux. </w:t>
      </w:r>
    </w:p>
    <w:p w:rsidR="00224E24" w:rsidRPr="00224E24" w:rsidRDefault="00224E24" w:rsidP="00575B92">
      <w:pPr>
        <w:pStyle w:val="Lgende"/>
        <w:keepNext/>
        <w:spacing w:before="240" w:after="240" w:line="276" w:lineRule="auto"/>
        <w:jc w:val="center"/>
        <w:rPr>
          <w:color w:val="auto"/>
        </w:rPr>
      </w:pPr>
      <w:bookmarkStart w:id="322" w:name="_Toc523313869"/>
      <w:r w:rsidRPr="00224E24">
        <w:rPr>
          <w:color w:val="auto"/>
        </w:rPr>
        <w:t xml:space="preserve">Figure </w:t>
      </w:r>
      <w:r w:rsidR="000D65F2" w:rsidRPr="00224E24">
        <w:rPr>
          <w:color w:val="auto"/>
        </w:rPr>
        <w:fldChar w:fldCharType="begin"/>
      </w:r>
      <w:r w:rsidRPr="00224E24">
        <w:rPr>
          <w:color w:val="auto"/>
        </w:rPr>
        <w:instrText xml:space="preserve"> SEQ Figure \* ARABIC </w:instrText>
      </w:r>
      <w:r w:rsidR="000D65F2" w:rsidRPr="00224E24">
        <w:rPr>
          <w:color w:val="auto"/>
        </w:rPr>
        <w:fldChar w:fldCharType="separate"/>
      </w:r>
      <w:r w:rsidR="000F780F">
        <w:rPr>
          <w:noProof/>
          <w:color w:val="auto"/>
        </w:rPr>
        <w:t>186</w:t>
      </w:r>
      <w:r w:rsidR="000D65F2" w:rsidRPr="00224E24">
        <w:rPr>
          <w:color w:val="auto"/>
        </w:rPr>
        <w:fldChar w:fldCharType="end"/>
      </w:r>
      <w:r w:rsidRPr="00224E24">
        <w:rPr>
          <w:color w:val="auto"/>
        </w:rPr>
        <w:t xml:space="preserve"> : Appréciation des clients personnes physiques sur les niveaux des taux d'intérêt débiteurs des banques</w:t>
      </w:r>
      <w:bookmarkEnd w:id="322"/>
    </w:p>
    <w:p w:rsidR="004E330F" w:rsidRDefault="009D5B48" w:rsidP="00575B92">
      <w:pPr>
        <w:pStyle w:val="Titre1"/>
        <w:numPr>
          <w:ilvl w:val="0"/>
          <w:numId w:val="0"/>
        </w:numPr>
        <w:spacing w:before="240" w:after="240" w:line="276" w:lineRule="auto"/>
        <w:jc w:val="center"/>
      </w:pPr>
      <w:r w:rsidRPr="009D5B48">
        <w:rPr>
          <w:noProof/>
        </w:rPr>
        <w:drawing>
          <wp:inline distT="0" distB="0" distL="0" distR="0">
            <wp:extent cx="4572000" cy="2967038"/>
            <wp:effectExtent l="19050" t="0" r="19050" b="4762"/>
            <wp:docPr id="257" name="Graphique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9D5B48" w:rsidRPr="009D5B48" w:rsidRDefault="009D5B48" w:rsidP="00575B92">
      <w:pPr>
        <w:spacing w:before="240" w:after="240" w:line="276" w:lineRule="auto"/>
      </w:pPr>
    </w:p>
    <w:p w:rsidR="0056621A" w:rsidRPr="004E330F" w:rsidRDefault="000D65F2" w:rsidP="003D5415">
      <w:pPr>
        <w:pStyle w:val="Titre1"/>
        <w:numPr>
          <w:ilvl w:val="0"/>
          <w:numId w:val="0"/>
        </w:numPr>
        <w:spacing w:before="240" w:after="240" w:line="276" w:lineRule="auto"/>
        <w:ind w:firstLine="567"/>
      </w:pPr>
      <w:hyperlink w:anchor="_Toc309810041" w:history="1">
        <w:bookmarkStart w:id="323" w:name="_Toc523322114"/>
        <w:r w:rsidR="00E248A1" w:rsidRPr="004E330F">
          <w:rPr>
            <w:rFonts w:cs="Arial"/>
            <w:noProof/>
          </w:rPr>
          <w:t>III.2.</w:t>
        </w:r>
        <w:r w:rsidR="004E330F" w:rsidRPr="004E330F">
          <w:rPr>
            <w:rFonts w:cs="Arial"/>
            <w:noProof/>
          </w:rPr>
          <w:t>5</w:t>
        </w:r>
        <w:r w:rsidR="00E248A1" w:rsidRPr="004E330F">
          <w:rPr>
            <w:rFonts w:cs="Arial"/>
            <w:noProof/>
          </w:rPr>
          <w:t>. Appréciation des informations sur le TEG</w:t>
        </w:r>
        <w:bookmarkEnd w:id="323"/>
      </w:hyperlink>
    </w:p>
    <w:p w:rsidR="009D5B48" w:rsidRDefault="0056621A" w:rsidP="00575B92">
      <w:pPr>
        <w:spacing w:before="240" w:after="240" w:line="276" w:lineRule="auto"/>
        <w:jc w:val="both"/>
        <w:rPr>
          <w:rFonts w:ascii="Book Antiqua" w:eastAsia="Calibri" w:hAnsi="Book Antiqua"/>
          <w:sz w:val="22"/>
          <w:szCs w:val="22"/>
          <w:lang w:eastAsia="en-US"/>
        </w:rPr>
      </w:pPr>
      <w:r w:rsidRPr="0056621A">
        <w:rPr>
          <w:rFonts w:ascii="Book Antiqua" w:eastAsia="Calibri" w:hAnsi="Book Antiqua"/>
          <w:sz w:val="22"/>
          <w:szCs w:val="22"/>
          <w:lang w:eastAsia="en-US"/>
        </w:rPr>
        <w:t xml:space="preserve">Pour ce qui est de l’information </w:t>
      </w:r>
      <w:r w:rsidR="00E248A1">
        <w:rPr>
          <w:rFonts w:ascii="Book Antiqua" w:eastAsia="Calibri" w:hAnsi="Book Antiqua"/>
          <w:sz w:val="22"/>
          <w:szCs w:val="22"/>
          <w:lang w:eastAsia="en-US"/>
        </w:rPr>
        <w:t xml:space="preserve">préalable sur le TEG, une proportion de </w:t>
      </w:r>
      <w:r w:rsidR="00F0745D" w:rsidRPr="0056621A">
        <w:rPr>
          <w:rFonts w:ascii="Book Antiqua" w:eastAsia="Calibri" w:hAnsi="Book Antiqua"/>
          <w:sz w:val="22"/>
          <w:szCs w:val="22"/>
          <w:lang w:eastAsia="en-US"/>
        </w:rPr>
        <w:t>17,9% des clients bénéficiaires d’un prêt déclarent n</w:t>
      </w:r>
      <w:r w:rsidR="00E248A1">
        <w:rPr>
          <w:rFonts w:ascii="Book Antiqua" w:eastAsia="Calibri" w:hAnsi="Book Antiqua"/>
          <w:sz w:val="22"/>
          <w:szCs w:val="22"/>
          <w:lang w:eastAsia="en-US"/>
        </w:rPr>
        <w:t xml:space="preserve">’avoir pas été </w:t>
      </w:r>
      <w:r w:rsidR="00F0745D" w:rsidRPr="0056621A">
        <w:rPr>
          <w:rFonts w:ascii="Book Antiqua" w:eastAsia="Calibri" w:hAnsi="Book Antiqua"/>
          <w:sz w:val="22"/>
          <w:szCs w:val="22"/>
          <w:lang w:eastAsia="en-US"/>
        </w:rPr>
        <w:t>informé</w:t>
      </w:r>
      <w:r w:rsidR="00E248A1">
        <w:rPr>
          <w:rFonts w:ascii="Book Antiqua" w:eastAsia="Calibri" w:hAnsi="Book Antiqua"/>
          <w:sz w:val="22"/>
          <w:szCs w:val="22"/>
          <w:lang w:eastAsia="en-US"/>
        </w:rPr>
        <w:t>s</w:t>
      </w:r>
      <w:r w:rsidR="000E12E5">
        <w:rPr>
          <w:rFonts w:ascii="Book Antiqua" w:eastAsia="Calibri" w:hAnsi="Book Antiqua"/>
          <w:sz w:val="22"/>
          <w:szCs w:val="22"/>
          <w:lang w:eastAsia="en-US"/>
        </w:rPr>
        <w:t xml:space="preserve"> </w:t>
      </w:r>
      <w:r w:rsidR="00F0745D">
        <w:rPr>
          <w:rFonts w:ascii="Book Antiqua" w:eastAsia="Calibri" w:hAnsi="Book Antiqua"/>
          <w:sz w:val="22"/>
          <w:szCs w:val="22"/>
          <w:lang w:eastAsia="en-US"/>
        </w:rPr>
        <w:t>avant la signature de leur convention de prêt.</w:t>
      </w:r>
      <w:r w:rsidR="008A549D">
        <w:rPr>
          <w:rFonts w:ascii="Book Antiqua" w:eastAsia="Calibri" w:hAnsi="Book Antiqua"/>
          <w:sz w:val="22"/>
          <w:szCs w:val="22"/>
          <w:lang w:eastAsia="en-US"/>
        </w:rPr>
        <w:t xml:space="preserve"> </w:t>
      </w:r>
    </w:p>
    <w:p w:rsidR="00F0745D" w:rsidRDefault="008A549D"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Dans ce registre, il apparait également que les clients avec un niveau d’instruction de « primaire en arabe » (38,5%), « sans instruction » (36,0%) et avec un niveau « primaire » (21,1%) semblent être les segments les plus exposés au déficit d’information sur le TEG. </w:t>
      </w:r>
    </w:p>
    <w:p w:rsidR="009D5B48" w:rsidRDefault="009D5B48" w:rsidP="00575B92">
      <w:pPr>
        <w:spacing w:before="240" w:after="240" w:line="276" w:lineRule="auto"/>
        <w:rPr>
          <w:rFonts w:ascii="Book Antiqua" w:eastAsia="Calibri" w:hAnsi="Book Antiqua"/>
          <w:sz w:val="22"/>
          <w:szCs w:val="22"/>
          <w:highlight w:val="yellow"/>
          <w:lang w:eastAsia="en-US"/>
        </w:rPr>
      </w:pPr>
      <w:r>
        <w:rPr>
          <w:rFonts w:ascii="Book Antiqua" w:eastAsia="Calibri" w:hAnsi="Book Antiqua"/>
          <w:sz w:val="22"/>
          <w:szCs w:val="22"/>
          <w:highlight w:val="yellow"/>
          <w:lang w:eastAsia="en-US"/>
        </w:rPr>
        <w:br w:type="page"/>
      </w:r>
    </w:p>
    <w:p w:rsidR="00221672" w:rsidRPr="00221672" w:rsidRDefault="00221672" w:rsidP="00575B92">
      <w:pPr>
        <w:pStyle w:val="Lgende"/>
        <w:keepNext/>
        <w:spacing w:before="240" w:after="240" w:line="276" w:lineRule="auto"/>
        <w:jc w:val="center"/>
        <w:rPr>
          <w:color w:val="auto"/>
        </w:rPr>
      </w:pPr>
      <w:bookmarkStart w:id="324" w:name="_Toc523313870"/>
      <w:r w:rsidRPr="00221672">
        <w:rPr>
          <w:color w:val="auto"/>
        </w:rPr>
        <w:lastRenderedPageBreak/>
        <w:t xml:space="preserve">Figure </w:t>
      </w:r>
      <w:r w:rsidR="000D65F2" w:rsidRPr="00221672">
        <w:rPr>
          <w:color w:val="auto"/>
        </w:rPr>
        <w:fldChar w:fldCharType="begin"/>
      </w:r>
      <w:r w:rsidRPr="00221672">
        <w:rPr>
          <w:color w:val="auto"/>
        </w:rPr>
        <w:instrText xml:space="preserve"> SEQ Figure \* ARABIC </w:instrText>
      </w:r>
      <w:r w:rsidR="000D65F2" w:rsidRPr="00221672">
        <w:rPr>
          <w:color w:val="auto"/>
        </w:rPr>
        <w:fldChar w:fldCharType="separate"/>
      </w:r>
      <w:r w:rsidR="000F780F">
        <w:rPr>
          <w:noProof/>
          <w:color w:val="auto"/>
        </w:rPr>
        <w:t>187</w:t>
      </w:r>
      <w:r w:rsidR="000D65F2" w:rsidRPr="00221672">
        <w:rPr>
          <w:color w:val="auto"/>
        </w:rPr>
        <w:fldChar w:fldCharType="end"/>
      </w:r>
      <w:r w:rsidRPr="00221672">
        <w:rPr>
          <w:color w:val="auto"/>
        </w:rPr>
        <w:t xml:space="preserve"> : Appréciation des clients sur l'information préalable concernant le TEG</w:t>
      </w:r>
      <w:bookmarkEnd w:id="324"/>
    </w:p>
    <w:p w:rsidR="009D5B48" w:rsidRDefault="009D5B48" w:rsidP="00575B92">
      <w:pPr>
        <w:spacing w:before="240" w:after="240" w:line="276" w:lineRule="auto"/>
        <w:jc w:val="both"/>
        <w:rPr>
          <w:rFonts w:ascii="Book Antiqua" w:eastAsia="Calibri" w:hAnsi="Book Antiqua"/>
          <w:sz w:val="22"/>
          <w:szCs w:val="22"/>
          <w:lang w:eastAsia="en-US"/>
        </w:rPr>
      </w:pPr>
      <w:r w:rsidRPr="009D5B48">
        <w:rPr>
          <w:rFonts w:ascii="Book Antiqua" w:eastAsia="Calibri" w:hAnsi="Book Antiqua"/>
          <w:noProof/>
          <w:sz w:val="22"/>
          <w:szCs w:val="22"/>
        </w:rPr>
        <w:drawing>
          <wp:inline distT="0" distB="0" distL="0" distR="0">
            <wp:extent cx="5972810" cy="3209925"/>
            <wp:effectExtent l="19050" t="0" r="27940" b="0"/>
            <wp:docPr id="261" name="Graphique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9D5B48" w:rsidRDefault="00E248A1"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Parmi les clients  informés sur les composantes du TEG, une majorité de 58,0</w:t>
      </w:r>
      <w:r w:rsidR="0056621A" w:rsidRPr="0056621A">
        <w:rPr>
          <w:rFonts w:ascii="Book Antiqua" w:eastAsia="Calibri" w:hAnsi="Book Antiqua"/>
          <w:sz w:val="22"/>
          <w:szCs w:val="22"/>
          <w:lang w:eastAsia="en-US"/>
        </w:rPr>
        <w:t xml:space="preserve">% dit </w:t>
      </w:r>
      <w:r>
        <w:rPr>
          <w:rFonts w:ascii="Book Antiqua" w:eastAsia="Calibri" w:hAnsi="Book Antiqua"/>
          <w:sz w:val="22"/>
          <w:szCs w:val="22"/>
          <w:lang w:eastAsia="en-US"/>
        </w:rPr>
        <w:t>l’avoir été « </w:t>
      </w:r>
      <w:r w:rsidR="0056621A" w:rsidRPr="0056621A">
        <w:rPr>
          <w:rFonts w:ascii="Book Antiqua" w:eastAsia="Calibri" w:hAnsi="Book Antiqua"/>
          <w:sz w:val="22"/>
          <w:szCs w:val="22"/>
          <w:lang w:eastAsia="en-US"/>
        </w:rPr>
        <w:t>par écrit</w:t>
      </w:r>
      <w:r>
        <w:rPr>
          <w:rFonts w:ascii="Book Antiqua" w:eastAsia="Calibri" w:hAnsi="Book Antiqua"/>
          <w:sz w:val="22"/>
          <w:szCs w:val="22"/>
          <w:lang w:eastAsia="en-US"/>
        </w:rPr>
        <w:t> »</w:t>
      </w:r>
      <w:r w:rsidR="0056621A" w:rsidRPr="0056621A">
        <w:rPr>
          <w:rFonts w:ascii="Book Antiqua" w:eastAsia="Calibri" w:hAnsi="Book Antiqua"/>
          <w:sz w:val="22"/>
          <w:szCs w:val="22"/>
          <w:lang w:eastAsia="en-US"/>
        </w:rPr>
        <w:t xml:space="preserve">, contre </w:t>
      </w:r>
      <w:r>
        <w:rPr>
          <w:rFonts w:ascii="Book Antiqua" w:eastAsia="Calibri" w:hAnsi="Book Antiqua"/>
          <w:sz w:val="22"/>
          <w:szCs w:val="22"/>
          <w:lang w:eastAsia="en-US"/>
        </w:rPr>
        <w:t>42,0%« </w:t>
      </w:r>
      <w:r w:rsidR="0056621A" w:rsidRPr="0056621A">
        <w:rPr>
          <w:rFonts w:ascii="Book Antiqua" w:eastAsia="Calibri" w:hAnsi="Book Antiqua"/>
          <w:sz w:val="22"/>
          <w:szCs w:val="22"/>
          <w:lang w:eastAsia="en-US"/>
        </w:rPr>
        <w:t>oralement</w:t>
      </w:r>
      <w:r>
        <w:rPr>
          <w:rFonts w:ascii="Book Antiqua" w:eastAsia="Calibri" w:hAnsi="Book Antiqua"/>
          <w:sz w:val="22"/>
          <w:szCs w:val="22"/>
          <w:lang w:eastAsia="en-US"/>
        </w:rPr>
        <w:t> »</w:t>
      </w:r>
      <w:r w:rsidR="0056621A" w:rsidRPr="0056621A">
        <w:rPr>
          <w:rFonts w:ascii="Book Antiqua" w:eastAsia="Calibri" w:hAnsi="Book Antiqua"/>
          <w:sz w:val="22"/>
          <w:szCs w:val="22"/>
          <w:lang w:eastAsia="en-US"/>
        </w:rPr>
        <w:t>.</w:t>
      </w:r>
    </w:p>
    <w:p w:rsidR="0056621A" w:rsidRPr="004E330F" w:rsidRDefault="000D65F2" w:rsidP="003D5415">
      <w:pPr>
        <w:tabs>
          <w:tab w:val="left" w:pos="1320"/>
          <w:tab w:val="right" w:leader="dot" w:pos="9572"/>
        </w:tabs>
        <w:spacing w:before="240" w:after="240" w:line="276" w:lineRule="auto"/>
        <w:ind w:firstLine="567"/>
        <w:jc w:val="both"/>
        <w:outlineLvl w:val="2"/>
        <w:rPr>
          <w:rFonts w:ascii="Book Antiqua" w:hAnsi="Book Antiqua"/>
          <w:b/>
          <w:sz w:val="22"/>
          <w:szCs w:val="22"/>
        </w:rPr>
      </w:pPr>
      <w:hyperlink w:anchor="_Toc309810042" w:history="1">
        <w:bookmarkStart w:id="325" w:name="_Toc433232121"/>
        <w:bookmarkStart w:id="326" w:name="_Toc523322115"/>
        <w:r w:rsidR="0056621A" w:rsidRPr="004E330F">
          <w:rPr>
            <w:rFonts w:ascii="Book Antiqua" w:hAnsi="Book Antiqua" w:cs="Arial"/>
            <w:b/>
            <w:noProof/>
            <w:sz w:val="22"/>
            <w:szCs w:val="22"/>
          </w:rPr>
          <w:t>III.2.</w:t>
        </w:r>
        <w:r w:rsidR="004E330F" w:rsidRPr="004E330F">
          <w:rPr>
            <w:rFonts w:ascii="Book Antiqua" w:hAnsi="Book Antiqua" w:cs="Arial"/>
            <w:b/>
            <w:noProof/>
            <w:sz w:val="22"/>
            <w:szCs w:val="22"/>
          </w:rPr>
          <w:t>6</w:t>
        </w:r>
        <w:r w:rsidR="0056621A" w:rsidRPr="004E330F">
          <w:rPr>
            <w:rFonts w:ascii="Book Antiqua" w:hAnsi="Book Antiqua" w:cs="Arial"/>
            <w:b/>
            <w:noProof/>
            <w:sz w:val="22"/>
            <w:szCs w:val="22"/>
          </w:rPr>
          <w:t>. Perception sur les garanties assorties aux prêts</w:t>
        </w:r>
        <w:bookmarkEnd w:id="325"/>
        <w:bookmarkEnd w:id="326"/>
      </w:hyperlink>
    </w:p>
    <w:p w:rsidR="00DA343B" w:rsidRDefault="00093535"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L’examen de la typologie des garanties exigées met en évidence une large prédominance de la domiciliation des revenus où il est observé un taux de 88,7%. Les hypothèques, les cautions et les nantissements de fonds de commerce </w:t>
      </w:r>
      <w:r w:rsidR="00DA343B">
        <w:rPr>
          <w:rFonts w:ascii="Book Antiqua" w:eastAsia="Calibri" w:hAnsi="Book Antiqua"/>
          <w:sz w:val="22"/>
          <w:szCs w:val="22"/>
          <w:lang w:eastAsia="en-US"/>
        </w:rPr>
        <w:t>ressortent avec des proportions marginales respectives de 3,7%, 3,4% et 2,3%.</w:t>
      </w:r>
    </w:p>
    <w:p w:rsidR="0056621A" w:rsidRPr="0056621A" w:rsidRDefault="00C14B87"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L</w:t>
      </w:r>
      <w:r w:rsidRPr="0056621A">
        <w:rPr>
          <w:rFonts w:ascii="Book Antiqua" w:eastAsia="Calibri" w:hAnsi="Book Antiqua"/>
          <w:sz w:val="22"/>
          <w:szCs w:val="22"/>
          <w:lang w:eastAsia="en-US"/>
        </w:rPr>
        <w:t xml:space="preserve">es garanties </w:t>
      </w:r>
      <w:r>
        <w:rPr>
          <w:rFonts w:ascii="Book Antiqua" w:eastAsia="Calibri" w:hAnsi="Book Antiqua"/>
          <w:sz w:val="22"/>
          <w:szCs w:val="22"/>
          <w:lang w:eastAsia="en-US"/>
        </w:rPr>
        <w:t xml:space="preserve">assorties au crédit apparaissent contraignantes selon les opinions des clients bénéficiaires avec une proportion qui s’établit à </w:t>
      </w:r>
      <w:r w:rsidR="00DA343B">
        <w:rPr>
          <w:rFonts w:ascii="Book Antiqua" w:eastAsia="Calibri" w:hAnsi="Book Antiqua"/>
          <w:sz w:val="22"/>
          <w:szCs w:val="22"/>
          <w:lang w:eastAsia="en-US"/>
        </w:rPr>
        <w:t xml:space="preserve"> 46,9</w:t>
      </w:r>
      <w:r w:rsidR="0056621A" w:rsidRPr="0056621A">
        <w:rPr>
          <w:rFonts w:ascii="Book Antiqua" w:eastAsia="Calibri" w:hAnsi="Book Antiqua"/>
          <w:sz w:val="22"/>
          <w:szCs w:val="22"/>
          <w:lang w:eastAsia="en-US"/>
        </w:rPr>
        <w:t>%</w:t>
      </w:r>
      <w:r w:rsidR="00840760">
        <w:rPr>
          <w:rFonts w:ascii="Book Antiqua" w:eastAsia="Calibri" w:hAnsi="Book Antiqua"/>
          <w:sz w:val="22"/>
          <w:szCs w:val="22"/>
          <w:lang w:eastAsia="en-US"/>
        </w:rPr>
        <w:t>.</w:t>
      </w:r>
      <w:r w:rsidR="0056621A" w:rsidRPr="0056621A">
        <w:rPr>
          <w:rFonts w:ascii="Book Antiqua" w:eastAsia="Calibri" w:hAnsi="Book Antiqua"/>
          <w:sz w:val="22"/>
          <w:szCs w:val="22"/>
          <w:lang w:eastAsia="en-US"/>
        </w:rPr>
        <w:t xml:space="preserve"> </w:t>
      </w:r>
    </w:p>
    <w:p w:rsidR="00221672" w:rsidRPr="00221672" w:rsidRDefault="00221672" w:rsidP="00575B92">
      <w:pPr>
        <w:pStyle w:val="Lgende"/>
        <w:keepNext/>
        <w:spacing w:before="240" w:after="240" w:line="276" w:lineRule="auto"/>
        <w:jc w:val="center"/>
        <w:rPr>
          <w:color w:val="auto"/>
        </w:rPr>
      </w:pPr>
      <w:bookmarkStart w:id="327" w:name="_Toc523313871"/>
      <w:r w:rsidRPr="00221672">
        <w:rPr>
          <w:color w:val="auto"/>
        </w:rPr>
        <w:t xml:space="preserve">Figure </w:t>
      </w:r>
      <w:r w:rsidR="000D65F2" w:rsidRPr="00221672">
        <w:rPr>
          <w:color w:val="auto"/>
        </w:rPr>
        <w:fldChar w:fldCharType="begin"/>
      </w:r>
      <w:r w:rsidRPr="00221672">
        <w:rPr>
          <w:color w:val="auto"/>
        </w:rPr>
        <w:instrText xml:space="preserve"> SEQ Figure \* ARABIC </w:instrText>
      </w:r>
      <w:r w:rsidR="000D65F2" w:rsidRPr="00221672">
        <w:rPr>
          <w:color w:val="auto"/>
        </w:rPr>
        <w:fldChar w:fldCharType="separate"/>
      </w:r>
      <w:r w:rsidR="000F780F">
        <w:rPr>
          <w:noProof/>
          <w:color w:val="auto"/>
        </w:rPr>
        <w:t>188</w:t>
      </w:r>
      <w:r w:rsidR="000D65F2" w:rsidRPr="00221672">
        <w:rPr>
          <w:color w:val="auto"/>
        </w:rPr>
        <w:fldChar w:fldCharType="end"/>
      </w:r>
      <w:r w:rsidRPr="00221672">
        <w:rPr>
          <w:color w:val="auto"/>
        </w:rPr>
        <w:t xml:space="preserve"> : Perception des clients personnes physiques sur les garanties assorties aux prêts</w:t>
      </w:r>
      <w:bookmarkEnd w:id="327"/>
    </w:p>
    <w:p w:rsidR="0056621A" w:rsidRPr="00221672" w:rsidRDefault="0056621A" w:rsidP="00575B92">
      <w:pPr>
        <w:spacing w:before="240" w:after="240" w:line="276" w:lineRule="auto"/>
        <w:jc w:val="center"/>
        <w:rPr>
          <w:rFonts w:ascii="Book Antiqua" w:eastAsia="Calibri" w:hAnsi="Book Antiqua"/>
          <w:szCs w:val="22"/>
          <w:lang w:eastAsia="en-US"/>
        </w:rPr>
      </w:pPr>
      <w:r w:rsidRPr="0056621A">
        <w:rPr>
          <w:rFonts w:ascii="Book Antiqua" w:eastAsia="Calibri" w:hAnsi="Book Antiqua"/>
          <w:noProof/>
          <w:szCs w:val="22"/>
        </w:rPr>
        <w:drawing>
          <wp:inline distT="0" distB="0" distL="0" distR="0">
            <wp:extent cx="4324350" cy="2667000"/>
            <wp:effectExtent l="19050" t="0" r="19050" b="0"/>
            <wp:docPr id="32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56621A" w:rsidRPr="00AB44B5" w:rsidRDefault="000D65F2" w:rsidP="003D5415">
      <w:pPr>
        <w:tabs>
          <w:tab w:val="left" w:pos="1320"/>
          <w:tab w:val="right" w:leader="dot" w:pos="9572"/>
        </w:tabs>
        <w:spacing w:before="120" w:after="120" w:line="276" w:lineRule="auto"/>
        <w:ind w:firstLine="567"/>
        <w:jc w:val="both"/>
        <w:outlineLvl w:val="2"/>
        <w:rPr>
          <w:rFonts w:ascii="Book Antiqua" w:hAnsi="Book Antiqua"/>
          <w:b/>
          <w:sz w:val="22"/>
          <w:szCs w:val="22"/>
        </w:rPr>
      </w:pPr>
      <w:hyperlink w:anchor="_Toc309810042" w:history="1">
        <w:bookmarkStart w:id="328" w:name="_Toc433232122"/>
        <w:bookmarkStart w:id="329" w:name="_Toc523322116"/>
        <w:r w:rsidR="0056621A" w:rsidRPr="00AB44B5">
          <w:rPr>
            <w:rFonts w:ascii="Book Antiqua" w:hAnsi="Book Antiqua" w:cs="Arial"/>
            <w:b/>
            <w:noProof/>
            <w:sz w:val="22"/>
            <w:szCs w:val="22"/>
          </w:rPr>
          <w:t>III.2.</w:t>
        </w:r>
        <w:r w:rsidR="004E330F" w:rsidRPr="00AB44B5">
          <w:rPr>
            <w:rFonts w:ascii="Book Antiqua" w:hAnsi="Book Antiqua" w:cs="Arial"/>
            <w:b/>
            <w:noProof/>
            <w:sz w:val="22"/>
            <w:szCs w:val="22"/>
          </w:rPr>
          <w:t>7</w:t>
        </w:r>
        <w:r w:rsidR="0056621A" w:rsidRPr="00AB44B5">
          <w:rPr>
            <w:rFonts w:ascii="Book Antiqua" w:hAnsi="Book Antiqua" w:cs="Arial"/>
            <w:b/>
            <w:noProof/>
            <w:sz w:val="22"/>
            <w:szCs w:val="22"/>
          </w:rPr>
          <w:t>. Découvert et dépassement ponctuel</w:t>
        </w:r>
        <w:bookmarkEnd w:id="328"/>
        <w:bookmarkEnd w:id="329"/>
      </w:hyperlink>
    </w:p>
    <w:p w:rsidR="00533014" w:rsidRDefault="00533014" w:rsidP="00F825F6">
      <w:pPr>
        <w:spacing w:before="120" w:after="12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Les résultats de l’enquête indiquent que 23,5% des clients interrogés ne connaissent pas le découvert. Une proportion de </w:t>
      </w:r>
      <w:r w:rsidR="0017000A">
        <w:rPr>
          <w:rFonts w:ascii="Book Antiqua" w:eastAsia="Calibri" w:hAnsi="Book Antiqua"/>
          <w:sz w:val="22"/>
          <w:szCs w:val="22"/>
          <w:lang w:eastAsia="en-US"/>
        </w:rPr>
        <w:t>51</w:t>
      </w:r>
      <w:r>
        <w:rPr>
          <w:rFonts w:ascii="Book Antiqua" w:eastAsia="Calibri" w:hAnsi="Book Antiqua"/>
          <w:sz w:val="22"/>
          <w:szCs w:val="22"/>
          <w:lang w:eastAsia="en-US"/>
        </w:rPr>
        <w:t>,</w:t>
      </w:r>
      <w:r w:rsidR="0017000A">
        <w:rPr>
          <w:rFonts w:ascii="Book Antiqua" w:eastAsia="Calibri" w:hAnsi="Book Antiqua"/>
          <w:sz w:val="22"/>
          <w:szCs w:val="22"/>
          <w:lang w:eastAsia="en-US"/>
        </w:rPr>
        <w:t>8</w:t>
      </w:r>
      <w:r>
        <w:rPr>
          <w:rFonts w:ascii="Book Antiqua" w:eastAsia="Calibri" w:hAnsi="Book Antiqua"/>
          <w:sz w:val="22"/>
          <w:szCs w:val="22"/>
          <w:lang w:eastAsia="en-US"/>
        </w:rPr>
        <w:t>% déclare av</w:t>
      </w:r>
      <w:r w:rsidR="0017000A">
        <w:rPr>
          <w:rFonts w:ascii="Book Antiqua" w:eastAsia="Calibri" w:hAnsi="Book Antiqua"/>
          <w:sz w:val="22"/>
          <w:szCs w:val="22"/>
          <w:lang w:eastAsia="en-US"/>
        </w:rPr>
        <w:t>oir bénéficié d’une ligne de découvert auprès de leur banque dont une forte majorité (73,7%) juge élevés les frais liés à ce service.</w:t>
      </w:r>
    </w:p>
    <w:p w:rsidR="0056621A" w:rsidRDefault="00533014" w:rsidP="00F825F6">
      <w:pPr>
        <w:spacing w:before="120" w:after="12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U</w:t>
      </w:r>
      <w:r w:rsidR="0056621A" w:rsidRPr="0056621A">
        <w:rPr>
          <w:rFonts w:ascii="Book Antiqua" w:eastAsia="Calibri" w:hAnsi="Book Antiqua"/>
          <w:sz w:val="22"/>
          <w:szCs w:val="22"/>
          <w:lang w:eastAsia="en-US"/>
        </w:rPr>
        <w:t>ne proportion de 8,5% de</w:t>
      </w:r>
      <w:r>
        <w:rPr>
          <w:rFonts w:ascii="Book Antiqua" w:eastAsia="Calibri" w:hAnsi="Book Antiqua"/>
          <w:sz w:val="22"/>
          <w:szCs w:val="22"/>
          <w:lang w:eastAsia="en-US"/>
        </w:rPr>
        <w:t>s</w:t>
      </w:r>
      <w:r w:rsidR="0056621A" w:rsidRPr="0056621A">
        <w:rPr>
          <w:rFonts w:ascii="Book Antiqua" w:eastAsia="Calibri" w:hAnsi="Book Antiqua"/>
          <w:sz w:val="22"/>
          <w:szCs w:val="22"/>
          <w:lang w:eastAsia="en-US"/>
        </w:rPr>
        <w:t xml:space="preserve"> clients </w:t>
      </w:r>
      <w:r>
        <w:rPr>
          <w:rFonts w:ascii="Book Antiqua" w:eastAsia="Calibri" w:hAnsi="Book Antiqua"/>
          <w:sz w:val="22"/>
          <w:szCs w:val="22"/>
          <w:lang w:eastAsia="en-US"/>
        </w:rPr>
        <w:t>déclare</w:t>
      </w:r>
      <w:r w:rsidR="000E12E5">
        <w:rPr>
          <w:rFonts w:ascii="Book Antiqua" w:eastAsia="Calibri" w:hAnsi="Book Antiqua"/>
          <w:sz w:val="22"/>
          <w:szCs w:val="22"/>
          <w:lang w:eastAsia="en-US"/>
        </w:rPr>
        <w:t xml:space="preserve"> </w:t>
      </w:r>
      <w:r w:rsidR="0056621A" w:rsidRPr="0056621A">
        <w:rPr>
          <w:rFonts w:ascii="Book Antiqua" w:eastAsia="Calibri" w:hAnsi="Book Antiqua"/>
          <w:sz w:val="22"/>
          <w:szCs w:val="22"/>
          <w:lang w:eastAsia="en-US"/>
        </w:rPr>
        <w:t xml:space="preserve">avoir déjà </w:t>
      </w:r>
      <w:r>
        <w:rPr>
          <w:rFonts w:ascii="Book Antiqua" w:eastAsia="Calibri" w:hAnsi="Book Antiqua"/>
          <w:sz w:val="22"/>
          <w:szCs w:val="22"/>
          <w:lang w:eastAsia="en-US"/>
        </w:rPr>
        <w:t>formulé</w:t>
      </w:r>
      <w:r w:rsidR="0056621A" w:rsidRPr="0056621A">
        <w:rPr>
          <w:rFonts w:ascii="Book Antiqua" w:eastAsia="Calibri" w:hAnsi="Book Antiqua"/>
          <w:sz w:val="22"/>
          <w:szCs w:val="22"/>
          <w:lang w:eastAsia="en-US"/>
        </w:rPr>
        <w:t xml:space="preserve"> une demande de dépassement au niveau de leur banque</w:t>
      </w:r>
      <w:r w:rsidR="002B3254">
        <w:rPr>
          <w:rFonts w:ascii="Book Antiqua" w:eastAsia="Calibri" w:hAnsi="Book Antiqua"/>
          <w:sz w:val="22"/>
          <w:szCs w:val="22"/>
          <w:lang w:eastAsia="en-US"/>
        </w:rPr>
        <w:t xml:space="preserve"> dont 90,7% ont vu leur </w:t>
      </w:r>
      <w:r w:rsidR="00D61C55">
        <w:rPr>
          <w:rFonts w:ascii="Book Antiqua" w:eastAsia="Calibri" w:hAnsi="Book Antiqua"/>
          <w:sz w:val="22"/>
          <w:szCs w:val="22"/>
          <w:lang w:eastAsia="en-US"/>
        </w:rPr>
        <w:t>requête</w:t>
      </w:r>
      <w:r w:rsidR="002B3254">
        <w:rPr>
          <w:rFonts w:ascii="Book Antiqua" w:eastAsia="Calibri" w:hAnsi="Book Antiqua"/>
          <w:sz w:val="22"/>
          <w:szCs w:val="22"/>
          <w:lang w:eastAsia="en-US"/>
        </w:rPr>
        <w:t xml:space="preserve"> acceptée.  </w:t>
      </w:r>
      <w:r w:rsidR="00D61C55">
        <w:rPr>
          <w:rFonts w:ascii="Book Antiqua" w:eastAsia="Calibri" w:hAnsi="Book Antiqua"/>
          <w:sz w:val="22"/>
          <w:szCs w:val="22"/>
          <w:lang w:eastAsia="en-US"/>
        </w:rPr>
        <w:t xml:space="preserve">L’appréciation des bénéficiaires sur le coût lié à ce service fait ressortir un </w:t>
      </w:r>
      <w:r w:rsidR="002B3254">
        <w:rPr>
          <w:rFonts w:ascii="Book Antiqua" w:eastAsia="Calibri" w:hAnsi="Book Antiqua"/>
          <w:sz w:val="22"/>
          <w:szCs w:val="22"/>
          <w:lang w:eastAsia="en-US"/>
        </w:rPr>
        <w:t xml:space="preserve">pourcentage </w:t>
      </w:r>
      <w:r w:rsidR="00D61C55">
        <w:rPr>
          <w:rFonts w:ascii="Book Antiqua" w:eastAsia="Calibri" w:hAnsi="Book Antiqua"/>
          <w:sz w:val="22"/>
          <w:szCs w:val="22"/>
          <w:lang w:eastAsia="en-US"/>
        </w:rPr>
        <w:t xml:space="preserve">très élevé d’opinions ( </w:t>
      </w:r>
      <w:r w:rsidR="002B3254">
        <w:rPr>
          <w:rFonts w:ascii="Book Antiqua" w:eastAsia="Calibri" w:hAnsi="Book Antiqua"/>
          <w:sz w:val="22"/>
          <w:szCs w:val="22"/>
          <w:lang w:eastAsia="en-US"/>
        </w:rPr>
        <w:t>71</w:t>
      </w:r>
      <w:r w:rsidR="00A805D2">
        <w:rPr>
          <w:rFonts w:ascii="Book Antiqua" w:eastAsia="Calibri" w:hAnsi="Book Antiqua"/>
          <w:sz w:val="22"/>
          <w:szCs w:val="22"/>
          <w:lang w:eastAsia="en-US"/>
        </w:rPr>
        <w:t>,</w:t>
      </w:r>
      <w:r w:rsidR="002B3254">
        <w:rPr>
          <w:rFonts w:ascii="Book Antiqua" w:eastAsia="Calibri" w:hAnsi="Book Antiqua"/>
          <w:sz w:val="22"/>
          <w:szCs w:val="22"/>
          <w:lang w:eastAsia="en-US"/>
        </w:rPr>
        <w:t>4</w:t>
      </w:r>
      <w:r w:rsidR="00A805D2">
        <w:rPr>
          <w:rFonts w:ascii="Book Antiqua" w:eastAsia="Calibri" w:hAnsi="Book Antiqua"/>
          <w:sz w:val="22"/>
          <w:szCs w:val="22"/>
          <w:lang w:eastAsia="en-US"/>
        </w:rPr>
        <w:t>%</w:t>
      </w:r>
      <w:r w:rsidR="00D61C55">
        <w:rPr>
          <w:rFonts w:ascii="Book Antiqua" w:eastAsia="Calibri" w:hAnsi="Book Antiqua"/>
          <w:sz w:val="22"/>
          <w:szCs w:val="22"/>
          <w:lang w:eastAsia="en-US"/>
        </w:rPr>
        <w:t xml:space="preserve">)  défavorables sur </w:t>
      </w:r>
      <w:r w:rsidR="0056621A" w:rsidRPr="0056621A">
        <w:rPr>
          <w:rFonts w:ascii="Book Antiqua" w:eastAsia="Calibri" w:hAnsi="Book Antiqua"/>
          <w:sz w:val="22"/>
          <w:szCs w:val="22"/>
          <w:lang w:eastAsia="en-US"/>
        </w:rPr>
        <w:t>les frais appliqués.</w:t>
      </w:r>
    </w:p>
    <w:p w:rsidR="00221672" w:rsidRPr="00221672" w:rsidRDefault="00221672" w:rsidP="00575B92">
      <w:pPr>
        <w:pStyle w:val="Lgende"/>
        <w:keepNext/>
        <w:spacing w:before="240" w:after="240" w:line="276" w:lineRule="auto"/>
        <w:jc w:val="center"/>
        <w:rPr>
          <w:color w:val="auto"/>
        </w:rPr>
      </w:pPr>
      <w:bookmarkStart w:id="330" w:name="_Toc523313872"/>
      <w:r w:rsidRPr="00221672">
        <w:rPr>
          <w:color w:val="auto"/>
        </w:rPr>
        <w:t xml:space="preserve">Figure </w:t>
      </w:r>
      <w:r w:rsidR="000D65F2" w:rsidRPr="00221672">
        <w:rPr>
          <w:color w:val="auto"/>
        </w:rPr>
        <w:fldChar w:fldCharType="begin"/>
      </w:r>
      <w:r w:rsidRPr="00221672">
        <w:rPr>
          <w:color w:val="auto"/>
        </w:rPr>
        <w:instrText xml:space="preserve"> SEQ Figure \* ARABIC </w:instrText>
      </w:r>
      <w:r w:rsidR="000D65F2" w:rsidRPr="00221672">
        <w:rPr>
          <w:color w:val="auto"/>
        </w:rPr>
        <w:fldChar w:fldCharType="separate"/>
      </w:r>
      <w:r w:rsidR="000F780F">
        <w:rPr>
          <w:noProof/>
          <w:color w:val="auto"/>
        </w:rPr>
        <w:t>189</w:t>
      </w:r>
      <w:r w:rsidR="000D65F2" w:rsidRPr="00221672">
        <w:rPr>
          <w:color w:val="auto"/>
        </w:rPr>
        <w:fldChar w:fldCharType="end"/>
      </w:r>
      <w:r w:rsidRPr="00221672">
        <w:rPr>
          <w:color w:val="auto"/>
        </w:rPr>
        <w:t xml:space="preserve"> : Appréciation des clients personnes physiques sur le coût de dépassement ponctuel</w:t>
      </w:r>
      <w:bookmarkEnd w:id="330"/>
    </w:p>
    <w:p w:rsidR="0056621A" w:rsidRPr="00221672" w:rsidRDefault="00C06D3D" w:rsidP="00575B92">
      <w:pPr>
        <w:spacing w:before="240" w:after="240" w:line="276" w:lineRule="auto"/>
        <w:jc w:val="center"/>
        <w:rPr>
          <w:rFonts w:ascii="Book Antiqua" w:eastAsia="Calibri" w:hAnsi="Book Antiqua"/>
          <w:sz w:val="22"/>
          <w:szCs w:val="22"/>
          <w:lang w:eastAsia="en-US"/>
        </w:rPr>
      </w:pPr>
      <w:r w:rsidRPr="00C06D3D">
        <w:rPr>
          <w:rFonts w:ascii="Book Antiqua" w:eastAsia="Calibri" w:hAnsi="Book Antiqua"/>
          <w:noProof/>
          <w:sz w:val="22"/>
          <w:szCs w:val="22"/>
        </w:rPr>
        <w:drawing>
          <wp:inline distT="0" distB="0" distL="0" distR="0">
            <wp:extent cx="4573657" cy="2695492"/>
            <wp:effectExtent l="19050" t="0" r="17393" b="0"/>
            <wp:docPr id="263" name="Graphique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002A3F" w:rsidRPr="00002A3F" w:rsidRDefault="00FE7CE4" w:rsidP="00575B92">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t xml:space="preserve">S’agissant de l’appréciation du délai de traitement des demandes de dépassement, il est relevé </w:t>
      </w:r>
      <w:r w:rsidR="0056621A" w:rsidRPr="0056621A">
        <w:rPr>
          <w:rFonts w:ascii="Book Antiqua" w:eastAsia="Calibri" w:hAnsi="Book Antiqua"/>
          <w:sz w:val="22"/>
          <w:szCs w:val="22"/>
          <w:lang w:eastAsia="en-US"/>
        </w:rPr>
        <w:t xml:space="preserve"> une proportion </w:t>
      </w:r>
      <w:r>
        <w:rPr>
          <w:rFonts w:ascii="Book Antiqua" w:eastAsia="Calibri" w:hAnsi="Book Antiqua"/>
          <w:sz w:val="22"/>
          <w:szCs w:val="22"/>
          <w:lang w:eastAsia="en-US"/>
        </w:rPr>
        <w:t>élevée (63,2</w:t>
      </w:r>
      <w:r w:rsidR="0056621A" w:rsidRPr="0056621A">
        <w:rPr>
          <w:rFonts w:ascii="Book Antiqua" w:eastAsia="Calibri" w:hAnsi="Book Antiqua"/>
          <w:sz w:val="22"/>
          <w:szCs w:val="22"/>
          <w:lang w:eastAsia="en-US"/>
        </w:rPr>
        <w:t>%</w:t>
      </w:r>
      <w:r>
        <w:rPr>
          <w:rFonts w:ascii="Book Antiqua" w:eastAsia="Calibri" w:hAnsi="Book Antiqua"/>
          <w:sz w:val="22"/>
          <w:szCs w:val="22"/>
          <w:lang w:eastAsia="en-US"/>
        </w:rPr>
        <w:t>)</w:t>
      </w:r>
      <w:r w:rsidR="0056621A" w:rsidRPr="0056621A">
        <w:rPr>
          <w:rFonts w:ascii="Book Antiqua" w:eastAsia="Calibri" w:hAnsi="Book Antiqua"/>
          <w:sz w:val="22"/>
          <w:szCs w:val="22"/>
          <w:lang w:eastAsia="en-US"/>
        </w:rPr>
        <w:t xml:space="preserve"> de </w:t>
      </w:r>
      <w:r w:rsidR="00D035BE">
        <w:rPr>
          <w:rFonts w:ascii="Book Antiqua" w:eastAsia="Calibri" w:hAnsi="Book Antiqua"/>
          <w:sz w:val="22"/>
          <w:szCs w:val="22"/>
          <w:lang w:eastAsia="en-US"/>
        </w:rPr>
        <w:t>clients</w:t>
      </w:r>
      <w:r>
        <w:rPr>
          <w:rFonts w:ascii="Book Antiqua" w:eastAsia="Calibri" w:hAnsi="Book Antiqua"/>
          <w:sz w:val="22"/>
          <w:szCs w:val="22"/>
          <w:lang w:eastAsia="en-US"/>
        </w:rPr>
        <w:t xml:space="preserve"> qui estiment que ce </w:t>
      </w:r>
      <w:r w:rsidR="0056621A" w:rsidRPr="0056621A">
        <w:rPr>
          <w:rFonts w:ascii="Book Antiqua" w:eastAsia="Calibri" w:hAnsi="Book Antiqua"/>
          <w:sz w:val="22"/>
          <w:szCs w:val="22"/>
          <w:lang w:eastAsia="en-US"/>
        </w:rPr>
        <w:t>délai</w:t>
      </w:r>
      <w:r>
        <w:rPr>
          <w:rFonts w:ascii="Book Antiqua" w:eastAsia="Calibri" w:hAnsi="Book Antiqua"/>
          <w:sz w:val="22"/>
          <w:szCs w:val="22"/>
          <w:lang w:eastAsia="en-US"/>
        </w:rPr>
        <w:t xml:space="preserve"> est</w:t>
      </w:r>
      <w:r w:rsidR="0056621A" w:rsidRPr="0056621A">
        <w:rPr>
          <w:rFonts w:ascii="Book Antiqua" w:eastAsia="Calibri" w:hAnsi="Book Antiqua"/>
          <w:sz w:val="22"/>
          <w:szCs w:val="22"/>
          <w:lang w:eastAsia="en-US"/>
        </w:rPr>
        <w:t xml:space="preserve"> long</w:t>
      </w:r>
      <w:r w:rsidR="00D035BE">
        <w:rPr>
          <w:rFonts w:ascii="Book Antiqua" w:eastAsia="Calibri" w:hAnsi="Book Antiqua"/>
          <w:sz w:val="22"/>
          <w:szCs w:val="22"/>
          <w:lang w:eastAsia="en-US"/>
        </w:rPr>
        <w:t>.</w:t>
      </w:r>
      <w:r w:rsidR="0056621A" w:rsidRPr="0056621A">
        <w:rPr>
          <w:rFonts w:ascii="Book Antiqua" w:eastAsia="Calibri" w:hAnsi="Book Antiqua"/>
          <w:sz w:val="22"/>
          <w:szCs w:val="22"/>
          <w:lang w:eastAsia="en-US"/>
        </w:rPr>
        <w:t xml:space="preserve"> </w:t>
      </w:r>
    </w:p>
    <w:p w:rsidR="00002A3F" w:rsidRPr="00002A3F" w:rsidRDefault="00002A3F" w:rsidP="00575B92">
      <w:pPr>
        <w:pStyle w:val="Lgende"/>
        <w:keepNext/>
        <w:spacing w:before="240" w:after="240" w:line="276" w:lineRule="auto"/>
        <w:jc w:val="center"/>
        <w:rPr>
          <w:color w:val="auto"/>
        </w:rPr>
      </w:pPr>
      <w:bookmarkStart w:id="331" w:name="_Toc523313873"/>
      <w:r w:rsidRPr="00002A3F">
        <w:rPr>
          <w:color w:val="auto"/>
        </w:rPr>
        <w:t xml:space="preserve">Figure </w:t>
      </w:r>
      <w:r w:rsidR="000D65F2" w:rsidRPr="00002A3F">
        <w:rPr>
          <w:color w:val="auto"/>
        </w:rPr>
        <w:fldChar w:fldCharType="begin"/>
      </w:r>
      <w:r w:rsidRPr="00002A3F">
        <w:rPr>
          <w:color w:val="auto"/>
        </w:rPr>
        <w:instrText xml:space="preserve"> SEQ Figure \* ARABIC </w:instrText>
      </w:r>
      <w:r w:rsidR="000D65F2" w:rsidRPr="00002A3F">
        <w:rPr>
          <w:color w:val="auto"/>
        </w:rPr>
        <w:fldChar w:fldCharType="separate"/>
      </w:r>
      <w:r w:rsidR="000F780F">
        <w:rPr>
          <w:noProof/>
          <w:color w:val="auto"/>
        </w:rPr>
        <w:t>190</w:t>
      </w:r>
      <w:r w:rsidR="000D65F2" w:rsidRPr="00002A3F">
        <w:rPr>
          <w:color w:val="auto"/>
        </w:rPr>
        <w:fldChar w:fldCharType="end"/>
      </w:r>
      <w:r w:rsidRPr="00002A3F">
        <w:rPr>
          <w:color w:val="auto"/>
        </w:rPr>
        <w:t xml:space="preserve"> : Appréciation des clients personnes physiques sur le délai de traitement des demandes de dépassement</w:t>
      </w:r>
      <w:bookmarkEnd w:id="331"/>
    </w:p>
    <w:p w:rsidR="00AB44B5" w:rsidRPr="00002A3F" w:rsidRDefault="00544F7C" w:rsidP="00575B92">
      <w:pPr>
        <w:spacing w:before="240" w:after="240" w:line="276" w:lineRule="auto"/>
        <w:jc w:val="center"/>
        <w:rPr>
          <w:rFonts w:ascii="Book Antiqua" w:eastAsia="Calibri" w:hAnsi="Book Antiqua"/>
          <w:szCs w:val="22"/>
          <w:lang w:eastAsia="en-US"/>
        </w:rPr>
      </w:pPr>
      <w:r w:rsidRPr="00544F7C">
        <w:rPr>
          <w:rFonts w:ascii="Book Antiqua" w:eastAsia="Calibri" w:hAnsi="Book Antiqua"/>
          <w:noProof/>
          <w:szCs w:val="22"/>
        </w:rPr>
        <w:drawing>
          <wp:inline distT="0" distB="0" distL="0" distR="0">
            <wp:extent cx="4839197" cy="2798859"/>
            <wp:effectExtent l="19050" t="0" r="18553" b="1491"/>
            <wp:docPr id="85" name="Graphique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F825F6" w:rsidRDefault="00F825F6">
      <w:pPr>
        <w:spacing w:after="200" w:line="276" w:lineRule="auto"/>
      </w:pPr>
      <w:r>
        <w:br w:type="page"/>
      </w:r>
    </w:p>
    <w:p w:rsidR="0056621A" w:rsidRPr="0056621A" w:rsidRDefault="000D65F2" w:rsidP="003D5415">
      <w:pPr>
        <w:tabs>
          <w:tab w:val="left" w:pos="880"/>
          <w:tab w:val="right" w:leader="dot" w:pos="9572"/>
        </w:tabs>
        <w:spacing w:before="240" w:after="240" w:line="276" w:lineRule="auto"/>
        <w:ind w:firstLine="284"/>
        <w:jc w:val="both"/>
        <w:outlineLvl w:val="1"/>
        <w:rPr>
          <w:rFonts w:ascii="Book Antiqua" w:hAnsi="Book Antiqua" w:cs="Arial"/>
          <w:b/>
          <w:noProof/>
          <w:sz w:val="22"/>
          <w:szCs w:val="22"/>
        </w:rPr>
      </w:pPr>
      <w:hyperlink w:anchor="_Toc309810043" w:history="1">
        <w:bookmarkStart w:id="332" w:name="_Toc433232123"/>
        <w:bookmarkStart w:id="333" w:name="_Toc523322117"/>
        <w:r w:rsidR="0056621A" w:rsidRPr="0056621A">
          <w:rPr>
            <w:rFonts w:ascii="Book Antiqua" w:hAnsi="Book Antiqua" w:cs="Arial"/>
            <w:b/>
            <w:noProof/>
            <w:sz w:val="22"/>
            <w:szCs w:val="22"/>
          </w:rPr>
          <w:t>III.3. Satisfaction sur les coûts de gestion du compte</w:t>
        </w:r>
        <w:bookmarkEnd w:id="332"/>
        <w:bookmarkEnd w:id="333"/>
      </w:hyperlink>
    </w:p>
    <w:p w:rsidR="005D0D27" w:rsidRPr="005D0D27" w:rsidRDefault="0056621A" w:rsidP="00575B92">
      <w:pPr>
        <w:spacing w:before="240" w:after="240" w:line="276" w:lineRule="auto"/>
        <w:jc w:val="both"/>
        <w:rPr>
          <w:rFonts w:ascii="Book Antiqua" w:eastAsia="Calibri" w:hAnsi="Book Antiqua"/>
          <w:sz w:val="22"/>
          <w:szCs w:val="22"/>
          <w:lang w:eastAsia="en-US"/>
        </w:rPr>
      </w:pPr>
      <w:r w:rsidRPr="0056621A">
        <w:rPr>
          <w:rFonts w:ascii="Book Antiqua" w:eastAsia="Calibri" w:hAnsi="Book Antiqua"/>
          <w:sz w:val="22"/>
          <w:szCs w:val="22"/>
          <w:lang w:eastAsia="en-US"/>
        </w:rPr>
        <w:t xml:space="preserve">Plus de la moitié des clients </w:t>
      </w:r>
      <w:r w:rsidR="00497D7A">
        <w:rPr>
          <w:rFonts w:ascii="Book Antiqua" w:eastAsia="Calibri" w:hAnsi="Book Antiqua"/>
          <w:sz w:val="22"/>
          <w:szCs w:val="22"/>
          <w:lang w:eastAsia="en-US"/>
        </w:rPr>
        <w:t xml:space="preserve">personnes physiques </w:t>
      </w:r>
      <w:r w:rsidRPr="0056621A">
        <w:rPr>
          <w:rFonts w:ascii="Book Antiqua" w:eastAsia="Calibri" w:hAnsi="Book Antiqua"/>
          <w:sz w:val="22"/>
          <w:szCs w:val="22"/>
          <w:lang w:eastAsia="en-US"/>
        </w:rPr>
        <w:t>enquêtés trouve les frais de tenue de compte</w:t>
      </w:r>
      <w:r w:rsidR="00497D7A">
        <w:rPr>
          <w:rFonts w:ascii="Book Antiqua" w:eastAsia="Calibri" w:hAnsi="Book Antiqua"/>
          <w:sz w:val="22"/>
          <w:szCs w:val="22"/>
          <w:lang w:eastAsia="en-US"/>
        </w:rPr>
        <w:t xml:space="preserve"> appliqués par leur banque « </w:t>
      </w:r>
      <w:r w:rsidRPr="0056621A">
        <w:rPr>
          <w:rFonts w:ascii="Book Antiqua" w:eastAsia="Calibri" w:hAnsi="Book Antiqua"/>
          <w:sz w:val="22"/>
          <w:szCs w:val="22"/>
          <w:lang w:eastAsia="en-US"/>
        </w:rPr>
        <w:t>élevés</w:t>
      </w:r>
      <w:r w:rsidR="00497D7A">
        <w:rPr>
          <w:rFonts w:ascii="Book Antiqua" w:eastAsia="Calibri" w:hAnsi="Book Antiqua"/>
          <w:sz w:val="22"/>
          <w:szCs w:val="22"/>
          <w:lang w:eastAsia="en-US"/>
        </w:rPr>
        <w:t> »</w:t>
      </w:r>
      <w:r w:rsidRPr="0056621A">
        <w:rPr>
          <w:rFonts w:ascii="Book Antiqua" w:eastAsia="Calibri" w:hAnsi="Book Antiqua"/>
          <w:sz w:val="22"/>
          <w:szCs w:val="22"/>
          <w:lang w:eastAsia="en-US"/>
        </w:rPr>
        <w:t xml:space="preserve"> (48,9%) </w:t>
      </w:r>
      <w:r w:rsidR="00497D7A">
        <w:rPr>
          <w:rFonts w:ascii="Book Antiqua" w:eastAsia="Calibri" w:hAnsi="Book Antiqua"/>
          <w:sz w:val="22"/>
          <w:szCs w:val="22"/>
          <w:lang w:eastAsia="en-US"/>
        </w:rPr>
        <w:t>voire « </w:t>
      </w:r>
      <w:r w:rsidRPr="0056621A">
        <w:rPr>
          <w:rFonts w:ascii="Book Antiqua" w:eastAsia="Calibri" w:hAnsi="Book Antiqua"/>
          <w:sz w:val="22"/>
          <w:szCs w:val="22"/>
          <w:lang w:eastAsia="en-US"/>
        </w:rPr>
        <w:t>très élevés</w:t>
      </w:r>
      <w:r w:rsidR="00497D7A">
        <w:rPr>
          <w:rFonts w:ascii="Book Antiqua" w:eastAsia="Calibri" w:hAnsi="Book Antiqua"/>
          <w:sz w:val="22"/>
          <w:szCs w:val="22"/>
          <w:lang w:eastAsia="en-US"/>
        </w:rPr>
        <w:t> »</w:t>
      </w:r>
      <w:r w:rsidRPr="0056621A">
        <w:rPr>
          <w:rFonts w:ascii="Book Antiqua" w:eastAsia="Calibri" w:hAnsi="Book Antiqua"/>
          <w:sz w:val="22"/>
          <w:szCs w:val="22"/>
          <w:lang w:eastAsia="en-US"/>
        </w:rPr>
        <w:t xml:space="preserve"> (17,4%)</w:t>
      </w:r>
      <w:r w:rsidR="00497D7A">
        <w:rPr>
          <w:rFonts w:ascii="Book Antiqua" w:eastAsia="Calibri" w:hAnsi="Book Antiqua"/>
          <w:sz w:val="22"/>
          <w:szCs w:val="22"/>
          <w:lang w:eastAsia="en-US"/>
        </w:rPr>
        <w:t xml:space="preserve">. </w:t>
      </w:r>
    </w:p>
    <w:p w:rsidR="005D0D27" w:rsidRPr="005D0D27" w:rsidRDefault="005D0D27" w:rsidP="00575B92">
      <w:pPr>
        <w:pStyle w:val="Lgende"/>
        <w:keepNext/>
        <w:spacing w:before="240" w:after="240" w:line="276" w:lineRule="auto"/>
        <w:jc w:val="center"/>
        <w:rPr>
          <w:color w:val="auto"/>
        </w:rPr>
      </w:pPr>
      <w:bookmarkStart w:id="334" w:name="_Toc523313874"/>
      <w:r w:rsidRPr="005D0D27">
        <w:rPr>
          <w:color w:val="auto"/>
        </w:rPr>
        <w:t xml:space="preserve">Figure </w:t>
      </w:r>
      <w:r w:rsidR="000D65F2" w:rsidRPr="005D0D27">
        <w:rPr>
          <w:color w:val="auto"/>
        </w:rPr>
        <w:fldChar w:fldCharType="begin"/>
      </w:r>
      <w:r w:rsidRPr="005D0D27">
        <w:rPr>
          <w:color w:val="auto"/>
        </w:rPr>
        <w:instrText xml:space="preserve"> SEQ Figure \* ARABIC </w:instrText>
      </w:r>
      <w:r w:rsidR="000D65F2" w:rsidRPr="005D0D27">
        <w:rPr>
          <w:color w:val="auto"/>
        </w:rPr>
        <w:fldChar w:fldCharType="separate"/>
      </w:r>
      <w:r w:rsidR="000F780F">
        <w:rPr>
          <w:noProof/>
          <w:color w:val="auto"/>
        </w:rPr>
        <w:t>191</w:t>
      </w:r>
      <w:r w:rsidR="000D65F2" w:rsidRPr="005D0D27">
        <w:rPr>
          <w:color w:val="auto"/>
        </w:rPr>
        <w:fldChar w:fldCharType="end"/>
      </w:r>
      <w:r w:rsidRPr="005D0D27">
        <w:rPr>
          <w:color w:val="auto"/>
        </w:rPr>
        <w:t xml:space="preserve"> : Appréciation des clients personnes physiques sur les coûts de gestion du compte</w:t>
      </w:r>
      <w:bookmarkEnd w:id="334"/>
    </w:p>
    <w:p w:rsidR="004E1721" w:rsidRPr="00F825F6" w:rsidRDefault="006239F0" w:rsidP="00F825F6">
      <w:pPr>
        <w:spacing w:before="240" w:after="240" w:line="276" w:lineRule="auto"/>
        <w:jc w:val="center"/>
        <w:rPr>
          <w:rFonts w:ascii="Book Antiqua" w:eastAsia="Calibri" w:hAnsi="Book Antiqua"/>
          <w:b/>
          <w:szCs w:val="22"/>
          <w:lang w:eastAsia="en-US"/>
        </w:rPr>
      </w:pPr>
      <w:r w:rsidRPr="006239F0">
        <w:rPr>
          <w:rFonts w:ascii="Book Antiqua" w:eastAsia="Calibri" w:hAnsi="Book Antiqua"/>
          <w:b/>
          <w:noProof/>
          <w:szCs w:val="22"/>
        </w:rPr>
        <w:drawing>
          <wp:inline distT="0" distB="0" distL="0" distR="0">
            <wp:extent cx="4971221" cy="2377440"/>
            <wp:effectExtent l="19050" t="0" r="19879" b="3810"/>
            <wp:docPr id="89"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AB44B5" w:rsidRPr="005D0D27" w:rsidRDefault="0056621A" w:rsidP="00575B92">
      <w:pPr>
        <w:spacing w:before="240" w:after="240" w:line="276" w:lineRule="auto"/>
        <w:rPr>
          <w:rFonts w:ascii="Book Antiqua" w:eastAsia="Calibri" w:hAnsi="Book Antiqua"/>
          <w:sz w:val="22"/>
          <w:szCs w:val="22"/>
          <w:lang w:eastAsia="en-US"/>
        </w:rPr>
      </w:pPr>
      <w:r w:rsidRPr="0056621A">
        <w:rPr>
          <w:rFonts w:ascii="Book Antiqua" w:eastAsia="Calibri" w:hAnsi="Book Antiqua"/>
          <w:sz w:val="22"/>
          <w:szCs w:val="22"/>
          <w:lang w:eastAsia="en-US"/>
        </w:rPr>
        <w:t xml:space="preserve">Cette perception </w:t>
      </w:r>
      <w:r w:rsidR="00AF3270">
        <w:rPr>
          <w:rFonts w:ascii="Book Antiqua" w:eastAsia="Calibri" w:hAnsi="Book Antiqua"/>
          <w:sz w:val="22"/>
          <w:szCs w:val="22"/>
          <w:lang w:eastAsia="en-US"/>
        </w:rPr>
        <w:t xml:space="preserve">négative sur  les frais </w:t>
      </w:r>
      <w:r w:rsidRPr="0056621A">
        <w:rPr>
          <w:rFonts w:ascii="Book Antiqua" w:eastAsia="Calibri" w:hAnsi="Book Antiqua"/>
          <w:sz w:val="22"/>
          <w:szCs w:val="22"/>
          <w:lang w:eastAsia="en-US"/>
        </w:rPr>
        <w:t xml:space="preserve">de gestion est </w:t>
      </w:r>
      <w:r w:rsidR="00AF3270">
        <w:rPr>
          <w:rFonts w:ascii="Book Antiqua" w:eastAsia="Calibri" w:hAnsi="Book Antiqua"/>
          <w:sz w:val="22"/>
          <w:szCs w:val="22"/>
          <w:lang w:eastAsia="en-US"/>
        </w:rPr>
        <w:t>plus accentuée chez les clients exerçant dans l’Agriculture, l’Enseignement et l’Administration</w:t>
      </w:r>
      <w:r w:rsidR="00D035BE">
        <w:rPr>
          <w:rFonts w:ascii="Book Antiqua" w:eastAsia="Calibri" w:hAnsi="Book Antiqua"/>
          <w:sz w:val="22"/>
          <w:szCs w:val="22"/>
          <w:lang w:eastAsia="en-US"/>
        </w:rPr>
        <w:t xml:space="preserve"> </w:t>
      </w:r>
      <w:r w:rsidR="00AF3270">
        <w:rPr>
          <w:rFonts w:ascii="Book Antiqua" w:eastAsia="Calibri" w:hAnsi="Book Antiqua"/>
          <w:sz w:val="22"/>
          <w:szCs w:val="22"/>
          <w:lang w:eastAsia="en-US"/>
        </w:rPr>
        <w:t xml:space="preserve">qui affichent des taux d’insatisfaction respectifs de 78,2%, 77,2% et 71,8%. </w:t>
      </w:r>
    </w:p>
    <w:p w:rsidR="0056621A" w:rsidRPr="0056621A" w:rsidRDefault="000D65F2" w:rsidP="003D5415">
      <w:pPr>
        <w:tabs>
          <w:tab w:val="left" w:pos="880"/>
          <w:tab w:val="right" w:leader="dot" w:pos="9572"/>
        </w:tabs>
        <w:spacing w:before="240" w:after="240" w:line="276" w:lineRule="auto"/>
        <w:ind w:firstLine="284"/>
        <w:jc w:val="both"/>
        <w:outlineLvl w:val="1"/>
        <w:rPr>
          <w:rFonts w:ascii="Book Antiqua" w:hAnsi="Book Antiqua" w:cs="Arial"/>
          <w:b/>
          <w:noProof/>
          <w:sz w:val="22"/>
          <w:szCs w:val="22"/>
        </w:rPr>
      </w:pPr>
      <w:hyperlink w:anchor="_Toc309810044" w:history="1">
        <w:bookmarkStart w:id="335" w:name="_Toc433232124"/>
        <w:bookmarkStart w:id="336" w:name="_Toc523322118"/>
        <w:r w:rsidR="0056621A" w:rsidRPr="0056621A">
          <w:rPr>
            <w:rFonts w:ascii="Book Antiqua" w:hAnsi="Book Antiqua" w:cs="Arial"/>
            <w:b/>
            <w:noProof/>
            <w:sz w:val="22"/>
            <w:szCs w:val="22"/>
          </w:rPr>
          <w:t>III.4. Satisfaction sur la qualité des services de consultation à distance</w:t>
        </w:r>
        <w:bookmarkEnd w:id="335"/>
        <w:bookmarkEnd w:id="336"/>
      </w:hyperlink>
    </w:p>
    <w:p w:rsidR="00ED5EC3" w:rsidRDefault="0056621A" w:rsidP="00575B92">
      <w:pPr>
        <w:spacing w:before="240" w:after="240" w:line="276" w:lineRule="auto"/>
        <w:jc w:val="both"/>
        <w:rPr>
          <w:rFonts w:ascii="Book Antiqua" w:eastAsia="Calibri" w:hAnsi="Book Antiqua"/>
          <w:sz w:val="22"/>
          <w:szCs w:val="22"/>
          <w:lang w:eastAsia="en-US"/>
        </w:rPr>
      </w:pPr>
      <w:r w:rsidRPr="0056621A">
        <w:rPr>
          <w:rFonts w:ascii="Book Antiqua" w:eastAsia="Calibri" w:hAnsi="Book Antiqua"/>
          <w:sz w:val="22"/>
          <w:szCs w:val="22"/>
          <w:lang w:eastAsia="en-US"/>
        </w:rPr>
        <w:t>L</w:t>
      </w:r>
      <w:r w:rsidR="00AF3270">
        <w:rPr>
          <w:rFonts w:ascii="Book Antiqua" w:eastAsia="Calibri" w:hAnsi="Book Antiqua"/>
          <w:sz w:val="22"/>
          <w:szCs w:val="22"/>
          <w:lang w:eastAsia="en-US"/>
        </w:rPr>
        <w:t xml:space="preserve">’usage par les clients enquêtés des  services de </w:t>
      </w:r>
      <w:r w:rsidRPr="0056621A">
        <w:rPr>
          <w:rFonts w:ascii="Book Antiqua" w:eastAsia="Calibri" w:hAnsi="Book Antiqua"/>
          <w:sz w:val="22"/>
          <w:szCs w:val="22"/>
          <w:lang w:eastAsia="en-US"/>
        </w:rPr>
        <w:t xml:space="preserve"> consultation à distance est relativement faible</w:t>
      </w:r>
      <w:r w:rsidR="00ED5EC3">
        <w:rPr>
          <w:rFonts w:ascii="Book Antiqua" w:eastAsia="Calibri" w:hAnsi="Book Antiqua"/>
          <w:sz w:val="22"/>
          <w:szCs w:val="22"/>
          <w:lang w:eastAsia="en-US"/>
        </w:rPr>
        <w:t xml:space="preserve"> (24,3%)</w:t>
      </w:r>
      <w:r w:rsidR="00AF3270">
        <w:rPr>
          <w:rFonts w:ascii="Book Antiqua" w:eastAsia="Calibri" w:hAnsi="Book Antiqua"/>
          <w:sz w:val="22"/>
          <w:szCs w:val="22"/>
          <w:lang w:eastAsia="en-US"/>
        </w:rPr>
        <w:t xml:space="preserve">. </w:t>
      </w:r>
      <w:r w:rsidR="00ED5EC3">
        <w:rPr>
          <w:rFonts w:ascii="Book Antiqua" w:eastAsia="Calibri" w:hAnsi="Book Antiqua"/>
          <w:sz w:val="22"/>
          <w:szCs w:val="22"/>
          <w:lang w:eastAsia="en-US"/>
        </w:rPr>
        <w:t>Parmi ces utilisateurs,</w:t>
      </w:r>
      <w:r w:rsidR="00E67A0E">
        <w:rPr>
          <w:rFonts w:ascii="Book Antiqua" w:eastAsia="Calibri" w:hAnsi="Book Antiqua"/>
          <w:sz w:val="22"/>
          <w:szCs w:val="22"/>
          <w:lang w:eastAsia="en-US"/>
        </w:rPr>
        <w:t xml:space="preserve"> </w:t>
      </w:r>
      <w:r w:rsidR="00ED5EC3">
        <w:rPr>
          <w:rFonts w:ascii="Book Antiqua" w:eastAsia="Calibri" w:hAnsi="Book Antiqua"/>
          <w:sz w:val="22"/>
          <w:szCs w:val="22"/>
          <w:lang w:eastAsia="en-US"/>
        </w:rPr>
        <w:t>une majorité de 75,6% se disent satisfaits de la qualité du service contre 24,4% qui sont d’avis contraire</w:t>
      </w:r>
      <w:r w:rsidRPr="0056621A">
        <w:rPr>
          <w:rFonts w:ascii="Book Antiqua" w:eastAsia="Calibri" w:hAnsi="Book Antiqua"/>
          <w:sz w:val="22"/>
          <w:szCs w:val="22"/>
          <w:lang w:eastAsia="en-US"/>
        </w:rPr>
        <w:t>.</w:t>
      </w:r>
    </w:p>
    <w:p w:rsidR="005D0D27" w:rsidRDefault="005D0D27" w:rsidP="00575B92">
      <w:pPr>
        <w:spacing w:before="240" w:after="240" w:line="276" w:lineRule="auto"/>
        <w:jc w:val="both"/>
        <w:rPr>
          <w:rFonts w:ascii="Book Antiqua" w:eastAsia="Calibri" w:hAnsi="Book Antiqua"/>
          <w:sz w:val="22"/>
          <w:szCs w:val="22"/>
          <w:lang w:eastAsia="en-US"/>
        </w:rPr>
      </w:pPr>
    </w:p>
    <w:p w:rsidR="005D0D27" w:rsidRPr="005D0D27" w:rsidRDefault="005D0D27" w:rsidP="00575B92">
      <w:pPr>
        <w:pStyle w:val="Lgende"/>
        <w:keepNext/>
        <w:spacing w:before="240" w:after="240" w:line="276" w:lineRule="auto"/>
        <w:jc w:val="center"/>
        <w:rPr>
          <w:color w:val="auto"/>
        </w:rPr>
      </w:pPr>
      <w:bookmarkStart w:id="337" w:name="_Toc523313875"/>
      <w:r w:rsidRPr="005D0D27">
        <w:rPr>
          <w:color w:val="auto"/>
        </w:rPr>
        <w:t xml:space="preserve">Figure </w:t>
      </w:r>
      <w:r w:rsidR="000D65F2" w:rsidRPr="005D0D27">
        <w:rPr>
          <w:color w:val="auto"/>
        </w:rPr>
        <w:fldChar w:fldCharType="begin"/>
      </w:r>
      <w:r w:rsidRPr="005D0D27">
        <w:rPr>
          <w:color w:val="auto"/>
        </w:rPr>
        <w:instrText xml:space="preserve"> SEQ Figure \* ARABIC </w:instrText>
      </w:r>
      <w:r w:rsidR="000D65F2" w:rsidRPr="005D0D27">
        <w:rPr>
          <w:color w:val="auto"/>
        </w:rPr>
        <w:fldChar w:fldCharType="separate"/>
      </w:r>
      <w:r w:rsidR="000F780F">
        <w:rPr>
          <w:noProof/>
          <w:color w:val="auto"/>
        </w:rPr>
        <w:t>192</w:t>
      </w:r>
      <w:r w:rsidR="000D65F2" w:rsidRPr="005D0D27">
        <w:rPr>
          <w:color w:val="auto"/>
        </w:rPr>
        <w:fldChar w:fldCharType="end"/>
      </w:r>
      <w:r w:rsidRPr="005D0D27">
        <w:rPr>
          <w:color w:val="auto"/>
        </w:rPr>
        <w:t xml:space="preserve"> : Appréciation des personnes enquêtées sur la qualité du service de consultation à distance de leur banque</w:t>
      </w:r>
      <w:bookmarkEnd w:id="337"/>
    </w:p>
    <w:p w:rsidR="00E67A0E" w:rsidRDefault="006239F0" w:rsidP="00575B92">
      <w:pPr>
        <w:spacing w:before="240" w:after="240" w:line="276" w:lineRule="auto"/>
        <w:jc w:val="center"/>
        <w:rPr>
          <w:rFonts w:ascii="Book Antiqua" w:eastAsia="Calibri" w:hAnsi="Book Antiqua"/>
          <w:sz w:val="22"/>
          <w:szCs w:val="22"/>
          <w:lang w:eastAsia="en-US"/>
        </w:rPr>
      </w:pPr>
      <w:r w:rsidRPr="006239F0">
        <w:rPr>
          <w:rFonts w:ascii="Book Antiqua" w:eastAsia="Calibri" w:hAnsi="Book Antiqua"/>
          <w:noProof/>
          <w:sz w:val="22"/>
          <w:szCs w:val="22"/>
        </w:rPr>
        <w:drawing>
          <wp:inline distT="0" distB="0" distL="0" distR="0">
            <wp:extent cx="4955319" cy="2441051"/>
            <wp:effectExtent l="19050" t="0" r="16731" b="0"/>
            <wp:docPr id="160" name="Graphique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5D0D27" w:rsidRDefault="005D0D27" w:rsidP="00575B92">
      <w:pPr>
        <w:spacing w:before="240" w:after="240" w:line="276" w:lineRule="auto"/>
        <w:jc w:val="both"/>
        <w:rPr>
          <w:rFonts w:ascii="Book Antiqua" w:eastAsia="Calibri" w:hAnsi="Book Antiqua"/>
          <w:sz w:val="22"/>
          <w:szCs w:val="22"/>
          <w:lang w:eastAsia="en-US"/>
        </w:rPr>
      </w:pPr>
    </w:p>
    <w:p w:rsidR="005D0D27" w:rsidRPr="00F825F6" w:rsidRDefault="00E67A0E" w:rsidP="00F825F6">
      <w:pPr>
        <w:spacing w:before="240" w:after="240" w:line="276" w:lineRule="auto"/>
        <w:jc w:val="both"/>
        <w:rPr>
          <w:rFonts w:ascii="Book Antiqua" w:eastAsia="Calibri" w:hAnsi="Book Antiqua"/>
          <w:sz w:val="22"/>
          <w:szCs w:val="22"/>
          <w:lang w:eastAsia="en-US"/>
        </w:rPr>
      </w:pPr>
      <w:r>
        <w:rPr>
          <w:rFonts w:ascii="Book Antiqua" w:eastAsia="Calibri" w:hAnsi="Book Antiqua"/>
          <w:sz w:val="22"/>
          <w:szCs w:val="22"/>
          <w:lang w:eastAsia="en-US"/>
        </w:rPr>
        <w:lastRenderedPageBreak/>
        <w:t>En outre, le recueil des opinions sur la facturation du service de consultation à distance met en évidence des taux de récrimination relativement élevés de 44,2%</w:t>
      </w:r>
      <w:r w:rsidRPr="0056621A">
        <w:rPr>
          <w:rFonts w:ascii="Book Antiqua" w:eastAsia="Calibri" w:hAnsi="Book Antiqua"/>
          <w:sz w:val="22"/>
          <w:szCs w:val="22"/>
          <w:lang w:eastAsia="en-US"/>
        </w:rPr>
        <w:t>.</w:t>
      </w:r>
    </w:p>
    <w:p w:rsidR="005D0D27" w:rsidRPr="005D0D27" w:rsidRDefault="005D0D27" w:rsidP="00575B92">
      <w:pPr>
        <w:pStyle w:val="Lgende"/>
        <w:keepNext/>
        <w:spacing w:before="240" w:after="240" w:line="276" w:lineRule="auto"/>
        <w:jc w:val="center"/>
        <w:rPr>
          <w:color w:val="auto"/>
        </w:rPr>
      </w:pPr>
      <w:bookmarkStart w:id="338" w:name="_Toc523313876"/>
      <w:r w:rsidRPr="005D0D27">
        <w:rPr>
          <w:color w:val="auto"/>
        </w:rPr>
        <w:t xml:space="preserve">Figure </w:t>
      </w:r>
      <w:r w:rsidR="000D65F2" w:rsidRPr="005D0D27">
        <w:rPr>
          <w:color w:val="auto"/>
        </w:rPr>
        <w:fldChar w:fldCharType="begin"/>
      </w:r>
      <w:r w:rsidRPr="005D0D27">
        <w:rPr>
          <w:color w:val="auto"/>
        </w:rPr>
        <w:instrText xml:space="preserve"> SEQ Figure \* ARABIC </w:instrText>
      </w:r>
      <w:r w:rsidR="000D65F2" w:rsidRPr="005D0D27">
        <w:rPr>
          <w:color w:val="auto"/>
        </w:rPr>
        <w:fldChar w:fldCharType="separate"/>
      </w:r>
      <w:r w:rsidR="000F780F">
        <w:rPr>
          <w:noProof/>
          <w:color w:val="auto"/>
        </w:rPr>
        <w:t>193</w:t>
      </w:r>
      <w:r w:rsidR="000D65F2" w:rsidRPr="005D0D27">
        <w:rPr>
          <w:color w:val="auto"/>
        </w:rPr>
        <w:fldChar w:fldCharType="end"/>
      </w:r>
      <w:r w:rsidRPr="005D0D27">
        <w:rPr>
          <w:color w:val="auto"/>
        </w:rPr>
        <w:t>: Appréciation des clients personnes physiques sur le coût du service de consultance à distance</w:t>
      </w:r>
      <w:bookmarkEnd w:id="338"/>
    </w:p>
    <w:p w:rsidR="00945C68" w:rsidRPr="0056621A" w:rsidRDefault="00945C68" w:rsidP="00575B92">
      <w:pPr>
        <w:spacing w:before="240" w:after="240" w:line="276" w:lineRule="auto"/>
        <w:jc w:val="center"/>
        <w:rPr>
          <w:rFonts w:ascii="Book Antiqua" w:eastAsia="Calibri" w:hAnsi="Book Antiqua"/>
          <w:szCs w:val="22"/>
          <w:lang w:eastAsia="en-US"/>
        </w:rPr>
      </w:pPr>
      <w:r w:rsidRPr="00945C68">
        <w:rPr>
          <w:rFonts w:ascii="Book Antiqua" w:eastAsia="Calibri" w:hAnsi="Book Antiqua"/>
          <w:noProof/>
          <w:szCs w:val="22"/>
        </w:rPr>
        <w:drawing>
          <wp:inline distT="0" distB="0" distL="0" distR="0">
            <wp:extent cx="4867275" cy="2743200"/>
            <wp:effectExtent l="19050" t="0" r="9525" b="0"/>
            <wp:docPr id="161" name="Graphique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CC48BC" w:rsidRPr="00E67A0E" w:rsidRDefault="000D65F2" w:rsidP="003D5415">
      <w:pPr>
        <w:tabs>
          <w:tab w:val="left" w:pos="1320"/>
          <w:tab w:val="right" w:leader="dot" w:pos="9572"/>
        </w:tabs>
        <w:spacing w:before="240" w:after="240" w:line="276" w:lineRule="auto"/>
        <w:ind w:firstLine="284"/>
        <w:jc w:val="both"/>
        <w:outlineLvl w:val="2"/>
        <w:rPr>
          <w:rFonts w:ascii="Book Antiqua" w:hAnsi="Book Antiqua"/>
          <w:b/>
          <w:sz w:val="22"/>
          <w:szCs w:val="22"/>
        </w:rPr>
      </w:pPr>
      <w:hyperlink w:anchor="_Toc309810038" w:history="1">
        <w:bookmarkStart w:id="339" w:name="_Toc523322119"/>
        <w:r w:rsidR="00CC48BC" w:rsidRPr="00E67A0E">
          <w:rPr>
            <w:rFonts w:ascii="Book Antiqua" w:hAnsi="Book Antiqua" w:cs="Arial"/>
            <w:b/>
            <w:noProof/>
            <w:sz w:val="22"/>
            <w:szCs w:val="22"/>
          </w:rPr>
          <w:t>III.</w:t>
        </w:r>
        <w:r w:rsidR="00ED02C9" w:rsidRPr="00E67A0E">
          <w:rPr>
            <w:rFonts w:ascii="Book Antiqua" w:hAnsi="Book Antiqua" w:cs="Arial"/>
            <w:b/>
            <w:noProof/>
            <w:sz w:val="22"/>
            <w:szCs w:val="22"/>
          </w:rPr>
          <w:t>5</w:t>
        </w:r>
        <w:r w:rsidR="00CC48BC" w:rsidRPr="00E67A0E">
          <w:rPr>
            <w:rFonts w:ascii="Book Antiqua" w:hAnsi="Book Antiqua" w:cs="Arial"/>
            <w:b/>
            <w:noProof/>
            <w:sz w:val="22"/>
            <w:szCs w:val="22"/>
          </w:rPr>
          <w:t>.</w:t>
        </w:r>
        <w:r w:rsidR="00AB44B5">
          <w:rPr>
            <w:rFonts w:ascii="Book Antiqua" w:hAnsi="Book Antiqua" w:cs="Arial"/>
            <w:b/>
            <w:noProof/>
            <w:sz w:val="22"/>
            <w:szCs w:val="22"/>
          </w:rPr>
          <w:t xml:space="preserve"> </w:t>
        </w:r>
        <w:r w:rsidR="00CC48BC" w:rsidRPr="00E67A0E">
          <w:rPr>
            <w:rFonts w:ascii="Book Antiqua" w:hAnsi="Book Antiqua" w:cs="Arial"/>
            <w:b/>
            <w:noProof/>
            <w:sz w:val="22"/>
            <w:szCs w:val="22"/>
          </w:rPr>
          <w:t>Connaisance sur la gratuité des 19 services</w:t>
        </w:r>
      </w:hyperlink>
      <w:r w:rsidR="00E67A0E" w:rsidRPr="00E67A0E">
        <w:rPr>
          <w:rFonts w:ascii="Book Antiqua" w:hAnsi="Book Antiqua"/>
          <w:b/>
          <w:sz w:val="22"/>
          <w:szCs w:val="22"/>
        </w:rPr>
        <w:t xml:space="preserve"> bancaires</w:t>
      </w:r>
      <w:bookmarkEnd w:id="339"/>
    </w:p>
    <w:p w:rsidR="00D2275D" w:rsidRPr="00183183" w:rsidRDefault="00C33CB7" w:rsidP="00575B92">
      <w:pPr>
        <w:spacing w:before="240" w:after="240" w:line="276" w:lineRule="auto"/>
        <w:jc w:val="both"/>
        <w:rPr>
          <w:rFonts w:ascii="Book Antiqua" w:eastAsia="Calibri" w:hAnsi="Book Antiqua"/>
          <w:sz w:val="22"/>
          <w:szCs w:val="22"/>
        </w:rPr>
      </w:pPr>
      <w:r w:rsidRPr="00183183">
        <w:rPr>
          <w:rFonts w:ascii="Book Antiqua" w:eastAsia="Calibri" w:hAnsi="Book Antiqua"/>
          <w:sz w:val="22"/>
          <w:szCs w:val="22"/>
        </w:rPr>
        <w:t xml:space="preserve">Pour rappel, la BCEAO, de concert avec la profession bancaire, a établi une liste concertée de </w:t>
      </w:r>
      <w:r w:rsidR="00E67A0E">
        <w:rPr>
          <w:rFonts w:ascii="Book Antiqua" w:eastAsia="Calibri" w:hAnsi="Book Antiqua"/>
          <w:sz w:val="22"/>
          <w:szCs w:val="22"/>
        </w:rPr>
        <w:t>dix neuf (</w:t>
      </w:r>
      <w:r w:rsidRPr="00183183">
        <w:rPr>
          <w:rFonts w:ascii="Book Antiqua" w:eastAsia="Calibri" w:hAnsi="Book Antiqua"/>
          <w:sz w:val="22"/>
          <w:szCs w:val="22"/>
        </w:rPr>
        <w:t>19</w:t>
      </w:r>
      <w:r w:rsidR="00E67A0E">
        <w:rPr>
          <w:rFonts w:ascii="Book Antiqua" w:eastAsia="Calibri" w:hAnsi="Book Antiqua"/>
          <w:sz w:val="22"/>
          <w:szCs w:val="22"/>
        </w:rPr>
        <w:t>)</w:t>
      </w:r>
      <w:r w:rsidRPr="00183183">
        <w:rPr>
          <w:rFonts w:ascii="Book Antiqua" w:eastAsia="Calibri" w:hAnsi="Book Antiqua"/>
          <w:sz w:val="22"/>
          <w:szCs w:val="22"/>
        </w:rPr>
        <w:t xml:space="preserve"> </w:t>
      </w:r>
      <w:r w:rsidR="00D2275D" w:rsidRPr="00183183">
        <w:rPr>
          <w:rFonts w:ascii="Book Antiqua" w:eastAsia="Calibri" w:hAnsi="Book Antiqua"/>
          <w:sz w:val="22"/>
          <w:szCs w:val="22"/>
        </w:rPr>
        <w:t>opérations et services offerts à titre gratuit à partir du 1</w:t>
      </w:r>
      <w:r w:rsidR="00D2275D" w:rsidRPr="00183183">
        <w:rPr>
          <w:rFonts w:ascii="Book Antiqua" w:eastAsia="Calibri" w:hAnsi="Book Antiqua"/>
          <w:sz w:val="22"/>
          <w:szCs w:val="22"/>
          <w:vertAlign w:val="superscript"/>
        </w:rPr>
        <w:t>er</w:t>
      </w:r>
      <w:r w:rsidR="00D2275D" w:rsidRPr="00183183">
        <w:rPr>
          <w:rFonts w:ascii="Book Antiqua" w:eastAsia="Calibri" w:hAnsi="Book Antiqua"/>
          <w:sz w:val="22"/>
          <w:szCs w:val="22"/>
        </w:rPr>
        <w:t xml:space="preserve"> octobre 2014. Pour apprécier le niveau de connaissance ainsi que l’effectivité de ces mesures auprès des clients, l’OQSF a été amené, dans le cadre de </w:t>
      </w:r>
      <w:r w:rsidR="00E67A0E">
        <w:rPr>
          <w:rFonts w:ascii="Book Antiqua" w:eastAsia="Calibri" w:hAnsi="Book Antiqua"/>
          <w:sz w:val="22"/>
          <w:szCs w:val="22"/>
        </w:rPr>
        <w:t>cette enquête</w:t>
      </w:r>
      <w:r w:rsidR="00D2275D" w:rsidRPr="00183183">
        <w:rPr>
          <w:rFonts w:ascii="Book Antiqua" w:eastAsia="Calibri" w:hAnsi="Book Antiqua"/>
          <w:sz w:val="22"/>
          <w:szCs w:val="22"/>
        </w:rPr>
        <w:t>, à recueillir les opinions des  clients en vue sur la question.</w:t>
      </w:r>
    </w:p>
    <w:p w:rsidR="00D2275D" w:rsidRPr="00183183" w:rsidRDefault="00D2275D" w:rsidP="00575B92">
      <w:pPr>
        <w:spacing w:before="240" w:after="240" w:line="276" w:lineRule="auto"/>
        <w:jc w:val="both"/>
        <w:rPr>
          <w:rFonts w:ascii="Book Antiqua" w:eastAsia="Calibri" w:hAnsi="Book Antiqua"/>
          <w:sz w:val="22"/>
          <w:szCs w:val="22"/>
        </w:rPr>
      </w:pPr>
      <w:r w:rsidRPr="00183183">
        <w:rPr>
          <w:rFonts w:ascii="Book Antiqua" w:eastAsia="Calibri" w:hAnsi="Book Antiqua"/>
          <w:sz w:val="22"/>
          <w:szCs w:val="22"/>
        </w:rPr>
        <w:t xml:space="preserve">Il est apparu, selon les avis des personnes physiques interrogées que la connaissance de ces mesures reste encore faible. En effet, seuls 17,5% de l’échantillon global déclarent connaitre les services offerts à titre gratuit par les banques. </w:t>
      </w:r>
    </w:p>
    <w:p w:rsidR="00CC48BC" w:rsidRPr="00F825F6" w:rsidRDefault="00D2275D" w:rsidP="00575B92">
      <w:pPr>
        <w:spacing w:before="240" w:after="240" w:line="276" w:lineRule="auto"/>
        <w:jc w:val="both"/>
        <w:rPr>
          <w:rFonts w:ascii="Book Antiqua" w:eastAsia="Calibri" w:hAnsi="Book Antiqua"/>
          <w:sz w:val="22"/>
          <w:szCs w:val="22"/>
        </w:rPr>
      </w:pPr>
      <w:r w:rsidRPr="00183183">
        <w:rPr>
          <w:rFonts w:ascii="Book Antiqua" w:eastAsia="Calibri" w:hAnsi="Book Antiqua"/>
          <w:sz w:val="22"/>
          <w:szCs w:val="22"/>
        </w:rPr>
        <w:t xml:space="preserve">Cette méconnaissance est également </w:t>
      </w:r>
      <w:r w:rsidR="006A7850" w:rsidRPr="00183183">
        <w:rPr>
          <w:rFonts w:ascii="Book Antiqua" w:eastAsia="Calibri" w:hAnsi="Book Antiqua"/>
          <w:sz w:val="22"/>
          <w:szCs w:val="22"/>
        </w:rPr>
        <w:t xml:space="preserve">confirmée </w:t>
      </w:r>
      <w:r w:rsidRPr="00183183">
        <w:rPr>
          <w:rFonts w:ascii="Book Antiqua" w:eastAsia="Calibri" w:hAnsi="Book Antiqua"/>
          <w:sz w:val="22"/>
          <w:szCs w:val="22"/>
        </w:rPr>
        <w:t xml:space="preserve">par </w:t>
      </w:r>
      <w:r w:rsidR="006A7850" w:rsidRPr="00183183">
        <w:rPr>
          <w:rFonts w:ascii="Book Antiqua" w:eastAsia="Calibri" w:hAnsi="Book Antiqua"/>
          <w:sz w:val="22"/>
          <w:szCs w:val="22"/>
        </w:rPr>
        <w:t xml:space="preserve">le faible taux de clients qui déclare avoir eu à constater la gratuité de certaines opérations et services sur leur relevé de compte. </w:t>
      </w:r>
    </w:p>
    <w:p w:rsidR="00A17C40" w:rsidRPr="00AF3033" w:rsidRDefault="00807A47" w:rsidP="00575B92">
      <w:pPr>
        <w:numPr>
          <w:ilvl w:val="0"/>
          <w:numId w:val="9"/>
        </w:numPr>
        <w:tabs>
          <w:tab w:val="left" w:pos="-720"/>
        </w:tabs>
        <w:suppressAutoHyphens/>
        <w:spacing w:before="240" w:after="240" w:line="276" w:lineRule="auto"/>
        <w:ind w:left="357"/>
        <w:jc w:val="both"/>
        <w:outlineLvl w:val="0"/>
        <w:rPr>
          <w:rFonts w:ascii="Book Antiqua" w:hAnsi="Book Antiqua" w:cs="Arial"/>
          <w:b/>
          <w:sz w:val="22"/>
          <w:szCs w:val="22"/>
        </w:rPr>
      </w:pPr>
      <w:bookmarkStart w:id="340" w:name="_Toc289159196"/>
      <w:bookmarkStart w:id="341" w:name="_Toc523322120"/>
      <w:r w:rsidRPr="00AF3033">
        <w:rPr>
          <w:rFonts w:ascii="Book Antiqua" w:hAnsi="Book Antiqua" w:cs="Arial"/>
          <w:b/>
          <w:sz w:val="22"/>
          <w:szCs w:val="22"/>
        </w:rPr>
        <w:t>Satisfaction sur l’accessibilité</w:t>
      </w:r>
      <w:bookmarkEnd w:id="340"/>
      <w:bookmarkEnd w:id="341"/>
    </w:p>
    <w:p w:rsidR="00D40ADD" w:rsidRPr="00183183" w:rsidRDefault="00D40ADD" w:rsidP="00575B92">
      <w:pPr>
        <w:spacing w:before="240" w:after="240" w:line="276" w:lineRule="auto"/>
        <w:jc w:val="both"/>
        <w:rPr>
          <w:rFonts w:ascii="Book Antiqua" w:eastAsiaTheme="minorEastAsia" w:hAnsi="Book Antiqua" w:cstheme="minorBidi"/>
          <w:sz w:val="22"/>
          <w:szCs w:val="22"/>
        </w:rPr>
      </w:pPr>
      <w:r w:rsidRPr="00183183">
        <w:rPr>
          <w:rFonts w:ascii="Book Antiqua" w:eastAsiaTheme="minorEastAsia" w:hAnsi="Book Antiqua" w:cstheme="minorBidi"/>
          <w:sz w:val="22"/>
          <w:szCs w:val="22"/>
        </w:rPr>
        <w:t>L</w:t>
      </w:r>
      <w:r w:rsidR="00AF3033">
        <w:rPr>
          <w:rFonts w:ascii="Book Antiqua" w:eastAsiaTheme="minorEastAsia" w:hAnsi="Book Antiqua" w:cstheme="minorBidi"/>
          <w:sz w:val="22"/>
          <w:szCs w:val="22"/>
        </w:rPr>
        <w:t>’accessibilité</w:t>
      </w:r>
      <w:r w:rsidRPr="00183183">
        <w:rPr>
          <w:rFonts w:ascii="Book Antiqua" w:eastAsiaTheme="minorEastAsia" w:hAnsi="Book Antiqua" w:cstheme="minorBidi"/>
          <w:sz w:val="22"/>
          <w:szCs w:val="22"/>
        </w:rPr>
        <w:t xml:space="preserve"> est appréciée </w:t>
      </w:r>
      <w:r w:rsidR="0031523B" w:rsidRPr="00183183">
        <w:rPr>
          <w:rFonts w:ascii="Book Antiqua" w:eastAsiaTheme="minorEastAsia" w:hAnsi="Book Antiqua" w:cstheme="minorBidi"/>
          <w:sz w:val="22"/>
          <w:szCs w:val="22"/>
        </w:rPr>
        <w:t>suivant</w:t>
      </w:r>
      <w:r w:rsidR="00AF3033">
        <w:rPr>
          <w:rFonts w:ascii="Book Antiqua" w:eastAsiaTheme="minorEastAsia" w:hAnsi="Book Antiqua" w:cstheme="minorBidi"/>
          <w:sz w:val="22"/>
          <w:szCs w:val="22"/>
        </w:rPr>
        <w:t xml:space="preserve"> </w:t>
      </w:r>
      <w:r w:rsidRPr="00183183">
        <w:rPr>
          <w:rFonts w:ascii="Book Antiqua" w:eastAsiaTheme="minorEastAsia" w:hAnsi="Book Antiqua" w:cstheme="minorBidi"/>
          <w:sz w:val="22"/>
          <w:szCs w:val="22"/>
        </w:rPr>
        <w:t>la répartition géographique des agences bancaires, les horaires de services, l</w:t>
      </w:r>
      <w:r w:rsidR="0031523B" w:rsidRPr="00183183">
        <w:rPr>
          <w:rFonts w:ascii="Book Antiqua" w:eastAsiaTheme="minorEastAsia" w:hAnsi="Book Antiqua" w:cstheme="minorBidi"/>
          <w:sz w:val="22"/>
          <w:szCs w:val="22"/>
        </w:rPr>
        <w:t xml:space="preserve">’accès par </w:t>
      </w:r>
      <w:r w:rsidRPr="00183183">
        <w:rPr>
          <w:rFonts w:ascii="Book Antiqua" w:eastAsiaTheme="minorEastAsia" w:hAnsi="Book Antiqua" w:cstheme="minorBidi"/>
          <w:sz w:val="22"/>
          <w:szCs w:val="22"/>
        </w:rPr>
        <w:t xml:space="preserve">téléphone et </w:t>
      </w:r>
      <w:r w:rsidR="0031523B" w:rsidRPr="00183183">
        <w:rPr>
          <w:rFonts w:ascii="Book Antiqua" w:eastAsiaTheme="minorEastAsia" w:hAnsi="Book Antiqua" w:cstheme="minorBidi"/>
          <w:sz w:val="22"/>
          <w:szCs w:val="22"/>
        </w:rPr>
        <w:t xml:space="preserve">par </w:t>
      </w:r>
      <w:r w:rsidRPr="00183183">
        <w:rPr>
          <w:rFonts w:ascii="Book Antiqua" w:eastAsiaTheme="minorEastAsia" w:hAnsi="Book Antiqua" w:cstheme="minorBidi"/>
          <w:sz w:val="22"/>
          <w:szCs w:val="22"/>
        </w:rPr>
        <w:t xml:space="preserve">l’internet. </w:t>
      </w:r>
    </w:p>
    <w:p w:rsidR="00D40ADD" w:rsidRPr="00183183" w:rsidRDefault="00D40ADD" w:rsidP="003D5415">
      <w:pPr>
        <w:keepNext/>
        <w:keepLines/>
        <w:spacing w:before="240" w:after="240" w:line="276" w:lineRule="auto"/>
        <w:ind w:firstLine="284"/>
        <w:outlineLvl w:val="1"/>
        <w:rPr>
          <w:rFonts w:ascii="Book Antiqua" w:eastAsiaTheme="majorEastAsia" w:hAnsi="Book Antiqua" w:cstheme="majorBidi"/>
          <w:b/>
          <w:bCs/>
          <w:sz w:val="22"/>
          <w:szCs w:val="22"/>
        </w:rPr>
      </w:pPr>
      <w:bookmarkStart w:id="342" w:name="_Toc523322121"/>
      <w:r w:rsidRPr="00183183">
        <w:rPr>
          <w:rFonts w:ascii="Book Antiqua" w:eastAsiaTheme="majorEastAsia" w:hAnsi="Book Antiqua" w:cstheme="majorBidi"/>
          <w:b/>
          <w:bCs/>
          <w:sz w:val="22"/>
          <w:szCs w:val="22"/>
        </w:rPr>
        <w:t>IV.1</w:t>
      </w:r>
      <w:r w:rsidR="00977689">
        <w:rPr>
          <w:rFonts w:ascii="Book Antiqua" w:eastAsiaTheme="majorEastAsia" w:hAnsi="Book Antiqua" w:cstheme="majorBidi"/>
          <w:b/>
          <w:bCs/>
          <w:sz w:val="22"/>
          <w:szCs w:val="22"/>
        </w:rPr>
        <w:t>. A</w:t>
      </w:r>
      <w:r w:rsidRPr="00183183">
        <w:rPr>
          <w:rFonts w:ascii="Book Antiqua" w:eastAsiaTheme="majorEastAsia" w:hAnsi="Book Antiqua" w:cstheme="majorBidi"/>
          <w:b/>
          <w:bCs/>
          <w:sz w:val="22"/>
          <w:szCs w:val="22"/>
        </w:rPr>
        <w:t>ccessibilité géographique des agences bancaires</w:t>
      </w:r>
      <w:bookmarkEnd w:id="342"/>
    </w:p>
    <w:p w:rsidR="00D40ADD" w:rsidRDefault="0031523B" w:rsidP="00575B92">
      <w:pPr>
        <w:spacing w:before="240" w:after="240" w:line="276" w:lineRule="auto"/>
        <w:jc w:val="both"/>
        <w:rPr>
          <w:rFonts w:ascii="Book Antiqua" w:eastAsiaTheme="minorEastAsia" w:hAnsi="Book Antiqua" w:cstheme="minorBidi"/>
          <w:sz w:val="22"/>
          <w:szCs w:val="22"/>
        </w:rPr>
      </w:pPr>
      <w:r w:rsidRPr="00183183">
        <w:rPr>
          <w:rFonts w:ascii="Book Antiqua" w:eastAsiaTheme="minorEastAsia" w:hAnsi="Book Antiqua" w:cstheme="minorBidi"/>
          <w:sz w:val="22"/>
          <w:szCs w:val="22"/>
        </w:rPr>
        <w:t xml:space="preserve">Une proportion </w:t>
      </w:r>
      <w:r w:rsidR="00D40ADD" w:rsidRPr="00183183">
        <w:rPr>
          <w:rFonts w:ascii="Book Antiqua" w:eastAsiaTheme="minorEastAsia" w:hAnsi="Book Antiqua" w:cstheme="minorBidi"/>
          <w:sz w:val="22"/>
          <w:szCs w:val="22"/>
        </w:rPr>
        <w:t>de 72,8% des personnes interrogées déclare accéder facilement à leur agence bancair</w:t>
      </w:r>
      <w:r w:rsidR="00AF3033">
        <w:rPr>
          <w:rFonts w:ascii="Book Antiqua" w:eastAsiaTheme="minorEastAsia" w:hAnsi="Book Antiqua" w:cstheme="minorBidi"/>
          <w:sz w:val="22"/>
          <w:szCs w:val="22"/>
        </w:rPr>
        <w:t>e. Cette appréciation positive</w:t>
      </w:r>
      <w:r w:rsidR="00D40ADD" w:rsidRPr="00183183">
        <w:rPr>
          <w:rFonts w:ascii="Book Antiqua" w:eastAsiaTheme="minorEastAsia" w:hAnsi="Book Antiqua" w:cstheme="minorBidi"/>
          <w:sz w:val="22"/>
          <w:szCs w:val="22"/>
        </w:rPr>
        <w:t xml:space="preserve"> est cependant atténuée par le taux d’insatisfaction relativement élevé (27,2%) </w:t>
      </w:r>
      <w:r w:rsidRPr="00183183">
        <w:rPr>
          <w:rFonts w:ascii="Book Antiqua" w:eastAsiaTheme="minorEastAsia" w:hAnsi="Book Antiqua" w:cstheme="minorBidi"/>
          <w:sz w:val="22"/>
          <w:szCs w:val="22"/>
        </w:rPr>
        <w:t xml:space="preserve">parmi les clients enquêtés. </w:t>
      </w:r>
    </w:p>
    <w:p w:rsidR="005D0D27" w:rsidRPr="00183183" w:rsidRDefault="005D0D27" w:rsidP="00575B92">
      <w:pPr>
        <w:spacing w:before="240" w:after="240" w:line="276" w:lineRule="auto"/>
        <w:jc w:val="both"/>
        <w:rPr>
          <w:rFonts w:ascii="Book Antiqua" w:eastAsiaTheme="minorEastAsia" w:hAnsi="Book Antiqua" w:cstheme="minorBidi"/>
          <w:i/>
          <w:sz w:val="22"/>
          <w:szCs w:val="22"/>
        </w:rPr>
      </w:pPr>
    </w:p>
    <w:p w:rsidR="005D0D27" w:rsidRPr="005D0D27" w:rsidRDefault="005D0D27" w:rsidP="00575B92">
      <w:pPr>
        <w:pStyle w:val="Lgende"/>
        <w:keepNext/>
        <w:spacing w:before="240" w:after="240" w:line="276" w:lineRule="auto"/>
        <w:jc w:val="center"/>
        <w:rPr>
          <w:color w:val="auto"/>
        </w:rPr>
      </w:pPr>
      <w:bookmarkStart w:id="343" w:name="_Toc523313877"/>
      <w:r w:rsidRPr="005D0D27">
        <w:rPr>
          <w:color w:val="auto"/>
        </w:rPr>
        <w:lastRenderedPageBreak/>
        <w:t xml:space="preserve">Figure </w:t>
      </w:r>
      <w:r w:rsidR="000D65F2" w:rsidRPr="005D0D27">
        <w:rPr>
          <w:color w:val="auto"/>
        </w:rPr>
        <w:fldChar w:fldCharType="begin"/>
      </w:r>
      <w:r w:rsidRPr="005D0D27">
        <w:rPr>
          <w:color w:val="auto"/>
        </w:rPr>
        <w:instrText xml:space="preserve"> SEQ Figure \* ARABIC </w:instrText>
      </w:r>
      <w:r w:rsidR="000D65F2" w:rsidRPr="005D0D27">
        <w:rPr>
          <w:color w:val="auto"/>
        </w:rPr>
        <w:fldChar w:fldCharType="separate"/>
      </w:r>
      <w:r w:rsidR="000F780F">
        <w:rPr>
          <w:noProof/>
          <w:color w:val="auto"/>
        </w:rPr>
        <w:t>194</w:t>
      </w:r>
      <w:r w:rsidR="000D65F2" w:rsidRPr="005D0D27">
        <w:rPr>
          <w:color w:val="auto"/>
        </w:rPr>
        <w:fldChar w:fldCharType="end"/>
      </w:r>
      <w:r w:rsidRPr="005D0D27">
        <w:rPr>
          <w:color w:val="auto"/>
        </w:rPr>
        <w:t xml:space="preserve"> : Appréciation des personnes enquêtées sur l'accessibilité géographique des agences bancaires</w:t>
      </w:r>
      <w:bookmarkEnd w:id="343"/>
    </w:p>
    <w:p w:rsidR="00AF3033" w:rsidRPr="00F825F6" w:rsidRDefault="00D40ADD" w:rsidP="00F825F6">
      <w:pPr>
        <w:keepNext/>
        <w:spacing w:before="240" w:after="24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noProof/>
        </w:rPr>
        <w:drawing>
          <wp:inline distT="0" distB="0" distL="0" distR="0">
            <wp:extent cx="4572000" cy="2743200"/>
            <wp:effectExtent l="19050" t="0" r="19050" b="0"/>
            <wp:docPr id="34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183183" w:rsidRDefault="00D40ADD" w:rsidP="00575B92">
      <w:pPr>
        <w:spacing w:before="240" w:after="240" w:line="276" w:lineRule="auto"/>
        <w:jc w:val="both"/>
        <w:rPr>
          <w:rFonts w:ascii="Book Antiqua" w:eastAsiaTheme="minorEastAsia" w:hAnsi="Book Antiqua" w:cstheme="minorBidi"/>
          <w:sz w:val="22"/>
          <w:szCs w:val="22"/>
        </w:rPr>
      </w:pPr>
      <w:r w:rsidRPr="00183183">
        <w:rPr>
          <w:rFonts w:ascii="Book Antiqua" w:eastAsiaTheme="minorEastAsia" w:hAnsi="Book Antiqua" w:cstheme="minorBidi"/>
          <w:sz w:val="22"/>
          <w:szCs w:val="22"/>
        </w:rPr>
        <w:t xml:space="preserve">L’analyse de l’accessibilité géographique suivant les régions révèle un sentiment de satisfaction </w:t>
      </w:r>
      <w:r w:rsidR="004F4499" w:rsidRPr="00183183">
        <w:rPr>
          <w:rFonts w:ascii="Book Antiqua" w:eastAsiaTheme="minorEastAsia" w:hAnsi="Book Antiqua" w:cstheme="minorBidi"/>
          <w:sz w:val="22"/>
          <w:szCs w:val="22"/>
        </w:rPr>
        <w:t xml:space="preserve">relativement élevé </w:t>
      </w:r>
      <w:r w:rsidRPr="00183183">
        <w:rPr>
          <w:rFonts w:ascii="Book Antiqua" w:eastAsiaTheme="minorEastAsia" w:hAnsi="Book Antiqua" w:cstheme="minorBidi"/>
          <w:sz w:val="22"/>
          <w:szCs w:val="22"/>
        </w:rPr>
        <w:t xml:space="preserve"> chez les personnes enquêtées, dans les régions de Thiès, Louga, Saint Louis et Dakar qui affichent des taux respectifs de 95, 0%,  90,0 %,  77,6% et 76,5 %. Le</w:t>
      </w:r>
      <w:r w:rsidR="004F4499" w:rsidRPr="00183183">
        <w:rPr>
          <w:rFonts w:ascii="Book Antiqua" w:eastAsiaTheme="minorEastAsia" w:hAnsi="Book Antiqua" w:cstheme="minorBidi"/>
          <w:sz w:val="22"/>
          <w:szCs w:val="22"/>
        </w:rPr>
        <w:t>s</w:t>
      </w:r>
      <w:r w:rsidRPr="00183183">
        <w:rPr>
          <w:rFonts w:ascii="Book Antiqua" w:eastAsiaTheme="minorEastAsia" w:hAnsi="Book Antiqua" w:cstheme="minorBidi"/>
          <w:sz w:val="22"/>
          <w:szCs w:val="22"/>
        </w:rPr>
        <w:t xml:space="preserve"> taux le</w:t>
      </w:r>
      <w:r w:rsidR="004F4499" w:rsidRPr="00183183">
        <w:rPr>
          <w:rFonts w:ascii="Book Antiqua" w:eastAsiaTheme="minorEastAsia" w:hAnsi="Book Antiqua" w:cstheme="minorBidi"/>
          <w:sz w:val="22"/>
          <w:szCs w:val="22"/>
        </w:rPr>
        <w:t>s</w:t>
      </w:r>
      <w:r w:rsidRPr="00183183">
        <w:rPr>
          <w:rFonts w:ascii="Book Antiqua" w:eastAsiaTheme="minorEastAsia" w:hAnsi="Book Antiqua" w:cstheme="minorBidi"/>
          <w:sz w:val="22"/>
          <w:szCs w:val="22"/>
        </w:rPr>
        <w:t xml:space="preserve"> plus faible</w:t>
      </w:r>
      <w:r w:rsidR="004F4499" w:rsidRPr="00183183">
        <w:rPr>
          <w:rFonts w:ascii="Book Antiqua" w:eastAsiaTheme="minorEastAsia" w:hAnsi="Book Antiqua" w:cstheme="minorBidi"/>
          <w:sz w:val="22"/>
          <w:szCs w:val="22"/>
        </w:rPr>
        <w:t>s</w:t>
      </w:r>
      <w:r w:rsidR="00AF3033">
        <w:rPr>
          <w:rFonts w:ascii="Book Antiqua" w:eastAsiaTheme="minorEastAsia" w:hAnsi="Book Antiqua" w:cstheme="minorBidi"/>
          <w:sz w:val="22"/>
          <w:szCs w:val="22"/>
        </w:rPr>
        <w:t xml:space="preserve"> </w:t>
      </w:r>
      <w:r w:rsidR="004F4499" w:rsidRPr="00183183">
        <w:rPr>
          <w:rFonts w:ascii="Book Antiqua" w:eastAsiaTheme="minorEastAsia" w:hAnsi="Book Antiqua" w:cstheme="minorBidi"/>
          <w:sz w:val="22"/>
          <w:szCs w:val="22"/>
        </w:rPr>
        <w:t>sont</w:t>
      </w:r>
      <w:r w:rsidR="00AF3033">
        <w:rPr>
          <w:rFonts w:ascii="Book Antiqua" w:eastAsiaTheme="minorEastAsia" w:hAnsi="Book Antiqua" w:cstheme="minorBidi"/>
          <w:sz w:val="22"/>
          <w:szCs w:val="22"/>
        </w:rPr>
        <w:t xml:space="preserve"> </w:t>
      </w:r>
      <w:r w:rsidRPr="00183183">
        <w:rPr>
          <w:rFonts w:ascii="Book Antiqua" w:eastAsiaTheme="minorEastAsia" w:hAnsi="Book Antiqua" w:cstheme="minorBidi"/>
          <w:sz w:val="22"/>
          <w:szCs w:val="22"/>
        </w:rPr>
        <w:t>enregistré</w:t>
      </w:r>
      <w:r w:rsidR="004F4499" w:rsidRPr="00183183">
        <w:rPr>
          <w:rFonts w:ascii="Book Antiqua" w:eastAsiaTheme="minorEastAsia" w:hAnsi="Book Antiqua" w:cstheme="minorBidi"/>
          <w:sz w:val="22"/>
          <w:szCs w:val="22"/>
        </w:rPr>
        <w:t>s</w:t>
      </w:r>
      <w:r w:rsidRPr="00183183">
        <w:rPr>
          <w:rFonts w:ascii="Book Antiqua" w:eastAsiaTheme="minorEastAsia" w:hAnsi="Book Antiqua" w:cstheme="minorBidi"/>
          <w:sz w:val="22"/>
          <w:szCs w:val="22"/>
        </w:rPr>
        <w:t xml:space="preserve"> dans l</w:t>
      </w:r>
      <w:r w:rsidR="004F4499" w:rsidRPr="00183183">
        <w:rPr>
          <w:rFonts w:ascii="Book Antiqua" w:eastAsiaTheme="minorEastAsia" w:hAnsi="Book Antiqua" w:cstheme="minorBidi"/>
          <w:sz w:val="22"/>
          <w:szCs w:val="22"/>
        </w:rPr>
        <w:t>es</w:t>
      </w:r>
      <w:r w:rsidR="00AF3033">
        <w:rPr>
          <w:rFonts w:ascii="Book Antiqua" w:eastAsiaTheme="minorEastAsia" w:hAnsi="Book Antiqua" w:cstheme="minorBidi"/>
          <w:sz w:val="22"/>
          <w:szCs w:val="22"/>
        </w:rPr>
        <w:t xml:space="preserve"> </w:t>
      </w:r>
      <w:r w:rsidR="004F4499" w:rsidRPr="00183183">
        <w:rPr>
          <w:rFonts w:ascii="Book Antiqua" w:eastAsiaTheme="minorEastAsia" w:hAnsi="Book Antiqua" w:cstheme="minorBidi"/>
          <w:sz w:val="22"/>
          <w:szCs w:val="22"/>
        </w:rPr>
        <w:t>localités</w:t>
      </w:r>
      <w:r w:rsidR="00AF3033">
        <w:rPr>
          <w:rFonts w:ascii="Book Antiqua" w:eastAsiaTheme="minorEastAsia" w:hAnsi="Book Antiqua" w:cstheme="minorBidi"/>
          <w:sz w:val="22"/>
          <w:szCs w:val="22"/>
        </w:rPr>
        <w:t xml:space="preserve"> </w:t>
      </w:r>
      <w:r w:rsidRPr="00183183">
        <w:rPr>
          <w:rFonts w:ascii="Book Antiqua" w:eastAsiaTheme="minorEastAsia" w:hAnsi="Book Antiqua" w:cstheme="minorBidi"/>
          <w:sz w:val="22"/>
          <w:szCs w:val="22"/>
        </w:rPr>
        <w:t xml:space="preserve">de </w:t>
      </w:r>
      <w:proofErr w:type="spellStart"/>
      <w:r w:rsidRPr="00183183">
        <w:rPr>
          <w:rFonts w:ascii="Book Antiqua" w:eastAsiaTheme="minorEastAsia" w:hAnsi="Book Antiqua" w:cstheme="minorBidi"/>
          <w:sz w:val="22"/>
          <w:szCs w:val="22"/>
        </w:rPr>
        <w:t>Kaffrine</w:t>
      </w:r>
      <w:proofErr w:type="spellEnd"/>
      <w:r w:rsidRPr="00183183">
        <w:rPr>
          <w:rFonts w:ascii="Book Antiqua" w:eastAsiaTheme="minorEastAsia" w:hAnsi="Book Antiqua" w:cstheme="minorBidi"/>
          <w:sz w:val="22"/>
          <w:szCs w:val="22"/>
        </w:rPr>
        <w:t xml:space="preserve"> (27,3%)</w:t>
      </w:r>
      <w:r w:rsidR="004F4499" w:rsidRPr="00183183">
        <w:rPr>
          <w:rFonts w:ascii="Book Antiqua" w:eastAsiaTheme="minorEastAsia" w:hAnsi="Book Antiqua" w:cstheme="minorBidi"/>
          <w:sz w:val="22"/>
          <w:szCs w:val="22"/>
        </w:rPr>
        <w:t xml:space="preserve"> et de Kédougou (49,3%)</w:t>
      </w:r>
      <w:r w:rsidRPr="00183183">
        <w:rPr>
          <w:rFonts w:ascii="Book Antiqua" w:eastAsiaTheme="minorEastAsia" w:hAnsi="Book Antiqua" w:cstheme="minorBidi"/>
          <w:sz w:val="22"/>
          <w:szCs w:val="22"/>
        </w:rPr>
        <w:t xml:space="preserve">. </w:t>
      </w:r>
    </w:p>
    <w:p w:rsidR="005D0D27" w:rsidRPr="005D0D27" w:rsidRDefault="005D0D27" w:rsidP="00575B92">
      <w:pPr>
        <w:pStyle w:val="Lgende"/>
        <w:keepNext/>
        <w:spacing w:before="240" w:after="240" w:line="276" w:lineRule="auto"/>
        <w:jc w:val="center"/>
        <w:rPr>
          <w:color w:val="auto"/>
        </w:rPr>
      </w:pPr>
      <w:bookmarkStart w:id="344" w:name="_Toc523313878"/>
      <w:r w:rsidRPr="005D0D27">
        <w:rPr>
          <w:color w:val="auto"/>
        </w:rPr>
        <w:t xml:space="preserve">Figure </w:t>
      </w:r>
      <w:r w:rsidR="000D65F2" w:rsidRPr="005D0D27">
        <w:rPr>
          <w:color w:val="auto"/>
        </w:rPr>
        <w:fldChar w:fldCharType="begin"/>
      </w:r>
      <w:r w:rsidRPr="005D0D27">
        <w:rPr>
          <w:color w:val="auto"/>
        </w:rPr>
        <w:instrText xml:space="preserve"> SEQ Figure \* ARABIC </w:instrText>
      </w:r>
      <w:r w:rsidR="000D65F2" w:rsidRPr="005D0D27">
        <w:rPr>
          <w:color w:val="auto"/>
        </w:rPr>
        <w:fldChar w:fldCharType="separate"/>
      </w:r>
      <w:r w:rsidR="000F780F">
        <w:rPr>
          <w:noProof/>
          <w:color w:val="auto"/>
        </w:rPr>
        <w:t>195</w:t>
      </w:r>
      <w:r w:rsidR="000D65F2" w:rsidRPr="005D0D27">
        <w:rPr>
          <w:color w:val="auto"/>
        </w:rPr>
        <w:fldChar w:fldCharType="end"/>
      </w:r>
      <w:r w:rsidRPr="005D0D27">
        <w:rPr>
          <w:color w:val="auto"/>
        </w:rPr>
        <w:t xml:space="preserve"> : Satisfaction des enquêtés sur l'accessibilité géographique des agences selon les régions</w:t>
      </w:r>
      <w:bookmarkEnd w:id="344"/>
    </w:p>
    <w:p w:rsidR="00D40ADD" w:rsidRPr="00183183" w:rsidRDefault="00D40ADD" w:rsidP="00575B92">
      <w:pPr>
        <w:keepNext/>
        <w:spacing w:before="240" w:after="24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noProof/>
        </w:rPr>
        <w:drawing>
          <wp:inline distT="0" distB="0" distL="0" distR="0">
            <wp:extent cx="4871720" cy="2857500"/>
            <wp:effectExtent l="19050" t="0" r="24130" b="0"/>
            <wp:docPr id="346" name="Graphique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B93F4D" w:rsidRDefault="005D0D27" w:rsidP="00575B92">
      <w:pPr>
        <w:spacing w:before="240" w:after="240" w:line="276" w:lineRule="auto"/>
        <w:rPr>
          <w:rFonts w:ascii="Book Antiqua" w:eastAsiaTheme="majorEastAsia" w:hAnsi="Book Antiqua" w:cstheme="majorBidi"/>
          <w:b/>
          <w:bCs/>
          <w:sz w:val="22"/>
          <w:szCs w:val="26"/>
        </w:rPr>
      </w:pPr>
      <w:r>
        <w:rPr>
          <w:rFonts w:ascii="Book Antiqua" w:eastAsiaTheme="majorEastAsia" w:hAnsi="Book Antiqua" w:cstheme="majorBidi"/>
          <w:b/>
          <w:bCs/>
          <w:sz w:val="22"/>
          <w:szCs w:val="26"/>
        </w:rPr>
        <w:br w:type="page"/>
      </w:r>
    </w:p>
    <w:p w:rsidR="00D40ADD" w:rsidRPr="00D40ADD" w:rsidRDefault="00D40ADD" w:rsidP="003D5415">
      <w:pPr>
        <w:keepNext/>
        <w:keepLines/>
        <w:spacing w:before="240" w:after="240" w:line="276" w:lineRule="auto"/>
        <w:ind w:firstLine="284"/>
        <w:outlineLvl w:val="1"/>
        <w:rPr>
          <w:rFonts w:ascii="Book Antiqua" w:eastAsiaTheme="majorEastAsia" w:hAnsi="Book Antiqua" w:cstheme="majorBidi"/>
          <w:b/>
          <w:bCs/>
          <w:sz w:val="22"/>
          <w:szCs w:val="26"/>
        </w:rPr>
      </w:pPr>
      <w:bookmarkStart w:id="345" w:name="_Toc523322122"/>
      <w:r w:rsidRPr="00D40ADD">
        <w:rPr>
          <w:rFonts w:ascii="Book Antiqua" w:eastAsiaTheme="majorEastAsia" w:hAnsi="Book Antiqua" w:cstheme="majorBidi"/>
          <w:b/>
          <w:bCs/>
          <w:sz w:val="22"/>
          <w:szCs w:val="26"/>
        </w:rPr>
        <w:lastRenderedPageBreak/>
        <w:t>IV.2. Opinion sur les horaires de service des agences bancaires</w:t>
      </w:r>
      <w:bookmarkEnd w:id="345"/>
    </w:p>
    <w:p w:rsidR="00D40ADD" w:rsidRPr="00C73E9F" w:rsidRDefault="00CF64D0" w:rsidP="00575B92">
      <w:pPr>
        <w:spacing w:before="240" w:after="240" w:line="276" w:lineRule="auto"/>
        <w:jc w:val="both"/>
        <w:rPr>
          <w:rFonts w:ascii="Book Antiqua" w:eastAsiaTheme="minorEastAsia" w:hAnsi="Book Antiqua" w:cstheme="minorBidi"/>
          <w:sz w:val="22"/>
          <w:szCs w:val="22"/>
        </w:rPr>
      </w:pPr>
      <w:r w:rsidRPr="00C73E9F">
        <w:rPr>
          <w:rFonts w:ascii="Book Antiqua" w:eastAsiaTheme="minorEastAsia" w:hAnsi="Book Antiqua" w:cstheme="minorBidi"/>
          <w:sz w:val="22"/>
          <w:szCs w:val="22"/>
        </w:rPr>
        <w:t>Il ressort des déclarations des enquêtés que le</w:t>
      </w:r>
      <w:r w:rsidR="00D40ADD" w:rsidRPr="00C73E9F">
        <w:rPr>
          <w:rFonts w:ascii="Book Antiqua" w:eastAsiaTheme="minorEastAsia" w:hAnsi="Book Antiqua" w:cstheme="minorBidi"/>
          <w:sz w:val="22"/>
          <w:szCs w:val="22"/>
        </w:rPr>
        <w:t xml:space="preserve">s horaires de service des agences bancaires ne </w:t>
      </w:r>
      <w:r w:rsidRPr="00C73E9F">
        <w:rPr>
          <w:rFonts w:ascii="Book Antiqua" w:eastAsiaTheme="minorEastAsia" w:hAnsi="Book Antiqua" w:cstheme="minorBidi"/>
          <w:sz w:val="22"/>
          <w:szCs w:val="22"/>
        </w:rPr>
        <w:t>soulèvent</w:t>
      </w:r>
      <w:r w:rsidR="00B93F4D">
        <w:rPr>
          <w:rFonts w:ascii="Book Antiqua" w:eastAsiaTheme="minorEastAsia" w:hAnsi="Book Antiqua" w:cstheme="minorBidi"/>
          <w:sz w:val="22"/>
          <w:szCs w:val="22"/>
        </w:rPr>
        <w:t xml:space="preserve"> </w:t>
      </w:r>
      <w:r w:rsidR="00D40ADD" w:rsidRPr="00C73E9F">
        <w:rPr>
          <w:rFonts w:ascii="Book Antiqua" w:eastAsiaTheme="minorEastAsia" w:hAnsi="Book Antiqua" w:cstheme="minorBidi"/>
          <w:sz w:val="22"/>
          <w:szCs w:val="22"/>
        </w:rPr>
        <w:t>en général aucune difficulté</w:t>
      </w:r>
      <w:r w:rsidRPr="00C73E9F">
        <w:rPr>
          <w:rFonts w:ascii="Book Antiqua" w:eastAsiaTheme="minorEastAsia" w:hAnsi="Book Antiqua" w:cstheme="minorBidi"/>
          <w:sz w:val="22"/>
          <w:szCs w:val="22"/>
        </w:rPr>
        <w:t> </w:t>
      </w:r>
      <w:r w:rsidR="00183183" w:rsidRPr="00C73E9F">
        <w:rPr>
          <w:rFonts w:ascii="Book Antiqua" w:eastAsiaTheme="minorEastAsia" w:hAnsi="Book Antiqua" w:cstheme="minorBidi"/>
          <w:sz w:val="22"/>
          <w:szCs w:val="22"/>
        </w:rPr>
        <w:t>: 78,6</w:t>
      </w:r>
      <w:r w:rsidR="00D40ADD" w:rsidRPr="00C73E9F">
        <w:rPr>
          <w:rFonts w:ascii="Book Antiqua" w:eastAsiaTheme="minorEastAsia" w:hAnsi="Book Antiqua" w:cstheme="minorBidi"/>
          <w:sz w:val="22"/>
          <w:szCs w:val="22"/>
        </w:rPr>
        <w:t xml:space="preserve">% des clients pensent </w:t>
      </w:r>
      <w:r w:rsidRPr="00C73E9F">
        <w:rPr>
          <w:rFonts w:ascii="Book Antiqua" w:eastAsiaTheme="minorEastAsia" w:hAnsi="Book Antiqua" w:cstheme="minorBidi"/>
          <w:sz w:val="22"/>
          <w:szCs w:val="22"/>
        </w:rPr>
        <w:t>qu</w:t>
      </w:r>
      <w:r w:rsidR="00B93F4D">
        <w:rPr>
          <w:rFonts w:ascii="Book Antiqua" w:eastAsiaTheme="minorEastAsia" w:hAnsi="Book Antiqua" w:cstheme="minorBidi"/>
          <w:sz w:val="22"/>
          <w:szCs w:val="22"/>
        </w:rPr>
        <w:t>e ces horaires sont convenables</w:t>
      </w:r>
      <w:r w:rsidR="00D40ADD" w:rsidRPr="00C73E9F">
        <w:rPr>
          <w:rFonts w:ascii="Book Antiqua" w:eastAsiaTheme="minorEastAsia" w:hAnsi="Book Antiqua" w:cstheme="minorBidi"/>
          <w:sz w:val="22"/>
          <w:szCs w:val="22"/>
        </w:rPr>
        <w:t xml:space="preserve"> contre 21,4% qui les jugent </w:t>
      </w:r>
      <w:r w:rsidR="00183183" w:rsidRPr="00C73E9F">
        <w:rPr>
          <w:rFonts w:ascii="Book Antiqua" w:eastAsiaTheme="minorEastAsia" w:hAnsi="Book Antiqua" w:cstheme="minorBidi"/>
          <w:sz w:val="22"/>
          <w:szCs w:val="22"/>
        </w:rPr>
        <w:t>inadaptés.</w:t>
      </w:r>
    </w:p>
    <w:p w:rsidR="002A747E" w:rsidRPr="002A747E" w:rsidRDefault="002A747E" w:rsidP="00575B92">
      <w:pPr>
        <w:pStyle w:val="Lgende"/>
        <w:keepNext/>
        <w:spacing w:before="240" w:after="240" w:line="276" w:lineRule="auto"/>
        <w:jc w:val="center"/>
        <w:rPr>
          <w:color w:val="auto"/>
        </w:rPr>
      </w:pPr>
      <w:bookmarkStart w:id="346" w:name="_Toc523313879"/>
      <w:r w:rsidRPr="002A747E">
        <w:rPr>
          <w:color w:val="auto"/>
        </w:rPr>
        <w:t xml:space="preserve">Figure </w:t>
      </w:r>
      <w:r w:rsidR="000D65F2" w:rsidRPr="002A747E">
        <w:rPr>
          <w:color w:val="auto"/>
        </w:rPr>
        <w:fldChar w:fldCharType="begin"/>
      </w:r>
      <w:r w:rsidRPr="002A747E">
        <w:rPr>
          <w:color w:val="auto"/>
        </w:rPr>
        <w:instrText xml:space="preserve"> SEQ Figure \* ARABIC </w:instrText>
      </w:r>
      <w:r w:rsidR="000D65F2" w:rsidRPr="002A747E">
        <w:rPr>
          <w:color w:val="auto"/>
        </w:rPr>
        <w:fldChar w:fldCharType="separate"/>
      </w:r>
      <w:r w:rsidR="000F780F">
        <w:rPr>
          <w:noProof/>
          <w:color w:val="auto"/>
        </w:rPr>
        <w:t>196</w:t>
      </w:r>
      <w:r w:rsidR="000D65F2" w:rsidRPr="002A747E">
        <w:rPr>
          <w:color w:val="auto"/>
        </w:rPr>
        <w:fldChar w:fldCharType="end"/>
      </w:r>
      <w:r w:rsidRPr="002A747E">
        <w:rPr>
          <w:color w:val="auto"/>
        </w:rPr>
        <w:t xml:space="preserve"> : Opinions des enquêtés sur les horaires de service des agences bancaires</w:t>
      </w:r>
      <w:bookmarkEnd w:id="346"/>
    </w:p>
    <w:p w:rsidR="00B93F4D" w:rsidRPr="005D0D27" w:rsidRDefault="00D40ADD" w:rsidP="00575B92">
      <w:pPr>
        <w:keepNext/>
        <w:spacing w:before="240" w:after="24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noProof/>
        </w:rPr>
        <w:drawing>
          <wp:inline distT="0" distB="0" distL="0" distR="0">
            <wp:extent cx="4089400" cy="2349500"/>
            <wp:effectExtent l="19050" t="0" r="25400" b="0"/>
            <wp:docPr id="34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C73E9F" w:rsidRPr="005D0D27" w:rsidRDefault="00D40ADD" w:rsidP="00575B92">
      <w:pPr>
        <w:spacing w:before="240" w:after="240" w:line="276" w:lineRule="auto"/>
        <w:jc w:val="both"/>
        <w:rPr>
          <w:rFonts w:ascii="Book Antiqua" w:eastAsiaTheme="minorEastAsia" w:hAnsi="Book Antiqua" w:cstheme="minorBidi"/>
          <w:sz w:val="22"/>
          <w:szCs w:val="22"/>
        </w:rPr>
      </w:pPr>
      <w:r w:rsidRPr="00C73E9F">
        <w:rPr>
          <w:rFonts w:ascii="Book Antiqua" w:eastAsiaTheme="minorEastAsia" w:hAnsi="Book Antiqua" w:cstheme="minorBidi"/>
          <w:sz w:val="22"/>
          <w:szCs w:val="22"/>
        </w:rPr>
        <w:t xml:space="preserve">L’analyse </w:t>
      </w:r>
      <w:r w:rsidR="00CF64D0" w:rsidRPr="00C73E9F">
        <w:rPr>
          <w:rFonts w:ascii="Book Antiqua" w:eastAsiaTheme="minorEastAsia" w:hAnsi="Book Antiqua" w:cstheme="minorBidi"/>
          <w:sz w:val="22"/>
          <w:szCs w:val="22"/>
        </w:rPr>
        <w:t xml:space="preserve">croisée de l’appréciation des personnes physiques </w:t>
      </w:r>
      <w:r w:rsidRPr="00C73E9F">
        <w:rPr>
          <w:rFonts w:ascii="Book Antiqua" w:eastAsiaTheme="minorEastAsia" w:hAnsi="Book Antiqua" w:cstheme="minorBidi"/>
          <w:sz w:val="22"/>
          <w:szCs w:val="22"/>
        </w:rPr>
        <w:t xml:space="preserve"> enquêtées sur les horaires de services des agences bancaires suivant les régions confirme cette tendance avec un </w:t>
      </w:r>
      <w:r w:rsidR="003214B5" w:rsidRPr="00C73E9F">
        <w:rPr>
          <w:rFonts w:ascii="Book Antiqua" w:eastAsiaTheme="minorEastAsia" w:hAnsi="Book Antiqua" w:cstheme="minorBidi"/>
          <w:sz w:val="22"/>
          <w:szCs w:val="22"/>
        </w:rPr>
        <w:t xml:space="preserve">taux de satisfaction </w:t>
      </w:r>
      <w:r w:rsidRPr="00C73E9F">
        <w:rPr>
          <w:rFonts w:ascii="Book Antiqua" w:eastAsiaTheme="minorEastAsia" w:hAnsi="Book Antiqua" w:cstheme="minorBidi"/>
          <w:sz w:val="22"/>
          <w:szCs w:val="22"/>
        </w:rPr>
        <w:t xml:space="preserve">très </w:t>
      </w:r>
      <w:r w:rsidR="003214B5" w:rsidRPr="00C73E9F">
        <w:rPr>
          <w:rFonts w:ascii="Book Antiqua" w:eastAsiaTheme="minorEastAsia" w:hAnsi="Book Antiqua" w:cstheme="minorBidi"/>
          <w:sz w:val="22"/>
          <w:szCs w:val="22"/>
        </w:rPr>
        <w:t>élevé</w:t>
      </w:r>
      <w:r w:rsidR="00B93F4D">
        <w:rPr>
          <w:rFonts w:ascii="Book Antiqua" w:eastAsiaTheme="minorEastAsia" w:hAnsi="Book Antiqua" w:cstheme="minorBidi"/>
          <w:sz w:val="22"/>
          <w:szCs w:val="22"/>
        </w:rPr>
        <w:t xml:space="preserve"> </w:t>
      </w:r>
      <w:r w:rsidRPr="00C73E9F">
        <w:rPr>
          <w:rFonts w:ascii="Book Antiqua" w:eastAsiaTheme="minorEastAsia" w:hAnsi="Book Antiqua" w:cstheme="minorBidi"/>
          <w:sz w:val="22"/>
          <w:szCs w:val="22"/>
        </w:rPr>
        <w:t xml:space="preserve">observé </w:t>
      </w:r>
      <w:r w:rsidR="003214B5" w:rsidRPr="00C73E9F">
        <w:rPr>
          <w:rFonts w:ascii="Book Antiqua" w:eastAsiaTheme="minorEastAsia" w:hAnsi="Book Antiqua" w:cstheme="minorBidi"/>
          <w:sz w:val="22"/>
          <w:szCs w:val="22"/>
        </w:rPr>
        <w:t xml:space="preserve">notamment </w:t>
      </w:r>
      <w:r w:rsidRPr="00C73E9F">
        <w:rPr>
          <w:rFonts w:ascii="Book Antiqua" w:eastAsiaTheme="minorEastAsia" w:hAnsi="Book Antiqua" w:cstheme="minorBidi"/>
          <w:sz w:val="22"/>
          <w:szCs w:val="22"/>
        </w:rPr>
        <w:t xml:space="preserve">dans les régions de Kolda (92,4%) et </w:t>
      </w:r>
      <w:proofErr w:type="spellStart"/>
      <w:r w:rsidRPr="00C73E9F">
        <w:rPr>
          <w:rFonts w:ascii="Book Antiqua" w:eastAsiaTheme="minorEastAsia" w:hAnsi="Book Antiqua" w:cstheme="minorBidi"/>
          <w:sz w:val="22"/>
          <w:szCs w:val="22"/>
        </w:rPr>
        <w:t>Sédhiou</w:t>
      </w:r>
      <w:proofErr w:type="spellEnd"/>
      <w:r w:rsidRPr="00C73E9F">
        <w:rPr>
          <w:rFonts w:ascii="Book Antiqua" w:eastAsiaTheme="minorEastAsia" w:hAnsi="Book Antiqua" w:cstheme="minorBidi"/>
          <w:sz w:val="22"/>
          <w:szCs w:val="22"/>
        </w:rPr>
        <w:t xml:space="preserve"> (91,7%). </w:t>
      </w:r>
    </w:p>
    <w:p w:rsidR="002A747E" w:rsidRPr="00F825F6" w:rsidRDefault="002A747E" w:rsidP="00575B92">
      <w:pPr>
        <w:pStyle w:val="Lgende"/>
        <w:keepNext/>
        <w:spacing w:before="240" w:after="240" w:line="276" w:lineRule="auto"/>
        <w:jc w:val="center"/>
        <w:rPr>
          <w:color w:val="auto"/>
        </w:rPr>
      </w:pPr>
      <w:bookmarkStart w:id="347" w:name="_Toc523313880"/>
      <w:r w:rsidRPr="00F825F6">
        <w:rPr>
          <w:color w:val="auto"/>
        </w:rPr>
        <w:t xml:space="preserve">Figure </w:t>
      </w:r>
      <w:r w:rsidR="000D65F2" w:rsidRPr="00F825F6">
        <w:rPr>
          <w:color w:val="auto"/>
        </w:rPr>
        <w:fldChar w:fldCharType="begin"/>
      </w:r>
      <w:r w:rsidR="000D65F2" w:rsidRPr="00F825F6">
        <w:rPr>
          <w:color w:val="auto"/>
        </w:rPr>
        <w:instrText xml:space="preserve"> SEQ Figure \* ARABIC </w:instrText>
      </w:r>
      <w:r w:rsidR="000D65F2" w:rsidRPr="00F825F6">
        <w:rPr>
          <w:color w:val="auto"/>
        </w:rPr>
        <w:fldChar w:fldCharType="separate"/>
      </w:r>
      <w:r w:rsidR="000F780F" w:rsidRPr="00F825F6">
        <w:rPr>
          <w:color w:val="auto"/>
        </w:rPr>
        <w:t>197</w:t>
      </w:r>
      <w:r w:rsidR="000D65F2" w:rsidRPr="00F825F6">
        <w:rPr>
          <w:color w:val="auto"/>
        </w:rPr>
        <w:fldChar w:fldCharType="end"/>
      </w:r>
      <w:r w:rsidRPr="00F825F6">
        <w:rPr>
          <w:color w:val="auto"/>
        </w:rPr>
        <w:t xml:space="preserve"> : Opinions des enquêtés sur les horaires de service des agences des banques selon les régions</w:t>
      </w:r>
      <w:bookmarkEnd w:id="347"/>
    </w:p>
    <w:p w:rsidR="0017279E" w:rsidRPr="00183183" w:rsidRDefault="00D40ADD" w:rsidP="00575B92">
      <w:pPr>
        <w:keepNext/>
        <w:spacing w:before="240" w:after="24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noProof/>
        </w:rPr>
        <w:drawing>
          <wp:inline distT="0" distB="0" distL="0" distR="0">
            <wp:extent cx="4265895" cy="2816127"/>
            <wp:effectExtent l="19050" t="0" r="20355" b="3273"/>
            <wp:docPr id="348"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183183" w:rsidRPr="00B93F4D" w:rsidRDefault="00D40ADD" w:rsidP="00575B92">
      <w:pPr>
        <w:spacing w:before="240" w:after="240" w:line="276" w:lineRule="auto"/>
        <w:jc w:val="both"/>
        <w:rPr>
          <w:rFonts w:ascii="Book Antiqua" w:eastAsiaTheme="minorEastAsia" w:hAnsi="Book Antiqua" w:cstheme="minorBidi"/>
          <w:sz w:val="22"/>
          <w:szCs w:val="22"/>
        </w:rPr>
      </w:pPr>
      <w:r w:rsidRPr="00C73E9F">
        <w:rPr>
          <w:rFonts w:ascii="Book Antiqua" w:eastAsiaTheme="minorEastAsia" w:hAnsi="Book Antiqua" w:cstheme="minorBidi"/>
          <w:sz w:val="22"/>
          <w:szCs w:val="22"/>
        </w:rPr>
        <w:t>L’</w:t>
      </w:r>
      <w:r w:rsidR="003214B5" w:rsidRPr="00C73E9F">
        <w:rPr>
          <w:rFonts w:ascii="Book Antiqua" w:eastAsiaTheme="minorEastAsia" w:hAnsi="Book Antiqua" w:cstheme="minorBidi"/>
          <w:sz w:val="22"/>
          <w:szCs w:val="22"/>
        </w:rPr>
        <w:t xml:space="preserve">exploitation des résultats de </w:t>
      </w:r>
      <w:r w:rsidR="00B93F4D">
        <w:rPr>
          <w:rFonts w:ascii="Book Antiqua" w:eastAsiaTheme="minorEastAsia" w:hAnsi="Book Antiqua" w:cstheme="minorBidi"/>
          <w:sz w:val="22"/>
          <w:szCs w:val="22"/>
        </w:rPr>
        <w:t>l’enquête</w:t>
      </w:r>
      <w:r w:rsidR="003214B5" w:rsidRPr="00C73E9F">
        <w:rPr>
          <w:rFonts w:ascii="Book Antiqua" w:eastAsiaTheme="minorEastAsia" w:hAnsi="Book Antiqua" w:cstheme="minorBidi"/>
          <w:sz w:val="22"/>
          <w:szCs w:val="22"/>
        </w:rPr>
        <w:t xml:space="preserve"> </w:t>
      </w:r>
      <w:r w:rsidRPr="00C73E9F">
        <w:rPr>
          <w:rFonts w:ascii="Book Antiqua" w:eastAsiaTheme="minorEastAsia" w:hAnsi="Book Antiqua" w:cstheme="minorBidi"/>
          <w:sz w:val="22"/>
          <w:szCs w:val="22"/>
        </w:rPr>
        <w:t xml:space="preserve"> sur les horaires de services des agences bancaires suivant le secteur d’activités laisse transparaître </w:t>
      </w:r>
      <w:r w:rsidR="003214B5" w:rsidRPr="00C73E9F">
        <w:rPr>
          <w:rFonts w:ascii="Book Antiqua" w:eastAsiaTheme="minorEastAsia" w:hAnsi="Book Antiqua" w:cstheme="minorBidi"/>
          <w:sz w:val="22"/>
          <w:szCs w:val="22"/>
        </w:rPr>
        <w:t>un</w:t>
      </w:r>
      <w:r w:rsidRPr="00C73E9F">
        <w:rPr>
          <w:rFonts w:ascii="Book Antiqua" w:eastAsiaTheme="minorEastAsia" w:hAnsi="Book Antiqua" w:cstheme="minorBidi"/>
          <w:sz w:val="22"/>
          <w:szCs w:val="22"/>
        </w:rPr>
        <w:t xml:space="preserve"> sentiment de satisfaction </w:t>
      </w:r>
      <w:r w:rsidR="003214B5" w:rsidRPr="00C73E9F">
        <w:rPr>
          <w:rFonts w:ascii="Book Antiqua" w:eastAsiaTheme="minorEastAsia" w:hAnsi="Book Antiqua" w:cstheme="minorBidi"/>
          <w:sz w:val="22"/>
          <w:szCs w:val="22"/>
        </w:rPr>
        <w:t xml:space="preserve">plus prononcé </w:t>
      </w:r>
      <w:r w:rsidRPr="00C73E9F">
        <w:rPr>
          <w:rFonts w:ascii="Book Antiqua" w:eastAsiaTheme="minorEastAsia" w:hAnsi="Book Antiqua" w:cstheme="minorBidi"/>
          <w:sz w:val="22"/>
          <w:szCs w:val="22"/>
        </w:rPr>
        <w:t>chez les agriculteurs (85,2%), suivi</w:t>
      </w:r>
      <w:r w:rsidR="003214B5" w:rsidRPr="00C73E9F">
        <w:rPr>
          <w:rFonts w:ascii="Book Antiqua" w:eastAsiaTheme="minorEastAsia" w:hAnsi="Book Antiqua" w:cstheme="minorBidi"/>
          <w:sz w:val="22"/>
          <w:szCs w:val="22"/>
        </w:rPr>
        <w:t>s</w:t>
      </w:r>
      <w:r w:rsidRPr="00C73E9F">
        <w:rPr>
          <w:rFonts w:ascii="Book Antiqua" w:eastAsiaTheme="minorEastAsia" w:hAnsi="Book Antiqua" w:cstheme="minorBidi"/>
          <w:sz w:val="22"/>
          <w:szCs w:val="22"/>
        </w:rPr>
        <w:t xml:space="preserve"> des artisans (82,7%) et des commerçants (82,6%). </w:t>
      </w:r>
    </w:p>
    <w:p w:rsidR="002A747E" w:rsidRDefault="002A747E" w:rsidP="00575B92">
      <w:pPr>
        <w:spacing w:before="240" w:after="240" w:line="276" w:lineRule="auto"/>
        <w:rPr>
          <w:rFonts w:ascii="Book Antiqua" w:eastAsiaTheme="minorEastAsia" w:hAnsi="Book Antiqua" w:cstheme="minorBidi"/>
          <w:b/>
          <w:bCs/>
          <w:sz w:val="16"/>
          <w:szCs w:val="16"/>
        </w:rPr>
      </w:pPr>
      <w:r>
        <w:rPr>
          <w:rFonts w:ascii="Book Antiqua" w:eastAsiaTheme="minorEastAsia" w:hAnsi="Book Antiqua" w:cstheme="minorBidi"/>
          <w:b/>
          <w:bCs/>
          <w:sz w:val="16"/>
          <w:szCs w:val="16"/>
        </w:rPr>
        <w:br w:type="page"/>
      </w:r>
    </w:p>
    <w:p w:rsidR="002A747E" w:rsidRPr="002A747E" w:rsidRDefault="002A747E" w:rsidP="00575B92">
      <w:pPr>
        <w:pStyle w:val="Lgende"/>
        <w:keepNext/>
        <w:spacing w:before="240" w:after="240" w:line="276" w:lineRule="auto"/>
        <w:jc w:val="center"/>
        <w:rPr>
          <w:color w:val="auto"/>
        </w:rPr>
      </w:pPr>
      <w:bookmarkStart w:id="348" w:name="_Toc523313881"/>
      <w:r w:rsidRPr="002A747E">
        <w:rPr>
          <w:color w:val="auto"/>
        </w:rPr>
        <w:lastRenderedPageBreak/>
        <w:t xml:space="preserve">Figure </w:t>
      </w:r>
      <w:r w:rsidR="000D65F2" w:rsidRPr="002A747E">
        <w:rPr>
          <w:color w:val="auto"/>
        </w:rPr>
        <w:fldChar w:fldCharType="begin"/>
      </w:r>
      <w:r w:rsidRPr="002A747E">
        <w:rPr>
          <w:color w:val="auto"/>
        </w:rPr>
        <w:instrText xml:space="preserve"> SEQ Figure \* ARABIC </w:instrText>
      </w:r>
      <w:r w:rsidR="000D65F2" w:rsidRPr="002A747E">
        <w:rPr>
          <w:color w:val="auto"/>
        </w:rPr>
        <w:fldChar w:fldCharType="separate"/>
      </w:r>
      <w:r w:rsidR="000F780F">
        <w:rPr>
          <w:noProof/>
          <w:color w:val="auto"/>
        </w:rPr>
        <w:t>198</w:t>
      </w:r>
      <w:r w:rsidR="000D65F2" w:rsidRPr="002A747E">
        <w:rPr>
          <w:color w:val="auto"/>
        </w:rPr>
        <w:fldChar w:fldCharType="end"/>
      </w:r>
      <w:r w:rsidRPr="002A747E">
        <w:rPr>
          <w:color w:val="auto"/>
        </w:rPr>
        <w:t xml:space="preserve"> : Opinions des clients enquêtés sur les horaires des agences des banques suivant les secteurs d'activités</w:t>
      </w:r>
      <w:bookmarkEnd w:id="348"/>
    </w:p>
    <w:p w:rsidR="00B93F4D" w:rsidRPr="00F825F6" w:rsidRDefault="00D40ADD" w:rsidP="00F825F6">
      <w:pPr>
        <w:keepNext/>
        <w:spacing w:before="240" w:after="24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noProof/>
        </w:rPr>
        <w:drawing>
          <wp:inline distT="0" distB="0" distL="0" distR="0">
            <wp:extent cx="4768850" cy="2673350"/>
            <wp:effectExtent l="19050" t="0" r="12700" b="0"/>
            <wp:docPr id="349"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D40ADD" w:rsidRPr="00D40ADD" w:rsidRDefault="00D40ADD" w:rsidP="003D5415">
      <w:pPr>
        <w:keepNext/>
        <w:keepLines/>
        <w:spacing w:before="360" w:after="240" w:line="276" w:lineRule="auto"/>
        <w:ind w:firstLine="284"/>
        <w:outlineLvl w:val="1"/>
        <w:rPr>
          <w:rFonts w:ascii="Book Antiqua" w:eastAsiaTheme="majorEastAsia" w:hAnsi="Book Antiqua" w:cstheme="majorBidi"/>
          <w:b/>
          <w:bCs/>
          <w:sz w:val="22"/>
          <w:szCs w:val="26"/>
        </w:rPr>
      </w:pPr>
      <w:bookmarkStart w:id="349" w:name="_Toc523322123"/>
      <w:r w:rsidRPr="00D40ADD">
        <w:rPr>
          <w:rFonts w:ascii="Book Antiqua" w:eastAsiaTheme="majorEastAsia" w:hAnsi="Book Antiqua" w:cstheme="majorBidi"/>
          <w:b/>
          <w:bCs/>
          <w:sz w:val="22"/>
          <w:szCs w:val="26"/>
        </w:rPr>
        <w:t>IV.3. Qualité de l’accès par téléphone aux banques</w:t>
      </w:r>
      <w:bookmarkEnd w:id="349"/>
    </w:p>
    <w:p w:rsidR="00D40ADD" w:rsidRPr="00C73E9F" w:rsidRDefault="008A254A" w:rsidP="00575B92">
      <w:pPr>
        <w:spacing w:before="240" w:after="240" w:line="276" w:lineRule="auto"/>
        <w:jc w:val="both"/>
        <w:rPr>
          <w:rFonts w:ascii="Book Antiqua" w:eastAsiaTheme="minorEastAsia" w:hAnsi="Book Antiqua" w:cstheme="minorBidi"/>
          <w:sz w:val="22"/>
          <w:szCs w:val="22"/>
        </w:rPr>
      </w:pPr>
      <w:r w:rsidRPr="00C73E9F">
        <w:rPr>
          <w:rFonts w:ascii="Book Antiqua" w:eastAsiaTheme="minorEastAsia" w:hAnsi="Book Antiqua" w:cstheme="minorBidi"/>
          <w:sz w:val="22"/>
          <w:szCs w:val="22"/>
        </w:rPr>
        <w:t xml:space="preserve">Une </w:t>
      </w:r>
      <w:r w:rsidR="00D40ADD" w:rsidRPr="00C73E9F">
        <w:rPr>
          <w:rFonts w:ascii="Book Antiqua" w:eastAsiaTheme="minorEastAsia" w:hAnsi="Book Antiqua" w:cstheme="minorBidi"/>
          <w:sz w:val="22"/>
          <w:szCs w:val="22"/>
        </w:rPr>
        <w:t xml:space="preserve">proportion de </w:t>
      </w:r>
      <w:r w:rsidRPr="00C73E9F">
        <w:rPr>
          <w:rFonts w:ascii="Book Antiqua" w:eastAsiaTheme="minorEastAsia" w:hAnsi="Book Antiqua" w:cstheme="minorBidi"/>
          <w:sz w:val="22"/>
          <w:szCs w:val="22"/>
        </w:rPr>
        <w:t>59,2</w:t>
      </w:r>
      <w:r w:rsidR="00D40ADD" w:rsidRPr="00C73E9F">
        <w:rPr>
          <w:rFonts w:ascii="Book Antiqua" w:eastAsiaTheme="minorEastAsia" w:hAnsi="Book Antiqua" w:cstheme="minorBidi"/>
          <w:sz w:val="22"/>
          <w:szCs w:val="22"/>
        </w:rPr>
        <w:t xml:space="preserve">% </w:t>
      </w:r>
      <w:r w:rsidRPr="00C73E9F">
        <w:rPr>
          <w:rFonts w:ascii="Book Antiqua" w:eastAsiaTheme="minorEastAsia" w:hAnsi="Book Antiqua" w:cstheme="minorBidi"/>
          <w:sz w:val="22"/>
          <w:szCs w:val="22"/>
        </w:rPr>
        <w:t>des clients interrogés ont émis un avis favorable sur la qualité de l’accès au téléphone à leur banque</w:t>
      </w:r>
      <w:r w:rsidR="00B93F4D">
        <w:rPr>
          <w:rFonts w:ascii="Book Antiqua" w:eastAsiaTheme="minorEastAsia" w:hAnsi="Book Antiqua" w:cstheme="minorBidi"/>
          <w:sz w:val="22"/>
          <w:szCs w:val="22"/>
        </w:rPr>
        <w:t xml:space="preserve"> </w:t>
      </w:r>
      <w:r w:rsidR="00D40ADD" w:rsidRPr="00C73E9F">
        <w:rPr>
          <w:rFonts w:ascii="Book Antiqua" w:eastAsiaTheme="minorEastAsia" w:hAnsi="Book Antiqua" w:cstheme="minorBidi"/>
          <w:sz w:val="22"/>
          <w:szCs w:val="22"/>
        </w:rPr>
        <w:t xml:space="preserve">contre </w:t>
      </w:r>
      <w:r w:rsidRPr="00C73E9F">
        <w:rPr>
          <w:rFonts w:ascii="Book Antiqua" w:eastAsiaTheme="minorEastAsia" w:hAnsi="Book Antiqua" w:cstheme="minorBidi"/>
          <w:sz w:val="22"/>
          <w:szCs w:val="22"/>
        </w:rPr>
        <w:t>40,8</w:t>
      </w:r>
      <w:r w:rsidR="00D40ADD" w:rsidRPr="00C73E9F">
        <w:rPr>
          <w:rFonts w:ascii="Book Antiqua" w:eastAsiaTheme="minorEastAsia" w:hAnsi="Book Antiqua" w:cstheme="minorBidi"/>
          <w:sz w:val="22"/>
          <w:szCs w:val="22"/>
        </w:rPr>
        <w:t xml:space="preserve">% qui sont d’un avis contraire. </w:t>
      </w:r>
    </w:p>
    <w:p w:rsidR="002A747E" w:rsidRPr="002A747E" w:rsidRDefault="002A747E" w:rsidP="00575B92">
      <w:pPr>
        <w:pStyle w:val="Lgende"/>
        <w:keepNext/>
        <w:spacing w:before="240" w:after="240" w:line="276" w:lineRule="auto"/>
        <w:jc w:val="center"/>
        <w:rPr>
          <w:color w:val="auto"/>
        </w:rPr>
      </w:pPr>
      <w:bookmarkStart w:id="350" w:name="_Toc523313882"/>
      <w:r w:rsidRPr="002A747E">
        <w:rPr>
          <w:color w:val="auto"/>
        </w:rPr>
        <w:t xml:space="preserve">Figure </w:t>
      </w:r>
      <w:r w:rsidR="000D65F2" w:rsidRPr="002A747E">
        <w:rPr>
          <w:color w:val="auto"/>
        </w:rPr>
        <w:fldChar w:fldCharType="begin"/>
      </w:r>
      <w:r w:rsidRPr="002A747E">
        <w:rPr>
          <w:color w:val="auto"/>
        </w:rPr>
        <w:instrText xml:space="preserve"> SEQ Figure \* ARABIC </w:instrText>
      </w:r>
      <w:r w:rsidR="000D65F2" w:rsidRPr="002A747E">
        <w:rPr>
          <w:color w:val="auto"/>
        </w:rPr>
        <w:fldChar w:fldCharType="separate"/>
      </w:r>
      <w:r w:rsidR="000F780F">
        <w:rPr>
          <w:noProof/>
          <w:color w:val="auto"/>
        </w:rPr>
        <w:t>199</w:t>
      </w:r>
      <w:r w:rsidR="000D65F2" w:rsidRPr="002A747E">
        <w:rPr>
          <w:color w:val="auto"/>
        </w:rPr>
        <w:fldChar w:fldCharType="end"/>
      </w:r>
      <w:r w:rsidRPr="002A747E">
        <w:rPr>
          <w:color w:val="auto"/>
        </w:rPr>
        <w:t xml:space="preserve"> : Appréciation des personnes physiques sur la qualité de l'accès par téléphone à leur banque</w:t>
      </w:r>
      <w:bookmarkEnd w:id="350"/>
    </w:p>
    <w:p w:rsidR="00D40ADD" w:rsidRPr="00183183" w:rsidRDefault="00F12D8B" w:rsidP="00575B92">
      <w:pPr>
        <w:keepNext/>
        <w:spacing w:before="240" w:after="240" w:line="276" w:lineRule="auto"/>
        <w:jc w:val="center"/>
        <w:rPr>
          <w:rFonts w:asciiTheme="minorHAnsi" w:eastAsiaTheme="minorEastAsia" w:hAnsiTheme="minorHAnsi" w:cstheme="minorBidi"/>
          <w:sz w:val="22"/>
          <w:szCs w:val="22"/>
        </w:rPr>
      </w:pPr>
      <w:r w:rsidRPr="00F12D8B">
        <w:rPr>
          <w:rFonts w:ascii="Book Antiqua" w:eastAsiaTheme="minorEastAsia" w:hAnsi="Book Antiqua" w:cstheme="minorBidi"/>
          <w:noProof/>
        </w:rPr>
        <w:drawing>
          <wp:inline distT="0" distB="0" distL="0" distR="0">
            <wp:extent cx="5095875" cy="3062288"/>
            <wp:effectExtent l="19050" t="0" r="9525" b="4762"/>
            <wp:docPr id="162" name="Graphique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D40ADD" w:rsidRPr="00C73E9F" w:rsidRDefault="00D40ADD" w:rsidP="00575B92">
      <w:pPr>
        <w:spacing w:before="240" w:after="240" w:line="276" w:lineRule="auto"/>
        <w:jc w:val="both"/>
        <w:rPr>
          <w:rFonts w:ascii="Book Antiqua" w:eastAsiaTheme="minorEastAsia" w:hAnsi="Book Antiqua" w:cstheme="minorBidi"/>
          <w:sz w:val="22"/>
          <w:szCs w:val="22"/>
        </w:rPr>
      </w:pPr>
      <w:r w:rsidRPr="00C73E9F">
        <w:rPr>
          <w:rFonts w:ascii="Book Antiqua" w:eastAsiaTheme="minorEastAsia" w:hAnsi="Book Antiqua" w:cstheme="minorBidi"/>
          <w:sz w:val="22"/>
          <w:szCs w:val="22"/>
        </w:rPr>
        <w:t xml:space="preserve">L’analyse de la  qualité de l’accès par téléphone suivant les régions révèle </w:t>
      </w:r>
      <w:r w:rsidR="007C506C" w:rsidRPr="00C73E9F">
        <w:rPr>
          <w:rFonts w:ascii="Book Antiqua" w:eastAsiaTheme="minorEastAsia" w:hAnsi="Book Antiqua" w:cstheme="minorBidi"/>
          <w:sz w:val="22"/>
          <w:szCs w:val="22"/>
        </w:rPr>
        <w:t xml:space="preserve">selon les clients enquêtés </w:t>
      </w:r>
      <w:r w:rsidRPr="00C73E9F">
        <w:rPr>
          <w:rFonts w:ascii="Book Antiqua" w:eastAsiaTheme="minorEastAsia" w:hAnsi="Book Antiqua" w:cstheme="minorBidi"/>
          <w:sz w:val="22"/>
          <w:szCs w:val="22"/>
        </w:rPr>
        <w:t xml:space="preserve">des difficultés </w:t>
      </w:r>
      <w:r w:rsidR="007C506C" w:rsidRPr="00C73E9F">
        <w:rPr>
          <w:rFonts w:ascii="Book Antiqua" w:eastAsiaTheme="minorEastAsia" w:hAnsi="Book Antiqua" w:cstheme="minorBidi"/>
          <w:sz w:val="22"/>
          <w:szCs w:val="22"/>
        </w:rPr>
        <w:t xml:space="preserve">à établir un contact direct avec leur banque. C’est  </w:t>
      </w:r>
      <w:r w:rsidRPr="00C73E9F">
        <w:rPr>
          <w:rFonts w:ascii="Book Antiqua" w:eastAsiaTheme="minorEastAsia" w:hAnsi="Book Antiqua" w:cstheme="minorBidi"/>
          <w:sz w:val="22"/>
          <w:szCs w:val="22"/>
        </w:rPr>
        <w:t xml:space="preserve">notamment </w:t>
      </w:r>
      <w:r w:rsidR="007C506C" w:rsidRPr="00C73E9F">
        <w:rPr>
          <w:rFonts w:ascii="Book Antiqua" w:eastAsiaTheme="minorEastAsia" w:hAnsi="Book Antiqua" w:cstheme="minorBidi"/>
          <w:sz w:val="22"/>
          <w:szCs w:val="22"/>
        </w:rPr>
        <w:t xml:space="preserve">le </w:t>
      </w:r>
      <w:r w:rsidR="00B93F4D">
        <w:rPr>
          <w:rFonts w:ascii="Book Antiqua" w:eastAsiaTheme="minorEastAsia" w:hAnsi="Book Antiqua" w:cstheme="minorBidi"/>
          <w:sz w:val="22"/>
          <w:szCs w:val="22"/>
        </w:rPr>
        <w:t xml:space="preserve">cas </w:t>
      </w:r>
      <w:r w:rsidRPr="00C73E9F">
        <w:rPr>
          <w:rFonts w:ascii="Book Antiqua" w:eastAsiaTheme="minorEastAsia" w:hAnsi="Book Antiqua" w:cstheme="minorBidi"/>
          <w:sz w:val="22"/>
          <w:szCs w:val="22"/>
        </w:rPr>
        <w:t xml:space="preserve">dans les régions de </w:t>
      </w:r>
      <w:proofErr w:type="spellStart"/>
      <w:r w:rsidRPr="00C73E9F">
        <w:rPr>
          <w:rFonts w:ascii="Book Antiqua" w:eastAsiaTheme="minorEastAsia" w:hAnsi="Book Antiqua" w:cstheme="minorBidi"/>
          <w:sz w:val="22"/>
          <w:szCs w:val="22"/>
        </w:rPr>
        <w:t>Fatick</w:t>
      </w:r>
      <w:proofErr w:type="spellEnd"/>
      <w:r w:rsidRPr="00C73E9F">
        <w:rPr>
          <w:rFonts w:ascii="Book Antiqua" w:eastAsiaTheme="minorEastAsia" w:hAnsi="Book Antiqua" w:cstheme="minorBidi"/>
          <w:sz w:val="22"/>
          <w:szCs w:val="22"/>
        </w:rPr>
        <w:t xml:space="preserve"> (</w:t>
      </w:r>
      <w:r w:rsidR="000F56AD" w:rsidRPr="00C73E9F">
        <w:rPr>
          <w:rFonts w:ascii="Book Antiqua" w:eastAsiaTheme="minorEastAsia" w:hAnsi="Book Antiqua" w:cstheme="minorBidi"/>
          <w:sz w:val="22"/>
          <w:szCs w:val="22"/>
        </w:rPr>
        <w:t>28,8</w:t>
      </w:r>
      <w:r w:rsidRPr="00C73E9F">
        <w:rPr>
          <w:rFonts w:ascii="Book Antiqua" w:eastAsiaTheme="minorEastAsia" w:hAnsi="Book Antiqua" w:cstheme="minorBidi"/>
          <w:sz w:val="22"/>
          <w:szCs w:val="22"/>
        </w:rPr>
        <w:t xml:space="preserve">%), </w:t>
      </w:r>
      <w:r w:rsidR="000F56AD" w:rsidRPr="00C73E9F">
        <w:rPr>
          <w:rFonts w:ascii="Book Antiqua" w:eastAsiaTheme="minorEastAsia" w:hAnsi="Book Antiqua" w:cstheme="minorBidi"/>
          <w:sz w:val="22"/>
          <w:szCs w:val="22"/>
        </w:rPr>
        <w:t>Matam (42,7%),</w:t>
      </w:r>
      <w:r w:rsidR="00B93F4D">
        <w:rPr>
          <w:rFonts w:ascii="Book Antiqua" w:eastAsiaTheme="minorEastAsia" w:hAnsi="Book Antiqua" w:cstheme="minorBidi"/>
          <w:sz w:val="22"/>
          <w:szCs w:val="22"/>
        </w:rPr>
        <w:t xml:space="preserve"> </w:t>
      </w:r>
      <w:proofErr w:type="spellStart"/>
      <w:r w:rsidR="000F56AD" w:rsidRPr="00C73E9F">
        <w:rPr>
          <w:rFonts w:ascii="Book Antiqua" w:eastAsiaTheme="minorEastAsia" w:hAnsi="Book Antiqua" w:cstheme="minorBidi"/>
          <w:sz w:val="22"/>
          <w:szCs w:val="22"/>
        </w:rPr>
        <w:t>Kaffrine</w:t>
      </w:r>
      <w:proofErr w:type="spellEnd"/>
      <w:r w:rsidR="000F56AD" w:rsidRPr="00C73E9F">
        <w:rPr>
          <w:rFonts w:ascii="Book Antiqua" w:eastAsiaTheme="minorEastAsia" w:hAnsi="Book Antiqua" w:cstheme="minorBidi"/>
          <w:sz w:val="22"/>
          <w:szCs w:val="22"/>
        </w:rPr>
        <w:t xml:space="preserve"> (45,3%) et</w:t>
      </w:r>
      <w:r w:rsidR="00B93F4D">
        <w:rPr>
          <w:rFonts w:ascii="Book Antiqua" w:eastAsiaTheme="minorEastAsia" w:hAnsi="Book Antiqua" w:cstheme="minorBidi"/>
          <w:sz w:val="22"/>
          <w:szCs w:val="22"/>
        </w:rPr>
        <w:t xml:space="preserve"> </w:t>
      </w:r>
      <w:r w:rsidRPr="00C73E9F">
        <w:rPr>
          <w:rFonts w:ascii="Book Antiqua" w:eastAsiaTheme="minorEastAsia" w:hAnsi="Book Antiqua" w:cstheme="minorBidi"/>
          <w:sz w:val="22"/>
          <w:szCs w:val="22"/>
        </w:rPr>
        <w:t>Diourbel (</w:t>
      </w:r>
      <w:r w:rsidR="000F56AD" w:rsidRPr="00C73E9F">
        <w:rPr>
          <w:rFonts w:ascii="Book Antiqua" w:eastAsiaTheme="minorEastAsia" w:hAnsi="Book Antiqua" w:cstheme="minorBidi"/>
          <w:sz w:val="22"/>
          <w:szCs w:val="22"/>
        </w:rPr>
        <w:t>45,3</w:t>
      </w:r>
      <w:r w:rsidRPr="00C73E9F">
        <w:rPr>
          <w:rFonts w:ascii="Book Antiqua" w:eastAsiaTheme="minorEastAsia" w:hAnsi="Book Antiqua" w:cstheme="minorBidi"/>
          <w:sz w:val="22"/>
          <w:szCs w:val="22"/>
        </w:rPr>
        <w:t>%)</w:t>
      </w:r>
      <w:r w:rsidR="007C506C" w:rsidRPr="00C73E9F">
        <w:rPr>
          <w:rFonts w:ascii="Book Antiqua" w:eastAsiaTheme="minorEastAsia" w:hAnsi="Book Antiqua" w:cstheme="minorBidi"/>
          <w:sz w:val="22"/>
          <w:szCs w:val="22"/>
        </w:rPr>
        <w:t>.</w:t>
      </w:r>
    </w:p>
    <w:p w:rsidR="002A747E" w:rsidRDefault="002A747E" w:rsidP="00575B92">
      <w:pPr>
        <w:spacing w:before="240" w:after="240" w:line="276" w:lineRule="auto"/>
        <w:rPr>
          <w:rFonts w:ascii="Book Antiqua" w:eastAsiaTheme="minorEastAsia" w:hAnsi="Book Antiqua" w:cstheme="minorBidi"/>
          <w:b/>
          <w:bCs/>
          <w:sz w:val="16"/>
          <w:szCs w:val="16"/>
        </w:rPr>
      </w:pPr>
      <w:r>
        <w:rPr>
          <w:rFonts w:ascii="Book Antiqua" w:eastAsiaTheme="minorEastAsia" w:hAnsi="Book Antiqua" w:cstheme="minorBidi"/>
          <w:b/>
          <w:bCs/>
          <w:sz w:val="16"/>
          <w:szCs w:val="16"/>
        </w:rPr>
        <w:br w:type="page"/>
      </w:r>
    </w:p>
    <w:p w:rsidR="002A747E" w:rsidRPr="002A747E" w:rsidRDefault="002A747E" w:rsidP="00575B92">
      <w:pPr>
        <w:pStyle w:val="Lgende"/>
        <w:keepNext/>
        <w:spacing w:before="240" w:after="240" w:line="276" w:lineRule="auto"/>
        <w:jc w:val="center"/>
        <w:rPr>
          <w:color w:val="auto"/>
        </w:rPr>
      </w:pPr>
      <w:bookmarkStart w:id="351" w:name="_Toc523313883"/>
      <w:r w:rsidRPr="002A747E">
        <w:rPr>
          <w:color w:val="auto"/>
        </w:rPr>
        <w:lastRenderedPageBreak/>
        <w:t xml:space="preserve">Figure </w:t>
      </w:r>
      <w:r w:rsidR="000D65F2" w:rsidRPr="002A747E">
        <w:rPr>
          <w:color w:val="auto"/>
        </w:rPr>
        <w:fldChar w:fldCharType="begin"/>
      </w:r>
      <w:r w:rsidRPr="002A747E">
        <w:rPr>
          <w:color w:val="auto"/>
        </w:rPr>
        <w:instrText xml:space="preserve"> SEQ Figure \* ARABIC </w:instrText>
      </w:r>
      <w:r w:rsidR="000D65F2" w:rsidRPr="002A747E">
        <w:rPr>
          <w:color w:val="auto"/>
        </w:rPr>
        <w:fldChar w:fldCharType="separate"/>
      </w:r>
      <w:r w:rsidR="000F780F">
        <w:rPr>
          <w:noProof/>
          <w:color w:val="auto"/>
        </w:rPr>
        <w:t>200</w:t>
      </w:r>
      <w:r w:rsidR="000D65F2" w:rsidRPr="002A747E">
        <w:rPr>
          <w:color w:val="auto"/>
        </w:rPr>
        <w:fldChar w:fldCharType="end"/>
      </w:r>
      <w:r w:rsidRPr="002A747E">
        <w:rPr>
          <w:color w:val="auto"/>
        </w:rPr>
        <w:t xml:space="preserve"> : Appréciation des personnes enquêtées sur la qualité de l'accès par téléphone à leur banque selon les régions</w:t>
      </w:r>
      <w:bookmarkEnd w:id="351"/>
    </w:p>
    <w:p w:rsidR="00D40ADD" w:rsidRPr="00D40ADD" w:rsidRDefault="00F12D8B" w:rsidP="00575B92">
      <w:pPr>
        <w:keepNext/>
        <w:spacing w:before="240" w:after="240" w:line="276" w:lineRule="auto"/>
        <w:jc w:val="center"/>
        <w:rPr>
          <w:rFonts w:asciiTheme="minorHAnsi" w:eastAsiaTheme="minorEastAsia" w:hAnsiTheme="minorHAnsi" w:cstheme="minorBidi"/>
          <w:sz w:val="22"/>
          <w:szCs w:val="22"/>
        </w:rPr>
      </w:pPr>
      <w:r w:rsidRPr="00F12D8B">
        <w:rPr>
          <w:rFonts w:asciiTheme="minorHAnsi" w:eastAsiaTheme="minorEastAsia" w:hAnsiTheme="minorHAnsi" w:cstheme="minorBidi"/>
          <w:noProof/>
          <w:sz w:val="22"/>
          <w:szCs w:val="22"/>
        </w:rPr>
        <w:drawing>
          <wp:inline distT="0" distB="0" distL="0" distR="0">
            <wp:extent cx="4923210" cy="2719346"/>
            <wp:effectExtent l="19050" t="0" r="10740" b="4804"/>
            <wp:docPr id="163" name="Graphique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7C506C" w:rsidRPr="00183183" w:rsidRDefault="00D40ADD" w:rsidP="003D5415">
      <w:pPr>
        <w:spacing w:before="360" w:after="240" w:line="276" w:lineRule="auto"/>
        <w:ind w:firstLine="284"/>
        <w:rPr>
          <w:rFonts w:ascii="Book Antiqua" w:eastAsiaTheme="majorEastAsia" w:hAnsi="Book Antiqua" w:cstheme="majorBidi"/>
          <w:b/>
          <w:bCs/>
          <w:sz w:val="22"/>
          <w:szCs w:val="26"/>
        </w:rPr>
      </w:pPr>
      <w:r w:rsidRPr="00D40ADD">
        <w:rPr>
          <w:rFonts w:ascii="Book Antiqua" w:eastAsiaTheme="majorEastAsia" w:hAnsi="Book Antiqua" w:cstheme="majorBidi"/>
          <w:b/>
          <w:bCs/>
          <w:sz w:val="22"/>
          <w:szCs w:val="26"/>
        </w:rPr>
        <w:t>IV.4. Qualité de l’accès par internet</w:t>
      </w:r>
    </w:p>
    <w:p w:rsidR="00D40ADD" w:rsidRPr="00C73E9F" w:rsidRDefault="00DF6566" w:rsidP="00575B92">
      <w:pPr>
        <w:spacing w:before="240" w:after="240" w:line="276" w:lineRule="auto"/>
        <w:jc w:val="both"/>
        <w:rPr>
          <w:rFonts w:ascii="Book Antiqua" w:eastAsiaTheme="minorEastAsia" w:hAnsi="Book Antiqua" w:cstheme="minorBidi"/>
          <w:sz w:val="22"/>
          <w:szCs w:val="22"/>
        </w:rPr>
      </w:pPr>
      <w:r w:rsidRPr="00C73E9F">
        <w:rPr>
          <w:rFonts w:ascii="Book Antiqua" w:eastAsiaTheme="minorEastAsia" w:hAnsi="Book Antiqua" w:cstheme="minorBidi"/>
          <w:sz w:val="22"/>
          <w:szCs w:val="22"/>
        </w:rPr>
        <w:t xml:space="preserve">Une proportion de 21,8% de clients fait </w:t>
      </w:r>
      <w:r w:rsidR="007C506C" w:rsidRPr="00C73E9F">
        <w:rPr>
          <w:rFonts w:ascii="Book Antiqua" w:eastAsiaTheme="minorEastAsia" w:hAnsi="Book Antiqua" w:cstheme="minorBidi"/>
          <w:sz w:val="22"/>
          <w:szCs w:val="22"/>
        </w:rPr>
        <w:t xml:space="preserve">usage des services de consultation </w:t>
      </w:r>
      <w:r w:rsidRPr="00C73E9F">
        <w:rPr>
          <w:rFonts w:ascii="Book Antiqua" w:eastAsiaTheme="minorEastAsia" w:hAnsi="Book Antiqua" w:cstheme="minorBidi"/>
          <w:sz w:val="22"/>
          <w:szCs w:val="22"/>
        </w:rPr>
        <w:t>par internet. Parmi ceux-ci, 74,8% jugent</w:t>
      </w:r>
      <w:r w:rsidR="00232B80">
        <w:rPr>
          <w:rFonts w:ascii="Book Antiqua" w:eastAsiaTheme="minorEastAsia" w:hAnsi="Book Antiqua" w:cstheme="minorBidi"/>
          <w:sz w:val="22"/>
          <w:szCs w:val="22"/>
        </w:rPr>
        <w:t xml:space="preserve"> </w:t>
      </w:r>
      <w:r w:rsidRPr="00C73E9F">
        <w:rPr>
          <w:rFonts w:ascii="Book Antiqua" w:eastAsiaTheme="minorEastAsia" w:hAnsi="Book Antiqua" w:cstheme="minorBidi"/>
          <w:sz w:val="22"/>
          <w:szCs w:val="22"/>
        </w:rPr>
        <w:t xml:space="preserve"> l’accès au site web de leur banque « facile » voire « très facile » contre 25,2% qui éprouvent des difficultés à accéder à leur banque par ce canal</w:t>
      </w:r>
      <w:r w:rsidR="00B93F4D">
        <w:rPr>
          <w:rFonts w:ascii="Book Antiqua" w:eastAsiaTheme="minorEastAsia" w:hAnsi="Book Antiqua" w:cstheme="minorBidi"/>
          <w:sz w:val="22"/>
          <w:szCs w:val="22"/>
        </w:rPr>
        <w:t>.</w:t>
      </w:r>
    </w:p>
    <w:p w:rsidR="002A747E" w:rsidRPr="002A747E" w:rsidRDefault="002A747E" w:rsidP="003D5415">
      <w:pPr>
        <w:pStyle w:val="Lgende"/>
        <w:keepNext/>
        <w:spacing w:before="360" w:after="240" w:line="276" w:lineRule="auto"/>
        <w:jc w:val="center"/>
        <w:rPr>
          <w:color w:val="auto"/>
        </w:rPr>
      </w:pPr>
      <w:bookmarkStart w:id="352" w:name="_Toc523313884"/>
      <w:r w:rsidRPr="002A747E">
        <w:rPr>
          <w:color w:val="auto"/>
        </w:rPr>
        <w:t xml:space="preserve">Figure </w:t>
      </w:r>
      <w:r w:rsidR="000D65F2" w:rsidRPr="002A747E">
        <w:rPr>
          <w:color w:val="auto"/>
        </w:rPr>
        <w:fldChar w:fldCharType="begin"/>
      </w:r>
      <w:r w:rsidRPr="002A747E">
        <w:rPr>
          <w:color w:val="auto"/>
        </w:rPr>
        <w:instrText xml:space="preserve"> SEQ Figure \* ARABIC </w:instrText>
      </w:r>
      <w:r w:rsidR="000D65F2" w:rsidRPr="002A747E">
        <w:rPr>
          <w:color w:val="auto"/>
        </w:rPr>
        <w:fldChar w:fldCharType="separate"/>
      </w:r>
      <w:r w:rsidR="000F780F">
        <w:rPr>
          <w:noProof/>
          <w:color w:val="auto"/>
        </w:rPr>
        <w:t>201</w:t>
      </w:r>
      <w:r w:rsidR="000D65F2" w:rsidRPr="002A747E">
        <w:rPr>
          <w:color w:val="auto"/>
        </w:rPr>
        <w:fldChar w:fldCharType="end"/>
      </w:r>
      <w:r w:rsidRPr="002A747E">
        <w:rPr>
          <w:color w:val="auto"/>
        </w:rPr>
        <w:t xml:space="preserve"> : Appréciation des personnes physiques sur la qualité de l'accès par internet à leur banque</w:t>
      </w:r>
      <w:bookmarkEnd w:id="352"/>
    </w:p>
    <w:p w:rsidR="003D5415" w:rsidRPr="00146582" w:rsidRDefault="00232B80" w:rsidP="00146582">
      <w:pPr>
        <w:keepNext/>
        <w:spacing w:before="240" w:after="240" w:line="276" w:lineRule="auto"/>
        <w:jc w:val="center"/>
        <w:rPr>
          <w:rFonts w:asciiTheme="minorHAnsi" w:eastAsiaTheme="minorEastAsia" w:hAnsiTheme="minorHAnsi" w:cstheme="minorBidi"/>
          <w:sz w:val="22"/>
          <w:szCs w:val="22"/>
        </w:rPr>
      </w:pPr>
      <w:r w:rsidRPr="00232B80">
        <w:rPr>
          <w:rFonts w:asciiTheme="minorHAnsi" w:eastAsiaTheme="minorEastAsia" w:hAnsiTheme="minorHAnsi" w:cstheme="minorBidi"/>
          <w:noProof/>
          <w:sz w:val="22"/>
          <w:szCs w:val="22"/>
        </w:rPr>
        <w:drawing>
          <wp:inline distT="0" distB="0" distL="0" distR="0">
            <wp:extent cx="4573657" cy="2305878"/>
            <wp:effectExtent l="19050" t="0" r="17393" b="0"/>
            <wp:docPr id="164" name="Graphique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bookmarkStart w:id="353" w:name="_Toc523322124"/>
    </w:p>
    <w:p w:rsidR="00D40ADD" w:rsidRPr="003D5415" w:rsidRDefault="0017279E" w:rsidP="003D5415">
      <w:pPr>
        <w:pStyle w:val="Paragraphedeliste"/>
        <w:keepNext/>
        <w:keepLines/>
        <w:numPr>
          <w:ilvl w:val="0"/>
          <w:numId w:val="9"/>
        </w:numPr>
        <w:spacing w:before="240" w:after="240" w:line="276" w:lineRule="auto"/>
        <w:ind w:hanging="76"/>
        <w:outlineLvl w:val="0"/>
        <w:rPr>
          <w:rFonts w:ascii="Book Antiqua" w:eastAsiaTheme="majorEastAsia" w:hAnsi="Book Antiqua" w:cstheme="majorBidi"/>
          <w:b/>
          <w:bCs/>
          <w:sz w:val="22"/>
          <w:szCs w:val="28"/>
        </w:rPr>
      </w:pPr>
      <w:r w:rsidRPr="003D5415">
        <w:rPr>
          <w:rFonts w:ascii="Book Antiqua" w:eastAsiaTheme="majorEastAsia" w:hAnsi="Book Antiqua" w:cstheme="majorBidi"/>
          <w:b/>
          <w:bCs/>
          <w:sz w:val="22"/>
          <w:szCs w:val="28"/>
        </w:rPr>
        <w:t xml:space="preserve">Avis sur le traitement réservé </w:t>
      </w:r>
      <w:r w:rsidR="00D35F54" w:rsidRPr="003D5415">
        <w:rPr>
          <w:rFonts w:ascii="Book Antiqua" w:eastAsiaTheme="majorEastAsia" w:hAnsi="Book Antiqua" w:cstheme="majorBidi"/>
          <w:b/>
          <w:bCs/>
          <w:sz w:val="22"/>
          <w:szCs w:val="28"/>
        </w:rPr>
        <w:t>à</w:t>
      </w:r>
      <w:r w:rsidR="00B93F4D" w:rsidRPr="003D5415">
        <w:rPr>
          <w:rFonts w:ascii="Book Antiqua" w:eastAsiaTheme="majorEastAsia" w:hAnsi="Book Antiqua" w:cstheme="majorBidi"/>
          <w:b/>
          <w:bCs/>
          <w:sz w:val="22"/>
          <w:szCs w:val="28"/>
        </w:rPr>
        <w:t xml:space="preserve"> </w:t>
      </w:r>
      <w:r w:rsidRPr="003D5415">
        <w:rPr>
          <w:rFonts w:ascii="Book Antiqua" w:eastAsiaTheme="majorEastAsia" w:hAnsi="Book Antiqua" w:cstheme="majorBidi"/>
          <w:b/>
          <w:bCs/>
          <w:sz w:val="22"/>
          <w:szCs w:val="28"/>
        </w:rPr>
        <w:t>la clientèle</w:t>
      </w:r>
      <w:bookmarkEnd w:id="353"/>
    </w:p>
    <w:p w:rsidR="00D35F54" w:rsidRPr="00B93F4D" w:rsidRDefault="000F4AD5" w:rsidP="00575B92">
      <w:pPr>
        <w:spacing w:before="240" w:after="240" w:line="276" w:lineRule="auto"/>
        <w:jc w:val="both"/>
        <w:rPr>
          <w:rFonts w:ascii="Book Antiqua" w:eastAsiaTheme="majorEastAsia" w:hAnsi="Book Antiqua" w:cstheme="majorBidi"/>
          <w:bCs/>
          <w:sz w:val="22"/>
          <w:szCs w:val="26"/>
        </w:rPr>
      </w:pPr>
      <w:r w:rsidRPr="00B93F4D">
        <w:rPr>
          <w:rFonts w:ascii="Book Antiqua" w:eastAsiaTheme="majorEastAsia" w:hAnsi="Book Antiqua"/>
          <w:sz w:val="22"/>
          <w:szCs w:val="22"/>
        </w:rPr>
        <w:t xml:space="preserve">La qualité du traitement réservé à la clientèle </w:t>
      </w:r>
      <w:r w:rsidR="00AB21D3" w:rsidRPr="00B93F4D">
        <w:rPr>
          <w:rFonts w:ascii="Book Antiqua" w:eastAsiaTheme="majorEastAsia" w:hAnsi="Book Antiqua"/>
          <w:sz w:val="22"/>
          <w:szCs w:val="22"/>
        </w:rPr>
        <w:t>« </w:t>
      </w:r>
      <w:r w:rsidRPr="00B93F4D">
        <w:rPr>
          <w:rFonts w:ascii="Book Antiqua" w:eastAsiaTheme="majorEastAsia" w:hAnsi="Book Antiqua"/>
          <w:sz w:val="22"/>
          <w:szCs w:val="22"/>
        </w:rPr>
        <w:t>personnes physiques</w:t>
      </w:r>
      <w:r w:rsidR="00AB21D3" w:rsidRPr="00B93F4D">
        <w:rPr>
          <w:rFonts w:ascii="Book Antiqua" w:eastAsiaTheme="majorEastAsia" w:hAnsi="Book Antiqua"/>
          <w:sz w:val="22"/>
          <w:szCs w:val="22"/>
        </w:rPr>
        <w:t> »</w:t>
      </w:r>
      <w:r w:rsidRPr="00B93F4D">
        <w:rPr>
          <w:rFonts w:ascii="Book Antiqua" w:eastAsiaTheme="majorEastAsia" w:hAnsi="Book Antiqua"/>
          <w:sz w:val="22"/>
          <w:szCs w:val="22"/>
        </w:rPr>
        <w:t xml:space="preserve"> est appréciée suivant les trois critères ci après :</w:t>
      </w:r>
      <w:r w:rsidR="00B93F4D" w:rsidRPr="00B93F4D">
        <w:rPr>
          <w:rFonts w:ascii="Book Antiqua" w:eastAsiaTheme="majorEastAsia" w:hAnsi="Book Antiqua"/>
          <w:sz w:val="22"/>
          <w:szCs w:val="22"/>
        </w:rPr>
        <w:t xml:space="preserve"> </w:t>
      </w:r>
      <w:r w:rsidRPr="00B93F4D">
        <w:rPr>
          <w:rFonts w:ascii="Book Antiqua" w:eastAsiaTheme="majorEastAsia" w:hAnsi="Book Antiqua"/>
          <w:sz w:val="22"/>
          <w:szCs w:val="22"/>
        </w:rPr>
        <w:t>la</w:t>
      </w:r>
      <w:r w:rsidR="00B93F4D" w:rsidRPr="00B93F4D">
        <w:rPr>
          <w:rFonts w:ascii="Book Antiqua" w:eastAsiaTheme="majorEastAsia" w:hAnsi="Book Antiqua"/>
          <w:sz w:val="22"/>
          <w:szCs w:val="22"/>
        </w:rPr>
        <w:t xml:space="preserve"> </w:t>
      </w:r>
      <w:r w:rsidRPr="00B93F4D">
        <w:rPr>
          <w:rFonts w:ascii="Book Antiqua" w:eastAsiaTheme="majorEastAsia" w:hAnsi="Book Antiqua"/>
          <w:sz w:val="22"/>
          <w:szCs w:val="22"/>
        </w:rPr>
        <w:t xml:space="preserve">satisfaction sur </w:t>
      </w:r>
      <w:r w:rsidRPr="00B93F4D">
        <w:rPr>
          <w:rFonts w:ascii="Book Antiqua" w:eastAsiaTheme="majorEastAsia" w:hAnsi="Book Antiqua" w:cstheme="majorBidi"/>
          <w:bCs/>
          <w:sz w:val="22"/>
          <w:szCs w:val="22"/>
        </w:rPr>
        <w:t>les services du personnel  du « front office »</w:t>
      </w:r>
      <w:r w:rsidR="00AB21D3" w:rsidRPr="00B93F4D">
        <w:rPr>
          <w:rFonts w:ascii="Book Antiqua" w:eastAsiaTheme="majorEastAsia" w:hAnsi="Book Antiqua" w:cstheme="majorBidi"/>
          <w:bCs/>
          <w:sz w:val="22"/>
          <w:szCs w:val="22"/>
        </w:rPr>
        <w:t xml:space="preserve"> et</w:t>
      </w:r>
      <w:r w:rsidRPr="00B93F4D">
        <w:rPr>
          <w:rFonts w:ascii="Book Antiqua" w:eastAsiaTheme="majorEastAsia" w:hAnsi="Book Antiqua" w:cstheme="majorBidi"/>
          <w:bCs/>
          <w:sz w:val="22"/>
          <w:szCs w:val="22"/>
        </w:rPr>
        <w:t xml:space="preserve"> sur la qualité des informations fournies </w:t>
      </w:r>
      <w:r w:rsidR="00AB21D3" w:rsidRPr="00B93F4D">
        <w:rPr>
          <w:rFonts w:ascii="Book Antiqua" w:eastAsiaTheme="majorEastAsia" w:hAnsi="Book Antiqua" w:cstheme="majorBidi"/>
          <w:bCs/>
          <w:sz w:val="22"/>
          <w:szCs w:val="22"/>
        </w:rPr>
        <w:t xml:space="preserve">ainsi que </w:t>
      </w:r>
      <w:r w:rsidRPr="00B93F4D">
        <w:rPr>
          <w:rFonts w:ascii="Book Antiqua" w:eastAsiaTheme="majorEastAsia" w:hAnsi="Book Antiqua" w:cstheme="majorBidi"/>
          <w:bCs/>
          <w:sz w:val="22"/>
          <w:szCs w:val="22"/>
        </w:rPr>
        <w:t>l</w:t>
      </w:r>
      <w:r w:rsidR="00AB21D3" w:rsidRPr="00B93F4D">
        <w:rPr>
          <w:rFonts w:ascii="Book Antiqua" w:eastAsiaTheme="majorEastAsia" w:hAnsi="Book Antiqua" w:cstheme="majorBidi"/>
          <w:bCs/>
          <w:sz w:val="22"/>
          <w:szCs w:val="22"/>
        </w:rPr>
        <w:t xml:space="preserve">es </w:t>
      </w:r>
      <w:r w:rsidRPr="00B93F4D">
        <w:rPr>
          <w:rFonts w:ascii="Book Antiqua" w:eastAsiaTheme="majorEastAsia" w:hAnsi="Book Antiqua" w:cstheme="majorBidi"/>
          <w:bCs/>
          <w:sz w:val="22"/>
          <w:szCs w:val="22"/>
        </w:rPr>
        <w:t>avis sur le suivi des réclamations</w:t>
      </w:r>
      <w:r w:rsidRPr="00B93F4D">
        <w:rPr>
          <w:rFonts w:ascii="Book Antiqua" w:eastAsiaTheme="majorEastAsia" w:hAnsi="Book Antiqua" w:cstheme="majorBidi"/>
          <w:bCs/>
          <w:sz w:val="22"/>
          <w:szCs w:val="26"/>
        </w:rPr>
        <w:t>.</w:t>
      </w:r>
    </w:p>
    <w:p w:rsidR="00D40ADD" w:rsidRPr="00183183" w:rsidRDefault="00D40ADD" w:rsidP="00146582">
      <w:pPr>
        <w:keepNext/>
        <w:keepLines/>
        <w:spacing w:before="120" w:after="120" w:line="276" w:lineRule="auto"/>
        <w:ind w:firstLine="284"/>
        <w:jc w:val="both"/>
        <w:outlineLvl w:val="1"/>
        <w:rPr>
          <w:rFonts w:ascii="Book Antiqua" w:eastAsiaTheme="majorEastAsia" w:hAnsi="Book Antiqua" w:cstheme="majorBidi"/>
          <w:b/>
          <w:bCs/>
          <w:sz w:val="22"/>
          <w:szCs w:val="26"/>
        </w:rPr>
      </w:pPr>
      <w:bookmarkStart w:id="354" w:name="_Toc523322125"/>
      <w:r w:rsidRPr="00183183">
        <w:rPr>
          <w:rFonts w:ascii="Book Antiqua" w:eastAsiaTheme="majorEastAsia" w:hAnsi="Book Antiqua" w:cstheme="majorBidi"/>
          <w:b/>
          <w:bCs/>
          <w:sz w:val="22"/>
          <w:szCs w:val="26"/>
        </w:rPr>
        <w:t>V.1. Satisfaction sur les services du personnel  du « front office »</w:t>
      </w:r>
      <w:bookmarkEnd w:id="354"/>
    </w:p>
    <w:p w:rsidR="002A747E" w:rsidRPr="00B93F4D" w:rsidRDefault="009132E7" w:rsidP="00146582">
      <w:pPr>
        <w:spacing w:before="120" w:after="120" w:line="276" w:lineRule="auto"/>
        <w:jc w:val="both"/>
        <w:rPr>
          <w:rFonts w:ascii="Book Antiqua" w:eastAsiaTheme="majorEastAsia" w:hAnsi="Book Antiqua"/>
          <w:sz w:val="22"/>
          <w:szCs w:val="22"/>
        </w:rPr>
      </w:pPr>
      <w:r w:rsidRPr="00B93F4D">
        <w:rPr>
          <w:rFonts w:ascii="Book Antiqua" w:eastAsiaTheme="majorEastAsia" w:hAnsi="Book Antiqua"/>
          <w:sz w:val="22"/>
          <w:szCs w:val="22"/>
        </w:rPr>
        <w:t xml:space="preserve">L’aptitude du personnel à prodiguer des conseils </w:t>
      </w:r>
      <w:r w:rsidR="00074251" w:rsidRPr="00B93F4D">
        <w:rPr>
          <w:rFonts w:ascii="Book Antiqua" w:eastAsiaTheme="majorEastAsia" w:hAnsi="Book Antiqua"/>
          <w:sz w:val="22"/>
          <w:szCs w:val="22"/>
        </w:rPr>
        <w:t>aux clients</w:t>
      </w:r>
      <w:r w:rsidRPr="00B93F4D">
        <w:rPr>
          <w:rFonts w:ascii="Book Antiqua" w:eastAsiaTheme="majorEastAsia" w:hAnsi="Book Antiqua"/>
          <w:sz w:val="22"/>
          <w:szCs w:val="22"/>
        </w:rPr>
        <w:t xml:space="preserve">, à instaurer un cadre propre à assurer un bon accueil à la clientèle ainsi que </w:t>
      </w:r>
      <w:r w:rsidR="00074251" w:rsidRPr="00B93F4D">
        <w:rPr>
          <w:rFonts w:ascii="Book Antiqua" w:eastAsiaTheme="majorEastAsia" w:hAnsi="Book Antiqua"/>
          <w:sz w:val="22"/>
          <w:szCs w:val="22"/>
        </w:rPr>
        <w:t xml:space="preserve">la </w:t>
      </w:r>
      <w:r w:rsidRPr="00B93F4D">
        <w:rPr>
          <w:rFonts w:ascii="Book Antiqua" w:eastAsiaTheme="majorEastAsia" w:hAnsi="Book Antiqua"/>
          <w:sz w:val="22"/>
          <w:szCs w:val="22"/>
        </w:rPr>
        <w:t xml:space="preserve">capacité </w:t>
      </w:r>
      <w:r w:rsidR="00074251" w:rsidRPr="00B93F4D">
        <w:rPr>
          <w:rFonts w:ascii="Book Antiqua" w:eastAsiaTheme="majorEastAsia" w:hAnsi="Book Antiqua"/>
          <w:sz w:val="22"/>
          <w:szCs w:val="22"/>
        </w:rPr>
        <w:t xml:space="preserve">des agents de la banque </w:t>
      </w:r>
      <w:r w:rsidRPr="00B93F4D">
        <w:rPr>
          <w:rFonts w:ascii="Book Antiqua" w:eastAsiaTheme="majorEastAsia" w:hAnsi="Book Antiqua"/>
          <w:sz w:val="22"/>
          <w:szCs w:val="22"/>
        </w:rPr>
        <w:t xml:space="preserve">à gérer au mieux les </w:t>
      </w:r>
      <w:r w:rsidR="00074251" w:rsidRPr="00B93F4D">
        <w:rPr>
          <w:rFonts w:ascii="Book Antiqua" w:eastAsiaTheme="majorEastAsia" w:hAnsi="Book Antiqua"/>
          <w:sz w:val="22"/>
          <w:szCs w:val="22"/>
        </w:rPr>
        <w:lastRenderedPageBreak/>
        <w:t>intérêts</w:t>
      </w:r>
      <w:r w:rsidRPr="00B93F4D">
        <w:rPr>
          <w:rFonts w:ascii="Book Antiqua" w:eastAsiaTheme="majorEastAsia" w:hAnsi="Book Antiqua"/>
          <w:sz w:val="22"/>
          <w:szCs w:val="22"/>
        </w:rPr>
        <w:t xml:space="preserve"> des clients</w:t>
      </w:r>
      <w:r w:rsidR="00D41072">
        <w:rPr>
          <w:rFonts w:ascii="Book Antiqua" w:eastAsiaTheme="majorEastAsia" w:hAnsi="Book Antiqua"/>
          <w:sz w:val="22"/>
          <w:szCs w:val="22"/>
        </w:rPr>
        <w:t>,</w:t>
      </w:r>
      <w:r w:rsidRPr="00B93F4D">
        <w:rPr>
          <w:rFonts w:ascii="Book Antiqua" w:eastAsiaTheme="majorEastAsia" w:hAnsi="Book Antiqua"/>
          <w:sz w:val="22"/>
          <w:szCs w:val="22"/>
        </w:rPr>
        <w:t xml:space="preserve"> </w:t>
      </w:r>
      <w:r w:rsidR="00074251" w:rsidRPr="00B93F4D">
        <w:rPr>
          <w:rFonts w:ascii="Book Antiqua" w:eastAsiaTheme="majorEastAsia" w:hAnsi="Book Antiqua"/>
          <w:sz w:val="22"/>
          <w:szCs w:val="22"/>
        </w:rPr>
        <w:t>constituent des critères d’appréciation de la satisfaction par rapport aux services offerts par le  personnel du « front office ».</w:t>
      </w:r>
    </w:p>
    <w:p w:rsidR="00D40ADD" w:rsidRPr="002A747E" w:rsidRDefault="00D40ADD" w:rsidP="00146582">
      <w:pPr>
        <w:keepNext/>
        <w:keepLines/>
        <w:spacing w:before="120" w:after="120" w:line="276" w:lineRule="auto"/>
        <w:ind w:firstLine="567"/>
        <w:jc w:val="both"/>
        <w:outlineLvl w:val="2"/>
        <w:rPr>
          <w:rFonts w:ascii="Book Antiqua" w:eastAsiaTheme="majorEastAsia" w:hAnsi="Book Antiqua" w:cstheme="majorBidi"/>
          <w:b/>
          <w:bCs/>
          <w:sz w:val="22"/>
          <w:szCs w:val="22"/>
        </w:rPr>
      </w:pPr>
      <w:bookmarkStart w:id="355" w:name="_Toc523322126"/>
      <w:r w:rsidRPr="002A747E">
        <w:rPr>
          <w:rFonts w:ascii="Book Antiqua" w:eastAsiaTheme="majorEastAsia" w:hAnsi="Book Antiqua" w:cstheme="majorBidi"/>
          <w:b/>
          <w:bCs/>
          <w:sz w:val="22"/>
          <w:szCs w:val="22"/>
        </w:rPr>
        <w:t>V.1.1.Opinion sur la qualité du suivi personnalisé</w:t>
      </w:r>
      <w:bookmarkEnd w:id="355"/>
    </w:p>
    <w:p w:rsidR="00183183" w:rsidRPr="00D41072" w:rsidRDefault="00D40ADD" w:rsidP="00146582">
      <w:pPr>
        <w:spacing w:before="120" w:after="120" w:line="276" w:lineRule="auto"/>
        <w:jc w:val="both"/>
        <w:rPr>
          <w:rFonts w:ascii="Book Antiqua" w:eastAsiaTheme="minorEastAsia" w:hAnsi="Book Antiqua" w:cstheme="minorBidi"/>
          <w:sz w:val="22"/>
          <w:szCs w:val="22"/>
        </w:rPr>
      </w:pPr>
      <w:r w:rsidRPr="00D41072">
        <w:rPr>
          <w:rFonts w:ascii="Book Antiqua" w:eastAsiaTheme="minorEastAsia" w:hAnsi="Book Antiqua" w:cstheme="minorBidi"/>
          <w:sz w:val="22"/>
          <w:szCs w:val="22"/>
        </w:rPr>
        <w:t xml:space="preserve">L’analyse des statistiques </w:t>
      </w:r>
      <w:r w:rsidR="00F342A1" w:rsidRPr="00D41072">
        <w:rPr>
          <w:rFonts w:ascii="Book Antiqua" w:eastAsiaTheme="minorEastAsia" w:hAnsi="Book Antiqua" w:cstheme="minorBidi"/>
          <w:sz w:val="22"/>
          <w:szCs w:val="22"/>
        </w:rPr>
        <w:t xml:space="preserve">relatives aux </w:t>
      </w:r>
      <w:r w:rsidRPr="00D41072">
        <w:rPr>
          <w:rFonts w:ascii="Book Antiqua" w:eastAsiaTheme="minorEastAsia" w:hAnsi="Book Antiqua" w:cstheme="minorBidi"/>
          <w:sz w:val="22"/>
          <w:szCs w:val="22"/>
        </w:rPr>
        <w:t>opinion</w:t>
      </w:r>
      <w:r w:rsidR="00F342A1" w:rsidRPr="00D41072">
        <w:rPr>
          <w:rFonts w:ascii="Book Antiqua" w:eastAsiaTheme="minorEastAsia" w:hAnsi="Book Antiqua" w:cstheme="minorBidi"/>
          <w:sz w:val="22"/>
          <w:szCs w:val="22"/>
        </w:rPr>
        <w:t>s</w:t>
      </w:r>
      <w:r w:rsidRPr="00D41072">
        <w:rPr>
          <w:rFonts w:ascii="Book Antiqua" w:eastAsiaTheme="minorEastAsia" w:hAnsi="Book Antiqua" w:cstheme="minorBidi"/>
          <w:sz w:val="22"/>
          <w:szCs w:val="22"/>
        </w:rPr>
        <w:t xml:space="preserve"> des enquêtés sur la qualité du suivi personnalisé fait ressortir un sentiment d’insatisfaction chez la plupart des personnes interrogées. En effet, un</w:t>
      </w:r>
      <w:r w:rsidR="00F342A1" w:rsidRPr="00D41072">
        <w:rPr>
          <w:rFonts w:ascii="Book Antiqua" w:eastAsiaTheme="minorEastAsia" w:hAnsi="Book Antiqua" w:cstheme="minorBidi"/>
          <w:sz w:val="22"/>
          <w:szCs w:val="22"/>
        </w:rPr>
        <w:t xml:space="preserve">e proportion de 63,3% des clients déplorent la mauvaise qualité du </w:t>
      </w:r>
      <w:r w:rsidRPr="00D41072">
        <w:rPr>
          <w:rFonts w:ascii="Book Antiqua" w:eastAsiaTheme="minorEastAsia" w:hAnsi="Book Antiqua" w:cstheme="minorBidi"/>
          <w:sz w:val="22"/>
          <w:szCs w:val="22"/>
        </w:rPr>
        <w:t>suivi personnalisé de leurs banques</w:t>
      </w:r>
      <w:r w:rsidR="00F342A1" w:rsidRPr="00D41072">
        <w:rPr>
          <w:rFonts w:ascii="Book Antiqua" w:eastAsiaTheme="minorEastAsia" w:hAnsi="Book Antiqua" w:cstheme="minorBidi"/>
          <w:sz w:val="22"/>
          <w:szCs w:val="22"/>
        </w:rPr>
        <w:t>.</w:t>
      </w:r>
    </w:p>
    <w:p w:rsidR="002A747E" w:rsidRPr="002A747E" w:rsidRDefault="002A747E" w:rsidP="00575B92">
      <w:pPr>
        <w:pStyle w:val="Lgende"/>
        <w:keepNext/>
        <w:spacing w:before="240" w:after="240" w:line="276" w:lineRule="auto"/>
        <w:jc w:val="center"/>
        <w:rPr>
          <w:color w:val="auto"/>
        </w:rPr>
      </w:pPr>
      <w:bookmarkStart w:id="356" w:name="_Toc523313885"/>
      <w:r w:rsidRPr="002A747E">
        <w:rPr>
          <w:color w:val="auto"/>
        </w:rPr>
        <w:t xml:space="preserve">Figure </w:t>
      </w:r>
      <w:r w:rsidR="000D65F2" w:rsidRPr="002A747E">
        <w:rPr>
          <w:color w:val="auto"/>
        </w:rPr>
        <w:fldChar w:fldCharType="begin"/>
      </w:r>
      <w:r w:rsidRPr="002A747E">
        <w:rPr>
          <w:color w:val="auto"/>
        </w:rPr>
        <w:instrText xml:space="preserve"> SEQ Figure \* ARABIC </w:instrText>
      </w:r>
      <w:r w:rsidR="000D65F2" w:rsidRPr="002A747E">
        <w:rPr>
          <w:color w:val="auto"/>
        </w:rPr>
        <w:fldChar w:fldCharType="separate"/>
      </w:r>
      <w:r w:rsidR="000F780F">
        <w:rPr>
          <w:noProof/>
          <w:color w:val="auto"/>
        </w:rPr>
        <w:t>202</w:t>
      </w:r>
      <w:r w:rsidR="000D65F2" w:rsidRPr="002A747E">
        <w:rPr>
          <w:color w:val="auto"/>
        </w:rPr>
        <w:fldChar w:fldCharType="end"/>
      </w:r>
      <w:r w:rsidRPr="002A747E">
        <w:rPr>
          <w:color w:val="auto"/>
        </w:rPr>
        <w:t xml:space="preserve"> : Opinions des clients sur la qualité du suivi personnalisé de leur banque</w:t>
      </w:r>
      <w:bookmarkEnd w:id="356"/>
    </w:p>
    <w:p w:rsidR="00D40ADD" w:rsidRPr="00183183" w:rsidRDefault="00D40ADD" w:rsidP="00575B92">
      <w:pPr>
        <w:keepNext/>
        <w:spacing w:before="240" w:after="240" w:line="276" w:lineRule="auto"/>
        <w:jc w:val="center"/>
        <w:rPr>
          <w:rFonts w:asciiTheme="minorHAnsi" w:eastAsiaTheme="minorEastAsia" w:hAnsiTheme="minorHAnsi" w:cstheme="minorBidi"/>
          <w:sz w:val="22"/>
          <w:szCs w:val="22"/>
        </w:rPr>
      </w:pPr>
      <w:r w:rsidRPr="00D40ADD">
        <w:rPr>
          <w:rFonts w:asciiTheme="minorHAnsi" w:eastAsiaTheme="minorEastAsia" w:hAnsiTheme="minorHAnsi" w:cstheme="minorBidi"/>
          <w:noProof/>
          <w:sz w:val="22"/>
          <w:szCs w:val="22"/>
        </w:rPr>
        <w:drawing>
          <wp:inline distT="0" distB="0" distL="0" distR="0">
            <wp:extent cx="3997988" cy="2099145"/>
            <wp:effectExtent l="19050" t="0" r="21562" b="0"/>
            <wp:docPr id="354"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D40ADD" w:rsidRDefault="00C170AD" w:rsidP="00575B92">
      <w:pPr>
        <w:spacing w:before="240" w:after="240" w:line="276" w:lineRule="auto"/>
        <w:jc w:val="both"/>
        <w:rPr>
          <w:rFonts w:ascii="Book Antiqua" w:eastAsiaTheme="minorEastAsia" w:hAnsi="Book Antiqua" w:cstheme="minorBidi"/>
          <w:sz w:val="22"/>
          <w:szCs w:val="22"/>
        </w:rPr>
      </w:pPr>
      <w:r w:rsidRPr="0065653D">
        <w:rPr>
          <w:rFonts w:ascii="Book Antiqua" w:eastAsiaTheme="minorEastAsia" w:hAnsi="Book Antiqua" w:cstheme="minorBidi"/>
          <w:sz w:val="22"/>
          <w:szCs w:val="22"/>
        </w:rPr>
        <w:t>La</w:t>
      </w:r>
      <w:r w:rsidR="0065653D" w:rsidRPr="0065653D">
        <w:rPr>
          <w:rFonts w:ascii="Book Antiqua" w:eastAsiaTheme="minorEastAsia" w:hAnsi="Book Antiqua" w:cstheme="minorBidi"/>
          <w:sz w:val="22"/>
          <w:szCs w:val="22"/>
        </w:rPr>
        <w:t xml:space="preserve"> </w:t>
      </w:r>
      <w:r w:rsidR="00D40ADD" w:rsidRPr="0065653D">
        <w:rPr>
          <w:rFonts w:ascii="Book Antiqua" w:eastAsiaTheme="minorEastAsia" w:hAnsi="Book Antiqua" w:cstheme="minorBidi"/>
          <w:sz w:val="22"/>
          <w:szCs w:val="22"/>
        </w:rPr>
        <w:t xml:space="preserve">même tendance dans la perception des </w:t>
      </w:r>
      <w:r w:rsidRPr="0065653D">
        <w:rPr>
          <w:rFonts w:ascii="Book Antiqua" w:eastAsiaTheme="minorEastAsia" w:hAnsi="Book Antiqua" w:cstheme="minorBidi"/>
          <w:sz w:val="22"/>
          <w:szCs w:val="22"/>
        </w:rPr>
        <w:t xml:space="preserve">usagers </w:t>
      </w:r>
      <w:r w:rsidR="00D40ADD" w:rsidRPr="0065653D">
        <w:rPr>
          <w:rFonts w:ascii="Book Antiqua" w:eastAsiaTheme="minorEastAsia" w:hAnsi="Book Antiqua" w:cstheme="minorBidi"/>
          <w:sz w:val="22"/>
          <w:szCs w:val="22"/>
        </w:rPr>
        <w:t>sur le suivi personnalisé</w:t>
      </w:r>
      <w:r w:rsidRPr="0065653D">
        <w:rPr>
          <w:rFonts w:ascii="Book Antiqua" w:eastAsiaTheme="minorEastAsia" w:hAnsi="Book Antiqua" w:cstheme="minorBidi"/>
          <w:sz w:val="22"/>
          <w:szCs w:val="22"/>
        </w:rPr>
        <w:t xml:space="preserve"> est observée suivant une analyse basée sur les régions</w:t>
      </w:r>
      <w:r w:rsidR="00D40ADD" w:rsidRPr="0065653D">
        <w:rPr>
          <w:rFonts w:ascii="Book Antiqua" w:eastAsiaTheme="minorEastAsia" w:hAnsi="Book Antiqua" w:cstheme="minorBidi"/>
          <w:sz w:val="22"/>
          <w:szCs w:val="22"/>
        </w:rPr>
        <w:t xml:space="preserve">. </w:t>
      </w:r>
      <w:r w:rsidRPr="0065653D">
        <w:rPr>
          <w:rFonts w:ascii="Book Antiqua" w:eastAsiaTheme="minorEastAsia" w:hAnsi="Book Antiqua" w:cstheme="minorBidi"/>
          <w:sz w:val="22"/>
          <w:szCs w:val="22"/>
        </w:rPr>
        <w:t>L</w:t>
      </w:r>
      <w:r w:rsidR="00D40ADD" w:rsidRPr="0065653D">
        <w:rPr>
          <w:rFonts w:ascii="Book Antiqua" w:eastAsiaTheme="minorEastAsia" w:hAnsi="Book Antiqua" w:cstheme="minorBidi"/>
          <w:sz w:val="22"/>
          <w:szCs w:val="22"/>
        </w:rPr>
        <w:t xml:space="preserve">es </w:t>
      </w:r>
      <w:r w:rsidRPr="0065653D">
        <w:rPr>
          <w:rFonts w:ascii="Book Antiqua" w:eastAsiaTheme="minorEastAsia" w:hAnsi="Book Antiqua" w:cstheme="minorBidi"/>
          <w:sz w:val="22"/>
          <w:szCs w:val="22"/>
        </w:rPr>
        <w:t xml:space="preserve">localités </w:t>
      </w:r>
      <w:r w:rsidR="00D40ADD" w:rsidRPr="0065653D">
        <w:rPr>
          <w:rFonts w:ascii="Book Antiqua" w:eastAsiaTheme="minorEastAsia" w:hAnsi="Book Antiqua" w:cstheme="minorBidi"/>
          <w:sz w:val="22"/>
          <w:szCs w:val="22"/>
        </w:rPr>
        <w:t xml:space="preserve">de Kédougou (84,9%), </w:t>
      </w:r>
      <w:proofErr w:type="spellStart"/>
      <w:r w:rsidR="00D40ADD" w:rsidRPr="0065653D">
        <w:rPr>
          <w:rFonts w:ascii="Book Antiqua" w:eastAsiaTheme="minorEastAsia" w:hAnsi="Book Antiqua" w:cstheme="minorBidi"/>
          <w:sz w:val="22"/>
          <w:szCs w:val="22"/>
        </w:rPr>
        <w:t>Kaffrine</w:t>
      </w:r>
      <w:proofErr w:type="spellEnd"/>
      <w:r w:rsidR="00D40ADD" w:rsidRPr="0065653D">
        <w:rPr>
          <w:rFonts w:ascii="Book Antiqua" w:eastAsiaTheme="minorEastAsia" w:hAnsi="Book Antiqua" w:cstheme="minorBidi"/>
          <w:sz w:val="22"/>
          <w:szCs w:val="22"/>
        </w:rPr>
        <w:t xml:space="preserve"> (84,4%) et Kaolack (81,7%)</w:t>
      </w:r>
      <w:r w:rsidRPr="0065653D">
        <w:rPr>
          <w:rFonts w:ascii="Book Antiqua" w:eastAsiaTheme="minorEastAsia" w:hAnsi="Book Antiqua" w:cstheme="minorBidi"/>
          <w:sz w:val="22"/>
          <w:szCs w:val="22"/>
        </w:rPr>
        <w:t xml:space="preserve"> ressortent avec les plus forts taux de récrimination</w:t>
      </w:r>
      <w:r w:rsidR="00D40ADD" w:rsidRPr="0065653D">
        <w:rPr>
          <w:rFonts w:ascii="Book Antiqua" w:eastAsiaTheme="minorEastAsia" w:hAnsi="Book Antiqua" w:cstheme="minorBidi"/>
          <w:sz w:val="22"/>
          <w:szCs w:val="22"/>
        </w:rPr>
        <w:t xml:space="preserve">. </w:t>
      </w:r>
    </w:p>
    <w:p w:rsidR="002A747E" w:rsidRPr="002A747E" w:rsidRDefault="002A747E" w:rsidP="00575B92">
      <w:pPr>
        <w:pStyle w:val="Lgende"/>
        <w:keepNext/>
        <w:spacing w:before="240" w:after="240" w:line="276" w:lineRule="auto"/>
        <w:jc w:val="center"/>
        <w:rPr>
          <w:color w:val="auto"/>
        </w:rPr>
      </w:pPr>
      <w:bookmarkStart w:id="357" w:name="_Toc523313886"/>
      <w:r w:rsidRPr="002A747E">
        <w:rPr>
          <w:color w:val="auto"/>
        </w:rPr>
        <w:t xml:space="preserve">Figure </w:t>
      </w:r>
      <w:r w:rsidR="000D65F2" w:rsidRPr="002A747E">
        <w:rPr>
          <w:color w:val="auto"/>
        </w:rPr>
        <w:fldChar w:fldCharType="begin"/>
      </w:r>
      <w:r w:rsidRPr="002A747E">
        <w:rPr>
          <w:color w:val="auto"/>
        </w:rPr>
        <w:instrText xml:space="preserve"> SEQ Figure \* ARABIC </w:instrText>
      </w:r>
      <w:r w:rsidR="000D65F2" w:rsidRPr="002A747E">
        <w:rPr>
          <w:color w:val="auto"/>
        </w:rPr>
        <w:fldChar w:fldCharType="separate"/>
      </w:r>
      <w:r w:rsidR="000F780F">
        <w:rPr>
          <w:noProof/>
          <w:color w:val="auto"/>
        </w:rPr>
        <w:t>203</w:t>
      </w:r>
      <w:r w:rsidR="000D65F2" w:rsidRPr="002A747E">
        <w:rPr>
          <w:color w:val="auto"/>
        </w:rPr>
        <w:fldChar w:fldCharType="end"/>
      </w:r>
      <w:r w:rsidRPr="002A747E">
        <w:rPr>
          <w:color w:val="auto"/>
        </w:rPr>
        <w:t xml:space="preserve"> : Opinions des personnes physiques sur la qualité du suivi personnalisé selon les régions</w:t>
      </w:r>
      <w:bookmarkEnd w:id="357"/>
    </w:p>
    <w:p w:rsidR="0065653D" w:rsidRPr="003D5415" w:rsidRDefault="002A747E" w:rsidP="003D5415">
      <w:pPr>
        <w:keepNext/>
        <w:spacing w:before="240" w:after="240" w:line="276" w:lineRule="auto"/>
        <w:jc w:val="center"/>
        <w:rPr>
          <w:rFonts w:asciiTheme="minorHAnsi" w:eastAsiaTheme="minorEastAsia" w:hAnsiTheme="minorHAnsi" w:cstheme="minorBidi"/>
          <w:sz w:val="22"/>
          <w:szCs w:val="22"/>
        </w:rPr>
      </w:pPr>
      <w:r w:rsidRPr="002A747E">
        <w:rPr>
          <w:rFonts w:asciiTheme="minorHAnsi" w:eastAsiaTheme="minorEastAsia" w:hAnsiTheme="minorHAnsi" w:cstheme="minorBidi"/>
          <w:noProof/>
          <w:sz w:val="22"/>
          <w:szCs w:val="22"/>
        </w:rPr>
        <w:drawing>
          <wp:inline distT="0" distB="0" distL="0" distR="0">
            <wp:extent cx="4044067" cy="2250219"/>
            <wp:effectExtent l="19050" t="0" r="13583" b="0"/>
            <wp:docPr id="83"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65653D" w:rsidRPr="002A747E" w:rsidRDefault="00D40ADD" w:rsidP="00616576">
      <w:pPr>
        <w:keepNext/>
        <w:keepLines/>
        <w:spacing w:before="360" w:after="240" w:line="276" w:lineRule="auto"/>
        <w:ind w:firstLine="567"/>
        <w:outlineLvl w:val="2"/>
        <w:rPr>
          <w:rFonts w:ascii="Book Antiqua" w:eastAsiaTheme="majorEastAsia" w:hAnsi="Book Antiqua" w:cstheme="majorBidi"/>
          <w:b/>
          <w:bCs/>
          <w:sz w:val="22"/>
          <w:szCs w:val="22"/>
        </w:rPr>
      </w:pPr>
      <w:bookmarkStart w:id="358" w:name="_Toc523322127"/>
      <w:r w:rsidRPr="002A747E">
        <w:rPr>
          <w:rFonts w:ascii="Book Antiqua" w:eastAsiaTheme="majorEastAsia" w:hAnsi="Book Antiqua" w:cstheme="majorBidi"/>
          <w:b/>
          <w:bCs/>
          <w:sz w:val="22"/>
          <w:szCs w:val="22"/>
        </w:rPr>
        <w:t>V.1.2.Opinion des clients sur la qualité des conseils et la capacité d’écoute du conseiller</w:t>
      </w:r>
      <w:bookmarkEnd w:id="358"/>
    </w:p>
    <w:p w:rsidR="002B19B3" w:rsidRPr="00C73E9F" w:rsidRDefault="002B19B3" w:rsidP="00575B92">
      <w:pPr>
        <w:spacing w:before="240" w:after="240" w:line="276" w:lineRule="auto"/>
        <w:jc w:val="both"/>
        <w:rPr>
          <w:rFonts w:ascii="Book Antiqua" w:eastAsiaTheme="minorEastAsia" w:hAnsi="Book Antiqua" w:cstheme="minorBidi"/>
          <w:sz w:val="22"/>
          <w:szCs w:val="22"/>
        </w:rPr>
      </w:pPr>
      <w:r w:rsidRPr="00C73E9F">
        <w:rPr>
          <w:rFonts w:ascii="Book Antiqua" w:eastAsiaTheme="minorEastAsia" w:hAnsi="Book Antiqua" w:cstheme="minorBidi"/>
          <w:sz w:val="22"/>
          <w:szCs w:val="22"/>
        </w:rPr>
        <w:t xml:space="preserve">Il convient de relever qu’une proportion non négligeable de personnes enquêtées (24,8%) déclare  n’avoir jamais eu à rencontrer leurs conseillers de banque. </w:t>
      </w:r>
      <w:r w:rsidR="009B323D" w:rsidRPr="00C73E9F">
        <w:rPr>
          <w:rFonts w:ascii="Book Antiqua" w:eastAsiaTheme="minorEastAsia" w:hAnsi="Book Antiqua" w:cstheme="minorBidi"/>
          <w:sz w:val="22"/>
          <w:szCs w:val="22"/>
        </w:rPr>
        <w:t xml:space="preserve">Dans ce registre, les régions de Matam (60,0%), </w:t>
      </w:r>
      <w:proofErr w:type="spellStart"/>
      <w:r w:rsidR="009B323D" w:rsidRPr="00C73E9F">
        <w:rPr>
          <w:rFonts w:ascii="Book Antiqua" w:eastAsiaTheme="minorEastAsia" w:hAnsi="Book Antiqua" w:cstheme="minorBidi"/>
          <w:sz w:val="22"/>
          <w:szCs w:val="22"/>
        </w:rPr>
        <w:t>Fatick</w:t>
      </w:r>
      <w:proofErr w:type="spellEnd"/>
      <w:r w:rsidR="009B323D" w:rsidRPr="00C73E9F">
        <w:rPr>
          <w:rFonts w:ascii="Book Antiqua" w:eastAsiaTheme="minorEastAsia" w:hAnsi="Book Antiqua" w:cstheme="minorBidi"/>
          <w:sz w:val="22"/>
          <w:szCs w:val="22"/>
        </w:rPr>
        <w:t xml:space="preserve"> (50,0%) et </w:t>
      </w:r>
      <w:proofErr w:type="spellStart"/>
      <w:r w:rsidR="00183183" w:rsidRPr="00C73E9F">
        <w:rPr>
          <w:rFonts w:ascii="Book Antiqua" w:eastAsiaTheme="minorEastAsia" w:hAnsi="Book Antiqua" w:cstheme="minorBidi"/>
          <w:sz w:val="22"/>
          <w:szCs w:val="22"/>
        </w:rPr>
        <w:t>Sédhiou</w:t>
      </w:r>
      <w:proofErr w:type="spellEnd"/>
      <w:r w:rsidR="009B323D" w:rsidRPr="00C73E9F">
        <w:rPr>
          <w:rFonts w:ascii="Book Antiqua" w:eastAsiaTheme="minorEastAsia" w:hAnsi="Book Antiqua" w:cstheme="minorBidi"/>
          <w:sz w:val="22"/>
          <w:szCs w:val="22"/>
        </w:rPr>
        <w:t xml:space="preserve"> (50,0%) affichent les plus forts taux de clients déplorant l’absence de contact avec leurs conseillers.</w:t>
      </w:r>
    </w:p>
    <w:p w:rsidR="00232B80" w:rsidRPr="00C73E9F" w:rsidRDefault="002B19B3" w:rsidP="00575B92">
      <w:pPr>
        <w:spacing w:before="240" w:after="240" w:line="276" w:lineRule="auto"/>
        <w:jc w:val="both"/>
        <w:rPr>
          <w:rFonts w:ascii="Book Antiqua" w:eastAsiaTheme="minorEastAsia" w:hAnsi="Book Antiqua" w:cstheme="minorBidi"/>
          <w:sz w:val="22"/>
          <w:szCs w:val="22"/>
        </w:rPr>
      </w:pPr>
      <w:r w:rsidRPr="00C73E9F">
        <w:rPr>
          <w:rFonts w:ascii="Book Antiqua" w:eastAsiaTheme="minorEastAsia" w:hAnsi="Book Antiqua" w:cstheme="minorBidi"/>
          <w:sz w:val="22"/>
          <w:szCs w:val="22"/>
        </w:rPr>
        <w:lastRenderedPageBreak/>
        <w:t>Parmi ceux qui ont eu à rencontrer leurs conseillers, un pourcentage de 64,8</w:t>
      </w:r>
      <w:r w:rsidR="00D40ADD" w:rsidRPr="00C73E9F">
        <w:rPr>
          <w:rFonts w:ascii="Book Antiqua" w:eastAsiaTheme="minorEastAsia" w:hAnsi="Book Antiqua" w:cstheme="minorBidi"/>
          <w:sz w:val="22"/>
          <w:szCs w:val="22"/>
        </w:rPr>
        <w:t xml:space="preserve">% </w:t>
      </w:r>
      <w:r w:rsidR="00183183" w:rsidRPr="00C73E9F">
        <w:rPr>
          <w:rFonts w:ascii="Book Antiqua" w:eastAsiaTheme="minorEastAsia" w:hAnsi="Book Antiqua" w:cstheme="minorBidi"/>
          <w:sz w:val="22"/>
          <w:szCs w:val="22"/>
        </w:rPr>
        <w:t>approuve</w:t>
      </w:r>
      <w:r w:rsidR="00C47C15" w:rsidRPr="00C73E9F">
        <w:rPr>
          <w:rFonts w:ascii="Book Antiqua" w:eastAsiaTheme="minorEastAsia" w:hAnsi="Book Antiqua" w:cstheme="minorBidi"/>
          <w:sz w:val="22"/>
          <w:szCs w:val="22"/>
        </w:rPr>
        <w:t xml:space="preserve"> la qualité des conseils et la capacité d’écoute de leurs interlocuteurs au sein de la banque contre 35,2% qui s’estiment insatisfaits</w:t>
      </w:r>
      <w:r w:rsidR="00D40ADD" w:rsidRPr="00C73E9F">
        <w:rPr>
          <w:rFonts w:ascii="Book Antiqua" w:eastAsiaTheme="minorEastAsia" w:hAnsi="Book Antiqua" w:cstheme="minorBidi"/>
          <w:sz w:val="22"/>
          <w:szCs w:val="22"/>
        </w:rPr>
        <w:t xml:space="preserve">. </w:t>
      </w:r>
    </w:p>
    <w:p w:rsidR="002A747E" w:rsidRPr="002A747E" w:rsidRDefault="002A747E" w:rsidP="00575B92">
      <w:pPr>
        <w:pStyle w:val="Lgende"/>
        <w:keepNext/>
        <w:spacing w:before="240" w:after="240" w:line="276" w:lineRule="auto"/>
        <w:jc w:val="center"/>
        <w:rPr>
          <w:color w:val="auto"/>
        </w:rPr>
      </w:pPr>
      <w:bookmarkStart w:id="359" w:name="_Toc523313887"/>
      <w:r w:rsidRPr="002A747E">
        <w:rPr>
          <w:color w:val="auto"/>
        </w:rPr>
        <w:t xml:space="preserve">Figure </w:t>
      </w:r>
      <w:r w:rsidR="000D65F2" w:rsidRPr="002A747E">
        <w:rPr>
          <w:color w:val="auto"/>
        </w:rPr>
        <w:fldChar w:fldCharType="begin"/>
      </w:r>
      <w:r w:rsidRPr="002A747E">
        <w:rPr>
          <w:color w:val="auto"/>
        </w:rPr>
        <w:instrText xml:space="preserve"> SEQ Figure \* ARABIC </w:instrText>
      </w:r>
      <w:r w:rsidR="000D65F2" w:rsidRPr="002A747E">
        <w:rPr>
          <w:color w:val="auto"/>
        </w:rPr>
        <w:fldChar w:fldCharType="separate"/>
      </w:r>
      <w:r w:rsidR="000F780F">
        <w:rPr>
          <w:noProof/>
          <w:color w:val="auto"/>
        </w:rPr>
        <w:t>204</w:t>
      </w:r>
      <w:r w:rsidR="000D65F2" w:rsidRPr="002A747E">
        <w:rPr>
          <w:color w:val="auto"/>
        </w:rPr>
        <w:fldChar w:fldCharType="end"/>
      </w:r>
      <w:r w:rsidRPr="002A747E">
        <w:rPr>
          <w:color w:val="auto"/>
        </w:rPr>
        <w:t xml:space="preserve"> : Opinions des personnes physiques sur la qualité des conseils et la capacité d'écoute du conseiller</w:t>
      </w:r>
      <w:bookmarkEnd w:id="359"/>
    </w:p>
    <w:p w:rsidR="00C73E9F" w:rsidRPr="0065653D" w:rsidRDefault="00E96CC0" w:rsidP="00575B92">
      <w:pPr>
        <w:keepNext/>
        <w:spacing w:before="240" w:after="240" w:line="276" w:lineRule="auto"/>
        <w:jc w:val="center"/>
        <w:rPr>
          <w:rFonts w:asciiTheme="minorHAnsi" w:eastAsiaTheme="minorEastAsia" w:hAnsiTheme="minorHAnsi" w:cstheme="minorBidi"/>
          <w:sz w:val="22"/>
          <w:szCs w:val="22"/>
        </w:rPr>
      </w:pPr>
      <w:r w:rsidRPr="00E96CC0">
        <w:rPr>
          <w:rFonts w:ascii="Book Antiqua" w:eastAsiaTheme="minorEastAsia" w:hAnsi="Book Antiqua" w:cstheme="minorBidi"/>
          <w:noProof/>
        </w:rPr>
        <w:drawing>
          <wp:inline distT="0" distB="0" distL="0" distR="0">
            <wp:extent cx="4448009" cy="2178657"/>
            <wp:effectExtent l="19050" t="0" r="9691" b="0"/>
            <wp:docPr id="165" name="Graphique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622641" w:rsidRPr="002A747E" w:rsidRDefault="009B323D" w:rsidP="00575B92">
      <w:pPr>
        <w:spacing w:before="240" w:after="240" w:line="276" w:lineRule="auto"/>
        <w:jc w:val="both"/>
        <w:rPr>
          <w:rFonts w:ascii="Book Antiqua" w:eastAsiaTheme="minorEastAsia" w:hAnsi="Book Antiqua" w:cstheme="minorBidi"/>
          <w:sz w:val="22"/>
          <w:szCs w:val="22"/>
        </w:rPr>
      </w:pPr>
      <w:r w:rsidRPr="00C73E9F">
        <w:rPr>
          <w:rFonts w:ascii="Book Antiqua" w:eastAsiaTheme="minorEastAsia" w:hAnsi="Book Antiqua" w:cstheme="minorBidi"/>
          <w:sz w:val="22"/>
          <w:szCs w:val="22"/>
        </w:rPr>
        <w:t xml:space="preserve">A l’examen des statistiques recueillies sur l’appréciation de </w:t>
      </w:r>
      <w:r w:rsidR="00D40ADD" w:rsidRPr="00C73E9F">
        <w:rPr>
          <w:rFonts w:ascii="Book Antiqua" w:eastAsiaTheme="minorEastAsia" w:hAnsi="Book Antiqua" w:cstheme="minorBidi"/>
          <w:sz w:val="22"/>
          <w:szCs w:val="22"/>
        </w:rPr>
        <w:t xml:space="preserve"> qualité des conseils et la capacité d’écoute du conseiller </w:t>
      </w:r>
      <w:r w:rsidRPr="00C73E9F">
        <w:rPr>
          <w:rFonts w:ascii="Book Antiqua" w:eastAsiaTheme="minorEastAsia" w:hAnsi="Book Antiqua" w:cstheme="minorBidi"/>
          <w:sz w:val="22"/>
          <w:szCs w:val="22"/>
        </w:rPr>
        <w:t>selon la répartition géographique des enquêtés</w:t>
      </w:r>
      <w:r w:rsidR="00D40ADD" w:rsidRPr="00C73E9F">
        <w:rPr>
          <w:rFonts w:ascii="Book Antiqua" w:eastAsiaTheme="minorEastAsia" w:hAnsi="Book Antiqua" w:cstheme="minorBidi"/>
          <w:sz w:val="22"/>
          <w:szCs w:val="22"/>
        </w:rPr>
        <w:t xml:space="preserve">, </w:t>
      </w:r>
      <w:r w:rsidRPr="00C73E9F">
        <w:rPr>
          <w:rFonts w:ascii="Book Antiqua" w:eastAsiaTheme="minorEastAsia" w:hAnsi="Book Antiqua" w:cstheme="minorBidi"/>
          <w:sz w:val="22"/>
          <w:szCs w:val="22"/>
        </w:rPr>
        <w:t xml:space="preserve">il est apparu que les </w:t>
      </w:r>
      <w:r w:rsidR="00D40ADD" w:rsidRPr="00C73E9F">
        <w:rPr>
          <w:rFonts w:ascii="Book Antiqua" w:eastAsiaTheme="minorEastAsia" w:hAnsi="Book Antiqua" w:cstheme="minorBidi"/>
          <w:sz w:val="22"/>
          <w:szCs w:val="22"/>
        </w:rPr>
        <w:t xml:space="preserve">avis </w:t>
      </w:r>
      <w:r w:rsidRPr="00C73E9F">
        <w:rPr>
          <w:rFonts w:ascii="Book Antiqua" w:eastAsiaTheme="minorEastAsia" w:hAnsi="Book Antiqua" w:cstheme="minorBidi"/>
          <w:sz w:val="22"/>
          <w:szCs w:val="22"/>
        </w:rPr>
        <w:t xml:space="preserve">les plus </w:t>
      </w:r>
      <w:r w:rsidR="00D40ADD" w:rsidRPr="00C73E9F">
        <w:rPr>
          <w:rFonts w:ascii="Book Antiqua" w:eastAsiaTheme="minorEastAsia" w:hAnsi="Book Antiqua" w:cstheme="minorBidi"/>
          <w:sz w:val="22"/>
          <w:szCs w:val="22"/>
        </w:rPr>
        <w:t xml:space="preserve">défavorables </w:t>
      </w:r>
      <w:r w:rsidRPr="00C73E9F">
        <w:rPr>
          <w:rFonts w:ascii="Book Antiqua" w:eastAsiaTheme="minorEastAsia" w:hAnsi="Book Antiqua" w:cstheme="minorBidi"/>
          <w:sz w:val="22"/>
          <w:szCs w:val="22"/>
        </w:rPr>
        <w:t xml:space="preserve">sont enregistrés </w:t>
      </w:r>
      <w:r w:rsidR="00D40ADD" w:rsidRPr="00C73E9F">
        <w:rPr>
          <w:rFonts w:ascii="Book Antiqua" w:eastAsiaTheme="minorEastAsia" w:hAnsi="Book Antiqua" w:cstheme="minorBidi"/>
          <w:sz w:val="22"/>
          <w:szCs w:val="22"/>
        </w:rPr>
        <w:t xml:space="preserve"> dans les régions de </w:t>
      </w:r>
      <w:r w:rsidRPr="00C73E9F">
        <w:rPr>
          <w:rFonts w:ascii="Book Antiqua" w:eastAsiaTheme="minorEastAsia" w:hAnsi="Book Antiqua" w:cstheme="minorBidi"/>
          <w:sz w:val="22"/>
          <w:szCs w:val="22"/>
        </w:rPr>
        <w:t xml:space="preserve">Ziguinchor (62,0%), </w:t>
      </w:r>
      <w:proofErr w:type="spellStart"/>
      <w:r w:rsidR="00DD420F" w:rsidRPr="00C73E9F">
        <w:rPr>
          <w:rFonts w:ascii="Book Antiqua" w:eastAsiaTheme="minorEastAsia" w:hAnsi="Book Antiqua" w:cstheme="minorBidi"/>
          <w:sz w:val="22"/>
          <w:szCs w:val="22"/>
        </w:rPr>
        <w:t>Sédhiou</w:t>
      </w:r>
      <w:proofErr w:type="spellEnd"/>
      <w:r w:rsidR="0065653D">
        <w:rPr>
          <w:rFonts w:ascii="Book Antiqua" w:eastAsiaTheme="minorEastAsia" w:hAnsi="Book Antiqua" w:cstheme="minorBidi"/>
          <w:sz w:val="22"/>
          <w:szCs w:val="22"/>
        </w:rPr>
        <w:t xml:space="preserve"> </w:t>
      </w:r>
      <w:r w:rsidRPr="00C73E9F">
        <w:rPr>
          <w:rFonts w:ascii="Book Antiqua" w:eastAsiaTheme="minorEastAsia" w:hAnsi="Book Antiqua" w:cstheme="minorBidi"/>
          <w:sz w:val="22"/>
          <w:szCs w:val="22"/>
        </w:rPr>
        <w:t xml:space="preserve">(61,1%) et </w:t>
      </w:r>
      <w:proofErr w:type="spellStart"/>
      <w:r w:rsidR="00D40ADD" w:rsidRPr="00C73E9F">
        <w:rPr>
          <w:rFonts w:ascii="Book Antiqua" w:eastAsiaTheme="minorEastAsia" w:hAnsi="Book Antiqua" w:cstheme="minorBidi"/>
          <w:sz w:val="22"/>
          <w:szCs w:val="22"/>
        </w:rPr>
        <w:t>Kaffrine</w:t>
      </w:r>
      <w:proofErr w:type="spellEnd"/>
      <w:r w:rsidR="00D40ADD" w:rsidRPr="00C73E9F">
        <w:rPr>
          <w:rFonts w:ascii="Book Antiqua" w:eastAsiaTheme="minorEastAsia" w:hAnsi="Book Antiqua" w:cstheme="minorBidi"/>
          <w:sz w:val="22"/>
          <w:szCs w:val="22"/>
        </w:rPr>
        <w:t xml:space="preserve"> (</w:t>
      </w:r>
      <w:r w:rsidRPr="00C73E9F">
        <w:rPr>
          <w:rFonts w:ascii="Book Antiqua" w:eastAsiaTheme="minorEastAsia" w:hAnsi="Book Antiqua" w:cstheme="minorBidi"/>
          <w:sz w:val="22"/>
          <w:szCs w:val="22"/>
        </w:rPr>
        <w:t>56,5</w:t>
      </w:r>
      <w:r w:rsidR="00D40ADD" w:rsidRPr="00C73E9F">
        <w:rPr>
          <w:rFonts w:ascii="Book Antiqua" w:eastAsiaTheme="minorEastAsia" w:hAnsi="Book Antiqua" w:cstheme="minorBidi"/>
          <w:sz w:val="22"/>
          <w:szCs w:val="22"/>
        </w:rPr>
        <w:t>%)</w:t>
      </w:r>
      <w:r w:rsidR="00DD420F" w:rsidRPr="00C73E9F">
        <w:rPr>
          <w:rFonts w:ascii="Book Antiqua" w:eastAsiaTheme="minorEastAsia" w:hAnsi="Book Antiqua" w:cstheme="minorBidi"/>
          <w:sz w:val="22"/>
          <w:szCs w:val="22"/>
        </w:rPr>
        <w:t>.</w:t>
      </w:r>
    </w:p>
    <w:p w:rsidR="002A747E" w:rsidRPr="002A747E" w:rsidRDefault="002A747E" w:rsidP="00575B92">
      <w:pPr>
        <w:pStyle w:val="Lgende"/>
        <w:keepNext/>
        <w:spacing w:before="240" w:after="240" w:line="276" w:lineRule="auto"/>
        <w:jc w:val="center"/>
        <w:rPr>
          <w:color w:val="auto"/>
        </w:rPr>
      </w:pPr>
      <w:bookmarkStart w:id="360" w:name="_Toc523313888"/>
      <w:r w:rsidRPr="002A747E">
        <w:rPr>
          <w:color w:val="auto"/>
        </w:rPr>
        <w:t xml:space="preserve">Figure </w:t>
      </w:r>
      <w:r w:rsidR="000D65F2" w:rsidRPr="002A747E">
        <w:rPr>
          <w:color w:val="auto"/>
        </w:rPr>
        <w:fldChar w:fldCharType="begin"/>
      </w:r>
      <w:r w:rsidRPr="002A747E">
        <w:rPr>
          <w:color w:val="auto"/>
        </w:rPr>
        <w:instrText xml:space="preserve"> SEQ Figure \* ARABIC </w:instrText>
      </w:r>
      <w:r w:rsidR="000D65F2" w:rsidRPr="002A747E">
        <w:rPr>
          <w:color w:val="auto"/>
        </w:rPr>
        <w:fldChar w:fldCharType="separate"/>
      </w:r>
      <w:r w:rsidR="000F780F">
        <w:rPr>
          <w:noProof/>
          <w:color w:val="auto"/>
        </w:rPr>
        <w:t>205</w:t>
      </w:r>
      <w:r w:rsidR="000D65F2" w:rsidRPr="002A747E">
        <w:rPr>
          <w:color w:val="auto"/>
        </w:rPr>
        <w:fldChar w:fldCharType="end"/>
      </w:r>
      <w:r w:rsidRPr="002A747E">
        <w:rPr>
          <w:color w:val="auto"/>
        </w:rPr>
        <w:t xml:space="preserve"> : Opinions des personnes interrogées sur la capacité d'écoute et la qualité des conseils selon les régions</w:t>
      </w:r>
      <w:bookmarkEnd w:id="360"/>
    </w:p>
    <w:p w:rsidR="00E96CC0" w:rsidRPr="00D40ADD" w:rsidRDefault="00E96CC0" w:rsidP="00F825F6">
      <w:pPr>
        <w:spacing w:before="240" w:after="240" w:line="276" w:lineRule="auto"/>
        <w:jc w:val="center"/>
        <w:rPr>
          <w:rFonts w:ascii="Book Antiqua" w:eastAsiaTheme="minorEastAsia" w:hAnsi="Book Antiqua" w:cstheme="minorBidi"/>
        </w:rPr>
      </w:pPr>
      <w:r w:rsidRPr="00E96CC0">
        <w:rPr>
          <w:rFonts w:ascii="Book Antiqua" w:eastAsiaTheme="minorEastAsia" w:hAnsi="Book Antiqua" w:cstheme="minorBidi"/>
          <w:noProof/>
        </w:rPr>
        <w:drawing>
          <wp:inline distT="0" distB="0" distL="0" distR="0">
            <wp:extent cx="5146151" cy="2886323"/>
            <wp:effectExtent l="19050" t="0" r="16399" b="9277"/>
            <wp:docPr id="305" name="Graphique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D40ADD" w:rsidRPr="00146582" w:rsidRDefault="00D40ADD" w:rsidP="00616576">
      <w:pPr>
        <w:keepNext/>
        <w:keepLines/>
        <w:spacing w:before="360" w:after="240" w:line="276" w:lineRule="auto"/>
        <w:ind w:firstLine="567"/>
        <w:outlineLvl w:val="2"/>
        <w:rPr>
          <w:rFonts w:ascii="Book Antiqua" w:eastAsiaTheme="majorEastAsia" w:hAnsi="Book Antiqua" w:cstheme="majorBidi"/>
          <w:b/>
          <w:bCs/>
          <w:sz w:val="22"/>
          <w:szCs w:val="22"/>
        </w:rPr>
      </w:pPr>
      <w:bookmarkStart w:id="361" w:name="_Toc523322128"/>
      <w:r w:rsidRPr="00146582">
        <w:rPr>
          <w:rFonts w:ascii="Book Antiqua" w:eastAsiaTheme="majorEastAsia" w:hAnsi="Book Antiqua" w:cstheme="majorBidi"/>
          <w:b/>
          <w:bCs/>
          <w:sz w:val="22"/>
          <w:szCs w:val="22"/>
        </w:rPr>
        <w:t>V.1.3. Avis des clients sur la qualité de l’accueil du personnel de l’agence</w:t>
      </w:r>
      <w:bookmarkEnd w:id="361"/>
    </w:p>
    <w:p w:rsidR="00D40ADD" w:rsidRPr="00C73E9F" w:rsidRDefault="00D40ADD" w:rsidP="00575B92">
      <w:pPr>
        <w:spacing w:before="240" w:after="240" w:line="276" w:lineRule="auto"/>
        <w:jc w:val="both"/>
        <w:rPr>
          <w:rFonts w:ascii="Book Antiqua" w:eastAsiaTheme="minorEastAsia" w:hAnsi="Book Antiqua" w:cstheme="minorBidi"/>
          <w:sz w:val="22"/>
          <w:szCs w:val="22"/>
        </w:rPr>
      </w:pPr>
      <w:r w:rsidRPr="00C73E9F">
        <w:rPr>
          <w:rFonts w:ascii="Book Antiqua" w:eastAsiaTheme="minorEastAsia" w:hAnsi="Book Antiqua" w:cstheme="minorBidi"/>
          <w:sz w:val="22"/>
          <w:szCs w:val="22"/>
        </w:rPr>
        <w:t>L’analyse de la qualité de l’accueil réservé aux clients montre une appréciation globalement satisfaisante  de l’ordre de 88,2% chez les personnes interrogées</w:t>
      </w:r>
      <w:r w:rsidR="007A707D" w:rsidRPr="00C73E9F">
        <w:rPr>
          <w:rFonts w:ascii="Book Antiqua" w:eastAsiaTheme="minorEastAsia" w:hAnsi="Book Antiqua" w:cstheme="minorBidi"/>
          <w:sz w:val="22"/>
          <w:szCs w:val="22"/>
        </w:rPr>
        <w:t xml:space="preserve"> même</w:t>
      </w:r>
      <w:r w:rsidR="00D23310">
        <w:rPr>
          <w:rFonts w:ascii="Book Antiqua" w:eastAsiaTheme="minorEastAsia" w:hAnsi="Book Antiqua" w:cstheme="minorBidi"/>
          <w:sz w:val="22"/>
          <w:szCs w:val="22"/>
        </w:rPr>
        <w:t xml:space="preserve"> si</w:t>
      </w:r>
      <w:r w:rsidR="007A707D" w:rsidRPr="00C73E9F">
        <w:rPr>
          <w:rFonts w:ascii="Book Antiqua" w:eastAsiaTheme="minorEastAsia" w:hAnsi="Book Antiqua" w:cstheme="minorBidi"/>
          <w:sz w:val="22"/>
          <w:szCs w:val="22"/>
        </w:rPr>
        <w:t xml:space="preserve"> une proportion de 11,8% souhaiterait une amélioration de l’accueil du personnel des agences</w:t>
      </w:r>
      <w:r w:rsidR="00943977">
        <w:rPr>
          <w:rFonts w:ascii="Book Antiqua" w:eastAsiaTheme="minorEastAsia" w:hAnsi="Book Antiqua" w:cstheme="minorBidi"/>
          <w:sz w:val="22"/>
          <w:szCs w:val="22"/>
        </w:rPr>
        <w:t xml:space="preserve"> bancaires</w:t>
      </w:r>
      <w:r w:rsidRPr="00C73E9F">
        <w:rPr>
          <w:rFonts w:ascii="Book Antiqua" w:eastAsiaTheme="minorEastAsia" w:hAnsi="Book Antiqua" w:cstheme="minorBidi"/>
          <w:sz w:val="22"/>
          <w:szCs w:val="22"/>
        </w:rPr>
        <w:t xml:space="preserve">. </w:t>
      </w:r>
    </w:p>
    <w:p w:rsidR="002A747E" w:rsidRPr="002A747E" w:rsidRDefault="002A747E" w:rsidP="00575B92">
      <w:pPr>
        <w:pStyle w:val="Lgende"/>
        <w:keepNext/>
        <w:spacing w:before="240" w:after="240" w:line="276" w:lineRule="auto"/>
        <w:jc w:val="center"/>
        <w:rPr>
          <w:color w:val="auto"/>
        </w:rPr>
      </w:pPr>
      <w:bookmarkStart w:id="362" w:name="_Toc523313889"/>
      <w:r w:rsidRPr="002A747E">
        <w:rPr>
          <w:color w:val="auto"/>
        </w:rPr>
        <w:lastRenderedPageBreak/>
        <w:t xml:space="preserve">Figure </w:t>
      </w:r>
      <w:r w:rsidR="000D65F2" w:rsidRPr="002A747E">
        <w:rPr>
          <w:color w:val="auto"/>
        </w:rPr>
        <w:fldChar w:fldCharType="begin"/>
      </w:r>
      <w:r w:rsidRPr="002A747E">
        <w:rPr>
          <w:color w:val="auto"/>
        </w:rPr>
        <w:instrText xml:space="preserve"> SEQ Figure \* ARABIC </w:instrText>
      </w:r>
      <w:r w:rsidR="000D65F2" w:rsidRPr="002A747E">
        <w:rPr>
          <w:color w:val="auto"/>
        </w:rPr>
        <w:fldChar w:fldCharType="separate"/>
      </w:r>
      <w:r w:rsidR="000F780F">
        <w:rPr>
          <w:noProof/>
          <w:color w:val="auto"/>
        </w:rPr>
        <w:t>206</w:t>
      </w:r>
      <w:r w:rsidR="000D65F2" w:rsidRPr="002A747E">
        <w:rPr>
          <w:color w:val="auto"/>
        </w:rPr>
        <w:fldChar w:fldCharType="end"/>
      </w:r>
      <w:r w:rsidRPr="002A747E">
        <w:rPr>
          <w:color w:val="auto"/>
        </w:rPr>
        <w:t xml:space="preserve"> : Avis des clients sur la qualité de l'accueil du personnel de l'agence bancaire</w:t>
      </w:r>
      <w:bookmarkEnd w:id="362"/>
    </w:p>
    <w:p w:rsidR="00EF005B" w:rsidRPr="0065653D" w:rsidRDefault="00D40ADD" w:rsidP="00575B92">
      <w:pPr>
        <w:keepNext/>
        <w:spacing w:before="240" w:after="24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noProof/>
        </w:rPr>
        <w:drawing>
          <wp:inline distT="0" distB="0" distL="0" distR="0">
            <wp:extent cx="4572000" cy="2568271"/>
            <wp:effectExtent l="19050" t="0" r="19050" b="3479"/>
            <wp:docPr id="35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17279E" w:rsidRPr="00C73E9F" w:rsidRDefault="002936AB" w:rsidP="00575B92">
      <w:pPr>
        <w:spacing w:before="240" w:after="240" w:line="276" w:lineRule="auto"/>
        <w:jc w:val="both"/>
        <w:rPr>
          <w:rFonts w:ascii="Book Antiqua" w:eastAsiaTheme="minorEastAsia" w:hAnsi="Book Antiqua" w:cstheme="minorBidi"/>
          <w:sz w:val="22"/>
          <w:szCs w:val="22"/>
        </w:rPr>
      </w:pPr>
      <w:r w:rsidRPr="00C73E9F">
        <w:rPr>
          <w:rFonts w:ascii="Book Antiqua" w:eastAsiaTheme="minorEastAsia" w:hAnsi="Book Antiqua" w:cstheme="minorBidi"/>
          <w:sz w:val="22"/>
          <w:szCs w:val="22"/>
        </w:rPr>
        <w:t xml:space="preserve">La </w:t>
      </w:r>
      <w:r w:rsidR="00D40ADD" w:rsidRPr="00C73E9F">
        <w:rPr>
          <w:rFonts w:ascii="Book Antiqua" w:eastAsiaTheme="minorEastAsia" w:hAnsi="Book Antiqua" w:cstheme="minorBidi"/>
          <w:sz w:val="22"/>
          <w:szCs w:val="22"/>
        </w:rPr>
        <w:t>qualité de l’accueil du personnel de</w:t>
      </w:r>
      <w:r w:rsidRPr="00C73E9F">
        <w:rPr>
          <w:rFonts w:ascii="Book Antiqua" w:eastAsiaTheme="minorEastAsia" w:hAnsi="Book Antiqua" w:cstheme="minorBidi"/>
          <w:sz w:val="22"/>
          <w:szCs w:val="22"/>
        </w:rPr>
        <w:t>s</w:t>
      </w:r>
      <w:r w:rsidR="0065653D">
        <w:rPr>
          <w:rFonts w:ascii="Book Antiqua" w:eastAsiaTheme="minorEastAsia" w:hAnsi="Book Antiqua" w:cstheme="minorBidi"/>
          <w:sz w:val="22"/>
          <w:szCs w:val="22"/>
        </w:rPr>
        <w:t xml:space="preserve"> </w:t>
      </w:r>
      <w:r w:rsidR="00D40ADD" w:rsidRPr="00C73E9F">
        <w:rPr>
          <w:rFonts w:ascii="Book Antiqua" w:eastAsiaTheme="minorEastAsia" w:hAnsi="Book Antiqua" w:cstheme="minorBidi"/>
          <w:sz w:val="22"/>
          <w:szCs w:val="22"/>
        </w:rPr>
        <w:t>agence</w:t>
      </w:r>
      <w:r w:rsidRPr="00C73E9F">
        <w:rPr>
          <w:rFonts w:ascii="Book Antiqua" w:eastAsiaTheme="minorEastAsia" w:hAnsi="Book Antiqua" w:cstheme="minorBidi"/>
          <w:sz w:val="22"/>
          <w:szCs w:val="22"/>
        </w:rPr>
        <w:t>s bancaires</w:t>
      </w:r>
      <w:r w:rsidR="0065653D">
        <w:rPr>
          <w:rFonts w:ascii="Book Antiqua" w:eastAsiaTheme="minorEastAsia" w:hAnsi="Book Antiqua" w:cstheme="minorBidi"/>
          <w:sz w:val="22"/>
          <w:szCs w:val="22"/>
        </w:rPr>
        <w:t xml:space="preserve"> </w:t>
      </w:r>
      <w:r w:rsidRPr="00C73E9F">
        <w:rPr>
          <w:rFonts w:ascii="Book Antiqua" w:eastAsiaTheme="minorEastAsia" w:hAnsi="Book Antiqua" w:cstheme="minorBidi"/>
          <w:sz w:val="22"/>
          <w:szCs w:val="22"/>
        </w:rPr>
        <w:t xml:space="preserve">est </w:t>
      </w:r>
      <w:r w:rsidR="00D0559A" w:rsidRPr="00C73E9F">
        <w:rPr>
          <w:rFonts w:ascii="Book Antiqua" w:eastAsiaTheme="minorEastAsia" w:hAnsi="Book Antiqua" w:cstheme="minorBidi"/>
          <w:sz w:val="22"/>
          <w:szCs w:val="22"/>
        </w:rPr>
        <w:t xml:space="preserve">différemment </w:t>
      </w:r>
      <w:r w:rsidRPr="00C73E9F">
        <w:rPr>
          <w:rFonts w:ascii="Book Antiqua" w:eastAsiaTheme="minorEastAsia" w:hAnsi="Book Antiqua" w:cstheme="minorBidi"/>
          <w:sz w:val="22"/>
          <w:szCs w:val="22"/>
        </w:rPr>
        <w:t xml:space="preserve">appréciée </w:t>
      </w:r>
      <w:r w:rsidR="00D40ADD" w:rsidRPr="00C73E9F">
        <w:rPr>
          <w:rFonts w:ascii="Book Antiqua" w:eastAsiaTheme="minorEastAsia" w:hAnsi="Book Antiqua" w:cstheme="minorBidi"/>
          <w:sz w:val="22"/>
          <w:szCs w:val="22"/>
        </w:rPr>
        <w:t>suivant les régions</w:t>
      </w:r>
      <w:r w:rsidRPr="00C73E9F">
        <w:rPr>
          <w:rFonts w:ascii="Book Antiqua" w:eastAsiaTheme="minorEastAsia" w:hAnsi="Book Antiqua" w:cstheme="minorBidi"/>
          <w:sz w:val="22"/>
          <w:szCs w:val="22"/>
        </w:rPr>
        <w:t>.</w:t>
      </w:r>
      <w:r w:rsidR="0065653D">
        <w:rPr>
          <w:rFonts w:ascii="Book Antiqua" w:eastAsiaTheme="minorEastAsia" w:hAnsi="Book Antiqua" w:cstheme="minorBidi"/>
          <w:sz w:val="22"/>
          <w:szCs w:val="22"/>
        </w:rPr>
        <w:t xml:space="preserve"> </w:t>
      </w:r>
      <w:r w:rsidRPr="00C73E9F">
        <w:rPr>
          <w:rFonts w:ascii="Book Antiqua" w:eastAsiaTheme="minorEastAsia" w:hAnsi="Book Antiqua" w:cstheme="minorBidi"/>
          <w:sz w:val="22"/>
          <w:szCs w:val="22"/>
        </w:rPr>
        <w:t xml:space="preserve">Il ressort que </w:t>
      </w:r>
      <w:r w:rsidR="00D40ADD" w:rsidRPr="00C73E9F">
        <w:rPr>
          <w:rFonts w:ascii="Book Antiqua" w:eastAsiaTheme="minorEastAsia" w:hAnsi="Book Antiqua" w:cstheme="minorBidi"/>
          <w:sz w:val="22"/>
          <w:szCs w:val="22"/>
        </w:rPr>
        <w:t xml:space="preserve"> le niveau de satisfaction exprimé </w:t>
      </w:r>
      <w:r w:rsidRPr="00C73E9F">
        <w:rPr>
          <w:rFonts w:ascii="Book Antiqua" w:eastAsiaTheme="minorEastAsia" w:hAnsi="Book Antiqua" w:cstheme="minorBidi"/>
          <w:sz w:val="22"/>
          <w:szCs w:val="22"/>
        </w:rPr>
        <w:t xml:space="preserve">par les clients « personnes physiques » enquêtées </w:t>
      </w:r>
      <w:r w:rsidR="00D40ADD" w:rsidRPr="00C73E9F">
        <w:rPr>
          <w:rFonts w:ascii="Book Antiqua" w:eastAsiaTheme="minorEastAsia" w:hAnsi="Book Antiqua" w:cstheme="minorBidi"/>
          <w:sz w:val="22"/>
          <w:szCs w:val="22"/>
        </w:rPr>
        <w:t>dépasse 75</w:t>
      </w:r>
      <w:r w:rsidRPr="00C73E9F">
        <w:rPr>
          <w:rFonts w:ascii="Book Antiqua" w:eastAsiaTheme="minorEastAsia" w:hAnsi="Book Antiqua" w:cstheme="minorBidi"/>
          <w:sz w:val="22"/>
          <w:szCs w:val="22"/>
        </w:rPr>
        <w:t>,0</w:t>
      </w:r>
      <w:r w:rsidR="00D40ADD" w:rsidRPr="00C73E9F">
        <w:rPr>
          <w:rFonts w:ascii="Book Antiqua" w:eastAsiaTheme="minorEastAsia" w:hAnsi="Book Antiqua" w:cstheme="minorBidi"/>
          <w:sz w:val="22"/>
          <w:szCs w:val="22"/>
        </w:rPr>
        <w:t xml:space="preserve">% dans toutes les localités </w:t>
      </w:r>
      <w:r w:rsidRPr="00C73E9F">
        <w:rPr>
          <w:rFonts w:ascii="Book Antiqua" w:eastAsiaTheme="minorEastAsia" w:hAnsi="Book Antiqua" w:cstheme="minorBidi"/>
          <w:sz w:val="22"/>
          <w:szCs w:val="22"/>
        </w:rPr>
        <w:t xml:space="preserve">avec toutefois des niches d’insatisfaction observées à </w:t>
      </w:r>
      <w:proofErr w:type="spellStart"/>
      <w:r w:rsidRPr="00C73E9F">
        <w:rPr>
          <w:rFonts w:ascii="Book Antiqua" w:eastAsiaTheme="minorEastAsia" w:hAnsi="Book Antiqua" w:cstheme="minorBidi"/>
          <w:sz w:val="22"/>
          <w:szCs w:val="22"/>
        </w:rPr>
        <w:t>Kaffrine</w:t>
      </w:r>
      <w:proofErr w:type="spellEnd"/>
      <w:r w:rsidRPr="00C73E9F">
        <w:rPr>
          <w:rFonts w:ascii="Book Antiqua" w:eastAsiaTheme="minorEastAsia" w:hAnsi="Book Antiqua" w:cstheme="minorBidi"/>
          <w:sz w:val="22"/>
          <w:szCs w:val="22"/>
        </w:rPr>
        <w:t xml:space="preserve"> (24,7%), Matam (21,0%) </w:t>
      </w:r>
      <w:r w:rsidR="00D40ADD" w:rsidRPr="00C73E9F">
        <w:rPr>
          <w:rFonts w:ascii="Book Antiqua" w:eastAsiaTheme="minorEastAsia" w:hAnsi="Book Antiqua" w:cstheme="minorBidi"/>
          <w:sz w:val="22"/>
          <w:szCs w:val="22"/>
        </w:rPr>
        <w:t xml:space="preserve">et </w:t>
      </w:r>
      <w:r w:rsidRPr="00C73E9F">
        <w:rPr>
          <w:rFonts w:ascii="Book Antiqua" w:eastAsiaTheme="minorEastAsia" w:hAnsi="Book Antiqua" w:cstheme="minorBidi"/>
          <w:sz w:val="22"/>
          <w:szCs w:val="22"/>
        </w:rPr>
        <w:t>Kaolack (19.1%).</w:t>
      </w:r>
    </w:p>
    <w:p w:rsidR="00AD126E" w:rsidRPr="00AD126E" w:rsidRDefault="00AD126E" w:rsidP="00575B92">
      <w:pPr>
        <w:pStyle w:val="Lgende"/>
        <w:keepNext/>
        <w:spacing w:before="240" w:after="240" w:line="276" w:lineRule="auto"/>
        <w:jc w:val="center"/>
        <w:rPr>
          <w:color w:val="auto"/>
        </w:rPr>
      </w:pPr>
      <w:bookmarkStart w:id="363" w:name="_Toc523313890"/>
      <w:r w:rsidRPr="00AD126E">
        <w:rPr>
          <w:color w:val="auto"/>
        </w:rPr>
        <w:t xml:space="preserve">Figure </w:t>
      </w:r>
      <w:r w:rsidR="000D65F2" w:rsidRPr="00AD126E">
        <w:rPr>
          <w:color w:val="auto"/>
        </w:rPr>
        <w:fldChar w:fldCharType="begin"/>
      </w:r>
      <w:r w:rsidRPr="00AD126E">
        <w:rPr>
          <w:color w:val="auto"/>
        </w:rPr>
        <w:instrText xml:space="preserve"> SEQ Figure \* ARABIC </w:instrText>
      </w:r>
      <w:r w:rsidR="000D65F2" w:rsidRPr="00AD126E">
        <w:rPr>
          <w:color w:val="auto"/>
        </w:rPr>
        <w:fldChar w:fldCharType="separate"/>
      </w:r>
      <w:r w:rsidR="000F780F">
        <w:rPr>
          <w:noProof/>
          <w:color w:val="auto"/>
        </w:rPr>
        <w:t>207</w:t>
      </w:r>
      <w:r w:rsidR="000D65F2" w:rsidRPr="00AD126E">
        <w:rPr>
          <w:color w:val="auto"/>
        </w:rPr>
        <w:fldChar w:fldCharType="end"/>
      </w:r>
      <w:r w:rsidRPr="00AD126E">
        <w:rPr>
          <w:color w:val="auto"/>
        </w:rPr>
        <w:t xml:space="preserve"> : Opinions des personnes physiques enquêtées sur le personnel d'accueil de l'agence de la banque</w:t>
      </w:r>
      <w:bookmarkEnd w:id="363"/>
    </w:p>
    <w:p w:rsidR="00E400B1" w:rsidRPr="00616576" w:rsidRDefault="00D40ADD" w:rsidP="00616576">
      <w:pPr>
        <w:keepNext/>
        <w:spacing w:before="240" w:after="24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noProof/>
        </w:rPr>
        <w:drawing>
          <wp:inline distT="0" distB="0" distL="0" distR="0">
            <wp:extent cx="4575562" cy="2663686"/>
            <wp:effectExtent l="19050" t="0" r="15488" b="3314"/>
            <wp:docPr id="35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D40ADD" w:rsidRPr="00616576" w:rsidRDefault="00D40ADD" w:rsidP="00616576">
      <w:pPr>
        <w:keepNext/>
        <w:keepLines/>
        <w:spacing w:before="360" w:after="240" w:line="276" w:lineRule="auto"/>
        <w:ind w:firstLine="567"/>
        <w:outlineLvl w:val="2"/>
        <w:rPr>
          <w:rFonts w:ascii="Book Antiqua" w:eastAsiaTheme="majorEastAsia" w:hAnsi="Book Antiqua" w:cstheme="majorBidi"/>
          <w:b/>
          <w:bCs/>
          <w:sz w:val="22"/>
          <w:szCs w:val="22"/>
        </w:rPr>
      </w:pPr>
      <w:bookmarkStart w:id="364" w:name="_Toc523322129"/>
      <w:r w:rsidRPr="00616576">
        <w:rPr>
          <w:rFonts w:ascii="Book Antiqua" w:eastAsiaTheme="majorEastAsia" w:hAnsi="Book Antiqua" w:cstheme="majorBidi"/>
          <w:b/>
          <w:bCs/>
          <w:sz w:val="22"/>
          <w:szCs w:val="22"/>
        </w:rPr>
        <w:t>V.1.4. Qualité de la gestion du compte</w:t>
      </w:r>
      <w:bookmarkEnd w:id="364"/>
    </w:p>
    <w:p w:rsidR="004379B1" w:rsidRPr="004379B1" w:rsidRDefault="000D66BB" w:rsidP="00575B92">
      <w:pPr>
        <w:spacing w:before="240" w:after="240" w:line="276" w:lineRule="auto"/>
        <w:jc w:val="both"/>
        <w:rPr>
          <w:rFonts w:ascii="Book Antiqua" w:eastAsiaTheme="minorEastAsia" w:hAnsi="Book Antiqua" w:cstheme="minorBidi"/>
          <w:sz w:val="22"/>
          <w:szCs w:val="22"/>
        </w:rPr>
      </w:pPr>
      <w:r w:rsidRPr="004379B1">
        <w:rPr>
          <w:rFonts w:ascii="Book Antiqua" w:eastAsiaTheme="minorEastAsia" w:hAnsi="Book Antiqua" w:cstheme="minorBidi"/>
          <w:sz w:val="22"/>
          <w:szCs w:val="22"/>
        </w:rPr>
        <w:t xml:space="preserve">La majorité des clients « personnes physiques » interrogées </w:t>
      </w:r>
      <w:r w:rsidR="00D40ADD" w:rsidRPr="004379B1">
        <w:rPr>
          <w:rFonts w:ascii="Book Antiqua" w:eastAsiaTheme="minorEastAsia" w:hAnsi="Book Antiqua" w:cstheme="minorBidi"/>
          <w:sz w:val="22"/>
          <w:szCs w:val="22"/>
        </w:rPr>
        <w:t xml:space="preserve">(56,5%%) estiment  que leur compte est géré au mieux de leurs intérêts. Cette perception positive est cependant </w:t>
      </w:r>
      <w:r w:rsidRPr="004379B1">
        <w:rPr>
          <w:rFonts w:ascii="Book Antiqua" w:eastAsiaTheme="minorEastAsia" w:hAnsi="Book Antiqua" w:cstheme="minorBidi"/>
          <w:sz w:val="22"/>
          <w:szCs w:val="22"/>
        </w:rPr>
        <w:t>atténuée</w:t>
      </w:r>
      <w:r w:rsidR="004379B1" w:rsidRPr="004379B1">
        <w:rPr>
          <w:rFonts w:ascii="Book Antiqua" w:eastAsiaTheme="minorEastAsia" w:hAnsi="Book Antiqua" w:cstheme="minorBidi"/>
          <w:sz w:val="22"/>
          <w:szCs w:val="22"/>
        </w:rPr>
        <w:t xml:space="preserve"> </w:t>
      </w:r>
      <w:r w:rsidR="00D40ADD" w:rsidRPr="004379B1">
        <w:rPr>
          <w:rFonts w:ascii="Book Antiqua" w:eastAsiaTheme="minorEastAsia" w:hAnsi="Book Antiqua" w:cstheme="minorBidi"/>
          <w:sz w:val="22"/>
          <w:szCs w:val="22"/>
        </w:rPr>
        <w:t xml:space="preserve">par le sentiment d’insatisfaction </w:t>
      </w:r>
      <w:r w:rsidRPr="004379B1">
        <w:rPr>
          <w:rFonts w:ascii="Book Antiqua" w:eastAsiaTheme="minorEastAsia" w:hAnsi="Book Antiqua" w:cstheme="minorBidi"/>
          <w:sz w:val="22"/>
          <w:szCs w:val="22"/>
        </w:rPr>
        <w:t xml:space="preserve">relativement élevé </w:t>
      </w:r>
      <w:r w:rsidR="00D40ADD" w:rsidRPr="004379B1">
        <w:rPr>
          <w:rFonts w:ascii="Book Antiqua" w:eastAsiaTheme="minorEastAsia" w:hAnsi="Book Antiqua" w:cstheme="minorBidi"/>
          <w:sz w:val="22"/>
          <w:szCs w:val="22"/>
        </w:rPr>
        <w:t xml:space="preserve">exprimé par  43,5% des enquêtés qui pensent que la gestion de leur compte </w:t>
      </w:r>
      <w:r w:rsidRPr="004379B1">
        <w:rPr>
          <w:rFonts w:ascii="Book Antiqua" w:eastAsiaTheme="minorEastAsia" w:hAnsi="Book Antiqua" w:cstheme="minorBidi"/>
          <w:sz w:val="22"/>
          <w:szCs w:val="22"/>
        </w:rPr>
        <w:t xml:space="preserve">par leur banque </w:t>
      </w:r>
      <w:r w:rsidR="00D40ADD" w:rsidRPr="004379B1">
        <w:rPr>
          <w:rFonts w:ascii="Book Antiqua" w:eastAsiaTheme="minorEastAsia" w:hAnsi="Book Antiqua" w:cstheme="minorBidi"/>
          <w:sz w:val="22"/>
          <w:szCs w:val="22"/>
        </w:rPr>
        <w:t xml:space="preserve">ne répond pas à leurs attentes. </w:t>
      </w:r>
    </w:p>
    <w:p w:rsidR="00AD126E" w:rsidRPr="00AD126E" w:rsidRDefault="00AD126E" w:rsidP="00575B92">
      <w:pPr>
        <w:pStyle w:val="Lgende"/>
        <w:keepNext/>
        <w:spacing w:before="240" w:after="240" w:line="276" w:lineRule="auto"/>
        <w:jc w:val="center"/>
        <w:rPr>
          <w:color w:val="auto"/>
        </w:rPr>
      </w:pPr>
      <w:bookmarkStart w:id="365" w:name="_Toc523313891"/>
      <w:r w:rsidRPr="00AD126E">
        <w:rPr>
          <w:color w:val="auto"/>
        </w:rPr>
        <w:lastRenderedPageBreak/>
        <w:t xml:space="preserve">Figure </w:t>
      </w:r>
      <w:r w:rsidR="000D65F2" w:rsidRPr="00AD126E">
        <w:rPr>
          <w:color w:val="auto"/>
        </w:rPr>
        <w:fldChar w:fldCharType="begin"/>
      </w:r>
      <w:r w:rsidRPr="00AD126E">
        <w:rPr>
          <w:color w:val="auto"/>
        </w:rPr>
        <w:instrText xml:space="preserve"> SEQ Figure \* ARABIC </w:instrText>
      </w:r>
      <w:r w:rsidR="000D65F2" w:rsidRPr="00AD126E">
        <w:rPr>
          <w:color w:val="auto"/>
        </w:rPr>
        <w:fldChar w:fldCharType="separate"/>
      </w:r>
      <w:r w:rsidR="000F780F">
        <w:rPr>
          <w:noProof/>
          <w:color w:val="auto"/>
        </w:rPr>
        <w:t>208</w:t>
      </w:r>
      <w:r w:rsidR="000D65F2" w:rsidRPr="00AD126E">
        <w:rPr>
          <w:color w:val="auto"/>
        </w:rPr>
        <w:fldChar w:fldCharType="end"/>
      </w:r>
      <w:r w:rsidRPr="00AD126E">
        <w:rPr>
          <w:color w:val="auto"/>
        </w:rPr>
        <w:t xml:space="preserve"> : Opinions des personnes enquêtées sur la qualité de la gestion de leur compte</w:t>
      </w:r>
      <w:bookmarkEnd w:id="365"/>
    </w:p>
    <w:p w:rsidR="0017279E" w:rsidRPr="004379B1" w:rsidRDefault="00D40ADD" w:rsidP="00575B92">
      <w:pPr>
        <w:keepNext/>
        <w:spacing w:before="240" w:after="24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noProof/>
        </w:rPr>
        <w:drawing>
          <wp:inline distT="0" distB="0" distL="0" distR="0">
            <wp:extent cx="4575562" cy="2305878"/>
            <wp:effectExtent l="19050" t="0" r="15488" b="0"/>
            <wp:docPr id="361"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17279E" w:rsidRPr="00EF005B" w:rsidRDefault="00B71976" w:rsidP="00575B92">
      <w:pPr>
        <w:spacing w:before="240" w:after="240" w:line="276" w:lineRule="auto"/>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 xml:space="preserve">La perception négative sur la qualité de la gestion du compte </w:t>
      </w:r>
      <w:r w:rsidR="00D40ADD" w:rsidRPr="00EF005B">
        <w:rPr>
          <w:rFonts w:ascii="Book Antiqua" w:eastAsiaTheme="minorEastAsia" w:hAnsi="Book Antiqua" w:cstheme="minorBidi"/>
          <w:sz w:val="22"/>
          <w:szCs w:val="22"/>
        </w:rPr>
        <w:t>chez les personnes physiques interrogé</w:t>
      </w:r>
      <w:r w:rsidR="0093545C" w:rsidRPr="00EF005B">
        <w:rPr>
          <w:rFonts w:ascii="Book Antiqua" w:eastAsiaTheme="minorEastAsia" w:hAnsi="Book Antiqua" w:cstheme="minorBidi"/>
          <w:sz w:val="22"/>
          <w:szCs w:val="22"/>
        </w:rPr>
        <w:t>e</w:t>
      </w:r>
      <w:r w:rsidR="00D40ADD" w:rsidRPr="00EF005B">
        <w:rPr>
          <w:rFonts w:ascii="Book Antiqua" w:eastAsiaTheme="minorEastAsia" w:hAnsi="Book Antiqua" w:cstheme="minorBidi"/>
          <w:sz w:val="22"/>
          <w:szCs w:val="22"/>
        </w:rPr>
        <w:t xml:space="preserve">s révèle </w:t>
      </w:r>
      <w:r w:rsidR="00E2441A" w:rsidRPr="00EF005B">
        <w:rPr>
          <w:rFonts w:ascii="Book Antiqua" w:eastAsiaTheme="minorEastAsia" w:hAnsi="Book Antiqua" w:cstheme="minorBidi"/>
          <w:sz w:val="22"/>
          <w:szCs w:val="22"/>
        </w:rPr>
        <w:t xml:space="preserve">des taux s’insatisfaction relativement élevés, notamment dans les localités   de </w:t>
      </w:r>
      <w:proofErr w:type="spellStart"/>
      <w:r w:rsidR="00E2441A" w:rsidRPr="00EF005B">
        <w:rPr>
          <w:rFonts w:ascii="Book Antiqua" w:eastAsiaTheme="minorEastAsia" w:hAnsi="Book Antiqua" w:cstheme="minorBidi"/>
          <w:sz w:val="22"/>
          <w:szCs w:val="22"/>
        </w:rPr>
        <w:t>Kaffrine</w:t>
      </w:r>
      <w:proofErr w:type="spellEnd"/>
      <w:r w:rsidR="00E2441A" w:rsidRPr="00EF005B">
        <w:rPr>
          <w:rFonts w:ascii="Book Antiqua" w:eastAsiaTheme="minorEastAsia" w:hAnsi="Book Antiqua" w:cstheme="minorBidi"/>
          <w:sz w:val="22"/>
          <w:szCs w:val="22"/>
        </w:rPr>
        <w:t xml:space="preserve"> (66,2%), Diourbel (61,5%) et Kaolack (59,6%)</w:t>
      </w:r>
      <w:r w:rsidR="00E400B1" w:rsidRPr="00EF005B">
        <w:rPr>
          <w:rFonts w:ascii="Book Antiqua" w:eastAsiaTheme="minorEastAsia" w:hAnsi="Book Antiqua" w:cstheme="minorBidi"/>
          <w:sz w:val="22"/>
          <w:szCs w:val="22"/>
        </w:rPr>
        <w:t>.</w:t>
      </w:r>
    </w:p>
    <w:p w:rsidR="00AD126E" w:rsidRPr="00AD126E" w:rsidRDefault="00AD126E" w:rsidP="00575B92">
      <w:pPr>
        <w:pStyle w:val="Lgende"/>
        <w:keepNext/>
        <w:spacing w:before="240" w:after="240" w:line="276" w:lineRule="auto"/>
        <w:jc w:val="center"/>
        <w:rPr>
          <w:color w:val="auto"/>
        </w:rPr>
      </w:pPr>
      <w:bookmarkStart w:id="366" w:name="_Toc523313892"/>
      <w:r w:rsidRPr="00AD126E">
        <w:rPr>
          <w:color w:val="auto"/>
        </w:rPr>
        <w:t xml:space="preserve">Figure </w:t>
      </w:r>
      <w:r w:rsidR="000D65F2" w:rsidRPr="00AD126E">
        <w:rPr>
          <w:color w:val="auto"/>
        </w:rPr>
        <w:fldChar w:fldCharType="begin"/>
      </w:r>
      <w:r w:rsidRPr="00AD126E">
        <w:rPr>
          <w:color w:val="auto"/>
        </w:rPr>
        <w:instrText xml:space="preserve"> SEQ Figure \* ARABIC </w:instrText>
      </w:r>
      <w:r w:rsidR="000D65F2" w:rsidRPr="00AD126E">
        <w:rPr>
          <w:color w:val="auto"/>
        </w:rPr>
        <w:fldChar w:fldCharType="separate"/>
      </w:r>
      <w:r w:rsidR="000F780F">
        <w:rPr>
          <w:noProof/>
          <w:color w:val="auto"/>
        </w:rPr>
        <w:t>209</w:t>
      </w:r>
      <w:r w:rsidR="000D65F2" w:rsidRPr="00AD126E">
        <w:rPr>
          <w:color w:val="auto"/>
        </w:rPr>
        <w:fldChar w:fldCharType="end"/>
      </w:r>
      <w:r w:rsidRPr="00AD126E">
        <w:rPr>
          <w:color w:val="auto"/>
        </w:rPr>
        <w:t xml:space="preserve"> : Opinions des personnes enquêtées sur la qualité de la gestion du compte suivant les régions</w:t>
      </w:r>
      <w:bookmarkEnd w:id="366"/>
    </w:p>
    <w:p w:rsidR="00D40ADD" w:rsidRPr="00D40ADD" w:rsidRDefault="00D40ADD" w:rsidP="00575B92">
      <w:pPr>
        <w:keepNext/>
        <w:spacing w:before="240" w:after="24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noProof/>
        </w:rPr>
        <w:drawing>
          <wp:inline distT="0" distB="0" distL="0" distR="0">
            <wp:extent cx="4573657" cy="2441050"/>
            <wp:effectExtent l="19050" t="0" r="17393" b="0"/>
            <wp:docPr id="36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D40ADD" w:rsidRDefault="00D40ADD" w:rsidP="00CA7C2C">
      <w:pPr>
        <w:spacing w:before="360" w:after="240" w:line="276" w:lineRule="auto"/>
        <w:ind w:firstLine="284"/>
        <w:rPr>
          <w:rFonts w:ascii="Book Antiqua" w:eastAsiaTheme="majorEastAsia" w:hAnsi="Book Antiqua" w:cstheme="majorBidi"/>
          <w:b/>
          <w:bCs/>
          <w:sz w:val="22"/>
          <w:szCs w:val="26"/>
        </w:rPr>
      </w:pPr>
      <w:bookmarkStart w:id="367" w:name="_Toc523322130"/>
      <w:r w:rsidRPr="00D40ADD">
        <w:rPr>
          <w:rFonts w:ascii="Book Antiqua" w:eastAsiaTheme="majorEastAsia" w:hAnsi="Book Antiqua" w:cstheme="majorBidi"/>
          <w:b/>
          <w:bCs/>
          <w:sz w:val="22"/>
          <w:szCs w:val="26"/>
        </w:rPr>
        <w:t>V.2. Qualité des informations fournies</w:t>
      </w:r>
      <w:bookmarkEnd w:id="367"/>
    </w:p>
    <w:p w:rsidR="00F21B38" w:rsidRPr="00EF005B" w:rsidRDefault="00F21B38" w:rsidP="00575B92">
      <w:pPr>
        <w:spacing w:before="240" w:after="240" w:line="276" w:lineRule="auto"/>
        <w:jc w:val="both"/>
        <w:rPr>
          <w:rFonts w:ascii="Book Antiqua" w:eastAsiaTheme="majorEastAsia" w:hAnsi="Book Antiqua"/>
          <w:sz w:val="22"/>
          <w:szCs w:val="22"/>
        </w:rPr>
      </w:pPr>
      <w:r w:rsidRPr="00EF005B">
        <w:rPr>
          <w:rFonts w:ascii="Book Antiqua" w:eastAsiaTheme="majorEastAsia" w:hAnsi="Book Antiqua"/>
          <w:sz w:val="22"/>
          <w:szCs w:val="22"/>
        </w:rPr>
        <w:t xml:space="preserve">La qualité </w:t>
      </w:r>
      <w:r w:rsidR="00BF48A8" w:rsidRPr="00EF005B">
        <w:rPr>
          <w:rFonts w:ascii="Book Antiqua" w:eastAsiaTheme="majorEastAsia" w:hAnsi="Book Antiqua"/>
          <w:sz w:val="22"/>
          <w:szCs w:val="22"/>
        </w:rPr>
        <w:t>de l’information fournie par la banque</w:t>
      </w:r>
      <w:r w:rsidR="004379B1">
        <w:rPr>
          <w:rFonts w:ascii="Book Antiqua" w:eastAsiaTheme="majorEastAsia" w:hAnsi="Book Antiqua"/>
          <w:sz w:val="22"/>
          <w:szCs w:val="22"/>
        </w:rPr>
        <w:t xml:space="preserve"> </w:t>
      </w:r>
      <w:r w:rsidRPr="00EF005B">
        <w:rPr>
          <w:rFonts w:ascii="Book Antiqua" w:eastAsiaTheme="majorEastAsia" w:hAnsi="Book Antiqua"/>
          <w:sz w:val="22"/>
          <w:szCs w:val="22"/>
        </w:rPr>
        <w:t xml:space="preserve">est mesurée sous l’angle de la transparence de l’information </w:t>
      </w:r>
      <w:r w:rsidR="00463369" w:rsidRPr="00EF005B">
        <w:rPr>
          <w:rFonts w:ascii="Book Antiqua" w:eastAsiaTheme="majorEastAsia" w:hAnsi="Book Antiqua"/>
          <w:sz w:val="22"/>
          <w:szCs w:val="22"/>
        </w:rPr>
        <w:t xml:space="preserve">tarifaire, d’une part,  et de </w:t>
      </w:r>
      <w:r w:rsidR="00BF48A8" w:rsidRPr="00EF005B">
        <w:rPr>
          <w:rFonts w:ascii="Book Antiqua" w:eastAsiaTheme="majorEastAsia" w:hAnsi="Book Antiqua"/>
          <w:sz w:val="22"/>
          <w:szCs w:val="22"/>
        </w:rPr>
        <w:t xml:space="preserve">la qualité de </w:t>
      </w:r>
      <w:r w:rsidR="00463369" w:rsidRPr="00EF005B">
        <w:rPr>
          <w:rFonts w:ascii="Book Antiqua" w:eastAsiaTheme="majorEastAsia" w:hAnsi="Book Antiqua"/>
          <w:sz w:val="22"/>
          <w:szCs w:val="22"/>
        </w:rPr>
        <w:t>l’information sur les obligations des clients, d’autre part.</w:t>
      </w:r>
    </w:p>
    <w:p w:rsidR="00D40ADD" w:rsidRPr="00EF005B" w:rsidRDefault="00D40ADD" w:rsidP="001E4A60">
      <w:pPr>
        <w:keepNext/>
        <w:keepLines/>
        <w:spacing w:before="240" w:after="240" w:line="276" w:lineRule="auto"/>
        <w:ind w:firstLine="567"/>
        <w:jc w:val="both"/>
        <w:outlineLvl w:val="2"/>
        <w:rPr>
          <w:rFonts w:ascii="Book Antiqua" w:eastAsiaTheme="majorEastAsia" w:hAnsi="Book Antiqua" w:cstheme="majorBidi"/>
          <w:b/>
          <w:bCs/>
          <w:sz w:val="22"/>
          <w:szCs w:val="22"/>
        </w:rPr>
      </w:pPr>
      <w:bookmarkStart w:id="368" w:name="_Toc523322131"/>
      <w:r w:rsidRPr="00EF005B">
        <w:rPr>
          <w:rFonts w:ascii="Book Antiqua" w:eastAsiaTheme="majorEastAsia" w:hAnsi="Book Antiqua" w:cstheme="majorBidi"/>
          <w:b/>
          <w:bCs/>
          <w:sz w:val="22"/>
          <w:szCs w:val="22"/>
        </w:rPr>
        <w:t>V.2.1. Opinions des clients sur la qualité de l’information sur les tarifs</w:t>
      </w:r>
      <w:bookmarkEnd w:id="368"/>
    </w:p>
    <w:p w:rsidR="00D40ADD" w:rsidRPr="00EF005B" w:rsidRDefault="00D40ADD" w:rsidP="00352950">
      <w:pPr>
        <w:spacing w:before="240" w:line="276" w:lineRule="auto"/>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L</w:t>
      </w:r>
      <w:r w:rsidR="00BF48A8" w:rsidRPr="00EF005B">
        <w:rPr>
          <w:rFonts w:ascii="Book Antiqua" w:eastAsiaTheme="minorEastAsia" w:hAnsi="Book Antiqua" w:cstheme="minorBidi"/>
          <w:sz w:val="22"/>
          <w:szCs w:val="22"/>
        </w:rPr>
        <w:t>’analyse de l</w:t>
      </w:r>
      <w:r w:rsidRPr="00EF005B">
        <w:rPr>
          <w:rFonts w:ascii="Book Antiqua" w:eastAsiaTheme="minorEastAsia" w:hAnsi="Book Antiqua" w:cstheme="minorBidi"/>
          <w:sz w:val="22"/>
          <w:szCs w:val="22"/>
        </w:rPr>
        <w:t xml:space="preserve">a qualité de l’information sur les tarifs au moment de l’ouverture du compte fait apparaître une proportion de 59, 4% </w:t>
      </w:r>
      <w:r w:rsidR="00BF48A8" w:rsidRPr="00EF005B">
        <w:rPr>
          <w:rFonts w:ascii="Book Antiqua" w:eastAsiaTheme="minorEastAsia" w:hAnsi="Book Antiqua" w:cstheme="minorBidi"/>
          <w:sz w:val="22"/>
          <w:szCs w:val="22"/>
        </w:rPr>
        <w:t xml:space="preserve">de clients qui </w:t>
      </w:r>
      <w:r w:rsidRPr="00EF005B">
        <w:rPr>
          <w:rFonts w:ascii="Book Antiqua" w:eastAsiaTheme="minorEastAsia" w:hAnsi="Book Antiqua" w:cstheme="minorBidi"/>
          <w:sz w:val="22"/>
          <w:szCs w:val="22"/>
        </w:rPr>
        <w:t xml:space="preserve">affirment avoir été informés </w:t>
      </w:r>
      <w:r w:rsidR="00BF48A8" w:rsidRPr="00EF005B">
        <w:rPr>
          <w:rFonts w:ascii="Book Antiqua" w:eastAsiaTheme="minorEastAsia" w:hAnsi="Book Antiqua" w:cstheme="minorBidi"/>
          <w:sz w:val="22"/>
          <w:szCs w:val="22"/>
        </w:rPr>
        <w:t xml:space="preserve">sur les conditions tarifaires </w:t>
      </w:r>
      <w:r w:rsidRPr="00EF005B">
        <w:rPr>
          <w:rFonts w:ascii="Book Antiqua" w:eastAsiaTheme="minorEastAsia" w:hAnsi="Book Antiqua" w:cstheme="minorBidi"/>
          <w:sz w:val="22"/>
          <w:szCs w:val="22"/>
        </w:rPr>
        <w:t>contre 40,6% qui disent n’avoir pas reçu d’informations préalables sur les tarifs au moment de l’entrée en relation.</w:t>
      </w:r>
    </w:p>
    <w:p w:rsidR="00AD126E" w:rsidRPr="00AD126E" w:rsidRDefault="00AD126E" w:rsidP="00352950">
      <w:pPr>
        <w:pStyle w:val="Lgende"/>
        <w:keepNext/>
        <w:spacing w:after="0" w:line="276" w:lineRule="auto"/>
        <w:jc w:val="center"/>
        <w:rPr>
          <w:color w:val="auto"/>
        </w:rPr>
      </w:pPr>
      <w:bookmarkStart w:id="369" w:name="_Toc523313893"/>
      <w:r w:rsidRPr="00AD126E">
        <w:rPr>
          <w:color w:val="auto"/>
        </w:rPr>
        <w:lastRenderedPageBreak/>
        <w:t xml:space="preserve">Figure </w:t>
      </w:r>
      <w:r w:rsidR="000D65F2" w:rsidRPr="00AD126E">
        <w:rPr>
          <w:color w:val="auto"/>
        </w:rPr>
        <w:fldChar w:fldCharType="begin"/>
      </w:r>
      <w:r w:rsidRPr="00AD126E">
        <w:rPr>
          <w:color w:val="auto"/>
        </w:rPr>
        <w:instrText xml:space="preserve"> SEQ Figure \* ARABIC </w:instrText>
      </w:r>
      <w:r w:rsidR="000D65F2" w:rsidRPr="00AD126E">
        <w:rPr>
          <w:color w:val="auto"/>
        </w:rPr>
        <w:fldChar w:fldCharType="separate"/>
      </w:r>
      <w:r w:rsidR="000F780F">
        <w:rPr>
          <w:noProof/>
          <w:color w:val="auto"/>
        </w:rPr>
        <w:t>210</w:t>
      </w:r>
      <w:r w:rsidR="000D65F2" w:rsidRPr="00AD126E">
        <w:rPr>
          <w:color w:val="auto"/>
        </w:rPr>
        <w:fldChar w:fldCharType="end"/>
      </w:r>
      <w:r w:rsidRPr="00AD126E">
        <w:rPr>
          <w:color w:val="auto"/>
        </w:rPr>
        <w:t xml:space="preserve"> : Opinions des personnes enquêtées sur la qualité de l'information fournie sur les tarifs</w:t>
      </w:r>
      <w:bookmarkEnd w:id="369"/>
    </w:p>
    <w:p w:rsidR="00CA7C2C" w:rsidRPr="00146582" w:rsidRDefault="00D40ADD" w:rsidP="00146582">
      <w:pPr>
        <w:keepNext/>
        <w:spacing w:before="360" w:after="24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noProof/>
        </w:rPr>
        <w:drawing>
          <wp:inline distT="0" distB="0" distL="0" distR="0">
            <wp:extent cx="4362119" cy="1924216"/>
            <wp:effectExtent l="19050" t="0" r="19381" b="0"/>
            <wp:docPr id="366"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bookmarkStart w:id="370" w:name="_Toc523322132"/>
    </w:p>
    <w:p w:rsidR="00D40ADD" w:rsidRPr="001E4A60" w:rsidRDefault="00D40ADD" w:rsidP="00146582">
      <w:pPr>
        <w:keepNext/>
        <w:keepLines/>
        <w:spacing w:before="120" w:after="120" w:line="276" w:lineRule="auto"/>
        <w:ind w:firstLine="567"/>
        <w:outlineLvl w:val="2"/>
        <w:rPr>
          <w:rFonts w:ascii="Book Antiqua" w:eastAsiaTheme="majorEastAsia" w:hAnsi="Book Antiqua" w:cstheme="majorBidi"/>
          <w:b/>
          <w:bCs/>
          <w:sz w:val="22"/>
          <w:szCs w:val="22"/>
        </w:rPr>
      </w:pPr>
      <w:r w:rsidRPr="001E4A60">
        <w:rPr>
          <w:rFonts w:ascii="Book Antiqua" w:eastAsiaTheme="majorEastAsia" w:hAnsi="Book Antiqua" w:cstheme="majorBidi"/>
          <w:b/>
          <w:bCs/>
          <w:sz w:val="22"/>
          <w:szCs w:val="22"/>
        </w:rPr>
        <w:t>V.2.2.</w:t>
      </w:r>
      <w:r w:rsidR="008A21D6" w:rsidRPr="001E4A60">
        <w:rPr>
          <w:rFonts w:ascii="Book Antiqua" w:eastAsiaTheme="majorEastAsia" w:hAnsi="Book Antiqua" w:cstheme="majorBidi"/>
          <w:b/>
          <w:bCs/>
          <w:sz w:val="22"/>
          <w:szCs w:val="22"/>
        </w:rPr>
        <w:t xml:space="preserve"> </w:t>
      </w:r>
      <w:r w:rsidRPr="001E4A60">
        <w:rPr>
          <w:rFonts w:ascii="Book Antiqua" w:eastAsiaTheme="majorEastAsia" w:hAnsi="Book Antiqua" w:cstheme="majorBidi"/>
          <w:b/>
          <w:bCs/>
          <w:sz w:val="22"/>
          <w:szCs w:val="22"/>
        </w:rPr>
        <w:t>Qualité des informations fournies aux clients sur leurs obligations</w:t>
      </w:r>
      <w:bookmarkEnd w:id="370"/>
    </w:p>
    <w:p w:rsidR="007C6EBC" w:rsidRPr="00EF005B" w:rsidRDefault="00D40ADD" w:rsidP="00146582">
      <w:pPr>
        <w:spacing w:before="120" w:after="240" w:line="276" w:lineRule="auto"/>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Au moment d’ouvrir leur compte, 74, 7% des personnes interrogées affirment avoir été informés de leurs obligations. Parmi celles-ci 60,1% jugent les informations reçues</w:t>
      </w:r>
      <w:r w:rsidR="00246C2B" w:rsidRPr="00EF005B">
        <w:rPr>
          <w:rFonts w:ascii="Book Antiqua" w:eastAsiaTheme="minorEastAsia" w:hAnsi="Book Antiqua" w:cstheme="minorBidi"/>
          <w:sz w:val="22"/>
          <w:szCs w:val="22"/>
        </w:rPr>
        <w:t xml:space="preserve"> de leur banque</w:t>
      </w:r>
      <w:r w:rsidRPr="00EF005B">
        <w:rPr>
          <w:rFonts w:ascii="Book Antiqua" w:eastAsiaTheme="minorEastAsia" w:hAnsi="Book Antiqua" w:cstheme="minorBidi"/>
          <w:sz w:val="22"/>
          <w:szCs w:val="22"/>
        </w:rPr>
        <w:t xml:space="preserve"> « incomplètes » voire « très incomplètes ».</w:t>
      </w:r>
    </w:p>
    <w:p w:rsidR="00AD126E" w:rsidRPr="00AD126E" w:rsidRDefault="00AD126E" w:rsidP="00575B92">
      <w:pPr>
        <w:pStyle w:val="Lgende"/>
        <w:keepNext/>
        <w:spacing w:before="240" w:after="240" w:line="276" w:lineRule="auto"/>
        <w:jc w:val="center"/>
        <w:rPr>
          <w:color w:val="auto"/>
        </w:rPr>
      </w:pPr>
      <w:bookmarkStart w:id="371" w:name="_Toc523313894"/>
      <w:r w:rsidRPr="00AD126E">
        <w:rPr>
          <w:color w:val="auto"/>
        </w:rPr>
        <w:t xml:space="preserve">Figure </w:t>
      </w:r>
      <w:r w:rsidR="000D65F2" w:rsidRPr="00AD126E">
        <w:rPr>
          <w:color w:val="auto"/>
        </w:rPr>
        <w:fldChar w:fldCharType="begin"/>
      </w:r>
      <w:r w:rsidRPr="00AD126E">
        <w:rPr>
          <w:color w:val="auto"/>
        </w:rPr>
        <w:instrText xml:space="preserve"> SEQ Figure \* ARABIC </w:instrText>
      </w:r>
      <w:r w:rsidR="000D65F2" w:rsidRPr="00AD126E">
        <w:rPr>
          <w:color w:val="auto"/>
        </w:rPr>
        <w:fldChar w:fldCharType="separate"/>
      </w:r>
      <w:r w:rsidR="000F780F">
        <w:rPr>
          <w:noProof/>
          <w:color w:val="auto"/>
        </w:rPr>
        <w:t>211</w:t>
      </w:r>
      <w:r w:rsidR="000D65F2" w:rsidRPr="00AD126E">
        <w:rPr>
          <w:color w:val="auto"/>
        </w:rPr>
        <w:fldChar w:fldCharType="end"/>
      </w:r>
      <w:r w:rsidRPr="00AD126E">
        <w:rPr>
          <w:color w:val="auto"/>
        </w:rPr>
        <w:t xml:space="preserve"> : Avis des personnes enquêtées sur la qualité des informations fournies par les banques</w:t>
      </w:r>
      <w:bookmarkEnd w:id="371"/>
    </w:p>
    <w:p w:rsidR="00D40ADD" w:rsidRPr="00D40ADD" w:rsidRDefault="00D40ADD" w:rsidP="00575B92">
      <w:pPr>
        <w:keepNext/>
        <w:spacing w:before="240" w:after="24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noProof/>
        </w:rPr>
        <w:drawing>
          <wp:inline distT="0" distB="0" distL="0" distR="0">
            <wp:extent cx="4322362" cy="2043486"/>
            <wp:effectExtent l="19050" t="0" r="21038" b="0"/>
            <wp:docPr id="369"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D40ADD" w:rsidRPr="00E400B1" w:rsidRDefault="00D40ADD" w:rsidP="00352950">
      <w:pPr>
        <w:keepNext/>
        <w:keepLines/>
        <w:spacing w:before="160" w:after="160" w:line="276" w:lineRule="auto"/>
        <w:ind w:firstLine="284"/>
        <w:jc w:val="both"/>
        <w:outlineLvl w:val="1"/>
        <w:rPr>
          <w:rFonts w:ascii="Book Antiqua" w:eastAsiaTheme="majorEastAsia" w:hAnsi="Book Antiqua" w:cstheme="majorBidi"/>
          <w:b/>
          <w:bCs/>
          <w:sz w:val="22"/>
          <w:szCs w:val="26"/>
        </w:rPr>
      </w:pPr>
      <w:bookmarkStart w:id="372" w:name="_Toc523322133"/>
      <w:r w:rsidRPr="00E400B1">
        <w:rPr>
          <w:rFonts w:ascii="Book Antiqua" w:eastAsiaTheme="majorEastAsia" w:hAnsi="Book Antiqua" w:cstheme="majorBidi"/>
          <w:b/>
          <w:bCs/>
          <w:sz w:val="22"/>
          <w:szCs w:val="26"/>
        </w:rPr>
        <w:t>V.3. Satisfaction sur le suivi des réclamations</w:t>
      </w:r>
      <w:bookmarkEnd w:id="372"/>
    </w:p>
    <w:p w:rsidR="00246C2B" w:rsidRPr="00EF005B" w:rsidRDefault="008A21D6" w:rsidP="00352950">
      <w:pPr>
        <w:spacing w:before="160" w:after="160" w:line="276" w:lineRule="auto"/>
        <w:jc w:val="both"/>
        <w:rPr>
          <w:rFonts w:ascii="Book Antiqua" w:eastAsiaTheme="majorEastAsia" w:hAnsi="Book Antiqua"/>
          <w:sz w:val="22"/>
          <w:szCs w:val="22"/>
        </w:rPr>
      </w:pPr>
      <w:r>
        <w:rPr>
          <w:rFonts w:ascii="Book Antiqua" w:eastAsiaTheme="majorEastAsia" w:hAnsi="Book Antiqua"/>
          <w:sz w:val="22"/>
          <w:szCs w:val="22"/>
        </w:rPr>
        <w:t>L’ESUB</w:t>
      </w:r>
      <w:r w:rsidR="00246C2B" w:rsidRPr="00EF005B">
        <w:rPr>
          <w:rFonts w:ascii="Book Antiqua" w:eastAsiaTheme="majorEastAsia" w:hAnsi="Book Antiqua"/>
          <w:sz w:val="22"/>
          <w:szCs w:val="22"/>
        </w:rPr>
        <w:t xml:space="preserve"> s’est également intéressée à la typologie des réclamations et litiges ainsi qu’à l’</w:t>
      </w:r>
      <w:r w:rsidR="00E400B1" w:rsidRPr="00EF005B">
        <w:rPr>
          <w:rFonts w:ascii="Book Antiqua" w:eastAsiaTheme="majorEastAsia" w:hAnsi="Book Antiqua"/>
          <w:sz w:val="22"/>
          <w:szCs w:val="22"/>
        </w:rPr>
        <w:t>appréciation</w:t>
      </w:r>
      <w:r w:rsidR="00246C2B" w:rsidRPr="00EF005B">
        <w:rPr>
          <w:rFonts w:ascii="Book Antiqua" w:eastAsiaTheme="majorEastAsia" w:hAnsi="Book Antiqua"/>
          <w:sz w:val="22"/>
          <w:szCs w:val="22"/>
        </w:rPr>
        <w:t xml:space="preserve"> des clients sur les diligences apportées au traitement de ces requêtes. </w:t>
      </w:r>
    </w:p>
    <w:p w:rsidR="00D40ADD" w:rsidRPr="00EF005B" w:rsidRDefault="00D40ADD" w:rsidP="00352950">
      <w:pPr>
        <w:keepNext/>
        <w:keepLines/>
        <w:spacing w:before="160" w:after="160" w:line="276" w:lineRule="auto"/>
        <w:ind w:firstLine="567"/>
        <w:jc w:val="both"/>
        <w:outlineLvl w:val="2"/>
        <w:rPr>
          <w:rFonts w:ascii="Book Antiqua" w:eastAsiaTheme="majorEastAsia" w:hAnsi="Book Antiqua" w:cstheme="majorBidi"/>
          <w:b/>
          <w:bCs/>
          <w:sz w:val="22"/>
          <w:szCs w:val="22"/>
        </w:rPr>
      </w:pPr>
      <w:bookmarkStart w:id="373" w:name="_Toc523322134"/>
      <w:r w:rsidRPr="00EF005B">
        <w:rPr>
          <w:rFonts w:ascii="Book Antiqua" w:eastAsiaTheme="majorEastAsia" w:hAnsi="Book Antiqua" w:cstheme="majorBidi"/>
          <w:b/>
          <w:bCs/>
          <w:sz w:val="22"/>
          <w:szCs w:val="22"/>
        </w:rPr>
        <w:t>V.3.1. Typologie des réclamations formulées et des litiges</w:t>
      </w:r>
      <w:bookmarkEnd w:id="373"/>
    </w:p>
    <w:p w:rsidR="00235A58" w:rsidRPr="00EF005B" w:rsidRDefault="00D122E3" w:rsidP="00352950">
      <w:pPr>
        <w:spacing w:before="160" w:after="160" w:line="276" w:lineRule="auto"/>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Il ressort de l’exploitation des statistiques sur les réclamations formulées par les clients à l’encontre de leur banque</w:t>
      </w:r>
      <w:r w:rsidR="008524C0">
        <w:rPr>
          <w:rFonts w:ascii="Book Antiqua" w:eastAsiaTheme="minorEastAsia" w:hAnsi="Book Antiqua" w:cstheme="minorBidi"/>
          <w:sz w:val="22"/>
          <w:szCs w:val="22"/>
        </w:rPr>
        <w:t>,</w:t>
      </w:r>
      <w:r w:rsidRPr="00EF005B">
        <w:rPr>
          <w:rFonts w:ascii="Book Antiqua" w:eastAsiaTheme="minorEastAsia" w:hAnsi="Book Antiqua" w:cstheme="minorBidi"/>
          <w:sz w:val="22"/>
          <w:szCs w:val="22"/>
        </w:rPr>
        <w:t xml:space="preserve"> qu’une proportion non négligeable </w:t>
      </w:r>
      <w:r w:rsidR="00D40ADD" w:rsidRPr="00EF005B">
        <w:rPr>
          <w:rFonts w:ascii="Book Antiqua" w:eastAsiaTheme="minorEastAsia" w:hAnsi="Book Antiqua" w:cstheme="minorBidi"/>
          <w:sz w:val="22"/>
          <w:szCs w:val="22"/>
        </w:rPr>
        <w:t>de 26</w:t>
      </w:r>
      <w:r w:rsidRPr="00EF005B">
        <w:rPr>
          <w:rFonts w:ascii="Book Antiqua" w:eastAsiaTheme="minorEastAsia" w:hAnsi="Book Antiqua" w:cstheme="minorBidi"/>
          <w:sz w:val="22"/>
          <w:szCs w:val="22"/>
        </w:rPr>
        <w:t>,0</w:t>
      </w:r>
      <w:r w:rsidR="00D40ADD" w:rsidRPr="00EF005B">
        <w:rPr>
          <w:rFonts w:ascii="Book Antiqua" w:eastAsiaTheme="minorEastAsia" w:hAnsi="Book Antiqua" w:cstheme="minorBidi"/>
          <w:sz w:val="22"/>
          <w:szCs w:val="22"/>
        </w:rPr>
        <w:t xml:space="preserve"> % </w:t>
      </w:r>
      <w:r w:rsidR="00235A58" w:rsidRPr="00EF005B">
        <w:rPr>
          <w:rFonts w:ascii="Book Antiqua" w:eastAsiaTheme="minorEastAsia" w:hAnsi="Book Antiqua" w:cstheme="minorBidi"/>
          <w:sz w:val="22"/>
          <w:szCs w:val="22"/>
        </w:rPr>
        <w:t>déclare</w:t>
      </w:r>
      <w:r w:rsidR="00D40ADD" w:rsidRPr="00EF005B">
        <w:rPr>
          <w:rFonts w:ascii="Book Antiqua" w:eastAsiaTheme="minorEastAsia" w:hAnsi="Book Antiqua" w:cstheme="minorBidi"/>
          <w:sz w:val="22"/>
          <w:szCs w:val="22"/>
        </w:rPr>
        <w:t xml:space="preserve"> avoir eu à formuler </w:t>
      </w:r>
      <w:r w:rsidR="00235A58" w:rsidRPr="00EF005B">
        <w:rPr>
          <w:rFonts w:ascii="Book Antiqua" w:eastAsiaTheme="minorEastAsia" w:hAnsi="Book Antiqua" w:cstheme="minorBidi"/>
          <w:sz w:val="22"/>
          <w:szCs w:val="22"/>
        </w:rPr>
        <w:t xml:space="preserve">au moins </w:t>
      </w:r>
      <w:r w:rsidR="00D40ADD" w:rsidRPr="00EF005B">
        <w:rPr>
          <w:rFonts w:ascii="Book Antiqua" w:eastAsiaTheme="minorEastAsia" w:hAnsi="Book Antiqua" w:cstheme="minorBidi"/>
          <w:sz w:val="22"/>
          <w:szCs w:val="22"/>
        </w:rPr>
        <w:t>une réclamation auprès de leurs banques</w:t>
      </w:r>
      <w:r w:rsidR="00235A58" w:rsidRPr="00EF005B">
        <w:rPr>
          <w:rFonts w:ascii="Book Antiqua" w:eastAsiaTheme="minorEastAsia" w:hAnsi="Book Antiqua" w:cstheme="minorBidi"/>
          <w:sz w:val="22"/>
          <w:szCs w:val="22"/>
        </w:rPr>
        <w:t xml:space="preserve"> au cours des cinq (5) dernières années</w:t>
      </w:r>
      <w:r w:rsidR="00D40ADD" w:rsidRPr="00EF005B">
        <w:rPr>
          <w:rFonts w:ascii="Book Antiqua" w:eastAsiaTheme="minorEastAsia" w:hAnsi="Book Antiqua" w:cstheme="minorBidi"/>
          <w:sz w:val="22"/>
          <w:szCs w:val="22"/>
        </w:rPr>
        <w:t xml:space="preserve">. </w:t>
      </w:r>
    </w:p>
    <w:p w:rsidR="00352950" w:rsidRDefault="00C575F6" w:rsidP="00352950">
      <w:pPr>
        <w:spacing w:before="120" w:after="120" w:line="276" w:lineRule="auto"/>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 xml:space="preserve">La survenance des réclamations </w:t>
      </w:r>
      <w:r w:rsidR="004C0E10" w:rsidRPr="00EF005B">
        <w:rPr>
          <w:rFonts w:ascii="Book Antiqua" w:eastAsiaTheme="minorEastAsia" w:hAnsi="Book Antiqua" w:cstheme="minorBidi"/>
          <w:sz w:val="22"/>
          <w:szCs w:val="22"/>
        </w:rPr>
        <w:t xml:space="preserve">est plus accentuée dans les localités de Diourbel (40,0%), </w:t>
      </w:r>
      <w:proofErr w:type="spellStart"/>
      <w:r w:rsidR="004C0E10" w:rsidRPr="00EF005B">
        <w:rPr>
          <w:rFonts w:ascii="Book Antiqua" w:eastAsiaTheme="minorEastAsia" w:hAnsi="Book Antiqua" w:cstheme="minorBidi"/>
          <w:sz w:val="22"/>
          <w:szCs w:val="22"/>
        </w:rPr>
        <w:t>Kaffrine</w:t>
      </w:r>
      <w:proofErr w:type="spellEnd"/>
      <w:r w:rsidR="004C0E10" w:rsidRPr="00EF005B">
        <w:rPr>
          <w:rFonts w:ascii="Book Antiqua" w:eastAsiaTheme="minorEastAsia" w:hAnsi="Book Antiqua" w:cstheme="minorBidi"/>
          <w:sz w:val="22"/>
          <w:szCs w:val="22"/>
        </w:rPr>
        <w:t xml:space="preserve"> (35,1%), Kaolack (30,4%) </w:t>
      </w:r>
      <w:r w:rsidR="00AA5A3B" w:rsidRPr="00EF005B">
        <w:rPr>
          <w:rFonts w:ascii="Book Antiqua" w:eastAsiaTheme="minorEastAsia" w:hAnsi="Book Antiqua" w:cstheme="minorBidi"/>
          <w:sz w:val="22"/>
          <w:szCs w:val="22"/>
        </w:rPr>
        <w:t xml:space="preserve">et Saint-Louis (30,4%). </w:t>
      </w:r>
    </w:p>
    <w:p w:rsidR="00AA5A3B" w:rsidRPr="00EF005B" w:rsidRDefault="00AA5A3B" w:rsidP="00352950">
      <w:pPr>
        <w:spacing w:before="120" w:after="120" w:line="276" w:lineRule="auto"/>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Suivant la catégorie socioprofessionnelle, il est ressorti</w:t>
      </w:r>
      <w:r w:rsidR="00E400B1" w:rsidRPr="00EF005B">
        <w:rPr>
          <w:rFonts w:ascii="Book Antiqua" w:eastAsiaTheme="minorEastAsia" w:hAnsi="Book Antiqua" w:cstheme="minorBidi"/>
          <w:sz w:val="22"/>
          <w:szCs w:val="22"/>
        </w:rPr>
        <w:t xml:space="preserve"> que les taux de survenance des </w:t>
      </w:r>
      <w:r w:rsidRPr="00EF005B">
        <w:rPr>
          <w:rFonts w:ascii="Book Antiqua" w:eastAsiaTheme="minorEastAsia" w:hAnsi="Book Antiqua" w:cstheme="minorBidi"/>
          <w:sz w:val="22"/>
          <w:szCs w:val="22"/>
        </w:rPr>
        <w:t>réclamation</w:t>
      </w:r>
      <w:r w:rsidR="00E400B1" w:rsidRPr="00EF005B">
        <w:rPr>
          <w:rFonts w:ascii="Book Antiqua" w:eastAsiaTheme="minorEastAsia" w:hAnsi="Book Antiqua" w:cstheme="minorBidi"/>
          <w:sz w:val="22"/>
          <w:szCs w:val="22"/>
        </w:rPr>
        <w:t>s</w:t>
      </w:r>
      <w:r w:rsidRPr="00EF005B">
        <w:rPr>
          <w:rFonts w:ascii="Book Antiqua" w:eastAsiaTheme="minorEastAsia" w:hAnsi="Book Antiqua" w:cstheme="minorBidi"/>
          <w:sz w:val="22"/>
          <w:szCs w:val="22"/>
        </w:rPr>
        <w:t xml:space="preserve"> les plus él</w:t>
      </w:r>
      <w:r w:rsidR="00AD126E">
        <w:rPr>
          <w:rFonts w:ascii="Book Antiqua" w:eastAsiaTheme="minorEastAsia" w:hAnsi="Book Antiqua" w:cstheme="minorBidi"/>
          <w:sz w:val="22"/>
          <w:szCs w:val="22"/>
        </w:rPr>
        <w:t>evés sont enregistrés chez les d</w:t>
      </w:r>
      <w:r w:rsidRPr="00EF005B">
        <w:rPr>
          <w:rFonts w:ascii="Book Antiqua" w:eastAsiaTheme="minorEastAsia" w:hAnsi="Book Antiqua" w:cstheme="minorBidi"/>
          <w:sz w:val="22"/>
          <w:szCs w:val="22"/>
        </w:rPr>
        <w:t>irecteurs (35,8%), les chefs de division ou de bureau (32,5%), les corps habillés (29,1%) et les employés (28,1%).</w:t>
      </w:r>
    </w:p>
    <w:p w:rsidR="00814666" w:rsidRPr="00EF005B" w:rsidRDefault="00D40ADD" w:rsidP="00352950">
      <w:pPr>
        <w:spacing w:before="80" w:after="80" w:line="276" w:lineRule="auto"/>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lastRenderedPageBreak/>
        <w:t xml:space="preserve">Parmi </w:t>
      </w:r>
      <w:r w:rsidR="00235A58" w:rsidRPr="00EF005B">
        <w:rPr>
          <w:rFonts w:ascii="Book Antiqua" w:eastAsiaTheme="minorEastAsia" w:hAnsi="Book Antiqua" w:cstheme="minorBidi"/>
          <w:sz w:val="22"/>
          <w:szCs w:val="22"/>
        </w:rPr>
        <w:t xml:space="preserve">les clients ayant formulé au moins une réclamation, des proportions de </w:t>
      </w:r>
      <w:r w:rsidR="00814666" w:rsidRPr="00EF005B">
        <w:rPr>
          <w:rFonts w:ascii="Book Antiqua" w:eastAsiaTheme="minorEastAsia" w:hAnsi="Book Antiqua" w:cstheme="minorBidi"/>
          <w:sz w:val="22"/>
          <w:szCs w:val="22"/>
        </w:rPr>
        <w:t>68,6%</w:t>
      </w:r>
      <w:r w:rsidR="008524C0">
        <w:rPr>
          <w:rFonts w:ascii="Book Antiqua" w:eastAsiaTheme="minorEastAsia" w:hAnsi="Book Antiqua" w:cstheme="minorBidi"/>
          <w:sz w:val="22"/>
          <w:szCs w:val="22"/>
        </w:rPr>
        <w:t xml:space="preserve"> </w:t>
      </w:r>
      <w:r w:rsidR="00814666" w:rsidRPr="00EF005B">
        <w:rPr>
          <w:rFonts w:ascii="Book Antiqua" w:eastAsiaTheme="minorEastAsia" w:hAnsi="Book Antiqua" w:cstheme="minorBidi"/>
          <w:sz w:val="22"/>
          <w:szCs w:val="22"/>
        </w:rPr>
        <w:t>l’ont fait une (</w:t>
      </w:r>
      <w:r w:rsidR="008524C0">
        <w:rPr>
          <w:rFonts w:ascii="Book Antiqua" w:eastAsiaTheme="minorEastAsia" w:hAnsi="Book Antiqua" w:cstheme="minorBidi"/>
          <w:sz w:val="22"/>
          <w:szCs w:val="22"/>
        </w:rPr>
        <w:t>0</w:t>
      </w:r>
      <w:r w:rsidR="00814666" w:rsidRPr="00EF005B">
        <w:rPr>
          <w:rFonts w:ascii="Book Antiqua" w:eastAsiaTheme="minorEastAsia" w:hAnsi="Book Antiqua" w:cstheme="minorBidi"/>
          <w:sz w:val="22"/>
          <w:szCs w:val="22"/>
        </w:rPr>
        <w:t>1) seule</w:t>
      </w:r>
      <w:r w:rsidR="008524C0">
        <w:rPr>
          <w:rFonts w:ascii="Book Antiqua" w:eastAsiaTheme="minorEastAsia" w:hAnsi="Book Antiqua" w:cstheme="minorBidi"/>
          <w:sz w:val="22"/>
          <w:szCs w:val="22"/>
        </w:rPr>
        <w:t xml:space="preserve"> </w:t>
      </w:r>
      <w:r w:rsidR="00814666" w:rsidRPr="00EF005B">
        <w:rPr>
          <w:rFonts w:ascii="Book Antiqua" w:eastAsiaTheme="minorEastAsia" w:hAnsi="Book Antiqua" w:cstheme="minorBidi"/>
          <w:sz w:val="22"/>
          <w:szCs w:val="22"/>
        </w:rPr>
        <w:t>fois, 16,4 % deux (</w:t>
      </w:r>
      <w:r w:rsidR="008524C0">
        <w:rPr>
          <w:rFonts w:ascii="Book Antiqua" w:eastAsiaTheme="minorEastAsia" w:hAnsi="Book Antiqua" w:cstheme="minorBidi"/>
          <w:sz w:val="22"/>
          <w:szCs w:val="22"/>
        </w:rPr>
        <w:t>0</w:t>
      </w:r>
      <w:r w:rsidR="00814666" w:rsidRPr="00EF005B">
        <w:rPr>
          <w:rFonts w:ascii="Book Antiqua" w:eastAsiaTheme="minorEastAsia" w:hAnsi="Book Antiqua" w:cstheme="minorBidi"/>
          <w:sz w:val="22"/>
          <w:szCs w:val="22"/>
        </w:rPr>
        <w:t xml:space="preserve">2) fois et </w:t>
      </w:r>
      <w:r w:rsidR="00235A58" w:rsidRPr="00EF005B">
        <w:rPr>
          <w:rFonts w:ascii="Book Antiqua" w:eastAsiaTheme="minorEastAsia" w:hAnsi="Book Antiqua" w:cstheme="minorBidi"/>
          <w:sz w:val="22"/>
          <w:szCs w:val="22"/>
        </w:rPr>
        <w:t>15,0</w:t>
      </w:r>
      <w:r w:rsidRPr="00EF005B">
        <w:rPr>
          <w:rFonts w:ascii="Book Antiqua" w:eastAsiaTheme="minorEastAsia" w:hAnsi="Book Antiqua" w:cstheme="minorBidi"/>
          <w:sz w:val="22"/>
          <w:szCs w:val="22"/>
        </w:rPr>
        <w:t>% plus de deux fois</w:t>
      </w:r>
      <w:r w:rsidR="00814666" w:rsidRPr="00EF005B">
        <w:rPr>
          <w:rFonts w:ascii="Book Antiqua" w:eastAsiaTheme="minorEastAsia" w:hAnsi="Book Antiqua" w:cstheme="minorBidi"/>
          <w:sz w:val="22"/>
          <w:szCs w:val="22"/>
        </w:rPr>
        <w:t>.</w:t>
      </w:r>
    </w:p>
    <w:p w:rsidR="000F780F" w:rsidRPr="000F780F" w:rsidRDefault="000F780F" w:rsidP="00146582">
      <w:pPr>
        <w:pStyle w:val="Lgende"/>
        <w:keepNext/>
        <w:spacing w:before="120" w:after="120" w:line="276" w:lineRule="auto"/>
        <w:jc w:val="center"/>
        <w:rPr>
          <w:color w:val="auto"/>
        </w:rPr>
      </w:pPr>
      <w:bookmarkStart w:id="374" w:name="_Toc523313895"/>
      <w:r w:rsidRPr="000F780F">
        <w:rPr>
          <w:color w:val="auto"/>
        </w:rPr>
        <w:t xml:space="preserve">Figure </w:t>
      </w:r>
      <w:r w:rsidR="000D65F2" w:rsidRPr="000F780F">
        <w:rPr>
          <w:color w:val="auto"/>
        </w:rPr>
        <w:fldChar w:fldCharType="begin"/>
      </w:r>
      <w:r w:rsidRPr="000F780F">
        <w:rPr>
          <w:color w:val="auto"/>
        </w:rPr>
        <w:instrText xml:space="preserve"> SEQ Figure \* ARABIC </w:instrText>
      </w:r>
      <w:r w:rsidR="000D65F2" w:rsidRPr="000F780F">
        <w:rPr>
          <w:color w:val="auto"/>
        </w:rPr>
        <w:fldChar w:fldCharType="separate"/>
      </w:r>
      <w:r>
        <w:rPr>
          <w:noProof/>
          <w:color w:val="auto"/>
        </w:rPr>
        <w:t>212</w:t>
      </w:r>
      <w:r w:rsidR="000D65F2" w:rsidRPr="000F780F">
        <w:rPr>
          <w:color w:val="auto"/>
        </w:rPr>
        <w:fldChar w:fldCharType="end"/>
      </w:r>
      <w:r w:rsidRPr="000F780F">
        <w:rPr>
          <w:color w:val="auto"/>
        </w:rPr>
        <w:t xml:space="preserve"> : Nombre de réclamations formulées par les personnes physiques enquêtées lors des 5 dernières années</w:t>
      </w:r>
      <w:bookmarkEnd w:id="374"/>
    </w:p>
    <w:p w:rsidR="00D40ADD" w:rsidRPr="00E400B1" w:rsidRDefault="00930B5C" w:rsidP="00575B92">
      <w:pPr>
        <w:keepNext/>
        <w:spacing w:before="240" w:after="240" w:line="276" w:lineRule="auto"/>
        <w:jc w:val="center"/>
        <w:rPr>
          <w:rFonts w:asciiTheme="minorHAnsi" w:eastAsiaTheme="minorEastAsia" w:hAnsiTheme="minorHAnsi" w:cstheme="minorBidi"/>
          <w:sz w:val="22"/>
          <w:szCs w:val="22"/>
        </w:rPr>
      </w:pPr>
      <w:r w:rsidRPr="00930B5C">
        <w:rPr>
          <w:rFonts w:ascii="Book Antiqua" w:eastAsiaTheme="minorEastAsia" w:hAnsi="Book Antiqua" w:cstheme="minorBidi"/>
          <w:noProof/>
        </w:rPr>
        <w:drawing>
          <wp:inline distT="0" distB="0" distL="0" distR="0">
            <wp:extent cx="4401875" cy="2528515"/>
            <wp:effectExtent l="19050" t="0" r="17725" b="5135"/>
            <wp:docPr id="315" name="Graphique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D40ADD" w:rsidRPr="00EF005B" w:rsidRDefault="00D40ADD" w:rsidP="00352950">
      <w:pPr>
        <w:spacing w:line="276" w:lineRule="auto"/>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Les principales causes à l’origine des réclamations formulées  par les enquêtés se répartissent comme suit :</w:t>
      </w:r>
    </w:p>
    <w:p w:rsidR="00D40ADD" w:rsidRPr="00EF005B" w:rsidRDefault="00D40ADD" w:rsidP="00352950">
      <w:pPr>
        <w:pStyle w:val="Paragraphedeliste"/>
        <w:numPr>
          <w:ilvl w:val="0"/>
          <w:numId w:val="29"/>
        </w:numPr>
        <w:spacing w:before="80" w:after="80" w:line="276" w:lineRule="auto"/>
        <w:ind w:left="568" w:hanging="284"/>
        <w:contextualSpacing w:val="0"/>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38, 3% résultent de problèmes concernant  des facturations de services ;</w:t>
      </w:r>
    </w:p>
    <w:p w:rsidR="00D40ADD" w:rsidRPr="00EF005B" w:rsidRDefault="00D40ADD" w:rsidP="00352950">
      <w:pPr>
        <w:pStyle w:val="Paragraphedeliste"/>
        <w:numPr>
          <w:ilvl w:val="0"/>
          <w:numId w:val="29"/>
        </w:numPr>
        <w:spacing w:before="80" w:after="80" w:line="276" w:lineRule="auto"/>
        <w:ind w:left="568" w:hanging="284"/>
        <w:contextualSpacing w:val="0"/>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 xml:space="preserve">20,6% </w:t>
      </w:r>
      <w:r w:rsidR="009901C5" w:rsidRPr="00EF005B">
        <w:rPr>
          <w:rFonts w:ascii="Book Antiqua" w:eastAsiaTheme="minorEastAsia" w:hAnsi="Book Antiqua" w:cstheme="minorBidi"/>
          <w:sz w:val="22"/>
          <w:szCs w:val="22"/>
        </w:rPr>
        <w:t>concernent</w:t>
      </w:r>
      <w:r w:rsidRPr="00EF005B">
        <w:rPr>
          <w:rFonts w:ascii="Book Antiqua" w:eastAsiaTheme="minorEastAsia" w:hAnsi="Book Antiqua" w:cstheme="minorBidi"/>
          <w:sz w:val="22"/>
          <w:szCs w:val="22"/>
        </w:rPr>
        <w:t xml:space="preserve"> des contestations </w:t>
      </w:r>
      <w:r w:rsidR="009901C5" w:rsidRPr="00EF005B">
        <w:rPr>
          <w:rFonts w:ascii="Book Antiqua" w:eastAsiaTheme="minorEastAsia" w:hAnsi="Book Antiqua" w:cstheme="minorBidi"/>
          <w:sz w:val="22"/>
          <w:szCs w:val="22"/>
        </w:rPr>
        <w:t xml:space="preserve">d’écritures sur le </w:t>
      </w:r>
      <w:r w:rsidRPr="00EF005B">
        <w:rPr>
          <w:rFonts w:ascii="Book Antiqua" w:eastAsiaTheme="minorEastAsia" w:hAnsi="Book Antiqua" w:cstheme="minorBidi"/>
          <w:sz w:val="22"/>
          <w:szCs w:val="22"/>
        </w:rPr>
        <w:t>relevé</w:t>
      </w:r>
      <w:r w:rsidR="0026734D">
        <w:rPr>
          <w:rFonts w:ascii="Book Antiqua" w:eastAsiaTheme="minorEastAsia" w:hAnsi="Book Antiqua" w:cstheme="minorBidi"/>
          <w:sz w:val="22"/>
          <w:szCs w:val="22"/>
        </w:rPr>
        <w:t xml:space="preserve"> de compte</w:t>
      </w:r>
      <w:r w:rsidRPr="00EF005B">
        <w:rPr>
          <w:rFonts w:ascii="Book Antiqua" w:eastAsiaTheme="minorEastAsia" w:hAnsi="Book Antiqua" w:cstheme="minorBidi"/>
          <w:sz w:val="22"/>
          <w:szCs w:val="22"/>
        </w:rPr>
        <w:t> ;</w:t>
      </w:r>
    </w:p>
    <w:p w:rsidR="00352950" w:rsidRPr="00352950" w:rsidRDefault="00D40ADD" w:rsidP="00352950">
      <w:pPr>
        <w:pStyle w:val="Paragraphedeliste"/>
        <w:numPr>
          <w:ilvl w:val="0"/>
          <w:numId w:val="29"/>
        </w:numPr>
        <w:spacing w:before="80" w:after="80" w:line="276" w:lineRule="auto"/>
        <w:ind w:left="568" w:hanging="284"/>
        <w:contextualSpacing w:val="0"/>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18,</w:t>
      </w:r>
      <w:r w:rsidR="009901C5" w:rsidRPr="00EF005B">
        <w:rPr>
          <w:rFonts w:ascii="Book Antiqua" w:eastAsiaTheme="minorEastAsia" w:hAnsi="Book Antiqua" w:cstheme="minorBidi"/>
          <w:sz w:val="22"/>
          <w:szCs w:val="22"/>
        </w:rPr>
        <w:t>2</w:t>
      </w:r>
      <w:r w:rsidRPr="00EF005B">
        <w:rPr>
          <w:rFonts w:ascii="Book Antiqua" w:eastAsiaTheme="minorEastAsia" w:hAnsi="Book Antiqua" w:cstheme="minorBidi"/>
          <w:sz w:val="22"/>
          <w:szCs w:val="22"/>
        </w:rPr>
        <w:t>% sont lié</w:t>
      </w:r>
      <w:r w:rsidR="009901C5" w:rsidRPr="00EF005B">
        <w:rPr>
          <w:rFonts w:ascii="Book Antiqua" w:eastAsiaTheme="minorEastAsia" w:hAnsi="Book Antiqua" w:cstheme="minorBidi"/>
          <w:sz w:val="22"/>
          <w:szCs w:val="22"/>
        </w:rPr>
        <w:t>e</w:t>
      </w:r>
      <w:r w:rsidRPr="00EF005B">
        <w:rPr>
          <w:rFonts w:ascii="Book Antiqua" w:eastAsiaTheme="minorEastAsia" w:hAnsi="Book Antiqua" w:cstheme="minorBidi"/>
          <w:sz w:val="22"/>
          <w:szCs w:val="22"/>
        </w:rPr>
        <w:t xml:space="preserve">s à </w:t>
      </w:r>
      <w:r w:rsidR="009901C5" w:rsidRPr="00EF005B">
        <w:rPr>
          <w:rFonts w:ascii="Book Antiqua" w:eastAsiaTheme="minorEastAsia" w:hAnsi="Book Antiqua" w:cstheme="minorBidi"/>
          <w:sz w:val="22"/>
          <w:szCs w:val="22"/>
        </w:rPr>
        <w:t>un</w:t>
      </w:r>
      <w:r w:rsidR="008524C0">
        <w:rPr>
          <w:rFonts w:ascii="Book Antiqua" w:eastAsiaTheme="minorEastAsia" w:hAnsi="Book Antiqua" w:cstheme="minorBidi"/>
          <w:sz w:val="22"/>
          <w:szCs w:val="22"/>
        </w:rPr>
        <w:t xml:space="preserve"> </w:t>
      </w:r>
      <w:r w:rsidRPr="00EF005B">
        <w:rPr>
          <w:rFonts w:ascii="Book Antiqua" w:eastAsiaTheme="minorEastAsia" w:hAnsi="Book Antiqua" w:cstheme="minorBidi"/>
          <w:sz w:val="22"/>
          <w:szCs w:val="22"/>
        </w:rPr>
        <w:t xml:space="preserve">déficit d’informations. </w:t>
      </w:r>
    </w:p>
    <w:p w:rsidR="000F780F" w:rsidRPr="000F780F" w:rsidRDefault="000F780F" w:rsidP="00352950">
      <w:pPr>
        <w:pStyle w:val="Lgende"/>
        <w:keepNext/>
        <w:spacing w:after="0" w:line="276" w:lineRule="auto"/>
        <w:jc w:val="center"/>
        <w:rPr>
          <w:color w:val="auto"/>
        </w:rPr>
      </w:pPr>
      <w:bookmarkStart w:id="375" w:name="_Toc523313896"/>
      <w:r w:rsidRPr="000F780F">
        <w:rPr>
          <w:color w:val="auto"/>
        </w:rPr>
        <w:t xml:space="preserve">Figure </w:t>
      </w:r>
      <w:r w:rsidR="000D65F2" w:rsidRPr="000F780F">
        <w:rPr>
          <w:color w:val="auto"/>
        </w:rPr>
        <w:fldChar w:fldCharType="begin"/>
      </w:r>
      <w:r w:rsidRPr="000F780F">
        <w:rPr>
          <w:color w:val="auto"/>
        </w:rPr>
        <w:instrText xml:space="preserve"> SEQ Figure \* ARABIC </w:instrText>
      </w:r>
      <w:r w:rsidR="000D65F2" w:rsidRPr="000F780F">
        <w:rPr>
          <w:color w:val="auto"/>
        </w:rPr>
        <w:fldChar w:fldCharType="separate"/>
      </w:r>
      <w:r>
        <w:rPr>
          <w:noProof/>
          <w:color w:val="auto"/>
        </w:rPr>
        <w:t>213</w:t>
      </w:r>
      <w:r w:rsidR="000D65F2" w:rsidRPr="000F780F">
        <w:rPr>
          <w:color w:val="auto"/>
        </w:rPr>
        <w:fldChar w:fldCharType="end"/>
      </w:r>
      <w:r w:rsidRPr="000F780F">
        <w:rPr>
          <w:color w:val="auto"/>
        </w:rPr>
        <w:t xml:space="preserve"> : Causes des réclamations formulées par les personnes enquêtées</w:t>
      </w:r>
      <w:bookmarkEnd w:id="375"/>
    </w:p>
    <w:p w:rsidR="00D40ADD" w:rsidRPr="00D40ADD" w:rsidRDefault="00D40ADD" w:rsidP="00575B92">
      <w:pPr>
        <w:keepNext/>
        <w:spacing w:before="240" w:after="24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noProof/>
        </w:rPr>
        <w:drawing>
          <wp:inline distT="0" distB="0" distL="0" distR="0">
            <wp:extent cx="4497291" cy="2592125"/>
            <wp:effectExtent l="19050" t="0" r="17559" b="0"/>
            <wp:docPr id="373"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9021F5" w:rsidRPr="001E4A60" w:rsidRDefault="009021F5" w:rsidP="001E4A60">
      <w:pPr>
        <w:keepNext/>
        <w:keepLines/>
        <w:spacing w:before="240" w:after="240" w:line="276" w:lineRule="auto"/>
        <w:ind w:firstLine="567"/>
        <w:outlineLvl w:val="2"/>
        <w:rPr>
          <w:rFonts w:ascii="Book Antiqua" w:eastAsiaTheme="majorEastAsia" w:hAnsi="Book Antiqua" w:cstheme="majorBidi"/>
          <w:b/>
          <w:bCs/>
          <w:sz w:val="22"/>
          <w:szCs w:val="22"/>
        </w:rPr>
      </w:pPr>
      <w:bookmarkStart w:id="376" w:name="_Toc523322135"/>
      <w:r w:rsidRPr="001E4A60">
        <w:rPr>
          <w:rFonts w:ascii="Book Antiqua" w:eastAsiaTheme="majorEastAsia" w:hAnsi="Book Antiqua" w:cstheme="majorBidi"/>
          <w:b/>
          <w:bCs/>
          <w:sz w:val="22"/>
          <w:szCs w:val="22"/>
        </w:rPr>
        <w:t>V.3.2. Qualité du suivi des réclamations</w:t>
      </w:r>
      <w:bookmarkEnd w:id="376"/>
    </w:p>
    <w:p w:rsidR="009021F5" w:rsidRPr="00EF005B" w:rsidRDefault="009021F5" w:rsidP="00575B92">
      <w:pPr>
        <w:spacing w:before="240" w:after="240" w:line="276" w:lineRule="auto"/>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Les opinions des enquêtés sur les diligences apportées par les banques au traitement des réclamations formulées font ressortir des niveaux d’appréciation relativement défavorables.</w:t>
      </w:r>
      <w:r w:rsidR="006B212F">
        <w:rPr>
          <w:rFonts w:ascii="Book Antiqua" w:eastAsiaTheme="minorEastAsia" w:hAnsi="Book Antiqua" w:cstheme="minorBidi"/>
          <w:sz w:val="22"/>
          <w:szCs w:val="22"/>
        </w:rPr>
        <w:t xml:space="preserve"> </w:t>
      </w:r>
      <w:r w:rsidRPr="00EF005B">
        <w:rPr>
          <w:rFonts w:ascii="Book Antiqua" w:eastAsiaTheme="minorEastAsia" w:hAnsi="Book Antiqua" w:cstheme="minorBidi"/>
          <w:sz w:val="22"/>
          <w:szCs w:val="22"/>
        </w:rPr>
        <w:t>En effet, une proportion de 55,4% des clients ayant formulé une réclamation déplore la qualité du suivi de leurs requêtes</w:t>
      </w:r>
      <w:r w:rsidR="006B212F">
        <w:rPr>
          <w:rFonts w:ascii="Book Antiqua" w:eastAsiaTheme="minorEastAsia" w:hAnsi="Book Antiqua" w:cstheme="minorBidi"/>
          <w:sz w:val="22"/>
          <w:szCs w:val="22"/>
        </w:rPr>
        <w:t xml:space="preserve"> au niveau des banques</w:t>
      </w:r>
      <w:r w:rsidRPr="00EF005B">
        <w:rPr>
          <w:rFonts w:ascii="Book Antiqua" w:eastAsiaTheme="minorEastAsia" w:hAnsi="Book Antiqua" w:cstheme="minorBidi"/>
          <w:sz w:val="22"/>
          <w:szCs w:val="22"/>
        </w:rPr>
        <w:t>.</w:t>
      </w:r>
    </w:p>
    <w:p w:rsidR="000F780F" w:rsidRPr="000F780F" w:rsidRDefault="000F780F" w:rsidP="00575B92">
      <w:pPr>
        <w:pStyle w:val="Lgende"/>
        <w:keepNext/>
        <w:spacing w:before="240" w:after="240" w:line="276" w:lineRule="auto"/>
        <w:jc w:val="center"/>
        <w:rPr>
          <w:color w:val="auto"/>
        </w:rPr>
      </w:pPr>
      <w:bookmarkStart w:id="377" w:name="_Toc523313897"/>
      <w:r w:rsidRPr="000F780F">
        <w:rPr>
          <w:color w:val="auto"/>
        </w:rPr>
        <w:lastRenderedPageBreak/>
        <w:t xml:space="preserve">Figure </w:t>
      </w:r>
      <w:r w:rsidR="000D65F2" w:rsidRPr="000F780F">
        <w:rPr>
          <w:color w:val="auto"/>
        </w:rPr>
        <w:fldChar w:fldCharType="begin"/>
      </w:r>
      <w:r w:rsidRPr="000F780F">
        <w:rPr>
          <w:color w:val="auto"/>
        </w:rPr>
        <w:instrText xml:space="preserve"> SEQ Figure \* ARABIC </w:instrText>
      </w:r>
      <w:r w:rsidR="000D65F2" w:rsidRPr="000F780F">
        <w:rPr>
          <w:color w:val="auto"/>
        </w:rPr>
        <w:fldChar w:fldCharType="separate"/>
      </w:r>
      <w:r>
        <w:rPr>
          <w:noProof/>
          <w:color w:val="auto"/>
        </w:rPr>
        <w:t>214</w:t>
      </w:r>
      <w:r w:rsidR="000D65F2" w:rsidRPr="000F780F">
        <w:rPr>
          <w:color w:val="auto"/>
        </w:rPr>
        <w:fldChar w:fldCharType="end"/>
      </w:r>
      <w:r w:rsidRPr="000F780F">
        <w:rPr>
          <w:color w:val="auto"/>
        </w:rPr>
        <w:t xml:space="preserve"> : Avis des personnes enquêtées sur la qualité du suivi des réclamations</w:t>
      </w:r>
      <w:bookmarkEnd w:id="377"/>
    </w:p>
    <w:p w:rsidR="000F780F" w:rsidRPr="000F780F" w:rsidRDefault="009021F5" w:rsidP="00575B92">
      <w:pPr>
        <w:keepNext/>
        <w:spacing w:before="240" w:after="24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b/>
          <w:noProof/>
        </w:rPr>
        <w:drawing>
          <wp:inline distT="0" distB="0" distL="0" distR="0">
            <wp:extent cx="4572000" cy="2743200"/>
            <wp:effectExtent l="19050" t="0" r="19050" b="0"/>
            <wp:docPr id="242"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CA79DA" w:rsidRPr="00EF005B" w:rsidRDefault="00CA79DA" w:rsidP="00575B92">
      <w:pPr>
        <w:spacing w:before="240" w:after="240" w:line="276" w:lineRule="auto"/>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 xml:space="preserve">L’appréciation de la qualité de la relation sur la base de la fréquence de survenance des litiges met en évidence une proportion de 4,5% de clients qui soutiennent avoir déjà eu un litige avec leur banque au cours des cinq (5) dernières années. </w:t>
      </w:r>
    </w:p>
    <w:p w:rsidR="000F780F" w:rsidRPr="00F60757" w:rsidRDefault="00CA79DA" w:rsidP="00575B92">
      <w:pPr>
        <w:spacing w:before="240" w:after="240" w:line="276" w:lineRule="auto"/>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 xml:space="preserve">Parmi ceux qui ont connu un litige avec leur banque, une proportion de 71,9% déclare avoir eu une (1) seule fois contre 13,5% deux (2) fois et 14,6% plus de deux fois. </w:t>
      </w:r>
    </w:p>
    <w:p w:rsidR="000F780F" w:rsidRPr="000F780F" w:rsidRDefault="000F780F" w:rsidP="00575B92">
      <w:pPr>
        <w:pStyle w:val="Lgende"/>
        <w:keepNext/>
        <w:spacing w:before="240" w:after="240" w:line="276" w:lineRule="auto"/>
        <w:jc w:val="center"/>
        <w:rPr>
          <w:color w:val="auto"/>
        </w:rPr>
      </w:pPr>
      <w:bookmarkStart w:id="378" w:name="_Toc523313898"/>
      <w:r w:rsidRPr="000F780F">
        <w:rPr>
          <w:color w:val="auto"/>
        </w:rPr>
        <w:t xml:space="preserve">Figure </w:t>
      </w:r>
      <w:r w:rsidR="000D65F2" w:rsidRPr="000F780F">
        <w:rPr>
          <w:color w:val="auto"/>
        </w:rPr>
        <w:fldChar w:fldCharType="begin"/>
      </w:r>
      <w:r w:rsidRPr="000F780F">
        <w:rPr>
          <w:color w:val="auto"/>
        </w:rPr>
        <w:instrText xml:space="preserve"> SEQ Figure \* ARABIC </w:instrText>
      </w:r>
      <w:r w:rsidR="000D65F2" w:rsidRPr="000F780F">
        <w:rPr>
          <w:color w:val="auto"/>
        </w:rPr>
        <w:fldChar w:fldCharType="separate"/>
      </w:r>
      <w:r>
        <w:rPr>
          <w:noProof/>
          <w:color w:val="auto"/>
        </w:rPr>
        <w:t>215</w:t>
      </w:r>
      <w:r w:rsidR="000D65F2" w:rsidRPr="000F780F">
        <w:rPr>
          <w:color w:val="auto"/>
        </w:rPr>
        <w:fldChar w:fldCharType="end"/>
      </w:r>
      <w:r w:rsidRPr="000F780F">
        <w:rPr>
          <w:color w:val="auto"/>
        </w:rPr>
        <w:t xml:space="preserve"> : Fréquence de survenance des litiges déclarés par les personnes physiques enquêtées</w:t>
      </w:r>
      <w:bookmarkEnd w:id="378"/>
    </w:p>
    <w:p w:rsidR="000F780F" w:rsidRPr="00245E01" w:rsidRDefault="00F60757" w:rsidP="00575B92">
      <w:pPr>
        <w:keepNext/>
        <w:spacing w:before="240" w:after="240" w:line="276" w:lineRule="auto"/>
        <w:jc w:val="center"/>
        <w:rPr>
          <w:rFonts w:asciiTheme="minorHAnsi" w:eastAsiaTheme="minorEastAsia" w:hAnsiTheme="minorHAnsi" w:cstheme="minorBidi"/>
          <w:sz w:val="22"/>
          <w:szCs w:val="22"/>
        </w:rPr>
      </w:pPr>
      <w:r w:rsidRPr="00F60757">
        <w:rPr>
          <w:rFonts w:ascii="Book Antiqua" w:eastAsiaTheme="minorEastAsia" w:hAnsi="Book Antiqua" w:cstheme="minorBidi"/>
          <w:noProof/>
        </w:rPr>
        <w:drawing>
          <wp:inline distT="0" distB="0" distL="0" distR="0">
            <wp:extent cx="4572000" cy="2743200"/>
            <wp:effectExtent l="19050" t="0" r="19050" b="0"/>
            <wp:docPr id="320" name="Graphique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0F780F" w:rsidRPr="00EF005B" w:rsidRDefault="00D40ADD" w:rsidP="00F825F6">
      <w:pPr>
        <w:spacing w:before="360" w:after="240" w:line="276" w:lineRule="auto"/>
        <w:jc w:val="both"/>
        <w:rPr>
          <w:rFonts w:ascii="Book Antiqua" w:eastAsiaTheme="minorEastAsia" w:hAnsi="Book Antiqua" w:cstheme="minorBidi"/>
          <w:sz w:val="22"/>
          <w:szCs w:val="22"/>
        </w:rPr>
      </w:pPr>
      <w:r w:rsidRPr="00EF005B">
        <w:rPr>
          <w:rFonts w:ascii="Book Antiqua" w:eastAsiaTheme="minorEastAsia" w:hAnsi="Book Antiqua" w:cstheme="minorBidi"/>
          <w:sz w:val="22"/>
          <w:szCs w:val="22"/>
        </w:rPr>
        <w:t>Dans la hiérarchie des motifs</w:t>
      </w:r>
      <w:r w:rsidR="00B36892" w:rsidRPr="00EF005B">
        <w:rPr>
          <w:rFonts w:ascii="Book Antiqua" w:eastAsiaTheme="minorEastAsia" w:hAnsi="Book Antiqua" w:cstheme="minorBidi"/>
          <w:sz w:val="22"/>
          <w:szCs w:val="22"/>
        </w:rPr>
        <w:t xml:space="preserve"> de survenance de litige, </w:t>
      </w:r>
      <w:r w:rsidRPr="00EF005B">
        <w:rPr>
          <w:rFonts w:ascii="Book Antiqua" w:eastAsiaTheme="minorEastAsia" w:hAnsi="Book Antiqua" w:cstheme="minorBidi"/>
          <w:sz w:val="22"/>
          <w:szCs w:val="22"/>
        </w:rPr>
        <w:t xml:space="preserve">le coût des services  (28,8%) </w:t>
      </w:r>
      <w:r w:rsidR="00BC07A7">
        <w:rPr>
          <w:rFonts w:ascii="Book Antiqua" w:eastAsiaTheme="minorEastAsia" w:hAnsi="Book Antiqua" w:cstheme="minorBidi"/>
          <w:sz w:val="22"/>
          <w:szCs w:val="22"/>
        </w:rPr>
        <w:t>vient au premier rang</w:t>
      </w:r>
      <w:r w:rsidRPr="00EF005B">
        <w:rPr>
          <w:rFonts w:ascii="Book Antiqua" w:eastAsiaTheme="minorEastAsia" w:hAnsi="Book Antiqua" w:cstheme="minorBidi"/>
          <w:sz w:val="22"/>
          <w:szCs w:val="22"/>
        </w:rPr>
        <w:t xml:space="preserve"> suivi des prélèvements indus (24,2%) et du déficit d’information (22,4%).</w:t>
      </w:r>
    </w:p>
    <w:p w:rsidR="000F780F" w:rsidRPr="000F780F" w:rsidRDefault="000F780F" w:rsidP="000F780F">
      <w:pPr>
        <w:pStyle w:val="Lgende"/>
        <w:keepNext/>
        <w:jc w:val="center"/>
        <w:rPr>
          <w:color w:val="auto"/>
        </w:rPr>
      </w:pPr>
      <w:bookmarkStart w:id="379" w:name="_Toc523313899"/>
      <w:r w:rsidRPr="000F780F">
        <w:rPr>
          <w:color w:val="auto"/>
        </w:rPr>
        <w:lastRenderedPageBreak/>
        <w:t xml:space="preserve">Figure </w:t>
      </w:r>
      <w:r w:rsidR="000D65F2" w:rsidRPr="000F780F">
        <w:rPr>
          <w:color w:val="auto"/>
        </w:rPr>
        <w:fldChar w:fldCharType="begin"/>
      </w:r>
      <w:r w:rsidRPr="000F780F">
        <w:rPr>
          <w:color w:val="auto"/>
        </w:rPr>
        <w:instrText xml:space="preserve"> SEQ Figure \* ARABIC </w:instrText>
      </w:r>
      <w:r w:rsidR="000D65F2" w:rsidRPr="000F780F">
        <w:rPr>
          <w:color w:val="auto"/>
        </w:rPr>
        <w:fldChar w:fldCharType="separate"/>
      </w:r>
      <w:r>
        <w:rPr>
          <w:noProof/>
          <w:color w:val="auto"/>
        </w:rPr>
        <w:t>216</w:t>
      </w:r>
      <w:r w:rsidR="000D65F2" w:rsidRPr="000F780F">
        <w:rPr>
          <w:color w:val="auto"/>
        </w:rPr>
        <w:fldChar w:fldCharType="end"/>
      </w:r>
      <w:r w:rsidRPr="000F780F">
        <w:rPr>
          <w:color w:val="auto"/>
        </w:rPr>
        <w:t xml:space="preserve"> : Typologie des litiges déclarés par les clients personnes physiques</w:t>
      </w:r>
      <w:bookmarkEnd w:id="379"/>
    </w:p>
    <w:p w:rsidR="00D40ADD" w:rsidRPr="00D40ADD" w:rsidRDefault="00D40ADD" w:rsidP="00D40ADD">
      <w:pPr>
        <w:keepNext/>
        <w:spacing w:after="200" w:line="276" w:lineRule="auto"/>
        <w:jc w:val="center"/>
        <w:rPr>
          <w:rFonts w:asciiTheme="minorHAnsi" w:eastAsiaTheme="minorEastAsia" w:hAnsiTheme="minorHAnsi" w:cstheme="minorBidi"/>
          <w:sz w:val="22"/>
          <w:szCs w:val="22"/>
        </w:rPr>
      </w:pPr>
      <w:r w:rsidRPr="00D40ADD">
        <w:rPr>
          <w:rFonts w:ascii="Book Antiqua" w:eastAsiaTheme="minorEastAsia" w:hAnsi="Book Antiqua" w:cstheme="minorBidi"/>
          <w:noProof/>
        </w:rPr>
        <w:drawing>
          <wp:inline distT="0" distB="0" distL="0" distR="0">
            <wp:extent cx="4572000" cy="2743200"/>
            <wp:effectExtent l="0" t="0" r="0" b="0"/>
            <wp:docPr id="376"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D40ADD" w:rsidRPr="00D40ADD" w:rsidRDefault="00D40ADD" w:rsidP="00D40ADD">
      <w:pPr>
        <w:spacing w:after="200" w:line="276" w:lineRule="auto"/>
        <w:jc w:val="both"/>
        <w:rPr>
          <w:rFonts w:ascii="Book Antiqua" w:eastAsiaTheme="minorEastAsia" w:hAnsi="Book Antiqua" w:cstheme="minorBidi"/>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0F780F" w:rsidRDefault="000F780F" w:rsidP="00836524">
      <w:pPr>
        <w:tabs>
          <w:tab w:val="left" w:pos="-720"/>
        </w:tabs>
        <w:suppressAutoHyphens/>
        <w:spacing w:line="312" w:lineRule="auto"/>
        <w:jc w:val="both"/>
        <w:rPr>
          <w:rFonts w:ascii="Arial" w:hAnsi="Arial" w:cs="Arial"/>
          <w:b/>
          <w:sz w:val="22"/>
          <w:szCs w:val="22"/>
        </w:rPr>
      </w:pPr>
    </w:p>
    <w:p w:rsidR="000F780F" w:rsidRDefault="000F780F" w:rsidP="00836524">
      <w:pPr>
        <w:tabs>
          <w:tab w:val="left" w:pos="-720"/>
        </w:tabs>
        <w:suppressAutoHyphens/>
        <w:spacing w:line="312" w:lineRule="auto"/>
        <w:jc w:val="both"/>
        <w:rPr>
          <w:rFonts w:ascii="Arial" w:hAnsi="Arial" w:cs="Arial"/>
          <w:b/>
          <w:sz w:val="22"/>
          <w:szCs w:val="22"/>
        </w:rPr>
      </w:pPr>
    </w:p>
    <w:p w:rsidR="000F780F" w:rsidRDefault="000F780F" w:rsidP="00836524">
      <w:pPr>
        <w:tabs>
          <w:tab w:val="left" w:pos="-720"/>
        </w:tabs>
        <w:suppressAutoHyphens/>
        <w:spacing w:line="312" w:lineRule="auto"/>
        <w:jc w:val="both"/>
        <w:rPr>
          <w:rFonts w:ascii="Arial" w:hAnsi="Arial" w:cs="Arial"/>
          <w:b/>
          <w:sz w:val="22"/>
          <w:szCs w:val="22"/>
        </w:rPr>
      </w:pPr>
    </w:p>
    <w:p w:rsidR="000F780F" w:rsidRDefault="000F780F" w:rsidP="00836524">
      <w:pPr>
        <w:tabs>
          <w:tab w:val="left" w:pos="-720"/>
        </w:tabs>
        <w:suppressAutoHyphens/>
        <w:spacing w:line="312" w:lineRule="auto"/>
        <w:jc w:val="both"/>
        <w:rPr>
          <w:rFonts w:ascii="Arial" w:hAnsi="Arial" w:cs="Arial"/>
          <w:b/>
          <w:sz w:val="22"/>
          <w:szCs w:val="22"/>
        </w:rPr>
      </w:pPr>
    </w:p>
    <w:p w:rsidR="000F780F" w:rsidRDefault="000F780F" w:rsidP="00836524">
      <w:pPr>
        <w:tabs>
          <w:tab w:val="left" w:pos="-720"/>
        </w:tabs>
        <w:suppressAutoHyphens/>
        <w:spacing w:line="312" w:lineRule="auto"/>
        <w:jc w:val="both"/>
        <w:rPr>
          <w:rFonts w:ascii="Arial" w:hAnsi="Arial" w:cs="Arial"/>
          <w:b/>
          <w:sz w:val="22"/>
          <w:szCs w:val="22"/>
        </w:rPr>
      </w:pPr>
    </w:p>
    <w:p w:rsidR="000F780F" w:rsidRDefault="000F780F" w:rsidP="00836524">
      <w:pPr>
        <w:tabs>
          <w:tab w:val="left" w:pos="-720"/>
        </w:tabs>
        <w:suppressAutoHyphens/>
        <w:spacing w:line="312" w:lineRule="auto"/>
        <w:jc w:val="both"/>
        <w:rPr>
          <w:rFonts w:ascii="Arial" w:hAnsi="Arial" w:cs="Arial"/>
          <w:b/>
          <w:sz w:val="22"/>
          <w:szCs w:val="22"/>
        </w:rPr>
      </w:pPr>
    </w:p>
    <w:p w:rsidR="000F780F" w:rsidRDefault="000F780F" w:rsidP="00836524">
      <w:pPr>
        <w:tabs>
          <w:tab w:val="left" w:pos="-720"/>
        </w:tabs>
        <w:suppressAutoHyphens/>
        <w:spacing w:line="312" w:lineRule="auto"/>
        <w:jc w:val="both"/>
        <w:rPr>
          <w:rFonts w:ascii="Arial" w:hAnsi="Arial" w:cs="Arial"/>
          <w:b/>
          <w:sz w:val="22"/>
          <w:szCs w:val="22"/>
        </w:rPr>
      </w:pPr>
    </w:p>
    <w:p w:rsidR="000F780F" w:rsidRDefault="000F780F" w:rsidP="00836524">
      <w:pPr>
        <w:tabs>
          <w:tab w:val="left" w:pos="-720"/>
        </w:tabs>
        <w:suppressAutoHyphens/>
        <w:spacing w:line="312" w:lineRule="auto"/>
        <w:jc w:val="both"/>
        <w:rPr>
          <w:rFonts w:ascii="Arial" w:hAnsi="Arial" w:cs="Arial"/>
          <w:b/>
          <w:sz w:val="22"/>
          <w:szCs w:val="22"/>
        </w:rPr>
      </w:pPr>
    </w:p>
    <w:p w:rsidR="000F780F" w:rsidRDefault="000F780F" w:rsidP="00836524">
      <w:pPr>
        <w:tabs>
          <w:tab w:val="left" w:pos="-720"/>
        </w:tabs>
        <w:suppressAutoHyphens/>
        <w:spacing w:line="312" w:lineRule="auto"/>
        <w:jc w:val="both"/>
        <w:rPr>
          <w:rFonts w:ascii="Arial" w:hAnsi="Arial" w:cs="Arial"/>
          <w:b/>
          <w:sz w:val="22"/>
          <w:szCs w:val="22"/>
        </w:rPr>
      </w:pPr>
    </w:p>
    <w:p w:rsidR="000F780F" w:rsidRDefault="000F780F"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836524" w:rsidRDefault="00836524" w:rsidP="00836524">
      <w:pPr>
        <w:tabs>
          <w:tab w:val="left" w:pos="-720"/>
        </w:tabs>
        <w:suppressAutoHyphens/>
        <w:spacing w:line="312" w:lineRule="auto"/>
        <w:jc w:val="both"/>
        <w:rPr>
          <w:rFonts w:ascii="Arial" w:hAnsi="Arial" w:cs="Arial"/>
          <w:b/>
          <w:sz w:val="22"/>
          <w:szCs w:val="22"/>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bookmarkStart w:id="380" w:name="_Toc523322136"/>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p w:rsidR="001E4A60" w:rsidRDefault="001E4A60" w:rsidP="00740C87">
      <w:pPr>
        <w:tabs>
          <w:tab w:val="left" w:pos="-720"/>
        </w:tabs>
        <w:suppressAutoHyphens/>
        <w:spacing w:line="312" w:lineRule="auto"/>
        <w:jc w:val="center"/>
        <w:outlineLvl w:val="0"/>
        <w:rPr>
          <w:rFonts w:ascii="Arial" w:hAnsi="Arial" w:cs="Arial"/>
          <w:b/>
          <w:szCs w:val="22"/>
          <w:u w:val="single"/>
        </w:rPr>
      </w:pPr>
    </w:p>
    <w:bookmarkEnd w:id="380"/>
    <w:p w:rsidR="00807A47" w:rsidRPr="00A60FBC" w:rsidRDefault="00807A47" w:rsidP="00807A47">
      <w:pPr>
        <w:spacing w:after="200" w:line="276" w:lineRule="auto"/>
        <w:rPr>
          <w:rFonts w:ascii="Arial" w:hAnsi="Arial" w:cs="Arial"/>
          <w:b/>
          <w:color w:val="FF0000"/>
          <w:sz w:val="22"/>
          <w:szCs w:val="22"/>
        </w:rPr>
      </w:pPr>
    </w:p>
    <w:p w:rsidR="00350D56" w:rsidRPr="00A60FBC" w:rsidRDefault="001E4A60">
      <w:pPr>
        <w:spacing w:after="200" w:line="276" w:lineRule="auto"/>
        <w:rPr>
          <w:rFonts w:ascii="Arial" w:hAnsi="Arial" w:cs="Arial"/>
          <w:b/>
          <w:color w:val="FF0000"/>
          <w:sz w:val="22"/>
          <w:szCs w:val="22"/>
        </w:rPr>
      </w:pPr>
      <w:r>
        <w:rPr>
          <w:rFonts w:ascii="Arial" w:hAnsi="Arial" w:cs="Arial"/>
          <w:b/>
          <w:noProof/>
          <w:color w:val="FF0000"/>
          <w:sz w:val="22"/>
          <w:szCs w:val="22"/>
        </w:rPr>
        <w:pict>
          <v:shape id="_x0000_s1028" type="#_x0000_t202" style="position:absolute;margin-left:14.7pt;margin-top:-30.85pt;width:463.7pt;height:88.7pt;z-index:251660288;mso-width-relative:margin;mso-height-relative:margin" strokeweight="3pt">
            <v:textbox style="mso-next-textbox:#_x0000_s1028">
              <w:txbxContent>
                <w:p w:rsidR="003C6676" w:rsidRPr="001E4A60" w:rsidRDefault="003C6676" w:rsidP="00113477">
                  <w:pPr>
                    <w:spacing w:before="120" w:line="276" w:lineRule="auto"/>
                    <w:jc w:val="center"/>
                    <w:rPr>
                      <w:b/>
                      <w:color w:val="000000" w:themeColor="text1"/>
                      <w:sz w:val="48"/>
                      <w:szCs w:val="48"/>
                    </w:rPr>
                  </w:pPr>
                  <w:r w:rsidRPr="001E4A60">
                    <w:rPr>
                      <w:b/>
                      <w:color w:val="000000" w:themeColor="text1"/>
                      <w:sz w:val="48"/>
                      <w:szCs w:val="48"/>
                    </w:rPr>
                    <w:t>3</w:t>
                  </w:r>
                  <w:r w:rsidRPr="001E4A60">
                    <w:rPr>
                      <w:b/>
                      <w:color w:val="000000" w:themeColor="text1"/>
                      <w:sz w:val="48"/>
                      <w:szCs w:val="48"/>
                      <w:vertAlign w:val="superscript"/>
                    </w:rPr>
                    <w:t>ème</w:t>
                  </w:r>
                  <w:r w:rsidRPr="001E4A60">
                    <w:rPr>
                      <w:b/>
                      <w:color w:val="000000" w:themeColor="text1"/>
                      <w:sz w:val="48"/>
                      <w:szCs w:val="48"/>
                    </w:rPr>
                    <w:t xml:space="preserve"> PARTIE : ENSEIGNEMENTS ET RECOMMANDATIONS</w:t>
                  </w:r>
                </w:p>
              </w:txbxContent>
            </v:textbox>
          </v:shape>
        </w:pict>
      </w:r>
      <w:r w:rsidR="00350D56" w:rsidRPr="00A60FBC">
        <w:rPr>
          <w:rFonts w:ascii="Arial" w:hAnsi="Arial" w:cs="Arial"/>
          <w:b/>
          <w:color w:val="FF0000"/>
          <w:sz w:val="22"/>
          <w:szCs w:val="22"/>
        </w:rPr>
        <w:br w:type="page"/>
      </w:r>
    </w:p>
    <w:p w:rsidR="00807A47" w:rsidRDefault="00291FB6" w:rsidP="00C01C11">
      <w:pPr>
        <w:pStyle w:val="Paragraphedeliste"/>
        <w:numPr>
          <w:ilvl w:val="0"/>
          <w:numId w:val="36"/>
        </w:numPr>
        <w:tabs>
          <w:tab w:val="left" w:pos="-720"/>
        </w:tabs>
        <w:suppressAutoHyphens/>
        <w:spacing w:before="240" w:after="240" w:line="276" w:lineRule="auto"/>
        <w:ind w:left="284" w:hanging="284"/>
        <w:contextualSpacing w:val="0"/>
        <w:jc w:val="both"/>
        <w:outlineLvl w:val="0"/>
        <w:rPr>
          <w:rFonts w:ascii="Book Antiqua" w:hAnsi="Book Antiqua" w:cs="Arial"/>
          <w:b/>
          <w:sz w:val="22"/>
          <w:szCs w:val="22"/>
        </w:rPr>
      </w:pPr>
      <w:bookmarkStart w:id="381" w:name="_Toc289159212"/>
      <w:bookmarkStart w:id="382" w:name="_Toc523322137"/>
      <w:r w:rsidRPr="00463ABD">
        <w:rPr>
          <w:rFonts w:ascii="Book Antiqua" w:hAnsi="Book Antiqua" w:cs="Arial"/>
          <w:b/>
          <w:sz w:val="22"/>
          <w:szCs w:val="22"/>
        </w:rPr>
        <w:lastRenderedPageBreak/>
        <w:t>ENSEIGNEMENTS DE L’ENQUETE</w:t>
      </w:r>
      <w:bookmarkEnd w:id="381"/>
      <w:bookmarkEnd w:id="382"/>
    </w:p>
    <w:p w:rsidR="000575BA" w:rsidRPr="00245E01" w:rsidRDefault="000575BA" w:rsidP="00C01C11">
      <w:pPr>
        <w:spacing w:before="240" w:after="240" w:line="276" w:lineRule="auto"/>
        <w:jc w:val="both"/>
        <w:rPr>
          <w:rFonts w:ascii="Book Antiqua" w:hAnsi="Book Antiqua"/>
          <w:sz w:val="22"/>
          <w:szCs w:val="22"/>
        </w:rPr>
      </w:pPr>
      <w:r w:rsidRPr="00245E01">
        <w:rPr>
          <w:rFonts w:ascii="Book Antiqua" w:hAnsi="Book Antiqua"/>
          <w:sz w:val="22"/>
          <w:szCs w:val="22"/>
        </w:rPr>
        <w:t>L’enquête de satisfaction auprès des usagers du secteur bancaire a permis d’élargir le champ de la visibilité de l’OQSF et  son dispositif de médiation financière à l’échelle nationale. Outre Dakar et ses environs, l’enquête s’est déroulée sur quatre grands axes : Nord</w:t>
      </w:r>
      <w:r w:rsidRPr="00245E01">
        <w:rPr>
          <w:rStyle w:val="Appelnotedebasdep"/>
          <w:rFonts w:ascii="Book Antiqua" w:hAnsi="Book Antiqua"/>
          <w:sz w:val="22"/>
          <w:szCs w:val="22"/>
        </w:rPr>
        <w:footnoteReference w:id="11"/>
      </w:r>
      <w:r w:rsidRPr="00245E01">
        <w:rPr>
          <w:rFonts w:ascii="Book Antiqua" w:hAnsi="Book Antiqua"/>
          <w:sz w:val="22"/>
          <w:szCs w:val="22"/>
        </w:rPr>
        <w:t>, Centre</w:t>
      </w:r>
      <w:r w:rsidRPr="00245E01">
        <w:rPr>
          <w:rStyle w:val="Appelnotedebasdep"/>
          <w:rFonts w:ascii="Book Antiqua" w:hAnsi="Book Antiqua"/>
          <w:sz w:val="22"/>
          <w:szCs w:val="22"/>
        </w:rPr>
        <w:footnoteReference w:id="12"/>
      </w:r>
      <w:r w:rsidRPr="00245E01">
        <w:rPr>
          <w:rFonts w:ascii="Book Antiqua" w:hAnsi="Book Antiqua"/>
          <w:sz w:val="22"/>
          <w:szCs w:val="22"/>
        </w:rPr>
        <w:t>, Sud</w:t>
      </w:r>
      <w:r w:rsidRPr="00245E01">
        <w:rPr>
          <w:rStyle w:val="Appelnotedebasdep"/>
          <w:rFonts w:ascii="Book Antiqua" w:hAnsi="Book Antiqua"/>
          <w:sz w:val="22"/>
          <w:szCs w:val="22"/>
        </w:rPr>
        <w:footnoteReference w:id="13"/>
      </w:r>
      <w:r w:rsidRPr="00245E01">
        <w:rPr>
          <w:rFonts w:ascii="Book Antiqua" w:hAnsi="Book Antiqua"/>
          <w:sz w:val="22"/>
          <w:szCs w:val="22"/>
        </w:rPr>
        <w:t xml:space="preserve"> et Est</w:t>
      </w:r>
      <w:r w:rsidRPr="00245E01">
        <w:rPr>
          <w:rStyle w:val="Appelnotedebasdep"/>
          <w:rFonts w:ascii="Book Antiqua" w:hAnsi="Book Antiqua"/>
          <w:sz w:val="22"/>
          <w:szCs w:val="22"/>
        </w:rPr>
        <w:footnoteReference w:id="14"/>
      </w:r>
      <w:r w:rsidRPr="00245E01">
        <w:rPr>
          <w:rFonts w:ascii="Book Antiqua" w:hAnsi="Book Antiqua"/>
          <w:sz w:val="22"/>
          <w:szCs w:val="22"/>
        </w:rPr>
        <w:t>, à travers des missions itinérantes de collecte</w:t>
      </w:r>
      <w:r w:rsidR="00245E01" w:rsidRPr="00245E01">
        <w:rPr>
          <w:rFonts w:ascii="Book Antiqua" w:hAnsi="Book Antiqua"/>
          <w:sz w:val="22"/>
          <w:szCs w:val="22"/>
        </w:rPr>
        <w:t xml:space="preserve"> </w:t>
      </w:r>
      <w:r w:rsidRPr="00245E01">
        <w:rPr>
          <w:rFonts w:ascii="Book Antiqua" w:hAnsi="Book Antiqua"/>
          <w:sz w:val="22"/>
          <w:szCs w:val="22"/>
        </w:rPr>
        <w:t xml:space="preserve">effectuées par des équipes d’experts et d’enquêteurs de l’OQSF. </w:t>
      </w:r>
    </w:p>
    <w:p w:rsidR="000575BA" w:rsidRPr="00245E01" w:rsidRDefault="000575BA" w:rsidP="00C01C11">
      <w:pPr>
        <w:spacing w:before="240" w:after="240" w:line="276" w:lineRule="auto"/>
        <w:jc w:val="both"/>
        <w:rPr>
          <w:rFonts w:ascii="Book Antiqua" w:hAnsi="Book Antiqua"/>
          <w:sz w:val="22"/>
          <w:szCs w:val="22"/>
        </w:rPr>
      </w:pPr>
      <w:r w:rsidRPr="00245E01">
        <w:rPr>
          <w:rFonts w:ascii="Book Antiqua" w:hAnsi="Book Antiqua"/>
          <w:sz w:val="22"/>
          <w:szCs w:val="22"/>
        </w:rPr>
        <w:t>L’enquête a</w:t>
      </w:r>
      <w:r w:rsidR="00245E01" w:rsidRPr="00245E01">
        <w:rPr>
          <w:rFonts w:ascii="Book Antiqua" w:hAnsi="Book Antiqua"/>
          <w:sz w:val="22"/>
          <w:szCs w:val="22"/>
        </w:rPr>
        <w:t xml:space="preserve"> </w:t>
      </w:r>
      <w:r w:rsidRPr="00245E01">
        <w:rPr>
          <w:rFonts w:ascii="Book Antiqua" w:hAnsi="Book Antiqua"/>
          <w:sz w:val="22"/>
          <w:szCs w:val="22"/>
        </w:rPr>
        <w:t>également révélé un niveau élevé d’adhésion des populations à l’objectif de la mission grâce, d’une part, à l’incidence appréciable de la campagne nationale de sensibilisation  menée à travers la presse, et,</w:t>
      </w:r>
      <w:r w:rsidR="00245E01" w:rsidRPr="00245E01">
        <w:rPr>
          <w:rFonts w:ascii="Book Antiqua" w:hAnsi="Book Antiqua"/>
          <w:sz w:val="22"/>
          <w:szCs w:val="22"/>
        </w:rPr>
        <w:t xml:space="preserve"> </w:t>
      </w:r>
      <w:r w:rsidRPr="00245E01">
        <w:rPr>
          <w:rFonts w:ascii="Book Antiqua" w:hAnsi="Book Antiqua"/>
          <w:sz w:val="22"/>
          <w:szCs w:val="22"/>
        </w:rPr>
        <w:t>d’autre part, à la forte implication des autorités administratives locales, des chambres consulaires régionales,</w:t>
      </w:r>
      <w:r w:rsidR="00245E01" w:rsidRPr="00245E01">
        <w:rPr>
          <w:rFonts w:ascii="Book Antiqua" w:hAnsi="Book Antiqua"/>
          <w:sz w:val="22"/>
          <w:szCs w:val="22"/>
        </w:rPr>
        <w:t xml:space="preserve"> </w:t>
      </w:r>
      <w:r w:rsidRPr="00245E01">
        <w:rPr>
          <w:rFonts w:ascii="Book Antiqua" w:hAnsi="Book Antiqua"/>
          <w:sz w:val="22"/>
          <w:szCs w:val="22"/>
        </w:rPr>
        <w:t>des responsables des agences des</w:t>
      </w:r>
      <w:r w:rsidR="00245E01" w:rsidRPr="00245E01">
        <w:rPr>
          <w:rFonts w:ascii="Book Antiqua" w:hAnsi="Book Antiqua"/>
          <w:sz w:val="22"/>
          <w:szCs w:val="22"/>
        </w:rPr>
        <w:t xml:space="preserve"> </w:t>
      </w:r>
      <w:r w:rsidRPr="00245E01">
        <w:rPr>
          <w:rFonts w:ascii="Book Antiqua" w:hAnsi="Book Antiqua"/>
          <w:sz w:val="22"/>
          <w:szCs w:val="22"/>
        </w:rPr>
        <w:t>institutions bancaires et des associations consuméristes.</w:t>
      </w:r>
    </w:p>
    <w:p w:rsidR="00245E01" w:rsidRDefault="000575BA" w:rsidP="00C01C11">
      <w:pPr>
        <w:spacing w:before="240" w:after="240" w:line="276" w:lineRule="auto"/>
        <w:jc w:val="both"/>
        <w:rPr>
          <w:rFonts w:ascii="Book Antiqua" w:hAnsi="Book Antiqua"/>
          <w:sz w:val="22"/>
          <w:szCs w:val="22"/>
        </w:rPr>
      </w:pPr>
      <w:r w:rsidRPr="00245E01">
        <w:rPr>
          <w:rFonts w:ascii="Book Antiqua" w:hAnsi="Book Antiqua"/>
          <w:sz w:val="22"/>
          <w:szCs w:val="22"/>
        </w:rPr>
        <w:t>Cet engouement manifeste a permis  à l’OQSF de collecter une masse d’informations ressortant de la perception des clients et usagers sur les produits et services qui leur sont offerts par les banques.</w:t>
      </w:r>
      <w:r w:rsidR="00245E01" w:rsidRPr="00245E01">
        <w:rPr>
          <w:rFonts w:ascii="Book Antiqua" w:hAnsi="Book Antiqua"/>
          <w:sz w:val="22"/>
          <w:szCs w:val="22"/>
        </w:rPr>
        <w:t xml:space="preserve"> </w:t>
      </w:r>
      <w:r w:rsidRPr="00245E01">
        <w:rPr>
          <w:rFonts w:ascii="Book Antiqua" w:hAnsi="Book Antiqua"/>
          <w:sz w:val="22"/>
          <w:szCs w:val="22"/>
        </w:rPr>
        <w:t>Ces informations pourront par ailleurs, alimenter une batterie d’indicateurs conçus par l’OQSF et transmis aux banques à leur demande.</w:t>
      </w:r>
      <w:r w:rsidR="00245E01" w:rsidRPr="00245E01">
        <w:rPr>
          <w:rFonts w:ascii="Book Antiqua" w:hAnsi="Book Antiqua"/>
          <w:sz w:val="22"/>
          <w:szCs w:val="22"/>
        </w:rPr>
        <w:t xml:space="preserve"> </w:t>
      </w:r>
      <w:r w:rsidRPr="00245E01">
        <w:rPr>
          <w:rFonts w:ascii="Book Antiqua" w:hAnsi="Book Antiqua"/>
          <w:sz w:val="22"/>
          <w:szCs w:val="22"/>
        </w:rPr>
        <w:t>Ces indicateurs devraient leur permettre</w:t>
      </w:r>
      <w:r w:rsidR="00245E01" w:rsidRPr="00245E01">
        <w:rPr>
          <w:rFonts w:ascii="Book Antiqua" w:hAnsi="Book Antiqua"/>
          <w:sz w:val="22"/>
          <w:szCs w:val="22"/>
        </w:rPr>
        <w:t xml:space="preserve"> </w:t>
      </w:r>
      <w:r w:rsidRPr="00245E01">
        <w:rPr>
          <w:rFonts w:ascii="Book Antiqua" w:hAnsi="Book Antiqua"/>
          <w:sz w:val="22"/>
          <w:szCs w:val="22"/>
        </w:rPr>
        <w:t>de suivre l’évolution des éléments de satisfaction liés notamment à l’offre, à la tarification, à l’accessibilité physique et au personnel,</w:t>
      </w:r>
      <w:r w:rsidR="00245E01" w:rsidRPr="00245E01">
        <w:rPr>
          <w:rFonts w:ascii="Book Antiqua" w:hAnsi="Book Antiqua"/>
          <w:sz w:val="22"/>
          <w:szCs w:val="22"/>
        </w:rPr>
        <w:t xml:space="preserve"> </w:t>
      </w:r>
      <w:r w:rsidRPr="00245E01">
        <w:rPr>
          <w:rFonts w:ascii="Book Antiqua" w:hAnsi="Book Antiqua"/>
          <w:sz w:val="22"/>
          <w:szCs w:val="22"/>
        </w:rPr>
        <w:t>dans la perspective</w:t>
      </w:r>
      <w:r w:rsidR="00245E01" w:rsidRPr="00245E01">
        <w:rPr>
          <w:rFonts w:ascii="Book Antiqua" w:hAnsi="Book Antiqua"/>
          <w:sz w:val="22"/>
          <w:szCs w:val="22"/>
        </w:rPr>
        <w:t xml:space="preserve"> </w:t>
      </w:r>
      <w:r w:rsidRPr="00245E01">
        <w:rPr>
          <w:rFonts w:ascii="Book Antiqua" w:hAnsi="Book Antiqua"/>
          <w:sz w:val="22"/>
          <w:szCs w:val="22"/>
        </w:rPr>
        <w:t>de prendre</w:t>
      </w:r>
      <w:r w:rsidR="00245E01" w:rsidRPr="00245E01">
        <w:rPr>
          <w:rFonts w:ascii="Book Antiqua" w:hAnsi="Book Antiqua"/>
          <w:sz w:val="22"/>
          <w:szCs w:val="22"/>
        </w:rPr>
        <w:t xml:space="preserve"> </w:t>
      </w:r>
      <w:r w:rsidRPr="00245E01">
        <w:rPr>
          <w:rFonts w:ascii="Book Antiqua" w:hAnsi="Book Antiqua"/>
          <w:sz w:val="22"/>
          <w:szCs w:val="22"/>
        </w:rPr>
        <w:t>des mesures correctives</w:t>
      </w:r>
      <w:r w:rsidR="00245E01" w:rsidRPr="00245E01">
        <w:rPr>
          <w:rFonts w:ascii="Book Antiqua" w:hAnsi="Book Antiqua"/>
          <w:sz w:val="22"/>
          <w:szCs w:val="22"/>
        </w:rPr>
        <w:t xml:space="preserve"> </w:t>
      </w:r>
      <w:r w:rsidRPr="00245E01">
        <w:rPr>
          <w:rFonts w:ascii="Book Antiqua" w:hAnsi="Book Antiqua"/>
          <w:sz w:val="22"/>
          <w:szCs w:val="22"/>
        </w:rPr>
        <w:t xml:space="preserve">visant à booster davantage la qualité de service.  </w:t>
      </w:r>
    </w:p>
    <w:p w:rsidR="000575BA" w:rsidRPr="00245E01" w:rsidRDefault="000575BA" w:rsidP="00C01C11">
      <w:pPr>
        <w:spacing w:before="240" w:after="240" w:line="276" w:lineRule="auto"/>
        <w:jc w:val="both"/>
        <w:rPr>
          <w:rFonts w:ascii="Book Antiqua" w:hAnsi="Book Antiqua"/>
          <w:sz w:val="22"/>
          <w:szCs w:val="22"/>
        </w:rPr>
      </w:pPr>
      <w:r w:rsidRPr="00245E01">
        <w:rPr>
          <w:rFonts w:ascii="Book Antiqua" w:hAnsi="Book Antiqua"/>
          <w:sz w:val="22"/>
          <w:szCs w:val="22"/>
        </w:rPr>
        <w:t>Malgré ces acquis, un certain nombre de difficultés ont été relevées. Elles sont particulièrement</w:t>
      </w:r>
      <w:r w:rsidR="00245E01" w:rsidRPr="00245E01">
        <w:rPr>
          <w:rFonts w:ascii="Book Antiqua" w:hAnsi="Book Antiqua"/>
          <w:sz w:val="22"/>
          <w:szCs w:val="22"/>
        </w:rPr>
        <w:t xml:space="preserve"> </w:t>
      </w:r>
      <w:r w:rsidRPr="00245E01">
        <w:rPr>
          <w:rFonts w:ascii="Book Antiqua" w:hAnsi="Book Antiqua"/>
          <w:sz w:val="22"/>
          <w:szCs w:val="22"/>
        </w:rPr>
        <w:t>liées</w:t>
      </w:r>
      <w:r w:rsidR="00245E01" w:rsidRPr="00245E01">
        <w:rPr>
          <w:rFonts w:ascii="Book Antiqua" w:hAnsi="Book Antiqua"/>
          <w:sz w:val="22"/>
          <w:szCs w:val="22"/>
        </w:rPr>
        <w:t xml:space="preserve"> </w:t>
      </w:r>
      <w:r w:rsidRPr="00245E01">
        <w:rPr>
          <w:rFonts w:ascii="Book Antiqua" w:hAnsi="Book Antiqua"/>
          <w:sz w:val="22"/>
          <w:szCs w:val="22"/>
        </w:rPr>
        <w:t xml:space="preserve">à : </w:t>
      </w:r>
    </w:p>
    <w:p w:rsidR="000575BA" w:rsidRPr="00245E01" w:rsidRDefault="000575BA" w:rsidP="00C01C11">
      <w:pPr>
        <w:pStyle w:val="Paragraphedeliste"/>
        <w:numPr>
          <w:ilvl w:val="0"/>
          <w:numId w:val="67"/>
        </w:numPr>
        <w:spacing w:before="240" w:after="240" w:line="276" w:lineRule="auto"/>
        <w:ind w:left="567" w:hanging="283"/>
        <w:contextualSpacing w:val="0"/>
        <w:jc w:val="both"/>
        <w:rPr>
          <w:rFonts w:ascii="Book Antiqua" w:hAnsi="Book Antiqua"/>
          <w:sz w:val="22"/>
          <w:szCs w:val="22"/>
        </w:rPr>
      </w:pPr>
      <w:r w:rsidRPr="00245E01">
        <w:rPr>
          <w:rFonts w:ascii="Book Antiqua" w:hAnsi="Book Antiqua"/>
          <w:sz w:val="22"/>
          <w:szCs w:val="22"/>
        </w:rPr>
        <w:t>l’indisponibilité d’une base de données exhaustive et actualisée sur la clientèle</w:t>
      </w:r>
      <w:r w:rsidR="00245E01" w:rsidRPr="00245E01">
        <w:rPr>
          <w:rFonts w:ascii="Book Antiqua" w:hAnsi="Book Antiqua"/>
          <w:sz w:val="22"/>
          <w:szCs w:val="22"/>
        </w:rPr>
        <w:t xml:space="preserve"> </w:t>
      </w:r>
      <w:r w:rsidRPr="00245E01">
        <w:rPr>
          <w:rFonts w:ascii="Book Antiqua" w:hAnsi="Book Antiqua"/>
          <w:sz w:val="22"/>
          <w:szCs w:val="22"/>
        </w:rPr>
        <w:t>des banques et notamment</w:t>
      </w:r>
      <w:r w:rsidR="00245E01" w:rsidRPr="00245E01">
        <w:rPr>
          <w:rFonts w:ascii="Book Antiqua" w:hAnsi="Book Antiqua"/>
          <w:sz w:val="22"/>
          <w:szCs w:val="22"/>
        </w:rPr>
        <w:t xml:space="preserve"> </w:t>
      </w:r>
      <w:r w:rsidRPr="00245E01">
        <w:rPr>
          <w:rFonts w:ascii="Book Antiqua" w:hAnsi="Book Antiqua"/>
          <w:sz w:val="22"/>
          <w:szCs w:val="22"/>
        </w:rPr>
        <w:t>les problèmes liés à l’adressage et à la fermeture d’unités économiques. Cette situation a conduit les équipes de terrain à  substituer certaines unités initialement ciblées par d’autres présentant les même caractéristiques en vue de réduire au mieux le taux de déperdition de l’échantillon initial ;</w:t>
      </w:r>
    </w:p>
    <w:p w:rsidR="00C01C11" w:rsidRDefault="000575BA" w:rsidP="00C01C11">
      <w:pPr>
        <w:pStyle w:val="Paragraphedeliste"/>
        <w:numPr>
          <w:ilvl w:val="0"/>
          <w:numId w:val="67"/>
        </w:numPr>
        <w:spacing w:before="240" w:after="240" w:line="276" w:lineRule="auto"/>
        <w:ind w:left="567" w:hanging="283"/>
        <w:contextualSpacing w:val="0"/>
        <w:jc w:val="both"/>
        <w:rPr>
          <w:rFonts w:ascii="Book Antiqua" w:hAnsi="Book Antiqua"/>
          <w:sz w:val="22"/>
          <w:szCs w:val="22"/>
        </w:rPr>
      </w:pPr>
      <w:r w:rsidRPr="00245E01">
        <w:rPr>
          <w:rFonts w:ascii="Book Antiqua" w:hAnsi="Book Antiqua"/>
          <w:sz w:val="22"/>
          <w:szCs w:val="22"/>
        </w:rPr>
        <w:t>la réticence de certains enquêtés à répondre aux questions portant sur le niveau de revenus, le chiffre d’affaires ou la taille des effectifs.</w:t>
      </w:r>
    </w:p>
    <w:p w:rsidR="00C01C11" w:rsidRDefault="00C01C11">
      <w:pPr>
        <w:spacing w:after="200" w:line="276" w:lineRule="auto"/>
        <w:rPr>
          <w:rFonts w:ascii="Book Antiqua" w:hAnsi="Book Antiqua"/>
          <w:sz w:val="22"/>
          <w:szCs w:val="22"/>
        </w:rPr>
      </w:pPr>
      <w:r>
        <w:rPr>
          <w:rFonts w:ascii="Book Antiqua" w:hAnsi="Book Antiqua"/>
          <w:sz w:val="22"/>
          <w:szCs w:val="22"/>
        </w:rPr>
        <w:br w:type="page"/>
      </w:r>
    </w:p>
    <w:p w:rsidR="00F058E7" w:rsidRPr="00463ABD" w:rsidRDefault="00291FB6" w:rsidP="00113477">
      <w:pPr>
        <w:pStyle w:val="Paragraphedeliste"/>
        <w:numPr>
          <w:ilvl w:val="0"/>
          <w:numId w:val="36"/>
        </w:numPr>
        <w:tabs>
          <w:tab w:val="left" w:pos="-720"/>
        </w:tabs>
        <w:suppressAutoHyphens/>
        <w:spacing w:before="240" w:after="240" w:line="276" w:lineRule="auto"/>
        <w:ind w:left="284" w:hanging="284"/>
        <w:contextualSpacing w:val="0"/>
        <w:jc w:val="both"/>
        <w:outlineLvl w:val="0"/>
        <w:rPr>
          <w:rFonts w:ascii="Book Antiqua" w:hAnsi="Book Antiqua" w:cs="Arial"/>
          <w:b/>
          <w:sz w:val="22"/>
          <w:szCs w:val="22"/>
        </w:rPr>
      </w:pPr>
      <w:bookmarkStart w:id="383" w:name="_Toc523322138"/>
      <w:r w:rsidRPr="00463ABD">
        <w:rPr>
          <w:rFonts w:ascii="Book Antiqua" w:hAnsi="Book Antiqua" w:cs="Arial"/>
          <w:b/>
          <w:sz w:val="22"/>
          <w:szCs w:val="22"/>
        </w:rPr>
        <w:lastRenderedPageBreak/>
        <w:t>RECOMMANDATIONS</w:t>
      </w:r>
      <w:bookmarkEnd w:id="383"/>
    </w:p>
    <w:p w:rsidR="00E400B1" w:rsidRPr="00463ABD" w:rsidRDefault="00E400B1" w:rsidP="00C01C11">
      <w:pPr>
        <w:spacing w:before="240" w:after="240" w:line="276" w:lineRule="auto"/>
        <w:jc w:val="both"/>
        <w:rPr>
          <w:rFonts w:ascii="Book Antiqua" w:hAnsi="Book Antiqua" w:cs="Arial"/>
          <w:sz w:val="22"/>
          <w:szCs w:val="22"/>
        </w:rPr>
      </w:pPr>
      <w:r w:rsidRPr="00ED1F4F">
        <w:rPr>
          <w:rFonts w:ascii="Book Antiqua" w:hAnsi="Book Antiqua" w:cs="Arial"/>
          <w:sz w:val="22"/>
          <w:szCs w:val="22"/>
        </w:rPr>
        <w:t>La situation du secteur bancaire sénégalais reste globalement marquée par une con</w:t>
      </w:r>
      <w:r w:rsidR="005977DB" w:rsidRPr="00ED1F4F">
        <w:rPr>
          <w:rFonts w:ascii="Book Antiqua" w:hAnsi="Book Antiqua" w:cs="Arial"/>
          <w:sz w:val="22"/>
          <w:szCs w:val="22"/>
        </w:rPr>
        <w:t xml:space="preserve">solidation de son niveau </w:t>
      </w:r>
      <w:r w:rsidRPr="00ED1F4F">
        <w:rPr>
          <w:rFonts w:ascii="Book Antiqua" w:hAnsi="Book Antiqua" w:cs="Arial"/>
          <w:sz w:val="22"/>
          <w:szCs w:val="22"/>
        </w:rPr>
        <w:t xml:space="preserve">de performance </w:t>
      </w:r>
      <w:r w:rsidR="005977DB" w:rsidRPr="00ED1F4F">
        <w:rPr>
          <w:rFonts w:ascii="Book Antiqua" w:hAnsi="Book Antiqua" w:cs="Arial"/>
          <w:sz w:val="22"/>
          <w:szCs w:val="22"/>
        </w:rPr>
        <w:t>reflétée</w:t>
      </w:r>
      <w:r w:rsidR="00C50C0A" w:rsidRPr="00ED1F4F">
        <w:rPr>
          <w:rFonts w:ascii="Book Antiqua" w:hAnsi="Book Antiqua" w:cs="Arial"/>
          <w:sz w:val="22"/>
          <w:szCs w:val="22"/>
        </w:rPr>
        <w:t xml:space="preserve"> </w:t>
      </w:r>
      <w:r w:rsidR="005977DB" w:rsidRPr="00ED1F4F">
        <w:rPr>
          <w:rFonts w:ascii="Book Antiqua" w:hAnsi="Book Antiqua" w:cs="Arial"/>
          <w:sz w:val="22"/>
          <w:szCs w:val="22"/>
        </w:rPr>
        <w:t>par</w:t>
      </w:r>
      <w:r w:rsidRPr="00ED1F4F">
        <w:rPr>
          <w:rFonts w:ascii="Book Antiqua" w:hAnsi="Book Antiqua" w:cs="Arial"/>
          <w:sz w:val="22"/>
          <w:szCs w:val="22"/>
        </w:rPr>
        <w:t xml:space="preserve"> la bonne tenue de ses principaux agrégats </w:t>
      </w:r>
      <w:r w:rsidR="004A7125" w:rsidRPr="00ED1F4F">
        <w:rPr>
          <w:rFonts w:ascii="Book Antiqua" w:hAnsi="Book Antiqua" w:cs="Arial"/>
          <w:sz w:val="22"/>
          <w:szCs w:val="22"/>
        </w:rPr>
        <w:t>et</w:t>
      </w:r>
      <w:r w:rsidRPr="00ED1F4F">
        <w:rPr>
          <w:rFonts w:ascii="Book Antiqua" w:hAnsi="Book Antiqua" w:cs="Arial"/>
          <w:sz w:val="22"/>
          <w:szCs w:val="22"/>
        </w:rPr>
        <w:t xml:space="preserve"> l’</w:t>
      </w:r>
      <w:r w:rsidR="005977DB" w:rsidRPr="00ED1F4F">
        <w:rPr>
          <w:rFonts w:ascii="Book Antiqua" w:hAnsi="Book Antiqua" w:cs="Arial"/>
          <w:sz w:val="22"/>
          <w:szCs w:val="22"/>
        </w:rPr>
        <w:t>élargissement du réseau</w:t>
      </w:r>
      <w:r w:rsidR="004D15FE" w:rsidRPr="00ED1F4F">
        <w:rPr>
          <w:rFonts w:ascii="Book Antiqua" w:hAnsi="Book Antiqua" w:cs="Arial"/>
          <w:sz w:val="22"/>
          <w:szCs w:val="22"/>
        </w:rPr>
        <w:t xml:space="preserve"> qui est passé de 396 bureaux et agences en 2015 à 412 en 2016. En outre, le nombre de guichets automatiques bancaires (GAB) et de distributeurs automatiques bancaires (DAB) s’établit à 484 en 2016 contre 455 en 2015. </w:t>
      </w:r>
      <w:r w:rsidR="00376D66" w:rsidRPr="00ED1F4F">
        <w:rPr>
          <w:rFonts w:ascii="Book Antiqua" w:hAnsi="Book Antiqua" w:cs="Arial"/>
          <w:sz w:val="22"/>
          <w:szCs w:val="22"/>
        </w:rPr>
        <w:t>Cet environnement favorable</w:t>
      </w:r>
      <w:r w:rsidR="007B5CDE" w:rsidRPr="00ED1F4F">
        <w:rPr>
          <w:rFonts w:ascii="Book Antiqua" w:hAnsi="Book Antiqua" w:cs="Arial"/>
          <w:sz w:val="22"/>
          <w:szCs w:val="22"/>
        </w:rPr>
        <w:t xml:space="preserve"> a</w:t>
      </w:r>
      <w:r w:rsidR="00C50C0A" w:rsidRPr="00ED1F4F">
        <w:rPr>
          <w:rFonts w:ascii="Book Antiqua" w:hAnsi="Book Antiqua" w:cs="Arial"/>
          <w:sz w:val="22"/>
          <w:szCs w:val="22"/>
        </w:rPr>
        <w:t xml:space="preserve"> </w:t>
      </w:r>
      <w:r w:rsidR="007B5CDE" w:rsidRPr="00ED1F4F">
        <w:rPr>
          <w:rFonts w:ascii="Book Antiqua" w:hAnsi="Book Antiqua" w:cs="Arial"/>
          <w:sz w:val="22"/>
          <w:szCs w:val="22"/>
        </w:rPr>
        <w:t xml:space="preserve">induit une légère progression de l’accès aux services bancaires avec un taux de bancarisation strict qui ressort à </w:t>
      </w:r>
      <w:r w:rsidR="00ED1F4F" w:rsidRPr="00ED1F4F">
        <w:rPr>
          <w:rFonts w:ascii="Book Antiqua" w:hAnsi="Book Antiqua"/>
          <w:sz w:val="22"/>
          <w:szCs w:val="22"/>
        </w:rPr>
        <w:t>18,29% en 2016 contre 17,00% en 2015.</w:t>
      </w:r>
    </w:p>
    <w:p w:rsidR="00160A62" w:rsidRPr="00F65CE6" w:rsidRDefault="00376D66" w:rsidP="00C01C11">
      <w:pPr>
        <w:spacing w:before="240" w:after="240" w:line="276" w:lineRule="auto"/>
        <w:jc w:val="both"/>
        <w:rPr>
          <w:rFonts w:ascii="Book Antiqua" w:hAnsi="Book Antiqua"/>
          <w:sz w:val="22"/>
          <w:szCs w:val="22"/>
        </w:rPr>
      </w:pPr>
      <w:r>
        <w:rPr>
          <w:rFonts w:ascii="Book Antiqua" w:hAnsi="Book Antiqua"/>
          <w:sz w:val="22"/>
          <w:szCs w:val="22"/>
        </w:rPr>
        <w:t>Cependant, malgré ces progrès encourageants,</w:t>
      </w:r>
      <w:r w:rsidR="00F65CE6">
        <w:rPr>
          <w:rFonts w:ascii="Book Antiqua" w:hAnsi="Book Antiqua"/>
          <w:sz w:val="22"/>
          <w:szCs w:val="22"/>
        </w:rPr>
        <w:t xml:space="preserve"> l’analyse des résultats de l’ESUB fait ressortir des points d’insatisfaction </w:t>
      </w:r>
      <w:r w:rsidR="00E400B1" w:rsidRPr="00463ABD">
        <w:rPr>
          <w:rFonts w:ascii="Book Antiqua" w:hAnsi="Book Antiqua"/>
          <w:sz w:val="22"/>
          <w:szCs w:val="22"/>
        </w:rPr>
        <w:t>sur la qualité des produits et services offerts par les banques</w:t>
      </w:r>
      <w:r>
        <w:rPr>
          <w:rFonts w:ascii="Book Antiqua" w:hAnsi="Book Antiqua"/>
          <w:sz w:val="22"/>
          <w:szCs w:val="22"/>
        </w:rPr>
        <w:t>.</w:t>
      </w:r>
      <w:r w:rsidR="00C50C0A">
        <w:rPr>
          <w:rFonts w:ascii="Book Antiqua" w:hAnsi="Book Antiqua"/>
          <w:sz w:val="22"/>
          <w:szCs w:val="22"/>
        </w:rPr>
        <w:t xml:space="preserve"> </w:t>
      </w:r>
      <w:r w:rsidR="00F65CE6">
        <w:rPr>
          <w:rFonts w:ascii="Book Antiqua" w:hAnsi="Book Antiqua"/>
          <w:sz w:val="22"/>
          <w:szCs w:val="22"/>
        </w:rPr>
        <w:t xml:space="preserve">A cet égard, des efforts seraient souhaitables dans la perspective d’apporter d’une part, </w:t>
      </w:r>
      <w:r w:rsidR="00E400B1" w:rsidRPr="00F65CE6">
        <w:rPr>
          <w:rFonts w:ascii="Book Antiqua" w:hAnsi="Book Antiqua"/>
          <w:sz w:val="22"/>
          <w:szCs w:val="22"/>
        </w:rPr>
        <w:t>plus de transparence d</w:t>
      </w:r>
      <w:r w:rsidR="00160A62" w:rsidRPr="00F65CE6">
        <w:rPr>
          <w:rFonts w:ascii="Book Antiqua" w:hAnsi="Book Antiqua"/>
          <w:sz w:val="22"/>
          <w:szCs w:val="22"/>
        </w:rPr>
        <w:t>ans les pratiques bancaires</w:t>
      </w:r>
      <w:r w:rsidR="00F65CE6">
        <w:rPr>
          <w:rFonts w:ascii="Book Antiqua" w:hAnsi="Book Antiqua"/>
          <w:sz w:val="22"/>
          <w:szCs w:val="22"/>
        </w:rPr>
        <w:t xml:space="preserve">  et d’autre part de </w:t>
      </w:r>
      <w:r w:rsidR="00E400B1" w:rsidRPr="00F65CE6">
        <w:rPr>
          <w:rFonts w:ascii="Book Antiqua" w:hAnsi="Book Antiqua"/>
          <w:sz w:val="22"/>
          <w:szCs w:val="22"/>
        </w:rPr>
        <w:t xml:space="preserve">stimuler </w:t>
      </w:r>
      <w:r w:rsidR="00160A62" w:rsidRPr="00F65CE6">
        <w:rPr>
          <w:rFonts w:ascii="Book Antiqua" w:hAnsi="Book Antiqua"/>
          <w:sz w:val="22"/>
          <w:szCs w:val="22"/>
        </w:rPr>
        <w:t xml:space="preserve">une saine </w:t>
      </w:r>
      <w:r w:rsidR="00E400B1" w:rsidRPr="00F65CE6">
        <w:rPr>
          <w:rFonts w:ascii="Book Antiqua" w:hAnsi="Book Antiqua"/>
          <w:sz w:val="22"/>
          <w:szCs w:val="22"/>
        </w:rPr>
        <w:t>concurrence entre les différents opérateurs du secteur</w:t>
      </w:r>
      <w:r w:rsidR="00C50C0A">
        <w:rPr>
          <w:rFonts w:ascii="Book Antiqua" w:hAnsi="Book Antiqua"/>
          <w:sz w:val="22"/>
          <w:szCs w:val="22"/>
        </w:rPr>
        <w:t xml:space="preserve"> </w:t>
      </w:r>
      <w:r w:rsidR="00966017" w:rsidRPr="00F65CE6">
        <w:rPr>
          <w:rFonts w:ascii="Book Antiqua" w:hAnsi="Book Antiqua"/>
          <w:sz w:val="22"/>
          <w:szCs w:val="22"/>
        </w:rPr>
        <w:t xml:space="preserve">tout en encourageant </w:t>
      </w:r>
      <w:r w:rsidR="00E400B1" w:rsidRPr="00F65CE6">
        <w:rPr>
          <w:rFonts w:ascii="Book Antiqua" w:hAnsi="Book Antiqua"/>
          <w:sz w:val="22"/>
          <w:szCs w:val="22"/>
        </w:rPr>
        <w:t>la poursuite de la rationalisation des coûts des services</w:t>
      </w:r>
      <w:r w:rsidR="00160A62" w:rsidRPr="00F65CE6">
        <w:rPr>
          <w:rFonts w:ascii="Book Antiqua" w:hAnsi="Book Antiqua"/>
          <w:sz w:val="22"/>
          <w:szCs w:val="22"/>
        </w:rPr>
        <w:t>.</w:t>
      </w:r>
    </w:p>
    <w:p w:rsidR="00915B5E" w:rsidRPr="00463ABD" w:rsidRDefault="00915B5E" w:rsidP="00C01C11">
      <w:pPr>
        <w:pStyle w:val="Paragraphedeliste"/>
        <w:numPr>
          <w:ilvl w:val="1"/>
          <w:numId w:val="36"/>
        </w:numPr>
        <w:spacing w:before="240" w:after="240" w:line="276" w:lineRule="auto"/>
        <w:ind w:left="567" w:hanging="283"/>
        <w:contextualSpacing w:val="0"/>
        <w:jc w:val="both"/>
        <w:rPr>
          <w:rFonts w:ascii="Book Antiqua" w:hAnsi="Book Antiqua"/>
          <w:b/>
          <w:sz w:val="22"/>
          <w:szCs w:val="22"/>
        </w:rPr>
      </w:pPr>
      <w:r w:rsidRPr="00463ABD">
        <w:rPr>
          <w:rFonts w:ascii="Book Antiqua" w:hAnsi="Book Antiqua"/>
          <w:b/>
          <w:sz w:val="22"/>
          <w:szCs w:val="22"/>
        </w:rPr>
        <w:t>Sur l’offre des produits et services</w:t>
      </w:r>
      <w:r w:rsidR="00DD0906">
        <w:rPr>
          <w:rFonts w:ascii="Book Antiqua" w:hAnsi="Book Antiqua"/>
          <w:b/>
          <w:sz w:val="22"/>
          <w:szCs w:val="22"/>
        </w:rPr>
        <w:t xml:space="preserve"> bancaires </w:t>
      </w:r>
    </w:p>
    <w:p w:rsidR="00915B5E" w:rsidRPr="00463ABD" w:rsidRDefault="00915B5E" w:rsidP="00C01C11">
      <w:pPr>
        <w:spacing w:before="240" w:after="240" w:line="276" w:lineRule="auto"/>
        <w:jc w:val="both"/>
        <w:rPr>
          <w:rFonts w:ascii="Book Antiqua" w:hAnsi="Book Antiqua"/>
          <w:b/>
          <w:sz w:val="22"/>
          <w:szCs w:val="22"/>
        </w:rPr>
      </w:pPr>
      <w:r w:rsidRPr="00463ABD">
        <w:rPr>
          <w:rFonts w:ascii="Book Antiqua" w:hAnsi="Book Antiqua"/>
          <w:b/>
          <w:sz w:val="22"/>
          <w:szCs w:val="22"/>
        </w:rPr>
        <w:t>R1. Elaborer et mettre en œuvre un dispositif d’encadrement de la mobilité bancaire</w:t>
      </w:r>
    </w:p>
    <w:p w:rsidR="00DD0906" w:rsidRDefault="00915B5E" w:rsidP="007B5000">
      <w:pPr>
        <w:spacing w:before="120" w:after="140" w:line="276" w:lineRule="auto"/>
        <w:jc w:val="both"/>
        <w:rPr>
          <w:rFonts w:ascii="Book Antiqua" w:hAnsi="Book Antiqua"/>
          <w:sz w:val="22"/>
          <w:szCs w:val="22"/>
        </w:rPr>
      </w:pPr>
      <w:r w:rsidRPr="00463ABD">
        <w:rPr>
          <w:rFonts w:ascii="Book Antiqua" w:hAnsi="Book Antiqua" w:cs="Arial"/>
          <w:sz w:val="22"/>
          <w:szCs w:val="22"/>
        </w:rPr>
        <w:t>Les résultats de l’ESU</w:t>
      </w:r>
      <w:r w:rsidR="003776C6">
        <w:rPr>
          <w:rFonts w:ascii="Book Antiqua" w:hAnsi="Book Antiqua" w:cs="Arial"/>
          <w:sz w:val="22"/>
          <w:szCs w:val="22"/>
        </w:rPr>
        <w:t>B</w:t>
      </w:r>
      <w:r w:rsidR="00C50C0A">
        <w:rPr>
          <w:rFonts w:ascii="Book Antiqua" w:hAnsi="Book Antiqua" w:cs="Arial"/>
          <w:sz w:val="22"/>
          <w:szCs w:val="22"/>
        </w:rPr>
        <w:t xml:space="preserve"> </w:t>
      </w:r>
      <w:r w:rsidRPr="00463ABD">
        <w:rPr>
          <w:rFonts w:ascii="Book Antiqua" w:hAnsi="Book Antiqua" w:cs="Arial"/>
          <w:sz w:val="22"/>
          <w:szCs w:val="22"/>
        </w:rPr>
        <w:t xml:space="preserve">révèlent que 20,1% des clients « personnes physiques » n’approuvent pas l’attitude de leur banque lors du changement de domiciliation de compte et </w:t>
      </w:r>
      <w:r w:rsidRPr="00463ABD">
        <w:rPr>
          <w:rFonts w:ascii="Book Antiqua" w:hAnsi="Book Antiqua"/>
          <w:sz w:val="22"/>
          <w:szCs w:val="22"/>
        </w:rPr>
        <w:t xml:space="preserve">la moitié des unités économiques interrogées (50%) déplore </w:t>
      </w:r>
      <w:r w:rsidR="00DD0906">
        <w:rPr>
          <w:rFonts w:ascii="Book Antiqua" w:hAnsi="Book Antiqua"/>
          <w:sz w:val="22"/>
          <w:szCs w:val="22"/>
        </w:rPr>
        <w:t>le comportement peu coopératif</w:t>
      </w:r>
      <w:r w:rsidRPr="00463ABD">
        <w:rPr>
          <w:rFonts w:ascii="Book Antiqua" w:hAnsi="Book Antiqua"/>
          <w:sz w:val="22"/>
          <w:szCs w:val="22"/>
        </w:rPr>
        <w:t xml:space="preserve"> de leur opérateur bancaire. </w:t>
      </w:r>
    </w:p>
    <w:p w:rsidR="00915B5E" w:rsidRPr="00463ABD" w:rsidRDefault="00DD0906" w:rsidP="007B5000">
      <w:pPr>
        <w:spacing w:before="120" w:after="140" w:line="276" w:lineRule="auto"/>
        <w:jc w:val="both"/>
        <w:rPr>
          <w:rFonts w:ascii="Book Antiqua" w:hAnsi="Book Antiqua" w:cs="Arial"/>
          <w:sz w:val="22"/>
          <w:szCs w:val="22"/>
        </w:rPr>
      </w:pPr>
      <w:r>
        <w:rPr>
          <w:rFonts w:ascii="Book Antiqua" w:hAnsi="Book Antiqua" w:cs="Arial"/>
          <w:sz w:val="22"/>
          <w:szCs w:val="22"/>
        </w:rPr>
        <w:t>Ces</w:t>
      </w:r>
      <w:r w:rsidR="00915B5E" w:rsidRPr="00463ABD">
        <w:rPr>
          <w:rFonts w:ascii="Book Antiqua" w:hAnsi="Book Antiqua" w:cs="Arial"/>
          <w:sz w:val="22"/>
          <w:szCs w:val="22"/>
        </w:rPr>
        <w:t xml:space="preserve"> entraves </w:t>
      </w:r>
      <w:r>
        <w:rPr>
          <w:rFonts w:ascii="Book Antiqua" w:hAnsi="Book Antiqua" w:cs="Arial"/>
          <w:sz w:val="22"/>
          <w:szCs w:val="22"/>
        </w:rPr>
        <w:t xml:space="preserve">sont souvent </w:t>
      </w:r>
      <w:r w:rsidR="00915B5E" w:rsidRPr="00463ABD">
        <w:rPr>
          <w:rFonts w:ascii="Book Antiqua" w:hAnsi="Book Antiqua" w:cs="Arial"/>
          <w:sz w:val="22"/>
          <w:szCs w:val="22"/>
        </w:rPr>
        <w:t xml:space="preserve">liées </w:t>
      </w:r>
      <w:r>
        <w:rPr>
          <w:rFonts w:ascii="Book Antiqua" w:hAnsi="Book Antiqua" w:cs="Arial"/>
          <w:sz w:val="22"/>
          <w:szCs w:val="22"/>
        </w:rPr>
        <w:t>aux</w:t>
      </w:r>
      <w:r w:rsidR="00915B5E" w:rsidRPr="00463ABD">
        <w:rPr>
          <w:rFonts w:ascii="Book Antiqua" w:hAnsi="Book Antiqua" w:cs="Arial"/>
          <w:sz w:val="22"/>
          <w:szCs w:val="22"/>
        </w:rPr>
        <w:t xml:space="preserve"> taux de pénalité </w:t>
      </w:r>
      <w:r w:rsidR="0008046D">
        <w:rPr>
          <w:rFonts w:ascii="Book Antiqua" w:hAnsi="Book Antiqua" w:cs="Arial"/>
          <w:sz w:val="22"/>
          <w:szCs w:val="22"/>
        </w:rPr>
        <w:t xml:space="preserve">jugés </w:t>
      </w:r>
      <w:r w:rsidR="00915B5E" w:rsidRPr="00463ABD">
        <w:rPr>
          <w:rFonts w:ascii="Book Antiqua" w:hAnsi="Book Antiqua" w:cs="Arial"/>
          <w:sz w:val="22"/>
          <w:szCs w:val="22"/>
        </w:rPr>
        <w:t>élevés</w:t>
      </w:r>
      <w:r w:rsidR="004921E4">
        <w:rPr>
          <w:rFonts w:ascii="Book Antiqua" w:hAnsi="Book Antiqua" w:cs="Arial"/>
          <w:sz w:val="22"/>
          <w:szCs w:val="22"/>
        </w:rPr>
        <w:t>,</w:t>
      </w:r>
      <w:r w:rsidR="00915B5E" w:rsidRPr="00463ABD">
        <w:rPr>
          <w:rFonts w:ascii="Book Antiqua" w:hAnsi="Book Antiqua" w:cs="Arial"/>
          <w:sz w:val="22"/>
          <w:szCs w:val="22"/>
        </w:rPr>
        <w:t xml:space="preserve"> appliqués en cas de r</w:t>
      </w:r>
      <w:r w:rsidR="0008046D">
        <w:rPr>
          <w:rFonts w:ascii="Book Antiqua" w:hAnsi="Book Antiqua" w:cs="Arial"/>
          <w:sz w:val="22"/>
          <w:szCs w:val="22"/>
        </w:rPr>
        <w:t>emboursement anticipé de crédit, aux coûts exorbitants</w:t>
      </w:r>
      <w:r w:rsidR="00C50C0A">
        <w:rPr>
          <w:rFonts w:ascii="Book Antiqua" w:hAnsi="Book Antiqua" w:cs="Arial"/>
          <w:sz w:val="22"/>
          <w:szCs w:val="22"/>
        </w:rPr>
        <w:t xml:space="preserve"> </w:t>
      </w:r>
      <w:r w:rsidR="0008046D">
        <w:rPr>
          <w:rFonts w:ascii="Book Antiqua" w:hAnsi="Book Antiqua" w:cs="Arial"/>
          <w:sz w:val="22"/>
          <w:szCs w:val="22"/>
        </w:rPr>
        <w:t>adossés à l’obtention</w:t>
      </w:r>
      <w:r w:rsidR="00C50C0A">
        <w:rPr>
          <w:rFonts w:ascii="Book Antiqua" w:hAnsi="Book Antiqua" w:cs="Arial"/>
          <w:sz w:val="22"/>
          <w:szCs w:val="22"/>
        </w:rPr>
        <w:t xml:space="preserve"> </w:t>
      </w:r>
      <w:r w:rsidR="0008046D">
        <w:rPr>
          <w:rFonts w:ascii="Book Antiqua" w:hAnsi="Book Antiqua" w:cs="Arial"/>
          <w:sz w:val="22"/>
          <w:szCs w:val="22"/>
        </w:rPr>
        <w:t>des attestations d’</w:t>
      </w:r>
      <w:r w:rsidR="00915B5E" w:rsidRPr="00463ABD">
        <w:rPr>
          <w:rFonts w:ascii="Book Antiqua" w:hAnsi="Book Antiqua" w:cs="Arial"/>
          <w:sz w:val="22"/>
          <w:szCs w:val="22"/>
        </w:rPr>
        <w:t>engagement et d</w:t>
      </w:r>
      <w:r w:rsidR="0008046D">
        <w:rPr>
          <w:rFonts w:ascii="Book Antiqua" w:hAnsi="Book Antiqua" w:cs="Arial"/>
          <w:sz w:val="22"/>
          <w:szCs w:val="22"/>
        </w:rPr>
        <w:t>’attestation de non engagement ainsi que les retards</w:t>
      </w:r>
      <w:r w:rsidR="004921E4">
        <w:rPr>
          <w:rFonts w:ascii="Book Antiqua" w:hAnsi="Book Antiqua" w:cs="Arial"/>
          <w:sz w:val="22"/>
          <w:szCs w:val="22"/>
        </w:rPr>
        <w:t xml:space="preserve"> récurrents</w:t>
      </w:r>
      <w:r w:rsidR="0008046D">
        <w:rPr>
          <w:rFonts w:ascii="Book Antiqua" w:hAnsi="Book Antiqua" w:cs="Arial"/>
          <w:sz w:val="22"/>
          <w:szCs w:val="22"/>
        </w:rPr>
        <w:t xml:space="preserve"> notés dans le traitement de ces services. </w:t>
      </w:r>
    </w:p>
    <w:p w:rsidR="00EB5A8F" w:rsidRPr="00463ABD" w:rsidRDefault="00777E2D" w:rsidP="007B5000">
      <w:pPr>
        <w:spacing w:before="120" w:after="140" w:line="276" w:lineRule="auto"/>
        <w:jc w:val="both"/>
        <w:rPr>
          <w:rFonts w:ascii="Book Antiqua" w:hAnsi="Book Antiqua"/>
          <w:sz w:val="22"/>
          <w:szCs w:val="22"/>
        </w:rPr>
      </w:pPr>
      <w:r>
        <w:rPr>
          <w:rFonts w:ascii="Book Antiqua" w:hAnsi="Book Antiqua"/>
          <w:sz w:val="22"/>
          <w:szCs w:val="22"/>
        </w:rPr>
        <w:t>Le passage en revue de ces anomalies requiert des solutions hardies de la part des autorités de contrôle et de supervision du secteur de concert avec la profession bancaire</w:t>
      </w:r>
      <w:r w:rsidR="00ED39BF">
        <w:rPr>
          <w:rFonts w:ascii="Book Antiqua" w:hAnsi="Book Antiqua"/>
          <w:sz w:val="22"/>
          <w:szCs w:val="22"/>
        </w:rPr>
        <w:t xml:space="preserve"> et</w:t>
      </w:r>
      <w:r w:rsidR="009E3BD8">
        <w:rPr>
          <w:rFonts w:ascii="Book Antiqua" w:hAnsi="Book Antiqua"/>
          <w:sz w:val="22"/>
          <w:szCs w:val="22"/>
        </w:rPr>
        <w:t>,</w:t>
      </w:r>
      <w:r w:rsidR="00ED39BF">
        <w:rPr>
          <w:rFonts w:ascii="Book Antiqua" w:hAnsi="Book Antiqua"/>
          <w:sz w:val="22"/>
          <w:szCs w:val="22"/>
        </w:rPr>
        <w:t xml:space="preserve"> à cet égard, </w:t>
      </w:r>
      <w:r w:rsidR="00915B5E" w:rsidRPr="00463ABD">
        <w:rPr>
          <w:rFonts w:ascii="Book Antiqua" w:hAnsi="Book Antiqua"/>
          <w:sz w:val="22"/>
          <w:szCs w:val="22"/>
        </w:rPr>
        <w:t xml:space="preserve">il urge d’envisager la mise en place d’un </w:t>
      </w:r>
      <w:r w:rsidR="00ED39BF">
        <w:rPr>
          <w:rFonts w:ascii="Book Antiqua" w:hAnsi="Book Antiqua"/>
          <w:sz w:val="22"/>
          <w:szCs w:val="22"/>
        </w:rPr>
        <w:t>dispositif d’aide à</w:t>
      </w:r>
      <w:r w:rsidR="00915B5E" w:rsidRPr="00463ABD">
        <w:rPr>
          <w:rFonts w:ascii="Book Antiqua" w:hAnsi="Book Antiqua"/>
          <w:sz w:val="22"/>
          <w:szCs w:val="22"/>
        </w:rPr>
        <w:t xml:space="preserve"> la mobilité</w:t>
      </w:r>
      <w:r w:rsidR="00ED39BF">
        <w:rPr>
          <w:rFonts w:ascii="Book Antiqua" w:hAnsi="Book Antiqua"/>
          <w:sz w:val="22"/>
          <w:szCs w:val="22"/>
        </w:rPr>
        <w:t xml:space="preserve"> bancaire des clients à travers les actions ci-après : </w:t>
      </w:r>
    </w:p>
    <w:p w:rsidR="00915B5E" w:rsidRPr="00463ABD" w:rsidRDefault="00915B5E" w:rsidP="00F10A44">
      <w:pPr>
        <w:pStyle w:val="Paragraphedeliste"/>
        <w:numPr>
          <w:ilvl w:val="0"/>
          <w:numId w:val="37"/>
        </w:numPr>
        <w:spacing w:before="120" w:after="120" w:line="276" w:lineRule="auto"/>
        <w:ind w:left="567" w:hanging="283"/>
        <w:contextualSpacing w:val="0"/>
        <w:jc w:val="both"/>
        <w:rPr>
          <w:rFonts w:ascii="Book Antiqua" w:hAnsi="Book Antiqua"/>
          <w:sz w:val="22"/>
          <w:szCs w:val="22"/>
        </w:rPr>
      </w:pPr>
      <w:r w:rsidRPr="00463ABD">
        <w:rPr>
          <w:rFonts w:ascii="Book Antiqua" w:hAnsi="Book Antiqua"/>
          <w:sz w:val="22"/>
          <w:szCs w:val="22"/>
        </w:rPr>
        <w:t xml:space="preserve">un dispositif </w:t>
      </w:r>
      <w:r w:rsidR="00EB5A8F">
        <w:rPr>
          <w:rFonts w:ascii="Book Antiqua" w:hAnsi="Book Antiqua"/>
          <w:sz w:val="22"/>
          <w:szCs w:val="22"/>
        </w:rPr>
        <w:t xml:space="preserve">d’accompagnement de la clientèle aussi bien au niveau de la banque de départ que de celle d’accueil </w:t>
      </w:r>
      <w:r w:rsidR="00EB5A8F" w:rsidRPr="00463ABD">
        <w:rPr>
          <w:rFonts w:ascii="Book Antiqua" w:hAnsi="Book Antiqua"/>
          <w:sz w:val="22"/>
          <w:szCs w:val="22"/>
        </w:rPr>
        <w:t>;</w:t>
      </w:r>
    </w:p>
    <w:p w:rsidR="00915B5E" w:rsidRPr="00463ABD" w:rsidRDefault="00915B5E" w:rsidP="00F10A44">
      <w:pPr>
        <w:pStyle w:val="Paragraphedeliste"/>
        <w:numPr>
          <w:ilvl w:val="0"/>
          <w:numId w:val="37"/>
        </w:numPr>
        <w:spacing w:before="120" w:after="120" w:line="276" w:lineRule="auto"/>
        <w:ind w:left="567" w:hanging="283"/>
        <w:contextualSpacing w:val="0"/>
        <w:jc w:val="both"/>
        <w:rPr>
          <w:rFonts w:ascii="Book Antiqua" w:hAnsi="Book Antiqua"/>
          <w:sz w:val="22"/>
          <w:szCs w:val="22"/>
        </w:rPr>
      </w:pPr>
      <w:r w:rsidRPr="00463ABD">
        <w:rPr>
          <w:rFonts w:ascii="Book Antiqua" w:hAnsi="Book Antiqua"/>
          <w:sz w:val="22"/>
          <w:szCs w:val="22"/>
        </w:rPr>
        <w:t>la conception et la diffusion gratuite d’un guide de mobilité</w:t>
      </w:r>
      <w:r w:rsidR="00C50C0A">
        <w:rPr>
          <w:rFonts w:ascii="Book Antiqua" w:hAnsi="Book Antiqua"/>
          <w:sz w:val="22"/>
          <w:szCs w:val="22"/>
        </w:rPr>
        <w:t xml:space="preserve"> </w:t>
      </w:r>
      <w:r w:rsidRPr="00463ABD">
        <w:rPr>
          <w:rFonts w:ascii="Book Antiqua" w:hAnsi="Book Antiqua"/>
          <w:sz w:val="22"/>
          <w:szCs w:val="22"/>
        </w:rPr>
        <w:t xml:space="preserve">récapitulant les précautions à prendre et les démarches à effectuer pour </w:t>
      </w:r>
      <w:r w:rsidR="00EB5A8F">
        <w:rPr>
          <w:rFonts w:ascii="Book Antiqua" w:hAnsi="Book Antiqua"/>
          <w:sz w:val="22"/>
          <w:szCs w:val="22"/>
        </w:rPr>
        <w:t xml:space="preserve">le changement </w:t>
      </w:r>
      <w:r w:rsidRPr="00463ABD">
        <w:rPr>
          <w:rFonts w:ascii="Book Antiqua" w:hAnsi="Book Antiqua"/>
          <w:sz w:val="22"/>
          <w:szCs w:val="22"/>
        </w:rPr>
        <w:t>de domiciliation</w:t>
      </w:r>
      <w:r w:rsidR="00EB5A8F">
        <w:rPr>
          <w:rFonts w:ascii="Book Antiqua" w:hAnsi="Book Antiqua"/>
          <w:sz w:val="22"/>
          <w:szCs w:val="22"/>
        </w:rPr>
        <w:t xml:space="preserve"> bancaire</w:t>
      </w:r>
      <w:r w:rsidRPr="00463ABD">
        <w:rPr>
          <w:rFonts w:ascii="Book Antiqua" w:hAnsi="Book Antiqua"/>
          <w:sz w:val="22"/>
          <w:szCs w:val="22"/>
        </w:rPr>
        <w:t xml:space="preserve">. </w:t>
      </w:r>
    </w:p>
    <w:p w:rsidR="00915B5E" w:rsidRPr="00463ABD" w:rsidRDefault="009E3BD8" w:rsidP="007B5000">
      <w:pPr>
        <w:spacing w:line="276" w:lineRule="auto"/>
        <w:jc w:val="both"/>
        <w:rPr>
          <w:rFonts w:ascii="Book Antiqua" w:hAnsi="Book Antiqua"/>
          <w:sz w:val="22"/>
          <w:szCs w:val="22"/>
        </w:rPr>
      </w:pPr>
      <w:r>
        <w:rPr>
          <w:rFonts w:ascii="Book Antiqua" w:hAnsi="Book Antiqua"/>
          <w:sz w:val="22"/>
          <w:szCs w:val="22"/>
        </w:rPr>
        <w:t>Ces mesures pourraient à terme évoluer vers un encadrement juridique de la question de la mobilité bancaire à l’instar de la France où</w:t>
      </w:r>
      <w:r w:rsidR="00C50C0A">
        <w:rPr>
          <w:rFonts w:ascii="Book Antiqua" w:hAnsi="Book Antiqua"/>
          <w:sz w:val="22"/>
          <w:szCs w:val="22"/>
        </w:rPr>
        <w:t xml:space="preserve"> </w:t>
      </w:r>
      <w:r>
        <w:rPr>
          <w:rFonts w:ascii="Book Antiqua" w:hAnsi="Book Antiqua"/>
          <w:sz w:val="22"/>
          <w:szCs w:val="22"/>
        </w:rPr>
        <w:t>les établissements bancaires sont assujettis au respect</w:t>
      </w:r>
      <w:r w:rsidR="00F10A44">
        <w:rPr>
          <w:rFonts w:ascii="Book Antiqua" w:hAnsi="Book Antiqua"/>
          <w:sz w:val="22"/>
          <w:szCs w:val="22"/>
        </w:rPr>
        <w:t xml:space="preserve"> </w:t>
      </w:r>
      <w:r>
        <w:rPr>
          <w:rFonts w:ascii="Book Antiqua" w:hAnsi="Book Antiqua"/>
          <w:sz w:val="22"/>
          <w:szCs w:val="22"/>
        </w:rPr>
        <w:t>des dispositions législatives et réglementaires</w:t>
      </w:r>
      <w:r w:rsidR="00915B5E" w:rsidRPr="00463ABD">
        <w:rPr>
          <w:rStyle w:val="Appelnotedebasdep"/>
          <w:rFonts w:ascii="Book Antiqua" w:hAnsi="Book Antiqua"/>
          <w:sz w:val="22"/>
          <w:szCs w:val="22"/>
        </w:rPr>
        <w:footnoteReference w:id="15"/>
      </w:r>
      <w:r>
        <w:rPr>
          <w:rFonts w:ascii="Book Antiqua" w:hAnsi="Book Antiqua"/>
          <w:sz w:val="22"/>
          <w:szCs w:val="22"/>
        </w:rPr>
        <w:t xml:space="preserve">en matière de changement de compte de la clientèle. </w:t>
      </w:r>
    </w:p>
    <w:p w:rsidR="00915B5E" w:rsidRPr="00463ABD" w:rsidRDefault="009E3BD8" w:rsidP="00C01C11">
      <w:pPr>
        <w:spacing w:before="240" w:after="240" w:line="276" w:lineRule="auto"/>
        <w:jc w:val="both"/>
        <w:rPr>
          <w:rFonts w:ascii="Book Antiqua" w:hAnsi="Book Antiqua" w:cs="Book Antiqua"/>
          <w:sz w:val="22"/>
          <w:szCs w:val="22"/>
        </w:rPr>
      </w:pPr>
      <w:r>
        <w:rPr>
          <w:rFonts w:ascii="Book Antiqua" w:hAnsi="Book Antiqua" w:cs="Book Antiqua"/>
          <w:sz w:val="22"/>
          <w:szCs w:val="22"/>
        </w:rPr>
        <w:lastRenderedPageBreak/>
        <w:t>Concernant la banque</w:t>
      </w:r>
      <w:r w:rsidR="00915B5E" w:rsidRPr="00463ABD">
        <w:rPr>
          <w:rFonts w:ascii="Book Antiqua" w:hAnsi="Book Antiqua" w:cs="Book Antiqua"/>
          <w:sz w:val="22"/>
          <w:szCs w:val="22"/>
        </w:rPr>
        <w:t xml:space="preserve"> de départ, il </w:t>
      </w:r>
      <w:r>
        <w:rPr>
          <w:rFonts w:ascii="Book Antiqua" w:hAnsi="Book Antiqua" w:cs="Book Antiqua"/>
          <w:sz w:val="22"/>
          <w:szCs w:val="22"/>
        </w:rPr>
        <w:t xml:space="preserve">lui </w:t>
      </w:r>
      <w:r w:rsidR="00915B5E" w:rsidRPr="00463ABD">
        <w:rPr>
          <w:rFonts w:ascii="Book Antiqua" w:hAnsi="Book Antiqua" w:cs="Book Antiqua"/>
          <w:sz w:val="22"/>
          <w:szCs w:val="22"/>
        </w:rPr>
        <w:t xml:space="preserve">est fait obligation : </w:t>
      </w:r>
    </w:p>
    <w:p w:rsidR="00915B5E" w:rsidRPr="00463ABD" w:rsidRDefault="00915B5E" w:rsidP="007B5000">
      <w:pPr>
        <w:pStyle w:val="Paragraphedeliste"/>
        <w:numPr>
          <w:ilvl w:val="0"/>
          <w:numId w:val="39"/>
        </w:numPr>
        <w:spacing w:before="120" w:after="120" w:line="276" w:lineRule="auto"/>
        <w:ind w:left="568" w:hanging="284"/>
        <w:contextualSpacing w:val="0"/>
        <w:jc w:val="both"/>
        <w:rPr>
          <w:rFonts w:ascii="Book Antiqua" w:hAnsi="Book Antiqua"/>
          <w:sz w:val="22"/>
          <w:szCs w:val="22"/>
        </w:rPr>
      </w:pPr>
      <w:r w:rsidRPr="00463ABD">
        <w:rPr>
          <w:rFonts w:ascii="Book Antiqua" w:hAnsi="Book Antiqua" w:cs="Book Antiqua"/>
          <w:sz w:val="22"/>
          <w:szCs w:val="22"/>
        </w:rPr>
        <w:t xml:space="preserve">de transférer à l’établissement d’arrivée, les informations </w:t>
      </w:r>
      <w:r w:rsidR="009E3BD8">
        <w:rPr>
          <w:rFonts w:ascii="Book Antiqua" w:hAnsi="Book Antiqua" w:cs="Book Antiqua"/>
          <w:sz w:val="22"/>
          <w:szCs w:val="22"/>
        </w:rPr>
        <w:t xml:space="preserve">requises </w:t>
      </w:r>
      <w:r w:rsidRPr="00463ABD">
        <w:rPr>
          <w:rFonts w:ascii="Book Antiqua" w:hAnsi="Book Antiqua" w:cs="Book Antiqua"/>
          <w:sz w:val="22"/>
          <w:szCs w:val="22"/>
        </w:rPr>
        <w:t xml:space="preserve">dans un délai de </w:t>
      </w:r>
      <w:r w:rsidRPr="00463ABD">
        <w:rPr>
          <w:rFonts w:ascii="Book Antiqua" w:hAnsi="Book Antiqua"/>
          <w:sz w:val="22"/>
          <w:szCs w:val="22"/>
        </w:rPr>
        <w:t>cinq (05) jours ouvrés à compter de la réception de la demande</w:t>
      </w:r>
      <w:r w:rsidR="00B97945">
        <w:rPr>
          <w:rFonts w:ascii="Book Antiqua" w:hAnsi="Book Antiqua"/>
          <w:sz w:val="22"/>
          <w:szCs w:val="22"/>
        </w:rPr>
        <w:t xml:space="preserve"> écrite</w:t>
      </w:r>
      <w:r w:rsidR="009E3BD8">
        <w:rPr>
          <w:rFonts w:ascii="Book Antiqua" w:hAnsi="Book Antiqua"/>
          <w:sz w:val="22"/>
          <w:szCs w:val="22"/>
        </w:rPr>
        <w:t xml:space="preserve"> de changement de </w:t>
      </w:r>
      <w:r w:rsidR="00B97945">
        <w:rPr>
          <w:rFonts w:ascii="Book Antiqua" w:hAnsi="Book Antiqua"/>
          <w:sz w:val="22"/>
          <w:szCs w:val="22"/>
        </w:rPr>
        <w:t>domiciliation de revenus</w:t>
      </w:r>
      <w:r w:rsidRPr="00463ABD">
        <w:rPr>
          <w:rFonts w:ascii="Book Antiqua" w:hAnsi="Book Antiqua"/>
          <w:sz w:val="22"/>
          <w:szCs w:val="22"/>
        </w:rPr>
        <w:t> ;</w:t>
      </w:r>
    </w:p>
    <w:p w:rsidR="00915B5E" w:rsidRPr="00463ABD" w:rsidRDefault="00915B5E" w:rsidP="007B5000">
      <w:pPr>
        <w:pStyle w:val="Paragraphedeliste"/>
        <w:numPr>
          <w:ilvl w:val="0"/>
          <w:numId w:val="39"/>
        </w:numPr>
        <w:spacing w:before="120" w:after="120" w:line="276" w:lineRule="auto"/>
        <w:ind w:left="568" w:hanging="284"/>
        <w:contextualSpacing w:val="0"/>
        <w:jc w:val="both"/>
        <w:rPr>
          <w:rFonts w:ascii="Book Antiqua" w:hAnsi="Book Antiqua" w:cs="Calibri"/>
          <w:sz w:val="22"/>
          <w:szCs w:val="22"/>
        </w:rPr>
      </w:pPr>
      <w:r w:rsidRPr="00463ABD">
        <w:rPr>
          <w:rFonts w:ascii="Book Antiqua" w:hAnsi="Book Antiqua" w:cs="Book Antiqua"/>
          <w:sz w:val="22"/>
          <w:szCs w:val="22"/>
        </w:rPr>
        <w:t>d’informer, en cas de clôture de c</w:t>
      </w:r>
      <w:r w:rsidRPr="00463ABD">
        <w:rPr>
          <w:rFonts w:ascii="Book Antiqua" w:hAnsi="Book Antiqua"/>
          <w:sz w:val="22"/>
          <w:szCs w:val="22"/>
        </w:rPr>
        <w:t>ompte demandée par le client, gratuitement et dans un délai de trois</w:t>
      </w:r>
      <w:r w:rsidR="00B97945">
        <w:rPr>
          <w:rFonts w:ascii="Book Antiqua" w:hAnsi="Book Antiqua"/>
          <w:sz w:val="22"/>
          <w:szCs w:val="22"/>
        </w:rPr>
        <w:t xml:space="preserve"> (03)</w:t>
      </w:r>
      <w:r w:rsidRPr="00463ABD">
        <w:rPr>
          <w:rFonts w:ascii="Book Antiqua" w:hAnsi="Book Antiqua"/>
          <w:sz w:val="22"/>
          <w:szCs w:val="22"/>
        </w:rPr>
        <w:t xml:space="preserve"> jours ouvrés, le titulaire du compte clôturé ayant bénéficié du service d’aide à la mobilité de </w:t>
      </w:r>
      <w:r w:rsidRPr="00463ABD">
        <w:rPr>
          <w:rFonts w:ascii="Book Antiqua" w:hAnsi="Book Antiqua" w:cs="Book Antiqua"/>
          <w:sz w:val="22"/>
          <w:szCs w:val="22"/>
        </w:rPr>
        <w:t>la présentation de toute opération de virement ou prélèvement sur le compte clos ;</w:t>
      </w:r>
    </w:p>
    <w:p w:rsidR="00915B5E" w:rsidRPr="00463ABD" w:rsidRDefault="00915B5E" w:rsidP="007B5000">
      <w:pPr>
        <w:pStyle w:val="Paragraphedeliste"/>
        <w:numPr>
          <w:ilvl w:val="0"/>
          <w:numId w:val="39"/>
        </w:numPr>
        <w:spacing w:before="120" w:after="120" w:line="276" w:lineRule="auto"/>
        <w:ind w:left="568" w:hanging="284"/>
        <w:contextualSpacing w:val="0"/>
        <w:jc w:val="both"/>
        <w:rPr>
          <w:rFonts w:ascii="Book Antiqua" w:hAnsi="Book Antiqua" w:cs="Calibri"/>
          <w:sz w:val="22"/>
          <w:szCs w:val="22"/>
        </w:rPr>
      </w:pPr>
      <w:r w:rsidRPr="00463ABD">
        <w:rPr>
          <w:rFonts w:ascii="Book Antiqua" w:hAnsi="Book Antiqua" w:cs="Calibri"/>
          <w:sz w:val="22"/>
          <w:szCs w:val="22"/>
        </w:rPr>
        <w:t xml:space="preserve">de </w:t>
      </w:r>
      <w:r w:rsidRPr="00463ABD">
        <w:rPr>
          <w:rFonts w:ascii="Book Antiqua" w:hAnsi="Book Antiqua" w:cs="Book Antiqua"/>
          <w:sz w:val="22"/>
          <w:szCs w:val="22"/>
        </w:rPr>
        <w:t xml:space="preserve">clôturer le compte d’origine et de transférer sur le compte ouvert auprès de </w:t>
      </w:r>
      <w:r w:rsidRPr="00463ABD">
        <w:rPr>
          <w:rFonts w:ascii="Book Antiqua" w:hAnsi="Book Antiqua"/>
          <w:sz w:val="22"/>
          <w:szCs w:val="22"/>
        </w:rPr>
        <w:t>l’établissement d’arrivée</w:t>
      </w:r>
      <w:r w:rsidR="00B97945">
        <w:rPr>
          <w:rFonts w:ascii="Book Antiqua" w:hAnsi="Book Antiqua"/>
          <w:sz w:val="22"/>
          <w:szCs w:val="22"/>
        </w:rPr>
        <w:t>,</w:t>
      </w:r>
      <w:r w:rsidRPr="00463ABD">
        <w:rPr>
          <w:rFonts w:ascii="Book Antiqua" w:hAnsi="Book Antiqua"/>
          <w:sz w:val="22"/>
          <w:szCs w:val="22"/>
        </w:rPr>
        <w:t xml:space="preserve"> le solde positif éventuel du compte d’origine, à la date indiquée dans l’accord formel du client ;</w:t>
      </w:r>
    </w:p>
    <w:p w:rsidR="00915B5E" w:rsidRPr="00463ABD" w:rsidRDefault="00915B5E" w:rsidP="007B5000">
      <w:pPr>
        <w:pStyle w:val="Paragraphedeliste"/>
        <w:numPr>
          <w:ilvl w:val="0"/>
          <w:numId w:val="38"/>
        </w:numPr>
        <w:spacing w:before="120" w:after="120" w:line="276" w:lineRule="auto"/>
        <w:ind w:left="568" w:hanging="284"/>
        <w:contextualSpacing w:val="0"/>
        <w:jc w:val="both"/>
        <w:rPr>
          <w:rFonts w:ascii="Book Antiqua" w:hAnsi="Book Antiqua"/>
          <w:sz w:val="22"/>
          <w:szCs w:val="22"/>
        </w:rPr>
      </w:pPr>
      <w:r w:rsidRPr="00463ABD">
        <w:rPr>
          <w:rFonts w:ascii="Book Antiqua" w:hAnsi="Book Antiqua" w:cs="Book Antiqua"/>
          <w:sz w:val="22"/>
          <w:szCs w:val="22"/>
        </w:rPr>
        <w:t>d’informer le ca</w:t>
      </w:r>
      <w:r w:rsidRPr="00463ABD">
        <w:rPr>
          <w:rFonts w:ascii="Book Antiqua" w:hAnsi="Book Antiqua"/>
          <w:sz w:val="22"/>
          <w:szCs w:val="22"/>
        </w:rPr>
        <w:t>s échéant, le client des obligations en suspens ou de toute autre circonstance de nature à empêcher le transfert du solde et la clôture du compte.</w:t>
      </w:r>
    </w:p>
    <w:p w:rsidR="00915B5E" w:rsidRPr="00463ABD" w:rsidRDefault="00C032D5" w:rsidP="00C01C11">
      <w:pPr>
        <w:spacing w:before="240" w:after="240" w:line="276" w:lineRule="auto"/>
        <w:jc w:val="both"/>
        <w:rPr>
          <w:rFonts w:ascii="Book Antiqua" w:hAnsi="Book Antiqua"/>
          <w:sz w:val="22"/>
          <w:szCs w:val="22"/>
        </w:rPr>
      </w:pPr>
      <w:r>
        <w:rPr>
          <w:rFonts w:ascii="Book Antiqua" w:hAnsi="Book Antiqua"/>
          <w:sz w:val="22"/>
          <w:szCs w:val="22"/>
        </w:rPr>
        <w:t>Par ailleurs, l</w:t>
      </w:r>
      <w:r w:rsidR="00915B5E" w:rsidRPr="00463ABD">
        <w:rPr>
          <w:rFonts w:ascii="Book Antiqua" w:hAnsi="Book Antiqua"/>
          <w:sz w:val="22"/>
          <w:szCs w:val="22"/>
        </w:rPr>
        <w:t>es obligations légales</w:t>
      </w:r>
      <w:r>
        <w:rPr>
          <w:rFonts w:ascii="Book Antiqua" w:hAnsi="Book Antiqua"/>
          <w:sz w:val="22"/>
          <w:szCs w:val="22"/>
        </w:rPr>
        <w:t xml:space="preserve"> qui s’impose</w:t>
      </w:r>
      <w:r w:rsidR="00915B5E" w:rsidRPr="00463ABD">
        <w:rPr>
          <w:rFonts w:ascii="Book Antiqua" w:hAnsi="Book Antiqua"/>
          <w:sz w:val="22"/>
          <w:szCs w:val="22"/>
        </w:rPr>
        <w:t xml:space="preserve">nt aux banques d’arrivée </w:t>
      </w:r>
      <w:r>
        <w:rPr>
          <w:rFonts w:ascii="Book Antiqua" w:hAnsi="Book Antiqua"/>
          <w:sz w:val="22"/>
          <w:szCs w:val="22"/>
        </w:rPr>
        <w:t>consistent à</w:t>
      </w:r>
      <w:r w:rsidR="00915B5E" w:rsidRPr="00463ABD">
        <w:rPr>
          <w:rFonts w:ascii="Book Antiqua" w:hAnsi="Book Antiqua"/>
          <w:sz w:val="22"/>
          <w:szCs w:val="22"/>
        </w:rPr>
        <w:t> :</w:t>
      </w:r>
    </w:p>
    <w:p w:rsidR="00915B5E" w:rsidRPr="00B97945" w:rsidRDefault="00915B5E" w:rsidP="007B5000">
      <w:pPr>
        <w:pStyle w:val="Paragraphedeliste"/>
        <w:numPr>
          <w:ilvl w:val="0"/>
          <w:numId w:val="51"/>
        </w:numPr>
        <w:spacing w:before="120" w:after="120" w:line="276" w:lineRule="auto"/>
        <w:ind w:left="567" w:hanging="283"/>
        <w:contextualSpacing w:val="0"/>
        <w:jc w:val="both"/>
        <w:rPr>
          <w:rFonts w:ascii="Book Antiqua" w:hAnsi="Book Antiqua"/>
          <w:sz w:val="22"/>
          <w:szCs w:val="22"/>
        </w:rPr>
      </w:pPr>
      <w:r w:rsidRPr="00B97945">
        <w:rPr>
          <w:rFonts w:ascii="Book Antiqua" w:hAnsi="Book Antiqua"/>
          <w:sz w:val="22"/>
          <w:szCs w:val="22"/>
        </w:rPr>
        <w:t xml:space="preserve">proposer au client, gratuitement et sans condition, un service d’aide à la mobilité bancaire permettant un changement automatisé des domiciliations bancaires, vers le nouveau compte, </w:t>
      </w:r>
      <w:r w:rsidR="00382E70">
        <w:rPr>
          <w:rFonts w:ascii="Book Antiqua" w:hAnsi="Book Antiqua"/>
          <w:sz w:val="22"/>
          <w:szCs w:val="22"/>
        </w:rPr>
        <w:t xml:space="preserve">de manière à assurer le transfert diligent des </w:t>
      </w:r>
      <w:r w:rsidRPr="00B97945">
        <w:rPr>
          <w:rFonts w:ascii="Book Antiqua" w:hAnsi="Book Antiqua"/>
          <w:sz w:val="22"/>
          <w:szCs w:val="22"/>
        </w:rPr>
        <w:t xml:space="preserve">prélèvements </w:t>
      </w:r>
      <w:r w:rsidR="00382E70">
        <w:rPr>
          <w:rFonts w:ascii="Book Antiqua" w:hAnsi="Book Antiqua"/>
          <w:sz w:val="22"/>
          <w:szCs w:val="22"/>
        </w:rPr>
        <w:t>et virements récurrents opérés sur le</w:t>
      </w:r>
      <w:r w:rsidRPr="00B97945">
        <w:rPr>
          <w:rFonts w:ascii="Book Antiqua" w:hAnsi="Book Antiqua"/>
          <w:sz w:val="22"/>
          <w:szCs w:val="22"/>
        </w:rPr>
        <w:t xml:space="preserve"> compte d’origine ;</w:t>
      </w:r>
    </w:p>
    <w:p w:rsidR="00915B5E" w:rsidRPr="00463ABD" w:rsidRDefault="00915B5E" w:rsidP="007B5000">
      <w:pPr>
        <w:pStyle w:val="Paragraphedeliste"/>
        <w:numPr>
          <w:ilvl w:val="0"/>
          <w:numId w:val="40"/>
        </w:numPr>
        <w:spacing w:before="120" w:after="120" w:line="276" w:lineRule="auto"/>
        <w:ind w:left="567" w:hanging="283"/>
        <w:contextualSpacing w:val="0"/>
        <w:jc w:val="both"/>
        <w:rPr>
          <w:rFonts w:ascii="Book Antiqua" w:hAnsi="Book Antiqua"/>
          <w:sz w:val="22"/>
          <w:szCs w:val="22"/>
        </w:rPr>
      </w:pPr>
      <w:r w:rsidRPr="00463ABD">
        <w:rPr>
          <w:rFonts w:ascii="Book Antiqua" w:hAnsi="Book Antiqua"/>
          <w:sz w:val="22"/>
          <w:szCs w:val="22"/>
        </w:rPr>
        <w:t>recueillir son accord formel pour effectuer en son nom</w:t>
      </w:r>
      <w:r w:rsidR="00DC0139">
        <w:rPr>
          <w:rFonts w:ascii="Book Antiqua" w:hAnsi="Book Antiqua"/>
          <w:sz w:val="22"/>
          <w:szCs w:val="22"/>
        </w:rPr>
        <w:t>, les formalités liées au</w:t>
      </w:r>
      <w:r w:rsidRPr="00463ABD">
        <w:rPr>
          <w:rFonts w:ascii="Book Antiqua" w:hAnsi="Book Antiqua"/>
          <w:sz w:val="22"/>
          <w:szCs w:val="22"/>
        </w:rPr>
        <w:t xml:space="preserve"> changement de domiciliation bancaire afin que les virements récurrents et prélèvements valides se pr</w:t>
      </w:r>
      <w:r w:rsidR="003A6F45">
        <w:rPr>
          <w:rFonts w:ascii="Book Antiqua" w:hAnsi="Book Antiqua"/>
          <w:sz w:val="22"/>
          <w:szCs w:val="22"/>
        </w:rPr>
        <w:t>ésentent sur le nouveau compte ;</w:t>
      </w:r>
    </w:p>
    <w:p w:rsidR="00915B5E" w:rsidRPr="00463ABD" w:rsidRDefault="00DC0139" w:rsidP="007B5000">
      <w:pPr>
        <w:pStyle w:val="Paragraphedeliste"/>
        <w:numPr>
          <w:ilvl w:val="0"/>
          <w:numId w:val="40"/>
        </w:numPr>
        <w:spacing w:before="120" w:after="120" w:line="276" w:lineRule="auto"/>
        <w:ind w:left="567" w:hanging="283"/>
        <w:contextualSpacing w:val="0"/>
        <w:jc w:val="both"/>
        <w:rPr>
          <w:rFonts w:ascii="Book Antiqua" w:hAnsi="Book Antiqua"/>
          <w:sz w:val="22"/>
          <w:szCs w:val="22"/>
        </w:rPr>
      </w:pPr>
      <w:r>
        <w:rPr>
          <w:rFonts w:ascii="Book Antiqua" w:hAnsi="Book Antiqua"/>
          <w:sz w:val="22"/>
          <w:szCs w:val="22"/>
        </w:rPr>
        <w:t xml:space="preserve">recueillir </w:t>
      </w:r>
      <w:r w:rsidR="00915B5E" w:rsidRPr="00463ABD">
        <w:rPr>
          <w:rFonts w:ascii="Book Antiqua" w:hAnsi="Book Antiqua"/>
          <w:sz w:val="22"/>
          <w:szCs w:val="22"/>
        </w:rPr>
        <w:t>les coordonnées bancaires de son établissement de départ au travers de son relevé d’identité bancaire</w:t>
      </w:r>
      <w:r>
        <w:rPr>
          <w:rFonts w:ascii="Book Antiqua" w:hAnsi="Book Antiqua"/>
          <w:sz w:val="22"/>
          <w:szCs w:val="22"/>
        </w:rPr>
        <w:t xml:space="preserve"> (RIB)</w:t>
      </w:r>
      <w:r w:rsidR="00915B5E" w:rsidRPr="00463ABD">
        <w:rPr>
          <w:rFonts w:ascii="Book Antiqua" w:hAnsi="Book Antiqua"/>
          <w:sz w:val="22"/>
          <w:szCs w:val="22"/>
        </w:rPr>
        <w:t> ;</w:t>
      </w:r>
    </w:p>
    <w:p w:rsidR="00915B5E" w:rsidRPr="00463ABD" w:rsidRDefault="00915B5E" w:rsidP="007B5000">
      <w:pPr>
        <w:pStyle w:val="Paragraphedeliste"/>
        <w:numPr>
          <w:ilvl w:val="0"/>
          <w:numId w:val="40"/>
        </w:numPr>
        <w:spacing w:before="120" w:after="120" w:line="276" w:lineRule="auto"/>
        <w:ind w:left="567" w:hanging="283"/>
        <w:contextualSpacing w:val="0"/>
        <w:jc w:val="both"/>
        <w:rPr>
          <w:rFonts w:ascii="Book Antiqua" w:hAnsi="Book Antiqua"/>
          <w:sz w:val="22"/>
          <w:szCs w:val="22"/>
        </w:rPr>
      </w:pPr>
      <w:r w:rsidRPr="00463ABD">
        <w:rPr>
          <w:rFonts w:ascii="Book Antiqua" w:hAnsi="Book Antiqua"/>
          <w:sz w:val="22"/>
          <w:szCs w:val="22"/>
        </w:rPr>
        <w:t>solliciter de l’établissement de départ, dans un délai de deux</w:t>
      </w:r>
      <w:r w:rsidR="00DC0139">
        <w:rPr>
          <w:rFonts w:ascii="Book Antiqua" w:hAnsi="Book Antiqua"/>
          <w:sz w:val="22"/>
          <w:szCs w:val="22"/>
        </w:rPr>
        <w:t xml:space="preserve"> (02)</w:t>
      </w:r>
      <w:r w:rsidRPr="00463ABD">
        <w:rPr>
          <w:rFonts w:ascii="Book Antiqua" w:hAnsi="Book Antiqua"/>
          <w:sz w:val="22"/>
          <w:szCs w:val="22"/>
        </w:rPr>
        <w:t xml:space="preserve"> jours ouvrés, le transfert des informations relatives aux mandats de prélèvements valides et aux virements récurrents ayant été reçus sur ce compte au cours des treize derniers mois ;  </w:t>
      </w:r>
    </w:p>
    <w:p w:rsidR="00915B5E" w:rsidRPr="00463ABD" w:rsidRDefault="00915B5E" w:rsidP="007B5000">
      <w:pPr>
        <w:pStyle w:val="Paragraphedeliste"/>
        <w:numPr>
          <w:ilvl w:val="0"/>
          <w:numId w:val="40"/>
        </w:numPr>
        <w:spacing w:before="120" w:after="120" w:line="276" w:lineRule="auto"/>
        <w:ind w:left="567" w:hanging="283"/>
        <w:contextualSpacing w:val="0"/>
        <w:jc w:val="both"/>
        <w:rPr>
          <w:rFonts w:ascii="Book Antiqua" w:hAnsi="Book Antiqua"/>
          <w:sz w:val="22"/>
          <w:szCs w:val="22"/>
        </w:rPr>
      </w:pPr>
      <w:r w:rsidRPr="00463ABD">
        <w:rPr>
          <w:rFonts w:ascii="Book Antiqua" w:hAnsi="Book Antiqua"/>
          <w:sz w:val="22"/>
          <w:szCs w:val="22"/>
        </w:rPr>
        <w:t xml:space="preserve">informer son client de la liste </w:t>
      </w:r>
      <w:r w:rsidR="00DC0139" w:rsidRPr="00463ABD">
        <w:rPr>
          <w:rFonts w:ascii="Book Antiqua" w:hAnsi="Book Antiqua"/>
          <w:sz w:val="22"/>
          <w:szCs w:val="22"/>
        </w:rPr>
        <w:t>transmis</w:t>
      </w:r>
      <w:r w:rsidR="00DC0139">
        <w:rPr>
          <w:rFonts w:ascii="Book Antiqua" w:hAnsi="Book Antiqua"/>
          <w:sz w:val="22"/>
          <w:szCs w:val="22"/>
        </w:rPr>
        <w:t xml:space="preserve">e par l’établissement de départ, </w:t>
      </w:r>
      <w:r w:rsidRPr="00463ABD">
        <w:rPr>
          <w:rFonts w:ascii="Book Antiqua" w:hAnsi="Book Antiqua"/>
          <w:sz w:val="22"/>
          <w:szCs w:val="22"/>
        </w:rPr>
        <w:t>des opérations pour lesquelles le changement de domiciliation a été envoyé à ses créanciers et débiteurs</w:t>
      </w:r>
      <w:r w:rsidR="00DC0139">
        <w:rPr>
          <w:rFonts w:ascii="Book Antiqua" w:hAnsi="Book Antiqua"/>
          <w:sz w:val="22"/>
          <w:szCs w:val="22"/>
        </w:rPr>
        <w:t>,</w:t>
      </w:r>
      <w:r w:rsidRPr="00463ABD">
        <w:rPr>
          <w:rFonts w:ascii="Book Antiqua" w:hAnsi="Book Antiqua"/>
          <w:sz w:val="22"/>
          <w:szCs w:val="22"/>
        </w:rPr>
        <w:t xml:space="preserve"> des for</w:t>
      </w:r>
      <w:r w:rsidR="00DC0139">
        <w:rPr>
          <w:rFonts w:ascii="Book Antiqua" w:hAnsi="Book Antiqua"/>
          <w:sz w:val="22"/>
          <w:szCs w:val="22"/>
        </w:rPr>
        <w:t>mules de chèques non débitées ainsi que des virements permanents émis ;</w:t>
      </w:r>
    </w:p>
    <w:p w:rsidR="00915B5E" w:rsidRPr="00463ABD" w:rsidRDefault="00915B5E" w:rsidP="007B5000">
      <w:pPr>
        <w:pStyle w:val="Paragraphedeliste"/>
        <w:numPr>
          <w:ilvl w:val="0"/>
          <w:numId w:val="40"/>
        </w:numPr>
        <w:spacing w:before="120" w:after="120" w:line="276" w:lineRule="auto"/>
        <w:ind w:left="567" w:hanging="283"/>
        <w:contextualSpacing w:val="0"/>
        <w:jc w:val="both"/>
        <w:rPr>
          <w:rFonts w:ascii="Book Antiqua" w:hAnsi="Book Antiqua"/>
          <w:sz w:val="22"/>
          <w:szCs w:val="22"/>
        </w:rPr>
      </w:pPr>
      <w:r w:rsidRPr="00463ABD">
        <w:rPr>
          <w:rFonts w:ascii="Book Antiqua" w:hAnsi="Book Antiqua"/>
          <w:sz w:val="22"/>
          <w:szCs w:val="22"/>
        </w:rPr>
        <w:t>informer le client des conséquences associées à un incident de paiement en cas d’approvisionnement insuffisant de son compte dans l’établissement de départ, s’il fait le choix de ne pas le clôturer.</w:t>
      </w:r>
    </w:p>
    <w:p w:rsidR="00CD6B34" w:rsidRPr="00CD6B34" w:rsidRDefault="00A8674F" w:rsidP="00C01C11">
      <w:pPr>
        <w:spacing w:before="240" w:after="240" w:line="276" w:lineRule="auto"/>
        <w:jc w:val="both"/>
        <w:rPr>
          <w:rFonts w:ascii="Book Antiqua" w:hAnsi="Book Antiqua" w:cs="Arial"/>
          <w:bCs/>
          <w:sz w:val="22"/>
          <w:szCs w:val="22"/>
        </w:rPr>
      </w:pPr>
      <w:r>
        <w:rPr>
          <w:rFonts w:ascii="Book Antiqua" w:hAnsi="Book Antiqua" w:cs="Arial"/>
          <w:color w:val="000000"/>
          <w:sz w:val="22"/>
          <w:szCs w:val="22"/>
        </w:rPr>
        <w:t xml:space="preserve">Le dispositif </w:t>
      </w:r>
      <w:proofErr w:type="spellStart"/>
      <w:r>
        <w:rPr>
          <w:rFonts w:ascii="Book Antiqua" w:hAnsi="Book Antiqua" w:cs="Arial"/>
          <w:color w:val="000000"/>
          <w:sz w:val="22"/>
          <w:szCs w:val="22"/>
        </w:rPr>
        <w:t>susévoqué</w:t>
      </w:r>
      <w:proofErr w:type="spellEnd"/>
      <w:r>
        <w:rPr>
          <w:rFonts w:ascii="Book Antiqua" w:hAnsi="Book Antiqua" w:cs="Arial"/>
          <w:color w:val="000000"/>
          <w:sz w:val="22"/>
          <w:szCs w:val="22"/>
        </w:rPr>
        <w:t xml:space="preserve"> pourrait être complété par des mesures visant</w:t>
      </w:r>
      <w:r w:rsidR="00504311">
        <w:rPr>
          <w:rFonts w:ascii="Book Antiqua" w:hAnsi="Book Antiqua" w:cs="Arial"/>
          <w:color w:val="000000"/>
          <w:sz w:val="22"/>
          <w:szCs w:val="22"/>
        </w:rPr>
        <w:t xml:space="preserve"> à rationaliser d’une part,</w:t>
      </w:r>
      <w:r>
        <w:rPr>
          <w:rFonts w:ascii="Book Antiqua" w:hAnsi="Book Antiqua" w:cs="Arial"/>
          <w:color w:val="000000"/>
          <w:sz w:val="22"/>
          <w:szCs w:val="22"/>
        </w:rPr>
        <w:t xml:space="preserve"> sensiblement les </w:t>
      </w:r>
      <w:r w:rsidR="00504311">
        <w:rPr>
          <w:rFonts w:ascii="Book Antiqua" w:hAnsi="Book Antiqua" w:cs="Arial"/>
          <w:color w:val="000000"/>
          <w:sz w:val="22"/>
          <w:szCs w:val="22"/>
        </w:rPr>
        <w:t>coûts</w:t>
      </w:r>
      <w:r w:rsidR="00915B5E" w:rsidRPr="00463ABD">
        <w:rPr>
          <w:rFonts w:ascii="Book Antiqua" w:hAnsi="Book Antiqua" w:cs="Arial"/>
          <w:color w:val="000000"/>
          <w:sz w:val="22"/>
          <w:szCs w:val="22"/>
        </w:rPr>
        <w:t xml:space="preserve"> administratifs et en particulier </w:t>
      </w:r>
      <w:r w:rsidR="00504311">
        <w:rPr>
          <w:rFonts w:ascii="Book Antiqua" w:hAnsi="Book Antiqua" w:cs="Arial"/>
          <w:color w:val="000000"/>
          <w:sz w:val="22"/>
          <w:szCs w:val="22"/>
        </w:rPr>
        <w:t>les</w:t>
      </w:r>
      <w:r w:rsidR="00915B5E" w:rsidRPr="00463ABD">
        <w:rPr>
          <w:rFonts w:ascii="Book Antiqua" w:hAnsi="Book Antiqua" w:cs="Arial"/>
          <w:color w:val="000000"/>
          <w:sz w:val="22"/>
          <w:szCs w:val="22"/>
        </w:rPr>
        <w:t xml:space="preserve"> prélèvements pour </w:t>
      </w:r>
      <w:r w:rsidR="00915B5E" w:rsidRPr="00463ABD">
        <w:rPr>
          <w:rFonts w:ascii="Book Antiqua" w:hAnsi="Book Antiqua" w:cs="Arial"/>
          <w:bCs/>
          <w:sz w:val="22"/>
          <w:szCs w:val="22"/>
        </w:rPr>
        <w:t>la délivrance d’attestations  d’engagement et de non engagement</w:t>
      </w:r>
      <w:r w:rsidR="00504311">
        <w:rPr>
          <w:rFonts w:ascii="Book Antiqua" w:hAnsi="Book Antiqua" w:cs="Arial"/>
          <w:bCs/>
          <w:sz w:val="22"/>
          <w:szCs w:val="22"/>
        </w:rPr>
        <w:t xml:space="preserve"> et d’autre part, les</w:t>
      </w:r>
      <w:r w:rsidR="00915B5E" w:rsidRPr="00463ABD">
        <w:rPr>
          <w:rFonts w:ascii="Book Antiqua" w:hAnsi="Book Antiqua" w:cs="Arial"/>
          <w:bCs/>
          <w:sz w:val="22"/>
          <w:szCs w:val="22"/>
        </w:rPr>
        <w:t xml:space="preserve"> pénalités encourues en cas de rachat de crédit. </w:t>
      </w:r>
    </w:p>
    <w:p w:rsidR="007B5000" w:rsidRDefault="007B5000">
      <w:pPr>
        <w:spacing w:after="200" w:line="276" w:lineRule="auto"/>
        <w:rPr>
          <w:rFonts w:ascii="Book Antiqua" w:hAnsi="Book Antiqua"/>
          <w:b/>
          <w:sz w:val="22"/>
          <w:szCs w:val="22"/>
        </w:rPr>
      </w:pPr>
      <w:r>
        <w:rPr>
          <w:rFonts w:ascii="Book Antiqua" w:hAnsi="Book Antiqua"/>
          <w:b/>
          <w:sz w:val="22"/>
          <w:szCs w:val="22"/>
        </w:rPr>
        <w:br w:type="page"/>
      </w:r>
    </w:p>
    <w:p w:rsidR="00915B5E" w:rsidRPr="00463ABD" w:rsidRDefault="00915B5E" w:rsidP="00C01C11">
      <w:pPr>
        <w:spacing w:before="240" w:after="240" w:line="276" w:lineRule="auto"/>
        <w:jc w:val="both"/>
        <w:rPr>
          <w:rFonts w:ascii="Book Antiqua" w:hAnsi="Book Antiqua"/>
          <w:b/>
          <w:sz w:val="22"/>
          <w:szCs w:val="22"/>
        </w:rPr>
      </w:pPr>
      <w:r w:rsidRPr="00463ABD">
        <w:rPr>
          <w:rFonts w:ascii="Book Antiqua" w:hAnsi="Book Antiqua"/>
          <w:b/>
          <w:sz w:val="22"/>
          <w:szCs w:val="22"/>
        </w:rPr>
        <w:lastRenderedPageBreak/>
        <w:t>R.2. Améliorer la qualité de fonctionnement des GAB et des services monétiques</w:t>
      </w:r>
    </w:p>
    <w:p w:rsidR="00F04BB2" w:rsidRPr="00D71C0A" w:rsidRDefault="00915B5E" w:rsidP="00C01C11">
      <w:pPr>
        <w:spacing w:before="240" w:after="240" w:line="276" w:lineRule="auto"/>
        <w:jc w:val="both"/>
        <w:rPr>
          <w:rFonts w:ascii="Book Antiqua" w:hAnsi="Book Antiqua"/>
          <w:sz w:val="22"/>
          <w:szCs w:val="22"/>
        </w:rPr>
      </w:pPr>
      <w:r w:rsidRPr="00463ABD">
        <w:rPr>
          <w:rFonts w:ascii="Book Antiqua" w:hAnsi="Book Antiqua"/>
          <w:sz w:val="22"/>
          <w:szCs w:val="22"/>
        </w:rPr>
        <w:t>L’exploitation</w:t>
      </w:r>
      <w:r w:rsidR="00DE647A">
        <w:rPr>
          <w:rFonts w:ascii="Book Antiqua" w:hAnsi="Book Antiqua"/>
          <w:sz w:val="22"/>
          <w:szCs w:val="22"/>
        </w:rPr>
        <w:t xml:space="preserve"> des statistiques de l’ESUB</w:t>
      </w:r>
      <w:r w:rsidR="00C50C0A">
        <w:rPr>
          <w:rFonts w:ascii="Book Antiqua" w:hAnsi="Book Antiqua"/>
          <w:sz w:val="22"/>
          <w:szCs w:val="22"/>
        </w:rPr>
        <w:t xml:space="preserve"> </w:t>
      </w:r>
      <w:r w:rsidRPr="00463ABD">
        <w:rPr>
          <w:rFonts w:ascii="Book Antiqua" w:hAnsi="Book Antiqua"/>
          <w:sz w:val="22"/>
          <w:szCs w:val="22"/>
        </w:rPr>
        <w:t>fait ressortir un niveau très élevé de</w:t>
      </w:r>
      <w:r w:rsidR="00D71C0A">
        <w:rPr>
          <w:rFonts w:ascii="Book Antiqua" w:hAnsi="Book Antiqua"/>
          <w:sz w:val="22"/>
          <w:szCs w:val="22"/>
        </w:rPr>
        <w:t>s</w:t>
      </w:r>
      <w:r w:rsidRPr="00463ABD">
        <w:rPr>
          <w:rFonts w:ascii="Book Antiqua" w:hAnsi="Book Antiqua"/>
          <w:sz w:val="22"/>
          <w:szCs w:val="22"/>
        </w:rPr>
        <w:t xml:space="preserve"> récriminations </w:t>
      </w:r>
      <w:r w:rsidR="00D71C0A">
        <w:rPr>
          <w:rFonts w:ascii="Book Antiqua" w:hAnsi="Book Antiqua"/>
          <w:sz w:val="22"/>
          <w:szCs w:val="22"/>
        </w:rPr>
        <w:t>(</w:t>
      </w:r>
      <w:r w:rsidR="00D71C0A" w:rsidRPr="00463ABD">
        <w:rPr>
          <w:rFonts w:ascii="Book Antiqua" w:hAnsi="Book Antiqua"/>
          <w:sz w:val="22"/>
          <w:szCs w:val="22"/>
        </w:rPr>
        <w:t>94,9%</w:t>
      </w:r>
      <w:r w:rsidR="00D71C0A">
        <w:rPr>
          <w:rFonts w:ascii="Book Antiqua" w:hAnsi="Book Antiqua"/>
          <w:sz w:val="22"/>
          <w:szCs w:val="22"/>
        </w:rPr>
        <w:t>)</w:t>
      </w:r>
      <w:r w:rsidR="00C50C0A">
        <w:rPr>
          <w:rFonts w:ascii="Book Antiqua" w:hAnsi="Book Antiqua"/>
          <w:sz w:val="22"/>
          <w:szCs w:val="22"/>
        </w:rPr>
        <w:t xml:space="preserve"> </w:t>
      </w:r>
      <w:r w:rsidRPr="00463ABD">
        <w:rPr>
          <w:rFonts w:ascii="Book Antiqua" w:hAnsi="Book Antiqua"/>
          <w:sz w:val="22"/>
          <w:szCs w:val="22"/>
        </w:rPr>
        <w:t xml:space="preserve">des </w:t>
      </w:r>
      <w:r w:rsidR="00D71C0A">
        <w:rPr>
          <w:rFonts w:ascii="Book Antiqua" w:hAnsi="Book Antiqua"/>
          <w:sz w:val="22"/>
          <w:szCs w:val="22"/>
        </w:rPr>
        <w:t>enquêtés</w:t>
      </w:r>
      <w:r w:rsidRPr="00463ABD">
        <w:rPr>
          <w:rFonts w:ascii="Book Antiqua" w:hAnsi="Book Antiqua"/>
          <w:sz w:val="22"/>
          <w:szCs w:val="22"/>
        </w:rPr>
        <w:t xml:space="preserve"> sur le fonctionnement des GAB de leurs banque</w:t>
      </w:r>
      <w:r w:rsidR="00D71C0A">
        <w:rPr>
          <w:rFonts w:ascii="Book Antiqua" w:hAnsi="Book Antiqua"/>
          <w:sz w:val="22"/>
          <w:szCs w:val="22"/>
        </w:rPr>
        <w:t xml:space="preserve">s. </w:t>
      </w:r>
      <w:r w:rsidR="00D71C0A">
        <w:rPr>
          <w:rFonts w:ascii="Book Antiqua" w:hAnsi="Book Antiqua" w:cs="Arial"/>
          <w:sz w:val="22"/>
          <w:szCs w:val="22"/>
        </w:rPr>
        <w:t>Les principales causes à l’origine de ces dysfonctionnements</w:t>
      </w:r>
      <w:r w:rsidR="000A2103">
        <w:rPr>
          <w:rFonts w:ascii="Book Antiqua" w:hAnsi="Book Antiqua" w:cs="Arial"/>
          <w:sz w:val="22"/>
          <w:szCs w:val="22"/>
        </w:rPr>
        <w:t xml:space="preserve"> identifiés</w:t>
      </w:r>
      <w:r w:rsidR="00C50C0A">
        <w:rPr>
          <w:rFonts w:ascii="Book Antiqua" w:hAnsi="Book Antiqua" w:cs="Arial"/>
          <w:sz w:val="22"/>
          <w:szCs w:val="22"/>
        </w:rPr>
        <w:t xml:space="preserve"> </w:t>
      </w:r>
      <w:r w:rsidR="000A2103">
        <w:rPr>
          <w:rFonts w:ascii="Book Antiqua" w:hAnsi="Book Antiqua" w:cs="Arial"/>
          <w:sz w:val="22"/>
          <w:szCs w:val="22"/>
        </w:rPr>
        <w:t>sont</w:t>
      </w:r>
      <w:r w:rsidR="00D71C0A">
        <w:rPr>
          <w:rFonts w:ascii="Book Antiqua" w:hAnsi="Book Antiqua" w:cs="Arial"/>
          <w:sz w:val="22"/>
          <w:szCs w:val="22"/>
        </w:rPr>
        <w:t xml:space="preserve"> la perte de réseau, le défaut d’approvisionnement en espèces et la défaillance technique du système. </w:t>
      </w:r>
    </w:p>
    <w:p w:rsidR="000A2103" w:rsidRDefault="000A2103" w:rsidP="00C01C11">
      <w:pPr>
        <w:spacing w:before="240" w:after="240" w:line="276" w:lineRule="auto"/>
        <w:jc w:val="both"/>
        <w:rPr>
          <w:rFonts w:ascii="Book Antiqua" w:hAnsi="Book Antiqua"/>
          <w:sz w:val="22"/>
          <w:szCs w:val="22"/>
        </w:rPr>
      </w:pPr>
      <w:r>
        <w:rPr>
          <w:rFonts w:ascii="Book Antiqua" w:hAnsi="Book Antiqua"/>
          <w:sz w:val="22"/>
          <w:szCs w:val="22"/>
        </w:rPr>
        <w:t xml:space="preserve">Pour lever ces anomalies préjudiciables aux intérêts de la clientèle, les banques gagneraient à améliorer la qualité de services en la matière  et à </w:t>
      </w:r>
      <w:r w:rsidR="00915B5E" w:rsidRPr="00463ABD">
        <w:rPr>
          <w:rFonts w:ascii="Book Antiqua" w:hAnsi="Book Antiqua"/>
          <w:sz w:val="22"/>
          <w:szCs w:val="22"/>
        </w:rPr>
        <w:t xml:space="preserve">cet égard, </w:t>
      </w:r>
      <w:r>
        <w:rPr>
          <w:rFonts w:ascii="Book Antiqua" w:hAnsi="Book Antiqua"/>
          <w:sz w:val="22"/>
          <w:szCs w:val="22"/>
        </w:rPr>
        <w:t xml:space="preserve">la prise des mesures ci-dessous seraient souhaitables : </w:t>
      </w:r>
    </w:p>
    <w:p w:rsidR="00D71C0A" w:rsidRPr="000A2103" w:rsidRDefault="00D91DB9" w:rsidP="007B5000">
      <w:pPr>
        <w:pStyle w:val="Paragraphedeliste"/>
        <w:numPr>
          <w:ilvl w:val="0"/>
          <w:numId w:val="40"/>
        </w:numPr>
        <w:spacing w:before="120" w:after="120" w:line="276" w:lineRule="auto"/>
        <w:ind w:left="568" w:hanging="284"/>
        <w:contextualSpacing w:val="0"/>
        <w:jc w:val="both"/>
        <w:rPr>
          <w:rFonts w:ascii="Book Antiqua" w:hAnsi="Book Antiqua" w:cs="Arial"/>
          <w:sz w:val="22"/>
          <w:szCs w:val="22"/>
        </w:rPr>
      </w:pPr>
      <w:r>
        <w:rPr>
          <w:rFonts w:ascii="Book Antiqua" w:hAnsi="Book Antiqua" w:cs="Arial"/>
          <w:sz w:val="22"/>
          <w:szCs w:val="22"/>
        </w:rPr>
        <w:t>le renforcement de</w:t>
      </w:r>
      <w:r w:rsidR="00915B5E" w:rsidRPr="000A2103">
        <w:rPr>
          <w:rFonts w:ascii="Book Antiqua" w:hAnsi="Book Antiqua" w:cs="Arial"/>
          <w:sz w:val="22"/>
          <w:szCs w:val="22"/>
        </w:rPr>
        <w:t xml:space="preserve"> la sécurité </w:t>
      </w:r>
      <w:r>
        <w:rPr>
          <w:rFonts w:ascii="Book Antiqua" w:hAnsi="Book Antiqua" w:cs="Arial"/>
          <w:sz w:val="22"/>
          <w:szCs w:val="22"/>
        </w:rPr>
        <w:t>liée à</w:t>
      </w:r>
      <w:r w:rsidR="00D5665A">
        <w:rPr>
          <w:rFonts w:ascii="Book Antiqua" w:hAnsi="Book Antiqua" w:cs="Arial"/>
          <w:sz w:val="22"/>
          <w:szCs w:val="22"/>
        </w:rPr>
        <w:t xml:space="preserve"> l’</w:t>
      </w:r>
      <w:r>
        <w:rPr>
          <w:rFonts w:ascii="Book Antiqua" w:hAnsi="Book Antiqua" w:cs="Arial"/>
          <w:sz w:val="22"/>
          <w:szCs w:val="22"/>
        </w:rPr>
        <w:t>utilisation</w:t>
      </w:r>
      <w:r w:rsidR="00D5665A">
        <w:rPr>
          <w:rFonts w:ascii="Book Antiqua" w:hAnsi="Book Antiqua" w:cs="Arial"/>
          <w:sz w:val="22"/>
          <w:szCs w:val="22"/>
        </w:rPr>
        <w:t xml:space="preserve"> de la</w:t>
      </w:r>
      <w:r w:rsidR="00915B5E" w:rsidRPr="000A2103">
        <w:rPr>
          <w:rFonts w:ascii="Book Antiqua" w:hAnsi="Book Antiqua" w:cs="Arial"/>
          <w:sz w:val="22"/>
          <w:szCs w:val="22"/>
        </w:rPr>
        <w:t xml:space="preserve"> carte bancaire</w:t>
      </w:r>
      <w:r w:rsidR="0086238B">
        <w:rPr>
          <w:rFonts w:ascii="Book Antiqua" w:hAnsi="Book Antiqua" w:cs="Arial"/>
          <w:sz w:val="22"/>
          <w:szCs w:val="22"/>
        </w:rPr>
        <w:t xml:space="preserve"> à travers</w:t>
      </w:r>
      <w:r w:rsidR="00915B5E" w:rsidRPr="000A2103">
        <w:rPr>
          <w:rFonts w:ascii="Book Antiqua" w:hAnsi="Book Antiqua" w:cs="Arial"/>
          <w:sz w:val="22"/>
          <w:szCs w:val="22"/>
        </w:rPr>
        <w:t xml:space="preserve"> l’adoption généralisée des normes internationales.</w:t>
      </w:r>
      <w:r w:rsidR="0086238B">
        <w:rPr>
          <w:rFonts w:ascii="Book Antiqua" w:hAnsi="Book Antiqua"/>
          <w:sz w:val="22"/>
          <w:szCs w:val="22"/>
        </w:rPr>
        <w:t xml:space="preserve"> A ce titre</w:t>
      </w:r>
      <w:r w:rsidR="00915B5E" w:rsidRPr="000A2103">
        <w:rPr>
          <w:rFonts w:ascii="Book Antiqua" w:hAnsi="Book Antiqua"/>
          <w:sz w:val="22"/>
          <w:szCs w:val="22"/>
        </w:rPr>
        <w:t xml:space="preserve">, l’implémentation de la solution </w:t>
      </w:r>
      <w:r w:rsidR="00915B5E" w:rsidRPr="0080479E">
        <w:rPr>
          <w:rFonts w:ascii="Book Antiqua" w:hAnsi="Book Antiqua"/>
          <w:i/>
          <w:sz w:val="22"/>
          <w:szCs w:val="22"/>
        </w:rPr>
        <w:t>« </w:t>
      </w:r>
      <w:r w:rsidR="00915B5E" w:rsidRPr="0080479E">
        <w:rPr>
          <w:rFonts w:ascii="Book Antiqua" w:hAnsi="Book Antiqua" w:cs="Arial"/>
          <w:i/>
          <w:sz w:val="22"/>
          <w:szCs w:val="22"/>
        </w:rPr>
        <w:t>3-D SECURE »</w:t>
      </w:r>
      <w:r w:rsidR="00B4025E">
        <w:rPr>
          <w:rFonts w:ascii="Book Antiqua" w:hAnsi="Book Antiqua" w:cs="Arial"/>
          <w:i/>
          <w:sz w:val="22"/>
          <w:szCs w:val="22"/>
        </w:rPr>
        <w:t xml:space="preserve"> </w:t>
      </w:r>
      <w:r w:rsidR="00915B5E" w:rsidRPr="000A2103">
        <w:rPr>
          <w:rFonts w:ascii="Book Antiqua" w:hAnsi="Book Antiqua" w:cs="Arial"/>
          <w:sz w:val="22"/>
          <w:szCs w:val="22"/>
        </w:rPr>
        <w:t>pourrait contribuer à limiter les risqu</w:t>
      </w:r>
      <w:r w:rsidR="00800280">
        <w:rPr>
          <w:rFonts w:ascii="Book Antiqua" w:hAnsi="Book Antiqua" w:cs="Arial"/>
          <w:sz w:val="22"/>
          <w:szCs w:val="22"/>
        </w:rPr>
        <w:t>es de fraude sur internet</w:t>
      </w:r>
      <w:r w:rsidR="00995BAE">
        <w:rPr>
          <w:rFonts w:ascii="Book Antiqua" w:hAnsi="Book Antiqua" w:cs="Arial"/>
          <w:sz w:val="22"/>
          <w:szCs w:val="22"/>
        </w:rPr>
        <w:t xml:space="preserve"> et garantir la sécurisation des</w:t>
      </w:r>
      <w:r w:rsidR="00C50C0A">
        <w:rPr>
          <w:rFonts w:ascii="Book Antiqua" w:hAnsi="Book Antiqua" w:cs="Arial"/>
          <w:sz w:val="22"/>
          <w:szCs w:val="22"/>
        </w:rPr>
        <w:t xml:space="preserve"> </w:t>
      </w:r>
      <w:r>
        <w:rPr>
          <w:rFonts w:ascii="Book Antiqua" w:hAnsi="Book Antiqua" w:cs="Arial"/>
          <w:sz w:val="22"/>
          <w:szCs w:val="22"/>
        </w:rPr>
        <w:t>transaction</w:t>
      </w:r>
      <w:r w:rsidR="00995BAE">
        <w:rPr>
          <w:rFonts w:ascii="Book Antiqua" w:hAnsi="Book Antiqua" w:cs="Arial"/>
          <w:sz w:val="22"/>
          <w:szCs w:val="22"/>
        </w:rPr>
        <w:t>s</w:t>
      </w:r>
      <w:r w:rsidR="00915B5E" w:rsidRPr="000A2103">
        <w:rPr>
          <w:rFonts w:ascii="Book Antiqua" w:hAnsi="Book Antiqua" w:cs="Arial"/>
          <w:sz w:val="22"/>
          <w:szCs w:val="22"/>
        </w:rPr>
        <w:t xml:space="preserve"> en ligne</w:t>
      </w:r>
      <w:r w:rsidR="00995BAE">
        <w:rPr>
          <w:rFonts w:ascii="Book Antiqua" w:hAnsi="Book Antiqua" w:cs="Arial"/>
          <w:sz w:val="22"/>
          <w:szCs w:val="22"/>
        </w:rPr>
        <w:t> ;</w:t>
      </w:r>
    </w:p>
    <w:p w:rsidR="004A42C0" w:rsidRPr="00995BAE" w:rsidRDefault="00D91DB9" w:rsidP="007B5000">
      <w:pPr>
        <w:pStyle w:val="Paragraphedeliste"/>
        <w:numPr>
          <w:ilvl w:val="0"/>
          <w:numId w:val="52"/>
        </w:numPr>
        <w:spacing w:before="120" w:after="120" w:line="276" w:lineRule="auto"/>
        <w:ind w:left="568" w:hanging="284"/>
        <w:contextualSpacing w:val="0"/>
        <w:jc w:val="both"/>
        <w:rPr>
          <w:rFonts w:ascii="Book Antiqua" w:hAnsi="Book Antiqua"/>
          <w:sz w:val="22"/>
          <w:szCs w:val="22"/>
        </w:rPr>
      </w:pPr>
      <w:r>
        <w:rPr>
          <w:rFonts w:ascii="Book Antiqua" w:hAnsi="Book Antiqua"/>
          <w:sz w:val="22"/>
          <w:szCs w:val="22"/>
        </w:rPr>
        <w:t>l’amélioration</w:t>
      </w:r>
      <w:r w:rsidR="00C50C0A">
        <w:rPr>
          <w:rFonts w:ascii="Book Antiqua" w:hAnsi="Book Antiqua"/>
          <w:sz w:val="22"/>
          <w:szCs w:val="22"/>
        </w:rPr>
        <w:t xml:space="preserve"> </w:t>
      </w:r>
      <w:r>
        <w:rPr>
          <w:rFonts w:ascii="Book Antiqua" w:hAnsi="Book Antiqua"/>
          <w:sz w:val="22"/>
          <w:szCs w:val="22"/>
        </w:rPr>
        <w:t>de la qualité du réseau des GAB</w:t>
      </w:r>
      <w:r w:rsidR="006D3E95">
        <w:rPr>
          <w:rFonts w:ascii="Book Antiqua" w:hAnsi="Book Antiqua"/>
          <w:sz w:val="22"/>
          <w:szCs w:val="22"/>
        </w:rPr>
        <w:t xml:space="preserve"> </w:t>
      </w:r>
      <w:r w:rsidR="00995BAE">
        <w:rPr>
          <w:rFonts w:ascii="Book Antiqua" w:hAnsi="Book Antiqua"/>
          <w:sz w:val="22"/>
          <w:szCs w:val="22"/>
        </w:rPr>
        <w:t>en raison des</w:t>
      </w:r>
      <w:r w:rsidR="006D3E95">
        <w:rPr>
          <w:rFonts w:ascii="Book Antiqua" w:hAnsi="Book Antiqua"/>
          <w:sz w:val="22"/>
          <w:szCs w:val="22"/>
        </w:rPr>
        <w:t xml:space="preserve"> </w:t>
      </w:r>
      <w:r w:rsidR="00995BAE">
        <w:rPr>
          <w:rFonts w:ascii="Book Antiqua" w:hAnsi="Book Antiqua"/>
          <w:sz w:val="22"/>
          <w:szCs w:val="22"/>
        </w:rPr>
        <w:t xml:space="preserve">défaillances récurrentes notées </w:t>
      </w:r>
      <w:r w:rsidR="00995BAE" w:rsidRPr="00D91DB9">
        <w:rPr>
          <w:rFonts w:ascii="Book Antiqua" w:hAnsi="Book Antiqua"/>
          <w:sz w:val="22"/>
          <w:szCs w:val="22"/>
        </w:rPr>
        <w:t xml:space="preserve"> notamment en période de rush.</w:t>
      </w:r>
      <w:r w:rsidR="006D3E95">
        <w:rPr>
          <w:rFonts w:ascii="Book Antiqua" w:hAnsi="Book Antiqua"/>
          <w:sz w:val="22"/>
          <w:szCs w:val="22"/>
        </w:rPr>
        <w:t xml:space="preserve"> </w:t>
      </w:r>
      <w:r w:rsidR="00995BAE">
        <w:rPr>
          <w:rFonts w:ascii="Book Antiqua" w:hAnsi="Book Antiqua"/>
          <w:sz w:val="22"/>
          <w:szCs w:val="22"/>
        </w:rPr>
        <w:t xml:space="preserve">Pour y remédier, </w:t>
      </w:r>
      <w:r w:rsidR="00915B5E" w:rsidRPr="00995BAE">
        <w:rPr>
          <w:rFonts w:ascii="Book Antiqua" w:hAnsi="Book Antiqua"/>
          <w:sz w:val="22"/>
          <w:szCs w:val="22"/>
        </w:rPr>
        <w:t xml:space="preserve">il serait souhaitable </w:t>
      </w:r>
      <w:r w:rsidR="004A42C0" w:rsidRPr="00995BAE">
        <w:rPr>
          <w:rFonts w:ascii="Book Antiqua" w:hAnsi="Book Antiqua"/>
          <w:sz w:val="22"/>
          <w:szCs w:val="22"/>
        </w:rPr>
        <w:t xml:space="preserve">d’augmenter </w:t>
      </w:r>
      <w:r w:rsidR="00BD6108" w:rsidRPr="00995BAE">
        <w:rPr>
          <w:rFonts w:ascii="Book Antiqua" w:hAnsi="Book Antiqua"/>
          <w:sz w:val="22"/>
          <w:szCs w:val="22"/>
        </w:rPr>
        <w:t xml:space="preserve">la capacité </w:t>
      </w:r>
      <w:r w:rsidR="004A42C0" w:rsidRPr="00995BAE">
        <w:rPr>
          <w:rFonts w:ascii="Book Antiqua" w:hAnsi="Book Antiqua"/>
          <w:sz w:val="22"/>
          <w:szCs w:val="22"/>
        </w:rPr>
        <w:t>de la bande passante mise à disposition par l’opérateur de télécommunication</w:t>
      </w:r>
      <w:r w:rsidR="00995BAE">
        <w:rPr>
          <w:rFonts w:ascii="Book Antiqua" w:hAnsi="Book Antiqua"/>
          <w:sz w:val="22"/>
          <w:szCs w:val="22"/>
        </w:rPr>
        <w:t>,</w:t>
      </w:r>
      <w:r w:rsidR="004A42C0" w:rsidRPr="00995BAE">
        <w:rPr>
          <w:rFonts w:ascii="Book Antiqua" w:hAnsi="Book Antiqua"/>
          <w:sz w:val="22"/>
          <w:szCs w:val="22"/>
        </w:rPr>
        <w:t xml:space="preserve"> à défaut de se doter d’une ligne spécialisée (fibre optique ou satellitaire) pour garantir une haute disponibilité du réseau</w:t>
      </w:r>
      <w:r w:rsidR="0086238B" w:rsidRPr="00995BAE">
        <w:rPr>
          <w:rFonts w:ascii="Book Antiqua" w:hAnsi="Book Antiqua"/>
          <w:sz w:val="22"/>
          <w:szCs w:val="22"/>
        </w:rPr>
        <w:t> ;</w:t>
      </w:r>
    </w:p>
    <w:p w:rsidR="00915B5E" w:rsidRPr="00C866CA" w:rsidRDefault="005E3900" w:rsidP="007B5000">
      <w:pPr>
        <w:pStyle w:val="Paragraphedeliste"/>
        <w:numPr>
          <w:ilvl w:val="0"/>
          <w:numId w:val="40"/>
        </w:numPr>
        <w:spacing w:before="120" w:after="120" w:line="276" w:lineRule="auto"/>
        <w:ind w:left="568" w:hanging="284"/>
        <w:contextualSpacing w:val="0"/>
        <w:jc w:val="both"/>
        <w:rPr>
          <w:rFonts w:ascii="Book Antiqua" w:hAnsi="Book Antiqua" w:cs="Helvetica"/>
          <w:color w:val="000000"/>
          <w:sz w:val="22"/>
          <w:szCs w:val="22"/>
        </w:rPr>
      </w:pPr>
      <w:r w:rsidRPr="006E36DD">
        <w:rPr>
          <w:rFonts w:ascii="Book Antiqua" w:hAnsi="Book Antiqua"/>
          <w:sz w:val="22"/>
          <w:szCs w:val="22"/>
        </w:rPr>
        <w:t xml:space="preserve">la mise en place d’un système d’alerte et de détection des dysfonctionnements des GAB. Ce dispositif aura l’avantage de </w:t>
      </w:r>
      <w:r w:rsidR="006E36DD" w:rsidRPr="006E36DD">
        <w:rPr>
          <w:rFonts w:ascii="Book Antiqua" w:hAnsi="Book Antiqua"/>
          <w:sz w:val="22"/>
          <w:szCs w:val="22"/>
        </w:rPr>
        <w:t xml:space="preserve">faciliter les </w:t>
      </w:r>
      <w:r w:rsidR="00703B0B">
        <w:rPr>
          <w:rFonts w:ascii="Book Antiqua" w:hAnsi="Book Antiqua"/>
          <w:sz w:val="22"/>
          <w:szCs w:val="22"/>
        </w:rPr>
        <w:t xml:space="preserve">diligences </w:t>
      </w:r>
      <w:r w:rsidR="006E36DD" w:rsidRPr="006E36DD">
        <w:rPr>
          <w:rFonts w:ascii="Book Antiqua" w:hAnsi="Book Antiqua"/>
          <w:sz w:val="22"/>
          <w:szCs w:val="22"/>
        </w:rPr>
        <w:t>liées aux</w:t>
      </w:r>
      <w:r w:rsidR="00915B5E" w:rsidRPr="006E36DD">
        <w:rPr>
          <w:rFonts w:ascii="Book Antiqua" w:hAnsi="Book Antiqua"/>
          <w:sz w:val="22"/>
          <w:szCs w:val="22"/>
        </w:rPr>
        <w:t xml:space="preserve"> débits à tort</w:t>
      </w:r>
      <w:r w:rsidR="006D3E95">
        <w:rPr>
          <w:rFonts w:ascii="Book Antiqua" w:hAnsi="Book Antiqua"/>
          <w:sz w:val="22"/>
          <w:szCs w:val="22"/>
        </w:rPr>
        <w:t xml:space="preserve"> </w:t>
      </w:r>
      <w:r w:rsidR="00047EC2">
        <w:rPr>
          <w:rFonts w:ascii="Book Antiqua" w:hAnsi="Book Antiqua"/>
          <w:sz w:val="22"/>
          <w:szCs w:val="22"/>
        </w:rPr>
        <w:t>sur</w:t>
      </w:r>
      <w:r w:rsidR="006E36DD" w:rsidRPr="00463ABD">
        <w:rPr>
          <w:rFonts w:ascii="Book Antiqua" w:hAnsi="Book Antiqua"/>
          <w:sz w:val="22"/>
          <w:szCs w:val="22"/>
        </w:rPr>
        <w:t xml:space="preserve"> les GAB ou en ligne</w:t>
      </w:r>
      <w:r w:rsidR="00703B0B">
        <w:rPr>
          <w:rFonts w:ascii="Book Antiqua" w:hAnsi="Book Antiqua"/>
          <w:sz w:val="22"/>
          <w:szCs w:val="22"/>
        </w:rPr>
        <w:t xml:space="preserve">, dans la perspective d’en </w:t>
      </w:r>
      <w:r w:rsidR="00047EC2">
        <w:rPr>
          <w:rFonts w:ascii="Book Antiqua" w:hAnsi="Book Antiqua"/>
          <w:sz w:val="22"/>
          <w:szCs w:val="22"/>
        </w:rPr>
        <w:t>réduire</w:t>
      </w:r>
      <w:r w:rsidR="00703B0B">
        <w:rPr>
          <w:rFonts w:ascii="Book Antiqua" w:hAnsi="Book Antiqua"/>
          <w:sz w:val="22"/>
          <w:szCs w:val="22"/>
        </w:rPr>
        <w:t xml:space="preserve"> le</w:t>
      </w:r>
      <w:r w:rsidR="002C646A">
        <w:rPr>
          <w:rFonts w:ascii="Book Antiqua" w:hAnsi="Book Antiqua"/>
          <w:sz w:val="22"/>
          <w:szCs w:val="22"/>
        </w:rPr>
        <w:t>ur</w:t>
      </w:r>
      <w:r w:rsidR="00703B0B">
        <w:rPr>
          <w:rFonts w:ascii="Book Antiqua" w:hAnsi="Book Antiqua"/>
          <w:sz w:val="22"/>
          <w:szCs w:val="22"/>
        </w:rPr>
        <w:t xml:space="preserve"> délai de  régularisation.</w:t>
      </w:r>
      <w:r w:rsidR="00C866CA">
        <w:rPr>
          <w:rFonts w:ascii="Book Antiqua" w:hAnsi="Book Antiqua"/>
          <w:sz w:val="22"/>
          <w:szCs w:val="22"/>
        </w:rPr>
        <w:t xml:space="preserve">  A ce titre, l’expérience de l’Arabie Saoudite pourrait être dupliquée selon des voies et modalités à convenir avec les acteurs du secteur bancaire en particulier avec la Banque centrale.</w:t>
      </w:r>
      <w:r w:rsidR="006D3E95">
        <w:rPr>
          <w:rFonts w:ascii="Book Antiqua" w:hAnsi="Book Antiqua"/>
          <w:sz w:val="22"/>
          <w:szCs w:val="22"/>
        </w:rPr>
        <w:t xml:space="preserve"> </w:t>
      </w:r>
      <w:r w:rsidR="00C866CA">
        <w:rPr>
          <w:rFonts w:ascii="Book Antiqua" w:hAnsi="Book Antiqua"/>
          <w:sz w:val="22"/>
          <w:szCs w:val="22"/>
        </w:rPr>
        <w:t>De plus, il</w:t>
      </w:r>
      <w:r w:rsidR="00703B0B" w:rsidRPr="00C866CA">
        <w:rPr>
          <w:rFonts w:ascii="Book Antiqua" w:hAnsi="Book Antiqua"/>
          <w:sz w:val="22"/>
          <w:szCs w:val="22"/>
        </w:rPr>
        <w:t xml:space="preserve"> pourrait être </w:t>
      </w:r>
      <w:r w:rsidR="00C866CA">
        <w:rPr>
          <w:rFonts w:ascii="Book Antiqua" w:hAnsi="Book Antiqua"/>
          <w:sz w:val="22"/>
          <w:szCs w:val="22"/>
        </w:rPr>
        <w:t>envisagé la possibilité</w:t>
      </w:r>
      <w:r w:rsidR="006D3E95">
        <w:rPr>
          <w:rFonts w:ascii="Book Antiqua" w:hAnsi="Book Antiqua"/>
          <w:sz w:val="22"/>
          <w:szCs w:val="22"/>
        </w:rPr>
        <w:t xml:space="preserve"> </w:t>
      </w:r>
      <w:r w:rsidR="00C866CA">
        <w:rPr>
          <w:rFonts w:ascii="Book Antiqua" w:hAnsi="Book Antiqua"/>
          <w:sz w:val="22"/>
          <w:szCs w:val="22"/>
        </w:rPr>
        <w:t xml:space="preserve">d’un accompagnement du client à travers </w:t>
      </w:r>
      <w:r w:rsidR="00703B0B" w:rsidRPr="00C866CA">
        <w:rPr>
          <w:rFonts w:ascii="Book Antiqua" w:hAnsi="Book Antiqua"/>
          <w:sz w:val="22"/>
          <w:szCs w:val="22"/>
        </w:rPr>
        <w:t xml:space="preserve">la mention des </w:t>
      </w:r>
      <w:r w:rsidR="00915B5E" w:rsidRPr="00C866CA">
        <w:rPr>
          <w:rFonts w:ascii="Book Antiqua" w:hAnsi="Book Antiqua"/>
          <w:sz w:val="22"/>
          <w:szCs w:val="22"/>
        </w:rPr>
        <w:t>contacts de l’agent monétique ou d’un</w:t>
      </w:r>
      <w:r w:rsidR="00703B0B" w:rsidRPr="00C866CA">
        <w:rPr>
          <w:rFonts w:ascii="Book Antiqua" w:hAnsi="Book Antiqua"/>
          <w:sz w:val="22"/>
          <w:szCs w:val="22"/>
        </w:rPr>
        <w:t xml:space="preserve"> numéro d’assistance accessible en temps réel.</w:t>
      </w:r>
    </w:p>
    <w:p w:rsidR="005A3D91" w:rsidRPr="00C866CA" w:rsidRDefault="00B81909" w:rsidP="007B5000">
      <w:pPr>
        <w:pStyle w:val="Paragraphedeliste"/>
        <w:numPr>
          <w:ilvl w:val="0"/>
          <w:numId w:val="40"/>
        </w:numPr>
        <w:spacing w:before="120" w:after="120" w:line="276" w:lineRule="auto"/>
        <w:ind w:left="568" w:hanging="284"/>
        <w:contextualSpacing w:val="0"/>
        <w:jc w:val="both"/>
        <w:rPr>
          <w:rFonts w:ascii="Book Antiqua" w:hAnsi="Book Antiqua"/>
          <w:sz w:val="22"/>
          <w:szCs w:val="22"/>
        </w:rPr>
      </w:pPr>
      <w:r>
        <w:rPr>
          <w:rFonts w:ascii="Book Antiqua" w:hAnsi="Book Antiqua"/>
          <w:sz w:val="22"/>
          <w:szCs w:val="22"/>
        </w:rPr>
        <w:t>l’amélioration de la qualité de l’infrastructure à travers la mise en place d’équipements sophistiqués</w:t>
      </w:r>
      <w:r w:rsidR="00C6355E">
        <w:rPr>
          <w:rFonts w:ascii="Book Antiqua" w:hAnsi="Book Antiqua"/>
          <w:sz w:val="22"/>
          <w:szCs w:val="22"/>
        </w:rPr>
        <w:t xml:space="preserve"> </w:t>
      </w:r>
      <w:r>
        <w:rPr>
          <w:rFonts w:ascii="Book Antiqua" w:hAnsi="Book Antiqua"/>
          <w:sz w:val="22"/>
          <w:szCs w:val="22"/>
        </w:rPr>
        <w:t xml:space="preserve">susceptibles de garantir </w:t>
      </w:r>
      <w:r w:rsidR="005A3D91" w:rsidRPr="00C866CA">
        <w:rPr>
          <w:rFonts w:ascii="Book Antiqua" w:hAnsi="Book Antiqua"/>
          <w:sz w:val="22"/>
          <w:szCs w:val="22"/>
        </w:rPr>
        <w:t xml:space="preserve">une gestion plus efficiente </w:t>
      </w:r>
      <w:r>
        <w:rPr>
          <w:rFonts w:ascii="Book Antiqua" w:hAnsi="Book Antiqua"/>
          <w:sz w:val="22"/>
          <w:szCs w:val="22"/>
        </w:rPr>
        <w:t xml:space="preserve">des opérations effectuées au niveau des GAB. </w:t>
      </w:r>
    </w:p>
    <w:p w:rsidR="00915B5E" w:rsidRPr="00463ABD" w:rsidRDefault="00915B5E" w:rsidP="00C01C11">
      <w:pPr>
        <w:spacing w:before="240" w:after="240" w:line="276" w:lineRule="auto"/>
        <w:jc w:val="both"/>
        <w:rPr>
          <w:rFonts w:ascii="Book Antiqua" w:hAnsi="Book Antiqua"/>
          <w:b/>
          <w:sz w:val="22"/>
          <w:szCs w:val="22"/>
        </w:rPr>
      </w:pPr>
      <w:r w:rsidRPr="00F13521">
        <w:rPr>
          <w:rFonts w:ascii="Book Antiqua" w:hAnsi="Book Antiqua"/>
          <w:b/>
          <w:sz w:val="22"/>
          <w:szCs w:val="22"/>
        </w:rPr>
        <w:t>R.3. Rendre systématique la transmission des relevés de compte aux clients</w:t>
      </w:r>
    </w:p>
    <w:p w:rsidR="00915B5E" w:rsidRPr="00463ABD" w:rsidRDefault="00915B5E" w:rsidP="00C01C11">
      <w:pPr>
        <w:autoSpaceDE w:val="0"/>
        <w:autoSpaceDN w:val="0"/>
        <w:adjustRightInd w:val="0"/>
        <w:spacing w:before="240" w:after="240" w:line="276" w:lineRule="auto"/>
        <w:jc w:val="both"/>
        <w:rPr>
          <w:rFonts w:ascii="Book Antiqua" w:hAnsi="Book Antiqua" w:cs="Tahoma"/>
          <w:sz w:val="22"/>
          <w:szCs w:val="22"/>
        </w:rPr>
      </w:pPr>
      <w:r w:rsidRPr="00463ABD">
        <w:rPr>
          <w:rFonts w:ascii="Book Antiqua" w:hAnsi="Book Antiqua" w:cs="Tahoma"/>
          <w:sz w:val="22"/>
          <w:szCs w:val="22"/>
        </w:rPr>
        <w:t>Une proportion de 21,1% des clients « personnes physiques » interrogées déclare ne « jamais » recevoir de relevé de c</w:t>
      </w:r>
      <w:r w:rsidR="00FC39A1">
        <w:rPr>
          <w:rFonts w:ascii="Book Antiqua" w:hAnsi="Book Antiqua" w:cs="Tahoma"/>
          <w:sz w:val="22"/>
          <w:szCs w:val="22"/>
        </w:rPr>
        <w:t>ompte de leur banque et 30,0%</w:t>
      </w:r>
      <w:r w:rsidR="00440D67">
        <w:rPr>
          <w:rFonts w:ascii="Book Antiqua" w:hAnsi="Book Antiqua" w:cs="Tahoma"/>
          <w:sz w:val="22"/>
          <w:szCs w:val="22"/>
        </w:rPr>
        <w:t xml:space="preserve">qui soutient disposer de ce document </w:t>
      </w:r>
      <w:r w:rsidR="00FC39A1">
        <w:rPr>
          <w:rFonts w:ascii="Book Antiqua" w:hAnsi="Book Antiqua" w:cs="Tahoma"/>
          <w:sz w:val="22"/>
          <w:szCs w:val="22"/>
        </w:rPr>
        <w:t>suivant une périodicité irrégulière</w:t>
      </w:r>
      <w:r w:rsidR="00DD6F20">
        <w:rPr>
          <w:rFonts w:ascii="Book Antiqua" w:hAnsi="Book Antiqua" w:cs="Tahoma"/>
          <w:sz w:val="22"/>
          <w:szCs w:val="22"/>
        </w:rPr>
        <w:t xml:space="preserve">. En outre, une frange de </w:t>
      </w:r>
      <w:r w:rsidRPr="00463ABD">
        <w:rPr>
          <w:rFonts w:ascii="Book Antiqua" w:hAnsi="Book Antiqua" w:cs="Tahoma"/>
          <w:sz w:val="22"/>
          <w:szCs w:val="22"/>
        </w:rPr>
        <w:t>clients</w:t>
      </w:r>
      <w:r w:rsidR="00B4025E">
        <w:rPr>
          <w:rFonts w:ascii="Book Antiqua" w:hAnsi="Book Antiqua" w:cs="Tahoma"/>
          <w:sz w:val="22"/>
          <w:szCs w:val="22"/>
        </w:rPr>
        <w:t xml:space="preserve"> </w:t>
      </w:r>
      <w:r w:rsidR="00DD6F20">
        <w:rPr>
          <w:rFonts w:ascii="Book Antiqua" w:hAnsi="Book Antiqua" w:cs="Tahoma"/>
          <w:sz w:val="22"/>
          <w:szCs w:val="22"/>
        </w:rPr>
        <w:t>(</w:t>
      </w:r>
      <w:r w:rsidR="00DD6F20" w:rsidRPr="00463ABD">
        <w:rPr>
          <w:rFonts w:ascii="Book Antiqua" w:hAnsi="Book Antiqua" w:cs="Tahoma"/>
          <w:sz w:val="22"/>
          <w:szCs w:val="22"/>
        </w:rPr>
        <w:t>38,1%</w:t>
      </w:r>
      <w:r w:rsidR="00DD6F20">
        <w:rPr>
          <w:rFonts w:ascii="Book Antiqua" w:hAnsi="Book Antiqua" w:cs="Tahoma"/>
          <w:sz w:val="22"/>
          <w:szCs w:val="22"/>
        </w:rPr>
        <w:t>)</w:t>
      </w:r>
      <w:r w:rsidR="00B4025E">
        <w:rPr>
          <w:rFonts w:ascii="Book Antiqua" w:hAnsi="Book Antiqua" w:cs="Tahoma"/>
          <w:sz w:val="22"/>
          <w:szCs w:val="22"/>
        </w:rPr>
        <w:t xml:space="preserve"> </w:t>
      </w:r>
      <w:r w:rsidR="00DD6F20">
        <w:rPr>
          <w:rFonts w:ascii="Book Antiqua" w:hAnsi="Book Antiqua" w:cs="Tahoma"/>
          <w:sz w:val="22"/>
          <w:szCs w:val="22"/>
        </w:rPr>
        <w:t>déclare</w:t>
      </w:r>
      <w:r w:rsidRPr="00463ABD">
        <w:rPr>
          <w:rFonts w:ascii="Book Antiqua" w:hAnsi="Book Antiqua" w:cs="Tahoma"/>
          <w:sz w:val="22"/>
          <w:szCs w:val="22"/>
        </w:rPr>
        <w:t xml:space="preserve"> recevoir leur relevé sur une périodicité mensuelle, 6,2% « tous les deux mois », 3,8% de façon « trimestrielle » et 0,8% selon une fréquence « annuelle ». </w:t>
      </w:r>
    </w:p>
    <w:p w:rsidR="00915B5E" w:rsidRPr="00463ABD" w:rsidRDefault="00915B5E" w:rsidP="00C01C11">
      <w:pPr>
        <w:autoSpaceDE w:val="0"/>
        <w:autoSpaceDN w:val="0"/>
        <w:adjustRightInd w:val="0"/>
        <w:spacing w:before="240" w:after="240" w:line="276" w:lineRule="auto"/>
        <w:jc w:val="both"/>
        <w:rPr>
          <w:rFonts w:ascii="Book Antiqua" w:hAnsi="Book Antiqua" w:cs="Tahoma"/>
          <w:sz w:val="22"/>
          <w:szCs w:val="22"/>
        </w:rPr>
      </w:pPr>
      <w:r w:rsidRPr="00463ABD">
        <w:rPr>
          <w:rFonts w:ascii="Book Antiqua" w:hAnsi="Book Antiqua" w:cs="BookAntiqua"/>
          <w:sz w:val="22"/>
          <w:szCs w:val="22"/>
        </w:rPr>
        <w:t>Ces diverses insuffisances dans la transmission des relevés de compte</w:t>
      </w:r>
      <w:r w:rsidR="007D4319">
        <w:rPr>
          <w:rFonts w:ascii="Book Antiqua" w:hAnsi="Book Antiqua" w:cs="BookAntiqua"/>
          <w:sz w:val="22"/>
          <w:szCs w:val="22"/>
        </w:rPr>
        <w:t xml:space="preserve"> à la clientèle</w:t>
      </w:r>
      <w:r w:rsidRPr="00463ABD">
        <w:rPr>
          <w:rFonts w:ascii="Book Antiqua" w:hAnsi="Book Antiqua" w:cs="BookAntiqua"/>
          <w:sz w:val="22"/>
          <w:szCs w:val="22"/>
        </w:rPr>
        <w:t xml:space="preserve">, </w:t>
      </w:r>
      <w:r w:rsidR="007D4319">
        <w:rPr>
          <w:rFonts w:ascii="Book Antiqua" w:hAnsi="Book Antiqua" w:cs="BookAntiqua"/>
          <w:sz w:val="22"/>
          <w:szCs w:val="22"/>
        </w:rPr>
        <w:t xml:space="preserve">dénote d’un manque de </w:t>
      </w:r>
      <w:r w:rsidRPr="00463ABD">
        <w:rPr>
          <w:rFonts w:ascii="Book Antiqua" w:hAnsi="Book Antiqua" w:cs="BookAntiqua"/>
          <w:sz w:val="22"/>
          <w:szCs w:val="22"/>
        </w:rPr>
        <w:t>respect des dispositions règlementaires</w:t>
      </w:r>
      <w:r w:rsidR="007D4319">
        <w:rPr>
          <w:rFonts w:ascii="Book Antiqua" w:hAnsi="Book Antiqua" w:cs="BookAntiqua"/>
          <w:sz w:val="22"/>
          <w:szCs w:val="22"/>
        </w:rPr>
        <w:t xml:space="preserve"> et d’une</w:t>
      </w:r>
      <w:r w:rsidRPr="00463ABD">
        <w:rPr>
          <w:rFonts w:ascii="Book Antiqua" w:hAnsi="Book Antiqua" w:cs="BookAntiqua"/>
          <w:sz w:val="22"/>
          <w:szCs w:val="22"/>
        </w:rPr>
        <w:t xml:space="preserve"> mauvaise qualité</w:t>
      </w:r>
      <w:r w:rsidR="007D4319">
        <w:rPr>
          <w:rFonts w:ascii="Book Antiqua" w:hAnsi="Book Antiqua" w:cs="BookAntiqua"/>
          <w:sz w:val="22"/>
          <w:szCs w:val="22"/>
        </w:rPr>
        <w:t xml:space="preserve"> de service. Sous ce registre, l</w:t>
      </w:r>
      <w:r w:rsidR="0064133A">
        <w:rPr>
          <w:rFonts w:ascii="Book Antiqua" w:hAnsi="Book Antiqua" w:cs="BookAntiqua"/>
          <w:sz w:val="22"/>
          <w:szCs w:val="22"/>
        </w:rPr>
        <w:t>a stricte application</w:t>
      </w:r>
      <w:r w:rsidR="00B4025E">
        <w:rPr>
          <w:rFonts w:ascii="Book Antiqua" w:hAnsi="Book Antiqua" w:cs="BookAntiqua"/>
          <w:sz w:val="22"/>
          <w:szCs w:val="22"/>
        </w:rPr>
        <w:t xml:space="preserve"> </w:t>
      </w:r>
      <w:r w:rsidRPr="00463ABD">
        <w:rPr>
          <w:rFonts w:ascii="Book Antiqua" w:hAnsi="Book Antiqua" w:cs="BookAntiqua"/>
          <w:sz w:val="22"/>
          <w:szCs w:val="22"/>
        </w:rPr>
        <w:t>des</w:t>
      </w:r>
      <w:r w:rsidR="0064133A">
        <w:rPr>
          <w:rFonts w:ascii="Book Antiqua" w:hAnsi="Book Antiqua" w:cs="BookAntiqua"/>
          <w:sz w:val="22"/>
          <w:szCs w:val="22"/>
        </w:rPr>
        <w:t xml:space="preserve"> obligations d’essence réglementaire en matière d’information de la clientèle doit être de mise chez les établissements bancaires</w:t>
      </w:r>
      <w:r w:rsidRPr="00463ABD">
        <w:rPr>
          <w:rFonts w:ascii="Book Antiqua" w:hAnsi="Book Antiqua" w:cs="BookAntiqua"/>
          <w:sz w:val="22"/>
          <w:szCs w:val="22"/>
        </w:rPr>
        <w:t>. En outre,</w:t>
      </w:r>
      <w:r w:rsidR="0064133A">
        <w:rPr>
          <w:rFonts w:ascii="Book Antiqua" w:hAnsi="Book Antiqua" w:cs="BookAntiqua"/>
          <w:sz w:val="22"/>
          <w:szCs w:val="22"/>
        </w:rPr>
        <w:t xml:space="preserve"> dans un contexte marqué par la dématérialisation des services financiers,</w:t>
      </w:r>
      <w:r w:rsidR="00C6355E">
        <w:rPr>
          <w:rFonts w:ascii="Book Antiqua" w:hAnsi="Book Antiqua" w:cs="BookAntiqua"/>
          <w:sz w:val="22"/>
          <w:szCs w:val="22"/>
        </w:rPr>
        <w:t xml:space="preserve"> </w:t>
      </w:r>
      <w:r w:rsidR="0064133A">
        <w:rPr>
          <w:rFonts w:ascii="Book Antiqua" w:hAnsi="Book Antiqua" w:cs="BookAntiqua"/>
          <w:sz w:val="22"/>
          <w:szCs w:val="22"/>
        </w:rPr>
        <w:t xml:space="preserve">il serait indiqué </w:t>
      </w:r>
      <w:r w:rsidRPr="00463ABD">
        <w:rPr>
          <w:rFonts w:ascii="Book Antiqua" w:hAnsi="Book Antiqua" w:cs="BookAntiqua"/>
          <w:sz w:val="22"/>
          <w:szCs w:val="22"/>
        </w:rPr>
        <w:t>d’</w:t>
      </w:r>
      <w:r w:rsidRPr="00463ABD">
        <w:rPr>
          <w:rFonts w:ascii="Book Antiqua" w:hAnsi="Book Antiqua" w:cs="Tahoma"/>
          <w:sz w:val="22"/>
          <w:szCs w:val="22"/>
        </w:rPr>
        <w:t xml:space="preserve">encourager la diversification des </w:t>
      </w:r>
      <w:r w:rsidRPr="00463ABD">
        <w:rPr>
          <w:rFonts w:ascii="Book Antiqua" w:hAnsi="Book Antiqua" w:cs="Tahoma"/>
          <w:sz w:val="22"/>
          <w:szCs w:val="22"/>
        </w:rPr>
        <w:lastRenderedPageBreak/>
        <w:t xml:space="preserve">canaux de transmission tels que le recours à la voie électronique (e-relevé de compte mensuel), ce qui pourrait </w:t>
      </w:r>
      <w:r w:rsidR="009D1425">
        <w:rPr>
          <w:rFonts w:ascii="Book Antiqua" w:hAnsi="Book Antiqua" w:cs="Tahoma"/>
          <w:sz w:val="22"/>
          <w:szCs w:val="22"/>
        </w:rPr>
        <w:t>palier</w:t>
      </w:r>
      <w:r w:rsidR="00C6355E">
        <w:rPr>
          <w:rFonts w:ascii="Book Antiqua" w:hAnsi="Book Antiqua" w:cs="Tahoma"/>
          <w:sz w:val="22"/>
          <w:szCs w:val="22"/>
        </w:rPr>
        <w:t xml:space="preserve"> </w:t>
      </w:r>
      <w:r w:rsidR="009D1425">
        <w:rPr>
          <w:rFonts w:ascii="Book Antiqua" w:hAnsi="Book Antiqua" w:cs="Tahoma"/>
          <w:sz w:val="22"/>
          <w:szCs w:val="22"/>
        </w:rPr>
        <w:t>les problèmes de stockage et</w:t>
      </w:r>
      <w:r w:rsidR="00C6355E">
        <w:rPr>
          <w:rFonts w:ascii="Book Antiqua" w:hAnsi="Book Antiqua" w:cs="Tahoma"/>
          <w:sz w:val="22"/>
          <w:szCs w:val="22"/>
        </w:rPr>
        <w:t xml:space="preserve"> </w:t>
      </w:r>
      <w:r w:rsidR="009D1425">
        <w:rPr>
          <w:rFonts w:ascii="Book Antiqua" w:hAnsi="Book Antiqua" w:cs="Tahoma"/>
          <w:sz w:val="22"/>
          <w:szCs w:val="22"/>
        </w:rPr>
        <w:t>d’adressage.</w:t>
      </w:r>
    </w:p>
    <w:p w:rsidR="004A7125" w:rsidRPr="00463ABD" w:rsidRDefault="009E23C6" w:rsidP="00C01C11">
      <w:pPr>
        <w:pStyle w:val="Paragraphedeliste"/>
        <w:spacing w:before="240" w:after="240" w:line="276" w:lineRule="auto"/>
        <w:ind w:left="0"/>
        <w:contextualSpacing w:val="0"/>
        <w:jc w:val="both"/>
        <w:rPr>
          <w:rFonts w:ascii="Book Antiqua" w:hAnsi="Book Antiqua"/>
          <w:b/>
          <w:sz w:val="22"/>
          <w:szCs w:val="22"/>
        </w:rPr>
      </w:pPr>
      <w:r>
        <w:rPr>
          <w:rFonts w:ascii="Book Antiqua" w:hAnsi="Book Antiqua"/>
          <w:b/>
          <w:sz w:val="22"/>
          <w:szCs w:val="22"/>
        </w:rPr>
        <w:t>R.4</w:t>
      </w:r>
      <w:r w:rsidR="004A7125" w:rsidRPr="0086238B">
        <w:rPr>
          <w:rFonts w:ascii="Book Antiqua" w:hAnsi="Book Antiqua"/>
          <w:b/>
          <w:sz w:val="22"/>
          <w:szCs w:val="22"/>
        </w:rPr>
        <w:t>. Rationaliser les procédures et conditions d’octroi de crédit</w:t>
      </w:r>
      <w:r w:rsidR="002D5D76">
        <w:rPr>
          <w:rFonts w:ascii="Book Antiqua" w:hAnsi="Book Antiqua"/>
          <w:b/>
          <w:sz w:val="22"/>
          <w:szCs w:val="22"/>
        </w:rPr>
        <w:t>s</w:t>
      </w:r>
    </w:p>
    <w:p w:rsidR="004A7125" w:rsidRDefault="004A7125" w:rsidP="00C01C11">
      <w:pPr>
        <w:spacing w:before="240" w:after="240" w:line="276" w:lineRule="auto"/>
        <w:jc w:val="both"/>
        <w:rPr>
          <w:rFonts w:ascii="Book Antiqua" w:eastAsia="Calibri" w:hAnsi="Book Antiqua"/>
          <w:sz w:val="22"/>
          <w:szCs w:val="22"/>
        </w:rPr>
      </w:pPr>
      <w:r w:rsidRPr="00463ABD">
        <w:rPr>
          <w:rFonts w:ascii="Book Antiqua" w:eastAsia="Calibri" w:hAnsi="Book Antiqua"/>
          <w:sz w:val="22"/>
          <w:szCs w:val="22"/>
        </w:rPr>
        <w:t>L’appréciation des délais d’instruction des demandes de prêt montre qu’une proportion non négligeable de 48,2% des clients « </w:t>
      </w:r>
      <w:r w:rsidR="00A53473">
        <w:rPr>
          <w:rFonts w:ascii="Book Antiqua" w:eastAsia="Calibri" w:hAnsi="Book Antiqua"/>
          <w:sz w:val="22"/>
          <w:szCs w:val="22"/>
        </w:rPr>
        <w:t xml:space="preserve">personnes </w:t>
      </w:r>
      <w:r w:rsidRPr="00463ABD">
        <w:rPr>
          <w:rFonts w:ascii="Book Antiqua" w:eastAsia="Calibri" w:hAnsi="Book Antiqua"/>
          <w:sz w:val="22"/>
          <w:szCs w:val="22"/>
        </w:rPr>
        <w:t xml:space="preserve">physiques » estime que les diligences apportées dans le traitement de leur dossier de prêt  sont « longues »voire « trop longues ».  </w:t>
      </w:r>
    </w:p>
    <w:p w:rsidR="004A7125" w:rsidRPr="00463ABD" w:rsidRDefault="004A7125" w:rsidP="00C01C11">
      <w:pPr>
        <w:spacing w:before="240" w:after="240" w:line="276" w:lineRule="auto"/>
        <w:jc w:val="both"/>
        <w:rPr>
          <w:rFonts w:ascii="Book Antiqua" w:eastAsia="Calibri" w:hAnsi="Book Antiqua"/>
          <w:sz w:val="22"/>
          <w:szCs w:val="22"/>
        </w:rPr>
      </w:pPr>
      <w:r w:rsidRPr="00463ABD">
        <w:rPr>
          <w:rFonts w:ascii="Book Antiqua" w:eastAsia="Calibri" w:hAnsi="Book Antiqua"/>
          <w:sz w:val="22"/>
          <w:szCs w:val="22"/>
        </w:rPr>
        <w:t xml:space="preserve">En outre, le délai de traitement des demandes de crédit d’investissement varie en fonction du montant sollicité </w:t>
      </w:r>
      <w:r w:rsidR="002D7E15">
        <w:rPr>
          <w:rFonts w:ascii="Book Antiqua" w:eastAsia="Calibri" w:hAnsi="Book Antiqua"/>
          <w:sz w:val="22"/>
          <w:szCs w:val="22"/>
        </w:rPr>
        <w:t xml:space="preserve">et </w:t>
      </w:r>
      <w:r w:rsidR="001663A8">
        <w:rPr>
          <w:rFonts w:ascii="Book Antiqua" w:eastAsia="Calibri" w:hAnsi="Book Antiqua"/>
          <w:sz w:val="22"/>
          <w:szCs w:val="22"/>
        </w:rPr>
        <w:t xml:space="preserve">peut </w:t>
      </w:r>
      <w:r w:rsidRPr="00463ABD">
        <w:rPr>
          <w:rFonts w:ascii="Book Antiqua" w:eastAsia="Calibri" w:hAnsi="Book Antiqua"/>
          <w:sz w:val="22"/>
          <w:szCs w:val="22"/>
        </w:rPr>
        <w:t xml:space="preserve">même dépasser 30 jours </w:t>
      </w:r>
      <w:r w:rsidR="002D7E15">
        <w:rPr>
          <w:rFonts w:ascii="Book Antiqua" w:eastAsia="Calibri" w:hAnsi="Book Antiqua"/>
          <w:sz w:val="22"/>
          <w:szCs w:val="22"/>
        </w:rPr>
        <w:t xml:space="preserve">selon les avis des personnes morales enquêtées.   </w:t>
      </w:r>
    </w:p>
    <w:p w:rsidR="004A7125" w:rsidRDefault="00C37BE0" w:rsidP="00C01C11">
      <w:pPr>
        <w:pStyle w:val="Paragraphedeliste"/>
        <w:spacing w:before="240" w:after="240" w:line="276" w:lineRule="auto"/>
        <w:ind w:left="0"/>
        <w:contextualSpacing w:val="0"/>
        <w:jc w:val="both"/>
        <w:rPr>
          <w:rFonts w:ascii="Book Antiqua" w:hAnsi="Book Antiqua"/>
          <w:sz w:val="22"/>
          <w:szCs w:val="22"/>
        </w:rPr>
      </w:pPr>
      <w:r>
        <w:rPr>
          <w:rFonts w:ascii="Book Antiqua" w:hAnsi="Book Antiqua"/>
          <w:sz w:val="22"/>
          <w:szCs w:val="22"/>
        </w:rPr>
        <w:t xml:space="preserve">Ces lenteurs relevées dans le traitement des </w:t>
      </w:r>
      <w:r w:rsidR="004A7125" w:rsidRPr="00463ABD">
        <w:rPr>
          <w:rFonts w:ascii="Book Antiqua" w:hAnsi="Book Antiqua"/>
          <w:sz w:val="22"/>
          <w:szCs w:val="22"/>
        </w:rPr>
        <w:t xml:space="preserve">demandes </w:t>
      </w:r>
      <w:r>
        <w:rPr>
          <w:rFonts w:ascii="Book Antiqua" w:hAnsi="Book Antiqua"/>
          <w:sz w:val="22"/>
          <w:szCs w:val="22"/>
        </w:rPr>
        <w:t xml:space="preserve">de prêts constituent des freins à l’accès au financement de l’économie et particulièrement des PME qui constituent un maillon essentiel du tissu économique.  </w:t>
      </w:r>
      <w:r w:rsidR="008A188B">
        <w:rPr>
          <w:rFonts w:ascii="Book Antiqua" w:hAnsi="Book Antiqua"/>
          <w:sz w:val="22"/>
          <w:szCs w:val="22"/>
        </w:rPr>
        <w:t xml:space="preserve">Au titre des actions à préconiser, il convient de relever : </w:t>
      </w:r>
    </w:p>
    <w:p w:rsidR="004A7125" w:rsidRPr="00463ABD" w:rsidRDefault="004A7125" w:rsidP="007B5000">
      <w:pPr>
        <w:pStyle w:val="Paragraphedeliste"/>
        <w:numPr>
          <w:ilvl w:val="0"/>
          <w:numId w:val="42"/>
        </w:numPr>
        <w:spacing w:before="120" w:after="120" w:line="276" w:lineRule="auto"/>
        <w:ind w:left="567" w:hanging="283"/>
        <w:contextualSpacing w:val="0"/>
        <w:jc w:val="both"/>
        <w:rPr>
          <w:rFonts w:ascii="Book Antiqua" w:hAnsi="Book Antiqua"/>
          <w:sz w:val="22"/>
          <w:szCs w:val="22"/>
        </w:rPr>
      </w:pPr>
      <w:r w:rsidRPr="00463ABD">
        <w:rPr>
          <w:rFonts w:ascii="Book Antiqua" w:hAnsi="Book Antiqua"/>
          <w:i/>
          <w:sz w:val="22"/>
          <w:szCs w:val="22"/>
        </w:rPr>
        <w:t>un renforcement des services de conseils</w:t>
      </w:r>
      <w:r w:rsidR="008A188B">
        <w:rPr>
          <w:rFonts w:ascii="Book Antiqua" w:hAnsi="Book Antiqua"/>
          <w:i/>
          <w:sz w:val="22"/>
          <w:szCs w:val="22"/>
        </w:rPr>
        <w:t xml:space="preserve"> personnalisés</w:t>
      </w:r>
      <w:r w:rsidRPr="00463ABD">
        <w:rPr>
          <w:rFonts w:ascii="Book Antiqua" w:hAnsi="Book Antiqua"/>
          <w:i/>
          <w:sz w:val="22"/>
          <w:szCs w:val="22"/>
        </w:rPr>
        <w:t xml:space="preserve"> aux PME en matière de crédit au niveau des banques</w:t>
      </w:r>
      <w:r w:rsidRPr="00463ABD">
        <w:rPr>
          <w:rFonts w:ascii="Book Antiqua" w:hAnsi="Book Antiqua"/>
          <w:sz w:val="22"/>
          <w:szCs w:val="22"/>
        </w:rPr>
        <w:t xml:space="preserve"> : Ces actions devraient permettre </w:t>
      </w:r>
      <w:r w:rsidR="008A188B">
        <w:rPr>
          <w:rFonts w:ascii="Book Antiqua" w:hAnsi="Book Antiqua"/>
          <w:sz w:val="22"/>
          <w:szCs w:val="22"/>
        </w:rPr>
        <w:t>à ce segment</w:t>
      </w:r>
      <w:r w:rsidR="00C6355E">
        <w:rPr>
          <w:rFonts w:ascii="Book Antiqua" w:hAnsi="Book Antiqua"/>
          <w:sz w:val="22"/>
          <w:szCs w:val="22"/>
        </w:rPr>
        <w:t xml:space="preserve"> </w:t>
      </w:r>
      <w:r w:rsidR="008A188B">
        <w:rPr>
          <w:rFonts w:ascii="Book Antiqua" w:hAnsi="Book Antiqua"/>
          <w:sz w:val="22"/>
          <w:szCs w:val="22"/>
        </w:rPr>
        <w:t xml:space="preserve">de clientèle </w:t>
      </w:r>
      <w:r w:rsidRPr="00463ABD">
        <w:rPr>
          <w:rFonts w:ascii="Book Antiqua" w:hAnsi="Book Antiqua"/>
          <w:sz w:val="22"/>
          <w:szCs w:val="22"/>
        </w:rPr>
        <w:t>d’avoir une meilleure connaissance des procédures de demande de financement</w:t>
      </w:r>
      <w:r w:rsidR="008A188B">
        <w:rPr>
          <w:rFonts w:ascii="Book Antiqua" w:hAnsi="Book Antiqua"/>
          <w:sz w:val="22"/>
          <w:szCs w:val="22"/>
        </w:rPr>
        <w:t xml:space="preserve">. Il s’agit en particulier de la </w:t>
      </w:r>
      <w:r w:rsidRPr="00463ABD">
        <w:rPr>
          <w:rFonts w:ascii="Book Antiqua" w:hAnsi="Book Antiqua"/>
          <w:sz w:val="22"/>
          <w:szCs w:val="22"/>
        </w:rPr>
        <w:t xml:space="preserve">liste des documents </w:t>
      </w:r>
      <w:r w:rsidR="008A188B">
        <w:rPr>
          <w:rFonts w:ascii="Book Antiqua" w:hAnsi="Book Antiqua"/>
          <w:sz w:val="22"/>
          <w:szCs w:val="22"/>
        </w:rPr>
        <w:t>adossée à la demande de prêt, de la communication des informations</w:t>
      </w:r>
      <w:r w:rsidRPr="00463ABD">
        <w:rPr>
          <w:rFonts w:ascii="Book Antiqua" w:hAnsi="Book Antiqua"/>
          <w:sz w:val="22"/>
          <w:szCs w:val="22"/>
        </w:rPr>
        <w:t xml:space="preserve"> sur les conditions </w:t>
      </w:r>
      <w:r w:rsidR="008A188B">
        <w:rPr>
          <w:rFonts w:ascii="Book Antiqua" w:hAnsi="Book Antiqua"/>
          <w:sz w:val="22"/>
          <w:szCs w:val="22"/>
        </w:rPr>
        <w:t>requises pour la mise en place du prêt</w:t>
      </w:r>
      <w:r w:rsidRPr="00463ABD">
        <w:rPr>
          <w:rFonts w:ascii="Book Antiqua" w:hAnsi="Book Antiqua"/>
          <w:sz w:val="22"/>
          <w:szCs w:val="22"/>
        </w:rPr>
        <w:t>, notamment la constitution des garanties, l’apport personnel, etc.</w:t>
      </w:r>
    </w:p>
    <w:p w:rsidR="004A7125" w:rsidRPr="001B71B6" w:rsidRDefault="004A7125" w:rsidP="007B5000">
      <w:pPr>
        <w:pStyle w:val="Paragraphedeliste"/>
        <w:numPr>
          <w:ilvl w:val="0"/>
          <w:numId w:val="42"/>
        </w:numPr>
        <w:spacing w:before="120" w:after="120" w:line="276" w:lineRule="auto"/>
        <w:ind w:left="567" w:hanging="283"/>
        <w:contextualSpacing w:val="0"/>
        <w:jc w:val="both"/>
        <w:rPr>
          <w:rFonts w:ascii="Book Antiqua" w:hAnsi="Book Antiqua"/>
          <w:sz w:val="22"/>
          <w:szCs w:val="22"/>
        </w:rPr>
      </w:pPr>
      <w:r w:rsidRPr="00463ABD">
        <w:rPr>
          <w:rFonts w:ascii="Book Antiqua" w:hAnsi="Book Antiqua"/>
          <w:i/>
          <w:sz w:val="22"/>
          <w:szCs w:val="22"/>
        </w:rPr>
        <w:t>le respect d’un délai maximal de traitement notamment sur les demandes de crédits d’investissement</w:t>
      </w:r>
      <w:r w:rsidRPr="00463ABD">
        <w:rPr>
          <w:rFonts w:ascii="Book Antiqua" w:hAnsi="Book Antiqua"/>
          <w:sz w:val="22"/>
          <w:szCs w:val="22"/>
        </w:rPr>
        <w:t xml:space="preserve"> : L’expérience d’un pays comme l’Algérie en matière d'allègement des conditions d'accessibilité au crédit pourrait aider à </w:t>
      </w:r>
      <w:r w:rsidR="00324F30">
        <w:rPr>
          <w:rFonts w:ascii="Book Antiqua" w:hAnsi="Book Antiqua"/>
          <w:sz w:val="22"/>
          <w:szCs w:val="22"/>
        </w:rPr>
        <w:t>asseoir</w:t>
      </w:r>
      <w:r w:rsidRPr="00463ABD">
        <w:rPr>
          <w:rFonts w:ascii="Book Antiqua" w:hAnsi="Book Antiqua"/>
          <w:sz w:val="22"/>
          <w:szCs w:val="22"/>
        </w:rPr>
        <w:t xml:space="preserve"> les </w:t>
      </w:r>
      <w:r w:rsidR="00324F30">
        <w:rPr>
          <w:rFonts w:ascii="Book Antiqua" w:hAnsi="Book Antiqua"/>
          <w:sz w:val="22"/>
          <w:szCs w:val="22"/>
        </w:rPr>
        <w:t>pistes de solutions</w:t>
      </w:r>
      <w:r w:rsidRPr="00463ABD">
        <w:rPr>
          <w:rFonts w:ascii="Book Antiqua" w:hAnsi="Book Antiqua"/>
          <w:sz w:val="22"/>
          <w:szCs w:val="22"/>
        </w:rPr>
        <w:t>. En effet, dans le cadre des mesures d'allègement des procédures bancaires et en particulier en matière d'octroi de crédits d'invest</w:t>
      </w:r>
      <w:r w:rsidR="00324F30">
        <w:rPr>
          <w:rFonts w:ascii="Book Antiqua" w:hAnsi="Book Antiqua"/>
          <w:sz w:val="22"/>
          <w:szCs w:val="22"/>
        </w:rPr>
        <w:t>issement, la Banque c</w:t>
      </w:r>
      <w:r w:rsidRPr="00463ABD">
        <w:rPr>
          <w:rFonts w:ascii="Book Antiqua" w:hAnsi="Book Antiqua"/>
          <w:sz w:val="22"/>
          <w:szCs w:val="22"/>
        </w:rPr>
        <w:t>entrale algérienne</w:t>
      </w:r>
      <w:r w:rsidRPr="00463ABD">
        <w:rPr>
          <w:rStyle w:val="Appelnotedebasdep"/>
          <w:rFonts w:ascii="Book Antiqua" w:hAnsi="Book Antiqua"/>
          <w:sz w:val="22"/>
          <w:szCs w:val="22"/>
        </w:rPr>
        <w:footnoteReference w:id="16"/>
      </w:r>
      <w:r w:rsidRPr="00463ABD">
        <w:rPr>
          <w:rFonts w:ascii="Book Antiqua" w:hAnsi="Book Antiqua"/>
          <w:sz w:val="22"/>
          <w:szCs w:val="22"/>
        </w:rPr>
        <w:t xml:space="preserve"> impose aux établissements de crédit de fournir une réponse à toute demande de crédits d'investissement faite par les PME dans un délai maxim</w:t>
      </w:r>
      <w:r w:rsidR="00324F30">
        <w:rPr>
          <w:rFonts w:ascii="Book Antiqua" w:hAnsi="Book Antiqua"/>
          <w:sz w:val="22"/>
          <w:szCs w:val="22"/>
        </w:rPr>
        <w:t>al d'un mois et demi (45 jours)</w:t>
      </w:r>
      <w:r w:rsidRPr="00463ABD">
        <w:rPr>
          <w:rFonts w:ascii="Book Antiqua" w:hAnsi="Book Antiqua"/>
          <w:sz w:val="22"/>
          <w:szCs w:val="22"/>
        </w:rPr>
        <w:t xml:space="preserve">. La fixation de ce délai vise à réduire les lenteurs constatées au niveau des banques </w:t>
      </w:r>
      <w:r w:rsidR="00324F30">
        <w:rPr>
          <w:rFonts w:ascii="Book Antiqua" w:hAnsi="Book Antiqua"/>
          <w:sz w:val="22"/>
          <w:szCs w:val="22"/>
        </w:rPr>
        <w:t xml:space="preserve">face </w:t>
      </w:r>
      <w:r w:rsidRPr="00463ABD">
        <w:rPr>
          <w:rFonts w:ascii="Book Antiqua" w:hAnsi="Book Antiqua"/>
          <w:sz w:val="22"/>
          <w:szCs w:val="22"/>
        </w:rPr>
        <w:t xml:space="preserve">aux demandes de crédits </w:t>
      </w:r>
      <w:r w:rsidR="00324F30">
        <w:rPr>
          <w:rFonts w:ascii="Book Antiqua" w:hAnsi="Book Antiqua"/>
          <w:sz w:val="22"/>
          <w:szCs w:val="22"/>
        </w:rPr>
        <w:t xml:space="preserve">des entreprises. </w:t>
      </w:r>
    </w:p>
    <w:p w:rsidR="004A7125" w:rsidRDefault="00324F30" w:rsidP="007B5000">
      <w:pPr>
        <w:pStyle w:val="Paragraphedeliste"/>
        <w:spacing w:before="120" w:after="120" w:line="276" w:lineRule="auto"/>
        <w:ind w:left="567"/>
        <w:contextualSpacing w:val="0"/>
        <w:jc w:val="both"/>
        <w:rPr>
          <w:rFonts w:ascii="Book Antiqua" w:hAnsi="Book Antiqua"/>
          <w:sz w:val="22"/>
          <w:szCs w:val="22"/>
        </w:rPr>
      </w:pPr>
      <w:r>
        <w:rPr>
          <w:rFonts w:ascii="Book Antiqua" w:hAnsi="Book Antiqua"/>
          <w:sz w:val="22"/>
          <w:szCs w:val="22"/>
        </w:rPr>
        <w:t xml:space="preserve">Par contre, ce délai est </w:t>
      </w:r>
      <w:r w:rsidR="001B71B6">
        <w:rPr>
          <w:rFonts w:ascii="Book Antiqua" w:hAnsi="Book Antiqua"/>
          <w:sz w:val="22"/>
          <w:szCs w:val="22"/>
        </w:rPr>
        <w:t>réduit à 15 jours</w:t>
      </w:r>
      <w:r>
        <w:rPr>
          <w:rFonts w:ascii="Book Antiqua" w:hAnsi="Book Antiqua"/>
          <w:sz w:val="22"/>
          <w:szCs w:val="22"/>
        </w:rPr>
        <w:t xml:space="preserve"> chez </w:t>
      </w:r>
      <w:r w:rsidR="004A7125" w:rsidRPr="00463ABD">
        <w:rPr>
          <w:rFonts w:ascii="Book Antiqua" w:hAnsi="Book Antiqua"/>
          <w:sz w:val="22"/>
          <w:szCs w:val="22"/>
        </w:rPr>
        <w:t xml:space="preserve">les clients </w:t>
      </w:r>
      <w:r>
        <w:rPr>
          <w:rFonts w:ascii="Book Antiqua" w:hAnsi="Book Antiqua"/>
          <w:sz w:val="22"/>
          <w:szCs w:val="22"/>
        </w:rPr>
        <w:t xml:space="preserve">personnes physiques à </w:t>
      </w:r>
      <w:r w:rsidR="004A7125" w:rsidRPr="00463ABD">
        <w:rPr>
          <w:rFonts w:ascii="Book Antiqua" w:hAnsi="Book Antiqua"/>
          <w:sz w:val="22"/>
          <w:szCs w:val="22"/>
        </w:rPr>
        <w:t>compter du dépôt complet de demande de crédit</w:t>
      </w:r>
      <w:r>
        <w:rPr>
          <w:rFonts w:ascii="Book Antiqua" w:hAnsi="Book Antiqua"/>
          <w:sz w:val="22"/>
          <w:szCs w:val="22"/>
        </w:rPr>
        <w:t>.</w:t>
      </w:r>
    </w:p>
    <w:p w:rsidR="004A7125" w:rsidRPr="00463ABD" w:rsidRDefault="004A7125" w:rsidP="007B5000">
      <w:pPr>
        <w:pStyle w:val="Paragraphedeliste"/>
        <w:numPr>
          <w:ilvl w:val="0"/>
          <w:numId w:val="43"/>
        </w:numPr>
        <w:spacing w:before="120" w:after="120" w:line="276" w:lineRule="auto"/>
        <w:ind w:left="567" w:hanging="283"/>
        <w:contextualSpacing w:val="0"/>
        <w:jc w:val="both"/>
        <w:rPr>
          <w:rFonts w:ascii="Book Antiqua" w:hAnsi="Book Antiqua"/>
          <w:sz w:val="22"/>
          <w:szCs w:val="22"/>
        </w:rPr>
      </w:pPr>
      <w:r w:rsidRPr="00463ABD">
        <w:rPr>
          <w:rFonts w:ascii="Book Antiqua" w:hAnsi="Book Antiqua"/>
          <w:i/>
          <w:sz w:val="22"/>
          <w:szCs w:val="22"/>
        </w:rPr>
        <w:t>la rationalisation des procédures internes de traitement :</w:t>
      </w:r>
      <w:r w:rsidRPr="00463ABD">
        <w:rPr>
          <w:rFonts w:ascii="Book Antiqua" w:hAnsi="Book Antiqua"/>
          <w:sz w:val="22"/>
          <w:szCs w:val="22"/>
        </w:rPr>
        <w:t xml:space="preserve"> Dans l’optique de mieux rationaliser les délais de réponses apportés aux demandes de crédits de la clientèle, les actions ci-après devraient être </w:t>
      </w:r>
      <w:proofErr w:type="gramStart"/>
      <w:r w:rsidRPr="00463ABD">
        <w:rPr>
          <w:rFonts w:ascii="Book Antiqua" w:hAnsi="Book Antiqua"/>
          <w:sz w:val="22"/>
          <w:szCs w:val="22"/>
        </w:rPr>
        <w:t>privilégiées</w:t>
      </w:r>
      <w:proofErr w:type="gramEnd"/>
      <w:r w:rsidRPr="00463ABD">
        <w:rPr>
          <w:rFonts w:ascii="Book Antiqua" w:hAnsi="Book Antiqua"/>
          <w:sz w:val="22"/>
          <w:szCs w:val="22"/>
        </w:rPr>
        <w:t xml:space="preserve"> au sein des établissements de crédit : </w:t>
      </w:r>
    </w:p>
    <w:p w:rsidR="004A7125" w:rsidRPr="00463ABD" w:rsidRDefault="001B71B6" w:rsidP="00113477">
      <w:pPr>
        <w:pStyle w:val="Paragraphedeliste"/>
        <w:numPr>
          <w:ilvl w:val="0"/>
          <w:numId w:val="55"/>
        </w:numPr>
        <w:spacing w:before="120" w:after="120" w:line="276" w:lineRule="auto"/>
        <w:ind w:left="993" w:hanging="426"/>
        <w:contextualSpacing w:val="0"/>
        <w:jc w:val="both"/>
        <w:rPr>
          <w:rFonts w:ascii="Book Antiqua" w:hAnsi="Book Antiqua"/>
          <w:sz w:val="22"/>
          <w:szCs w:val="22"/>
        </w:rPr>
      </w:pPr>
      <w:r>
        <w:rPr>
          <w:rFonts w:ascii="Book Antiqua" w:hAnsi="Book Antiqua"/>
          <w:sz w:val="22"/>
          <w:szCs w:val="22"/>
        </w:rPr>
        <w:t>l’institution</w:t>
      </w:r>
      <w:r w:rsidR="004A7125" w:rsidRPr="00463ABD">
        <w:rPr>
          <w:rFonts w:ascii="Book Antiqua" w:hAnsi="Book Antiqua"/>
          <w:sz w:val="22"/>
          <w:szCs w:val="22"/>
        </w:rPr>
        <w:t xml:space="preserve">, selon un chronogramme à définir, des délais de traitement des dossiers de crédit </w:t>
      </w:r>
      <w:r>
        <w:rPr>
          <w:rFonts w:ascii="Book Antiqua" w:hAnsi="Book Antiqua"/>
          <w:sz w:val="22"/>
          <w:szCs w:val="22"/>
        </w:rPr>
        <w:t>au niveau des différentes étapes du</w:t>
      </w:r>
      <w:r w:rsidR="004A7125" w:rsidRPr="00463ABD">
        <w:rPr>
          <w:rFonts w:ascii="Book Antiqua" w:hAnsi="Book Antiqua"/>
          <w:sz w:val="22"/>
          <w:szCs w:val="22"/>
        </w:rPr>
        <w:t xml:space="preserve"> processus (gestionnaire de compte, analyste de crédit, Comité de crédit, etc.)</w:t>
      </w:r>
      <w:r w:rsidR="007B5000">
        <w:rPr>
          <w:rFonts w:ascii="Book Antiqua" w:hAnsi="Book Antiqua"/>
          <w:sz w:val="22"/>
          <w:szCs w:val="22"/>
        </w:rPr>
        <w:t xml:space="preserve"> </w:t>
      </w:r>
      <w:r w:rsidR="004A7125" w:rsidRPr="00463ABD">
        <w:rPr>
          <w:rFonts w:ascii="Book Antiqua" w:hAnsi="Book Antiqua"/>
          <w:sz w:val="22"/>
          <w:szCs w:val="22"/>
        </w:rPr>
        <w:t xml:space="preserve">; </w:t>
      </w:r>
    </w:p>
    <w:p w:rsidR="004A7125" w:rsidRPr="00463ABD" w:rsidRDefault="001B71B6" w:rsidP="00113477">
      <w:pPr>
        <w:pStyle w:val="Paragraphedeliste"/>
        <w:numPr>
          <w:ilvl w:val="0"/>
          <w:numId w:val="55"/>
        </w:numPr>
        <w:spacing w:before="120" w:after="120" w:line="276" w:lineRule="auto"/>
        <w:ind w:left="993" w:hanging="426"/>
        <w:contextualSpacing w:val="0"/>
        <w:jc w:val="both"/>
        <w:rPr>
          <w:rFonts w:ascii="Book Antiqua" w:hAnsi="Book Antiqua"/>
          <w:sz w:val="22"/>
          <w:szCs w:val="22"/>
        </w:rPr>
      </w:pPr>
      <w:r>
        <w:rPr>
          <w:rFonts w:ascii="Book Antiqua" w:hAnsi="Book Antiqua"/>
          <w:sz w:val="22"/>
          <w:szCs w:val="22"/>
        </w:rPr>
        <w:t>l’observation scrupuleuse des</w:t>
      </w:r>
      <w:r w:rsidR="004A7125" w:rsidRPr="00463ABD">
        <w:rPr>
          <w:rFonts w:ascii="Book Antiqua" w:hAnsi="Book Antiqua"/>
          <w:sz w:val="22"/>
          <w:szCs w:val="22"/>
        </w:rPr>
        <w:t xml:space="preserve"> délais de traitement</w:t>
      </w:r>
      <w:r>
        <w:rPr>
          <w:rFonts w:ascii="Book Antiqua" w:hAnsi="Book Antiqua"/>
          <w:sz w:val="22"/>
          <w:szCs w:val="22"/>
        </w:rPr>
        <w:t xml:space="preserve"> des demandes de crédit</w:t>
      </w:r>
      <w:r w:rsidR="00C6355E">
        <w:rPr>
          <w:rFonts w:ascii="Book Antiqua" w:hAnsi="Book Antiqua"/>
          <w:sz w:val="22"/>
          <w:szCs w:val="22"/>
        </w:rPr>
        <w:t xml:space="preserve"> </w:t>
      </w:r>
      <w:r>
        <w:rPr>
          <w:rFonts w:ascii="Book Antiqua" w:hAnsi="Book Antiqua"/>
          <w:sz w:val="22"/>
          <w:szCs w:val="22"/>
        </w:rPr>
        <w:t>au niveau des services impliqués ;</w:t>
      </w:r>
    </w:p>
    <w:p w:rsidR="004A7125" w:rsidRPr="00463ABD" w:rsidRDefault="001B71B6" w:rsidP="00113477">
      <w:pPr>
        <w:pStyle w:val="Paragraphedeliste"/>
        <w:numPr>
          <w:ilvl w:val="0"/>
          <w:numId w:val="55"/>
        </w:numPr>
        <w:spacing w:before="120" w:after="120" w:line="276" w:lineRule="auto"/>
        <w:ind w:left="993" w:hanging="426"/>
        <w:contextualSpacing w:val="0"/>
        <w:jc w:val="both"/>
        <w:rPr>
          <w:rFonts w:ascii="Book Antiqua" w:hAnsi="Book Antiqua"/>
          <w:sz w:val="22"/>
          <w:szCs w:val="22"/>
        </w:rPr>
      </w:pPr>
      <w:r>
        <w:rPr>
          <w:rFonts w:ascii="Book Antiqua" w:hAnsi="Book Antiqua"/>
          <w:sz w:val="22"/>
          <w:szCs w:val="22"/>
        </w:rPr>
        <w:t xml:space="preserve">la vérification requise </w:t>
      </w:r>
      <w:r w:rsidR="004A7125" w:rsidRPr="00463ABD">
        <w:rPr>
          <w:rFonts w:ascii="Book Antiqua" w:hAnsi="Book Antiqua"/>
          <w:sz w:val="22"/>
          <w:szCs w:val="22"/>
        </w:rPr>
        <w:t>en amont</w:t>
      </w:r>
      <w:r>
        <w:rPr>
          <w:rFonts w:ascii="Book Antiqua" w:hAnsi="Book Antiqua"/>
          <w:sz w:val="22"/>
          <w:szCs w:val="22"/>
        </w:rPr>
        <w:t xml:space="preserve"> de </w:t>
      </w:r>
      <w:r w:rsidR="004A7125" w:rsidRPr="00463ABD">
        <w:rPr>
          <w:rFonts w:ascii="Book Antiqua" w:hAnsi="Book Antiqua"/>
          <w:sz w:val="22"/>
          <w:szCs w:val="22"/>
        </w:rPr>
        <w:t>l’ex</w:t>
      </w:r>
      <w:r>
        <w:rPr>
          <w:rFonts w:ascii="Book Antiqua" w:hAnsi="Book Antiqua"/>
          <w:sz w:val="22"/>
          <w:szCs w:val="22"/>
        </w:rPr>
        <w:t>haustivité des pièces constitutives dossier de crédit ;</w:t>
      </w:r>
    </w:p>
    <w:p w:rsidR="004A7125" w:rsidRPr="00463ABD" w:rsidRDefault="001B71B6" w:rsidP="00113477">
      <w:pPr>
        <w:pStyle w:val="Paragraphedeliste"/>
        <w:numPr>
          <w:ilvl w:val="0"/>
          <w:numId w:val="56"/>
        </w:numPr>
        <w:spacing w:before="120" w:after="120" w:line="276" w:lineRule="auto"/>
        <w:ind w:left="993" w:hanging="426"/>
        <w:contextualSpacing w:val="0"/>
        <w:jc w:val="both"/>
        <w:rPr>
          <w:rFonts w:ascii="Book Antiqua" w:hAnsi="Book Antiqua"/>
          <w:sz w:val="22"/>
          <w:szCs w:val="22"/>
        </w:rPr>
      </w:pPr>
      <w:r>
        <w:rPr>
          <w:rFonts w:ascii="Book Antiqua" w:hAnsi="Book Antiqua"/>
          <w:sz w:val="22"/>
          <w:szCs w:val="22"/>
        </w:rPr>
        <w:lastRenderedPageBreak/>
        <w:t>la vérification systématique</w:t>
      </w:r>
      <w:r w:rsidR="00C6355E">
        <w:rPr>
          <w:rFonts w:ascii="Book Antiqua" w:hAnsi="Book Antiqua"/>
          <w:sz w:val="22"/>
          <w:szCs w:val="22"/>
        </w:rPr>
        <w:t xml:space="preserve"> </w:t>
      </w:r>
      <w:r>
        <w:rPr>
          <w:rFonts w:ascii="Book Antiqua" w:hAnsi="Book Antiqua"/>
          <w:sz w:val="22"/>
          <w:szCs w:val="22"/>
        </w:rPr>
        <w:t>de la conformité</w:t>
      </w:r>
      <w:r w:rsidR="004A7125" w:rsidRPr="00463ABD">
        <w:rPr>
          <w:rFonts w:ascii="Book Antiqua" w:hAnsi="Book Antiqua"/>
          <w:sz w:val="22"/>
          <w:szCs w:val="22"/>
        </w:rPr>
        <w:t xml:space="preserve"> de la liste des garanties exigées par l’institution selon le type de crédit avec celles présentées par les clients</w:t>
      </w:r>
      <w:r>
        <w:rPr>
          <w:rFonts w:ascii="Book Antiqua" w:hAnsi="Book Antiqua"/>
          <w:sz w:val="22"/>
          <w:szCs w:val="22"/>
        </w:rPr>
        <w:t xml:space="preserve"> lors </w:t>
      </w:r>
      <w:r w:rsidR="00DA3992">
        <w:rPr>
          <w:rFonts w:ascii="Book Antiqua" w:hAnsi="Book Antiqua"/>
          <w:sz w:val="22"/>
          <w:szCs w:val="22"/>
        </w:rPr>
        <w:t>de l’ouverture du dossier</w:t>
      </w:r>
      <w:r>
        <w:rPr>
          <w:rFonts w:ascii="Book Antiqua" w:hAnsi="Book Antiqua"/>
          <w:sz w:val="22"/>
          <w:szCs w:val="22"/>
        </w:rPr>
        <w:t> de prêt</w:t>
      </w:r>
      <w:r w:rsidR="007B5000">
        <w:rPr>
          <w:rFonts w:ascii="Book Antiqua" w:hAnsi="Book Antiqua"/>
          <w:sz w:val="22"/>
          <w:szCs w:val="22"/>
        </w:rPr>
        <w:t xml:space="preserve"> </w:t>
      </w:r>
      <w:r>
        <w:rPr>
          <w:rFonts w:ascii="Book Antiqua" w:hAnsi="Book Antiqua"/>
          <w:sz w:val="22"/>
          <w:szCs w:val="22"/>
        </w:rPr>
        <w:t>;</w:t>
      </w:r>
    </w:p>
    <w:p w:rsidR="00F04BB2" w:rsidRDefault="004A7125" w:rsidP="00113477">
      <w:pPr>
        <w:pStyle w:val="Paragraphedeliste"/>
        <w:numPr>
          <w:ilvl w:val="0"/>
          <w:numId w:val="56"/>
        </w:numPr>
        <w:spacing w:before="120" w:after="120" w:line="276" w:lineRule="auto"/>
        <w:ind w:left="993" w:hanging="426"/>
        <w:contextualSpacing w:val="0"/>
        <w:jc w:val="both"/>
        <w:rPr>
          <w:rFonts w:ascii="Book Antiqua" w:hAnsi="Book Antiqua"/>
          <w:sz w:val="22"/>
          <w:szCs w:val="22"/>
        </w:rPr>
      </w:pPr>
      <w:r w:rsidRPr="00463ABD">
        <w:rPr>
          <w:rFonts w:ascii="Book Antiqua" w:hAnsi="Book Antiqua"/>
          <w:sz w:val="22"/>
          <w:szCs w:val="22"/>
        </w:rPr>
        <w:t xml:space="preserve">la notification à temps de la décision de crédit </w:t>
      </w:r>
      <w:r w:rsidR="00DA3992">
        <w:rPr>
          <w:rFonts w:ascii="Book Antiqua" w:hAnsi="Book Antiqua"/>
          <w:sz w:val="22"/>
          <w:szCs w:val="22"/>
        </w:rPr>
        <w:t>au client bénéficiaire du crédit.</w:t>
      </w:r>
    </w:p>
    <w:p w:rsidR="00915B5E" w:rsidRPr="007B5000" w:rsidRDefault="00915B5E" w:rsidP="007B5000">
      <w:pPr>
        <w:pStyle w:val="Paragraphedeliste"/>
        <w:numPr>
          <w:ilvl w:val="1"/>
          <w:numId w:val="36"/>
        </w:numPr>
        <w:spacing w:before="240" w:after="240" w:line="276" w:lineRule="auto"/>
        <w:ind w:left="568" w:hanging="284"/>
        <w:contextualSpacing w:val="0"/>
        <w:jc w:val="both"/>
        <w:rPr>
          <w:rFonts w:ascii="Book Antiqua" w:hAnsi="Book Antiqua"/>
          <w:b/>
          <w:sz w:val="22"/>
          <w:szCs w:val="22"/>
        </w:rPr>
      </w:pPr>
      <w:r w:rsidRPr="00463ABD">
        <w:rPr>
          <w:rFonts w:ascii="Book Antiqua" w:hAnsi="Book Antiqua"/>
          <w:b/>
          <w:sz w:val="22"/>
          <w:szCs w:val="22"/>
        </w:rPr>
        <w:t xml:space="preserve">Sur les coûts des services bancaires </w:t>
      </w:r>
    </w:p>
    <w:p w:rsidR="00915B5E" w:rsidRPr="00463ABD" w:rsidRDefault="00704A1A" w:rsidP="00C01C11">
      <w:pPr>
        <w:spacing w:before="240" w:after="240" w:line="276" w:lineRule="auto"/>
        <w:jc w:val="both"/>
        <w:rPr>
          <w:rFonts w:ascii="Book Antiqua" w:hAnsi="Book Antiqua"/>
          <w:b/>
          <w:sz w:val="22"/>
          <w:szCs w:val="22"/>
        </w:rPr>
      </w:pPr>
      <w:r>
        <w:rPr>
          <w:rFonts w:ascii="Book Antiqua" w:hAnsi="Book Antiqua"/>
          <w:b/>
          <w:sz w:val="22"/>
          <w:szCs w:val="22"/>
        </w:rPr>
        <w:t>R.5</w:t>
      </w:r>
      <w:r w:rsidR="00915B5E" w:rsidRPr="00463ABD">
        <w:rPr>
          <w:rFonts w:ascii="Book Antiqua" w:hAnsi="Book Antiqua"/>
          <w:b/>
          <w:sz w:val="22"/>
          <w:szCs w:val="22"/>
        </w:rPr>
        <w:t xml:space="preserve">. Poursuivre la rationalisation des coûts des services bancaires </w:t>
      </w:r>
    </w:p>
    <w:p w:rsidR="00915B5E" w:rsidRPr="00463ABD" w:rsidRDefault="00915B5E" w:rsidP="00C01C11">
      <w:pPr>
        <w:spacing w:before="240" w:after="240" w:line="276" w:lineRule="auto"/>
        <w:jc w:val="both"/>
        <w:rPr>
          <w:rFonts w:ascii="Book Antiqua" w:hAnsi="Book Antiqua"/>
          <w:sz w:val="22"/>
          <w:szCs w:val="22"/>
        </w:rPr>
      </w:pPr>
      <w:r w:rsidRPr="00463ABD">
        <w:rPr>
          <w:rFonts w:ascii="Book Antiqua" w:hAnsi="Book Antiqua"/>
          <w:sz w:val="22"/>
          <w:szCs w:val="22"/>
        </w:rPr>
        <w:t xml:space="preserve">Il convient de rappeler </w:t>
      </w:r>
      <w:r w:rsidR="003F26A1">
        <w:rPr>
          <w:rFonts w:ascii="Book Antiqua" w:hAnsi="Book Antiqua"/>
          <w:sz w:val="22"/>
          <w:szCs w:val="22"/>
        </w:rPr>
        <w:t>que des efforts importants ont notés allant dans le sens de la</w:t>
      </w:r>
      <w:r w:rsidRPr="00463ABD">
        <w:rPr>
          <w:rFonts w:ascii="Book Antiqua" w:hAnsi="Book Antiqua"/>
          <w:sz w:val="22"/>
          <w:szCs w:val="22"/>
        </w:rPr>
        <w:t xml:space="preserve"> rationalisation des tarifs </w:t>
      </w:r>
      <w:r w:rsidR="003F26A1">
        <w:rPr>
          <w:rFonts w:ascii="Book Antiqua" w:hAnsi="Book Antiqua"/>
          <w:sz w:val="22"/>
          <w:szCs w:val="22"/>
        </w:rPr>
        <w:t xml:space="preserve">portant sur des </w:t>
      </w:r>
      <w:r w:rsidRPr="00463ABD">
        <w:rPr>
          <w:rFonts w:ascii="Book Antiqua" w:hAnsi="Book Antiqua"/>
          <w:sz w:val="22"/>
          <w:szCs w:val="22"/>
        </w:rPr>
        <w:t xml:space="preserve">opérations récurrentes à </w:t>
      </w:r>
      <w:r w:rsidR="003F26A1">
        <w:rPr>
          <w:rFonts w:ascii="Book Antiqua" w:hAnsi="Book Antiqua"/>
          <w:sz w:val="22"/>
          <w:szCs w:val="22"/>
        </w:rPr>
        <w:t>la faveur de</w:t>
      </w:r>
      <w:r w:rsidRPr="00463ABD">
        <w:rPr>
          <w:rFonts w:ascii="Book Antiqua" w:hAnsi="Book Antiqua"/>
          <w:sz w:val="22"/>
          <w:szCs w:val="22"/>
        </w:rPr>
        <w:t xml:space="preserve"> l’instruction</w:t>
      </w:r>
      <w:r w:rsidR="00704A1A">
        <w:rPr>
          <w:rFonts w:ascii="Book Antiqua" w:hAnsi="Book Antiqua"/>
          <w:sz w:val="22"/>
          <w:szCs w:val="22"/>
        </w:rPr>
        <w:t xml:space="preserve"> n°004/</w:t>
      </w:r>
      <w:r w:rsidRPr="00463ABD">
        <w:rPr>
          <w:rFonts w:ascii="Book Antiqua" w:hAnsi="Book Antiqua"/>
          <w:sz w:val="22"/>
          <w:szCs w:val="22"/>
        </w:rPr>
        <w:t>06/2104 de la BCEAO en</w:t>
      </w:r>
      <w:r w:rsidR="00704A1A">
        <w:rPr>
          <w:rFonts w:ascii="Book Antiqua" w:hAnsi="Book Antiqua"/>
          <w:sz w:val="22"/>
          <w:szCs w:val="22"/>
        </w:rPr>
        <w:t xml:space="preserve"> date du</w:t>
      </w:r>
      <w:r w:rsidRPr="00463ABD">
        <w:rPr>
          <w:rFonts w:ascii="Book Antiqua" w:hAnsi="Book Antiqua"/>
          <w:sz w:val="22"/>
          <w:szCs w:val="22"/>
        </w:rPr>
        <w:t xml:space="preserve"> juin 2014 suivie de l’adoption le 1</w:t>
      </w:r>
      <w:r w:rsidRPr="00463ABD">
        <w:rPr>
          <w:rFonts w:ascii="Book Antiqua" w:hAnsi="Book Antiqua"/>
          <w:sz w:val="22"/>
          <w:szCs w:val="22"/>
          <w:vertAlign w:val="superscript"/>
        </w:rPr>
        <w:t>er</w:t>
      </w:r>
      <w:r w:rsidRPr="00463ABD">
        <w:rPr>
          <w:rFonts w:ascii="Book Antiqua" w:hAnsi="Book Antiqua"/>
          <w:sz w:val="22"/>
          <w:szCs w:val="22"/>
        </w:rPr>
        <w:t xml:space="preserve"> octobre 2014</w:t>
      </w:r>
      <w:r w:rsidR="003F26A1">
        <w:rPr>
          <w:rFonts w:ascii="Book Antiqua" w:hAnsi="Book Antiqua"/>
          <w:sz w:val="22"/>
          <w:szCs w:val="22"/>
        </w:rPr>
        <w:t>,</w:t>
      </w:r>
      <w:r w:rsidRPr="00463ABD">
        <w:rPr>
          <w:rFonts w:ascii="Book Antiqua" w:hAnsi="Book Antiqua"/>
          <w:sz w:val="22"/>
          <w:szCs w:val="22"/>
        </w:rPr>
        <w:t xml:space="preserve"> des mesures de gratuité de </w:t>
      </w:r>
      <w:r w:rsidR="004A7125" w:rsidRPr="00463ABD">
        <w:rPr>
          <w:rFonts w:ascii="Book Antiqua" w:hAnsi="Book Antiqua"/>
          <w:sz w:val="22"/>
          <w:szCs w:val="22"/>
        </w:rPr>
        <w:t>dix-neuf</w:t>
      </w:r>
      <w:r w:rsidRPr="00463ABD">
        <w:rPr>
          <w:rFonts w:ascii="Book Antiqua" w:hAnsi="Book Antiqua"/>
          <w:sz w:val="22"/>
          <w:szCs w:val="22"/>
        </w:rPr>
        <w:t xml:space="preserve"> (19) services et opérations bancaires. Ces mesures qui découlent d’une concertation entre </w:t>
      </w:r>
      <w:r w:rsidR="008F4A60" w:rsidRPr="00463ABD">
        <w:rPr>
          <w:rFonts w:ascii="Book Antiqua" w:hAnsi="Book Antiqua"/>
          <w:sz w:val="22"/>
          <w:szCs w:val="22"/>
        </w:rPr>
        <w:t xml:space="preserve">la BCEAO </w:t>
      </w:r>
      <w:r w:rsidR="008F4A60">
        <w:rPr>
          <w:rFonts w:ascii="Book Antiqua" w:hAnsi="Book Antiqua"/>
          <w:sz w:val="22"/>
          <w:szCs w:val="22"/>
        </w:rPr>
        <w:t xml:space="preserve">et </w:t>
      </w:r>
      <w:r w:rsidRPr="00463ABD">
        <w:rPr>
          <w:rFonts w:ascii="Book Antiqua" w:hAnsi="Book Antiqua"/>
          <w:sz w:val="22"/>
          <w:szCs w:val="22"/>
        </w:rPr>
        <w:t>la profession ban</w:t>
      </w:r>
      <w:r w:rsidR="008F4A60">
        <w:rPr>
          <w:rFonts w:ascii="Book Antiqua" w:hAnsi="Book Antiqua"/>
          <w:sz w:val="22"/>
          <w:szCs w:val="22"/>
        </w:rPr>
        <w:t>caire représentée par l’APBEF</w:t>
      </w:r>
      <w:r w:rsidR="003F26A1">
        <w:rPr>
          <w:rFonts w:ascii="Book Antiqua" w:hAnsi="Book Antiqua"/>
          <w:sz w:val="22"/>
          <w:szCs w:val="22"/>
        </w:rPr>
        <w:t>,</w:t>
      </w:r>
      <w:r w:rsidRPr="00463ABD">
        <w:rPr>
          <w:rFonts w:ascii="Book Antiqua" w:hAnsi="Book Antiqua"/>
          <w:sz w:val="22"/>
          <w:szCs w:val="22"/>
        </w:rPr>
        <w:t xml:space="preserve"> ont</w:t>
      </w:r>
      <w:r w:rsidR="003F26A1">
        <w:rPr>
          <w:rFonts w:ascii="Book Antiqua" w:hAnsi="Book Antiqua"/>
          <w:sz w:val="22"/>
          <w:szCs w:val="22"/>
        </w:rPr>
        <w:t xml:space="preserve"> notamment</w:t>
      </w:r>
      <w:r w:rsidRPr="00463ABD">
        <w:rPr>
          <w:rFonts w:ascii="Book Antiqua" w:hAnsi="Book Antiqua"/>
          <w:sz w:val="22"/>
          <w:szCs w:val="22"/>
        </w:rPr>
        <w:t xml:space="preserve"> porté sur les produits et</w:t>
      </w:r>
      <w:r w:rsidR="003F26A1">
        <w:rPr>
          <w:rFonts w:ascii="Book Antiqua" w:hAnsi="Book Antiqua"/>
          <w:sz w:val="22"/>
          <w:szCs w:val="22"/>
        </w:rPr>
        <w:t xml:space="preserve"> services liés à l’ouverture, au fonctionnement et au</w:t>
      </w:r>
      <w:r w:rsidRPr="00463ABD">
        <w:rPr>
          <w:rFonts w:ascii="Book Antiqua" w:hAnsi="Book Antiqua"/>
          <w:sz w:val="22"/>
          <w:szCs w:val="22"/>
        </w:rPr>
        <w:t xml:space="preserve"> suivi du compte, aux mo</w:t>
      </w:r>
      <w:r w:rsidR="003F26A1">
        <w:rPr>
          <w:rFonts w:ascii="Book Antiqua" w:hAnsi="Book Antiqua"/>
          <w:sz w:val="22"/>
          <w:szCs w:val="22"/>
        </w:rPr>
        <w:t>yens et opérations de paiement.</w:t>
      </w:r>
    </w:p>
    <w:p w:rsidR="00915B5E" w:rsidRPr="00463ABD" w:rsidRDefault="008F4A60" w:rsidP="00C01C11">
      <w:pPr>
        <w:spacing w:before="240" w:after="240" w:line="276" w:lineRule="auto"/>
        <w:jc w:val="both"/>
        <w:rPr>
          <w:rFonts w:ascii="Book Antiqua" w:hAnsi="Book Antiqua"/>
          <w:sz w:val="22"/>
          <w:szCs w:val="22"/>
        </w:rPr>
      </w:pPr>
      <w:r>
        <w:rPr>
          <w:rFonts w:ascii="Book Antiqua" w:hAnsi="Book Antiqua"/>
          <w:sz w:val="22"/>
          <w:szCs w:val="22"/>
        </w:rPr>
        <w:t xml:space="preserve">Pour </w:t>
      </w:r>
      <w:r w:rsidR="00EF5855">
        <w:rPr>
          <w:rFonts w:ascii="Book Antiqua" w:hAnsi="Book Antiqua"/>
          <w:sz w:val="22"/>
          <w:szCs w:val="22"/>
        </w:rPr>
        <w:t>appréciables qu’elles soient, ces mesures</w:t>
      </w:r>
      <w:r>
        <w:rPr>
          <w:rFonts w:ascii="Book Antiqua" w:hAnsi="Book Antiqua"/>
          <w:sz w:val="22"/>
          <w:szCs w:val="22"/>
        </w:rPr>
        <w:t xml:space="preserve"> sur la gratuité n’apparaissent pas suffisantes au regard </w:t>
      </w:r>
      <w:r w:rsidR="003F26A1">
        <w:rPr>
          <w:rFonts w:ascii="Book Antiqua" w:hAnsi="Book Antiqua"/>
          <w:sz w:val="22"/>
          <w:szCs w:val="22"/>
        </w:rPr>
        <w:t>des résultats de l’ESUB</w:t>
      </w:r>
      <w:r w:rsidR="00E86AD0">
        <w:rPr>
          <w:rFonts w:ascii="Book Antiqua" w:hAnsi="Book Antiqua"/>
          <w:sz w:val="22"/>
          <w:szCs w:val="22"/>
        </w:rPr>
        <w:t xml:space="preserve"> </w:t>
      </w:r>
      <w:r>
        <w:rPr>
          <w:rFonts w:ascii="Book Antiqua" w:hAnsi="Book Antiqua"/>
          <w:sz w:val="22"/>
          <w:szCs w:val="22"/>
        </w:rPr>
        <w:t>dont l’exploitation laisse transparaitre</w:t>
      </w:r>
      <w:r w:rsidR="00915B5E" w:rsidRPr="00463ABD">
        <w:rPr>
          <w:rFonts w:ascii="Book Antiqua" w:hAnsi="Book Antiqua"/>
          <w:sz w:val="22"/>
          <w:szCs w:val="22"/>
        </w:rPr>
        <w:t xml:space="preserve"> des </w:t>
      </w:r>
      <w:r>
        <w:rPr>
          <w:rFonts w:ascii="Book Antiqua" w:hAnsi="Book Antiqua"/>
          <w:sz w:val="22"/>
          <w:szCs w:val="22"/>
        </w:rPr>
        <w:t>opinions défavorables</w:t>
      </w:r>
      <w:r w:rsidR="00915B5E" w:rsidRPr="00463ABD">
        <w:rPr>
          <w:rFonts w:ascii="Book Antiqua" w:hAnsi="Book Antiqua"/>
          <w:sz w:val="22"/>
          <w:szCs w:val="22"/>
        </w:rPr>
        <w:t xml:space="preserve"> des clients sur </w:t>
      </w:r>
      <w:r>
        <w:rPr>
          <w:rFonts w:ascii="Book Antiqua" w:hAnsi="Book Antiqua"/>
          <w:sz w:val="22"/>
          <w:szCs w:val="22"/>
        </w:rPr>
        <w:t>la tarification</w:t>
      </w:r>
      <w:r w:rsidR="00C6355E">
        <w:rPr>
          <w:rFonts w:ascii="Book Antiqua" w:hAnsi="Book Antiqua"/>
          <w:sz w:val="22"/>
          <w:szCs w:val="22"/>
        </w:rPr>
        <w:t xml:space="preserve"> </w:t>
      </w:r>
      <w:r>
        <w:rPr>
          <w:rFonts w:ascii="Book Antiqua" w:hAnsi="Book Antiqua"/>
          <w:sz w:val="22"/>
          <w:szCs w:val="22"/>
        </w:rPr>
        <w:t>de certains</w:t>
      </w:r>
      <w:r w:rsidR="00915B5E" w:rsidRPr="00463ABD">
        <w:rPr>
          <w:rFonts w:ascii="Book Antiqua" w:hAnsi="Book Antiqua"/>
          <w:sz w:val="22"/>
          <w:szCs w:val="22"/>
        </w:rPr>
        <w:t xml:space="preserve"> services bancaires particulièrement :</w:t>
      </w:r>
    </w:p>
    <w:p w:rsidR="00915B5E" w:rsidRPr="00463ABD" w:rsidRDefault="00915B5E" w:rsidP="007B5000">
      <w:pPr>
        <w:pStyle w:val="Paragraphedeliste"/>
        <w:numPr>
          <w:ilvl w:val="0"/>
          <w:numId w:val="41"/>
        </w:numPr>
        <w:spacing w:before="120" w:after="120" w:line="276" w:lineRule="auto"/>
        <w:ind w:left="567" w:hanging="283"/>
        <w:contextualSpacing w:val="0"/>
        <w:jc w:val="both"/>
        <w:rPr>
          <w:rFonts w:ascii="Book Antiqua" w:hAnsi="Book Antiqua"/>
          <w:sz w:val="22"/>
          <w:szCs w:val="22"/>
        </w:rPr>
      </w:pPr>
      <w:r w:rsidRPr="00463ABD">
        <w:rPr>
          <w:rFonts w:ascii="Book Antiqua" w:hAnsi="Book Antiqua"/>
          <w:sz w:val="22"/>
          <w:szCs w:val="22"/>
        </w:rPr>
        <w:t>les frais de tenue de compte</w:t>
      </w:r>
      <w:r w:rsidR="008F4A60">
        <w:rPr>
          <w:rFonts w:ascii="Book Antiqua" w:hAnsi="Book Antiqua"/>
          <w:sz w:val="22"/>
          <w:szCs w:val="22"/>
        </w:rPr>
        <w:t xml:space="preserve"> décriés</w:t>
      </w:r>
      <w:r w:rsidRPr="00463ABD">
        <w:rPr>
          <w:rFonts w:ascii="Book Antiqua" w:hAnsi="Book Antiqua"/>
          <w:sz w:val="22"/>
          <w:szCs w:val="22"/>
        </w:rPr>
        <w:t xml:space="preserve"> par 65,7% des clients interrogés ;</w:t>
      </w:r>
    </w:p>
    <w:p w:rsidR="008F4A60" w:rsidRDefault="00915B5E" w:rsidP="007B5000">
      <w:pPr>
        <w:pStyle w:val="Paragraphedeliste"/>
        <w:numPr>
          <w:ilvl w:val="0"/>
          <w:numId w:val="41"/>
        </w:numPr>
        <w:spacing w:before="120" w:after="120" w:line="276" w:lineRule="auto"/>
        <w:ind w:left="567" w:hanging="283"/>
        <w:contextualSpacing w:val="0"/>
        <w:jc w:val="both"/>
        <w:rPr>
          <w:rFonts w:ascii="Book Antiqua" w:hAnsi="Book Antiqua"/>
          <w:sz w:val="22"/>
          <w:szCs w:val="22"/>
        </w:rPr>
      </w:pPr>
      <w:r w:rsidRPr="00463ABD">
        <w:rPr>
          <w:rFonts w:ascii="Book Antiqua" w:hAnsi="Book Antiqua"/>
          <w:sz w:val="22"/>
          <w:szCs w:val="22"/>
        </w:rPr>
        <w:t xml:space="preserve">la </w:t>
      </w:r>
      <w:r w:rsidR="008F4A60">
        <w:rPr>
          <w:rFonts w:ascii="Book Antiqua" w:hAnsi="Book Antiqua"/>
          <w:sz w:val="22"/>
          <w:szCs w:val="22"/>
        </w:rPr>
        <w:t xml:space="preserve">détention de la </w:t>
      </w:r>
      <w:r w:rsidRPr="00463ABD">
        <w:rPr>
          <w:rFonts w:ascii="Book Antiqua" w:hAnsi="Book Antiqua"/>
          <w:sz w:val="22"/>
          <w:szCs w:val="22"/>
        </w:rPr>
        <w:t>carte bancaire</w:t>
      </w:r>
      <w:r w:rsidR="008F4A60">
        <w:rPr>
          <w:rFonts w:ascii="Book Antiqua" w:hAnsi="Book Antiqua"/>
          <w:sz w:val="22"/>
          <w:szCs w:val="22"/>
        </w:rPr>
        <w:t xml:space="preserve"> facturée à un coût jugé élevé par</w:t>
      </w:r>
      <w:r w:rsidR="00E86AD0">
        <w:rPr>
          <w:rFonts w:ascii="Book Antiqua" w:hAnsi="Book Antiqua"/>
          <w:sz w:val="22"/>
          <w:szCs w:val="22"/>
        </w:rPr>
        <w:t xml:space="preserve"> </w:t>
      </w:r>
      <w:r w:rsidR="008F4A60" w:rsidRPr="00463ABD">
        <w:rPr>
          <w:rFonts w:ascii="Book Antiqua" w:hAnsi="Book Antiqua"/>
          <w:sz w:val="22"/>
          <w:szCs w:val="22"/>
        </w:rPr>
        <w:t>71,4%</w:t>
      </w:r>
      <w:r w:rsidR="008F4A60">
        <w:rPr>
          <w:rFonts w:ascii="Book Antiqua" w:hAnsi="Book Antiqua"/>
          <w:sz w:val="22"/>
          <w:szCs w:val="22"/>
        </w:rPr>
        <w:t xml:space="preserve"> des enquêtés ;</w:t>
      </w:r>
    </w:p>
    <w:p w:rsidR="00915B5E" w:rsidRPr="00463ABD" w:rsidRDefault="008F4A60" w:rsidP="007B5000">
      <w:pPr>
        <w:pStyle w:val="Paragraphedeliste"/>
        <w:numPr>
          <w:ilvl w:val="0"/>
          <w:numId w:val="41"/>
        </w:numPr>
        <w:spacing w:before="120" w:after="120" w:line="276" w:lineRule="auto"/>
        <w:ind w:left="567" w:hanging="283"/>
        <w:contextualSpacing w:val="0"/>
        <w:jc w:val="both"/>
        <w:rPr>
          <w:rFonts w:ascii="Book Antiqua" w:hAnsi="Book Antiqua"/>
          <w:sz w:val="22"/>
          <w:szCs w:val="22"/>
        </w:rPr>
      </w:pPr>
      <w:r>
        <w:rPr>
          <w:rFonts w:ascii="Book Antiqua" w:hAnsi="Book Antiqua"/>
          <w:sz w:val="22"/>
          <w:szCs w:val="22"/>
        </w:rPr>
        <w:t>l</w:t>
      </w:r>
      <w:r w:rsidR="00915B5E" w:rsidRPr="00463ABD">
        <w:rPr>
          <w:rFonts w:ascii="Book Antiqua" w:hAnsi="Book Antiqua"/>
          <w:sz w:val="22"/>
          <w:szCs w:val="22"/>
        </w:rPr>
        <w:t xml:space="preserve">es opérations effectuées dans des GAB </w:t>
      </w:r>
      <w:r w:rsidR="00F32A37">
        <w:rPr>
          <w:rFonts w:ascii="Book Antiqua" w:hAnsi="Book Antiqua"/>
          <w:sz w:val="22"/>
          <w:szCs w:val="22"/>
        </w:rPr>
        <w:t>de confrères avec un coût</w:t>
      </w:r>
      <w:r>
        <w:rPr>
          <w:rFonts w:ascii="Book Antiqua" w:hAnsi="Book Antiqua"/>
          <w:sz w:val="22"/>
          <w:szCs w:val="22"/>
        </w:rPr>
        <w:t xml:space="preserve"> jugé exorbitant chez </w:t>
      </w:r>
      <w:r w:rsidRPr="00463ABD">
        <w:rPr>
          <w:rFonts w:ascii="Book Antiqua" w:hAnsi="Book Antiqua"/>
          <w:sz w:val="22"/>
          <w:szCs w:val="22"/>
        </w:rPr>
        <w:t>71,3% </w:t>
      </w:r>
      <w:r>
        <w:rPr>
          <w:rFonts w:ascii="Book Antiqua" w:hAnsi="Book Antiqua"/>
          <w:sz w:val="22"/>
          <w:szCs w:val="22"/>
        </w:rPr>
        <w:t xml:space="preserve"> des clients</w:t>
      </w:r>
      <w:r w:rsidR="00E86AD0">
        <w:rPr>
          <w:rFonts w:ascii="Book Antiqua" w:hAnsi="Book Antiqua"/>
          <w:sz w:val="22"/>
          <w:szCs w:val="22"/>
        </w:rPr>
        <w:t xml:space="preserve"> </w:t>
      </w:r>
      <w:r w:rsidRPr="00463ABD">
        <w:rPr>
          <w:rFonts w:ascii="Book Antiqua" w:hAnsi="Book Antiqua"/>
          <w:sz w:val="22"/>
          <w:szCs w:val="22"/>
        </w:rPr>
        <w:t>;</w:t>
      </w:r>
    </w:p>
    <w:p w:rsidR="00915B5E" w:rsidRPr="00463ABD" w:rsidRDefault="002243EC" w:rsidP="007B5000">
      <w:pPr>
        <w:pStyle w:val="Paragraphedeliste"/>
        <w:numPr>
          <w:ilvl w:val="0"/>
          <w:numId w:val="41"/>
        </w:numPr>
        <w:autoSpaceDE w:val="0"/>
        <w:autoSpaceDN w:val="0"/>
        <w:adjustRightInd w:val="0"/>
        <w:spacing w:before="120" w:after="120" w:line="276" w:lineRule="auto"/>
        <w:ind w:left="567" w:hanging="283"/>
        <w:contextualSpacing w:val="0"/>
        <w:jc w:val="both"/>
        <w:rPr>
          <w:rFonts w:ascii="Book Antiqua" w:hAnsi="Book Antiqua" w:cs="Wingdings"/>
          <w:sz w:val="22"/>
          <w:szCs w:val="22"/>
        </w:rPr>
      </w:pPr>
      <w:r>
        <w:rPr>
          <w:rFonts w:ascii="Book Antiqua" w:hAnsi="Book Antiqua" w:cs="Wingdings"/>
          <w:sz w:val="22"/>
          <w:szCs w:val="22"/>
        </w:rPr>
        <w:t>l’accès au</w:t>
      </w:r>
      <w:r w:rsidR="00C6355E">
        <w:rPr>
          <w:rFonts w:ascii="Book Antiqua" w:hAnsi="Book Antiqua" w:cs="Wingdings"/>
          <w:sz w:val="22"/>
          <w:szCs w:val="22"/>
        </w:rPr>
        <w:t xml:space="preserve"> </w:t>
      </w:r>
      <w:r>
        <w:rPr>
          <w:rFonts w:ascii="Book Antiqua" w:hAnsi="Book Antiqua" w:cs="Wingdings"/>
          <w:sz w:val="22"/>
          <w:szCs w:val="22"/>
        </w:rPr>
        <w:t>crédit adossé un</w:t>
      </w:r>
      <w:r w:rsidR="00C6355E">
        <w:rPr>
          <w:rFonts w:ascii="Book Antiqua" w:hAnsi="Book Antiqua" w:cs="Wingdings"/>
          <w:sz w:val="22"/>
          <w:szCs w:val="22"/>
        </w:rPr>
        <w:t xml:space="preserve"> </w:t>
      </w:r>
      <w:r w:rsidR="00915B5E" w:rsidRPr="00463ABD">
        <w:rPr>
          <w:rFonts w:ascii="Book Antiqua" w:hAnsi="Book Antiqua" w:cs="Wingdings"/>
          <w:sz w:val="22"/>
          <w:szCs w:val="22"/>
        </w:rPr>
        <w:t>coût</w:t>
      </w:r>
      <w:r>
        <w:rPr>
          <w:rFonts w:ascii="Book Antiqua" w:hAnsi="Book Antiqua" w:cs="Wingdings"/>
          <w:sz w:val="22"/>
          <w:szCs w:val="22"/>
        </w:rPr>
        <w:t xml:space="preserve"> de financement</w:t>
      </w:r>
      <w:r w:rsidR="00915B5E" w:rsidRPr="00463ABD">
        <w:rPr>
          <w:rFonts w:ascii="Book Antiqua" w:hAnsi="Book Antiqua" w:cs="Wingdings"/>
          <w:sz w:val="22"/>
          <w:szCs w:val="22"/>
        </w:rPr>
        <w:t xml:space="preserve"> jugé </w:t>
      </w:r>
      <w:r>
        <w:rPr>
          <w:rFonts w:ascii="Book Antiqua" w:hAnsi="Book Antiqua" w:cs="Wingdings"/>
          <w:sz w:val="22"/>
          <w:szCs w:val="22"/>
        </w:rPr>
        <w:t>excessif par</w:t>
      </w:r>
      <w:r w:rsidR="00915B5E" w:rsidRPr="00463ABD">
        <w:rPr>
          <w:rFonts w:ascii="Book Antiqua" w:hAnsi="Book Antiqua" w:cs="Wingdings"/>
          <w:sz w:val="22"/>
          <w:szCs w:val="22"/>
        </w:rPr>
        <w:t xml:space="preserve"> 91,0% et 85,4% respectivement chez </w:t>
      </w:r>
      <w:r>
        <w:rPr>
          <w:rFonts w:ascii="Book Antiqua" w:hAnsi="Book Antiqua" w:cs="Wingdings"/>
          <w:sz w:val="22"/>
          <w:szCs w:val="22"/>
        </w:rPr>
        <w:t xml:space="preserve">les </w:t>
      </w:r>
      <w:r w:rsidR="00915B5E" w:rsidRPr="00463ABD">
        <w:rPr>
          <w:rFonts w:ascii="Book Antiqua" w:hAnsi="Book Antiqua" w:cs="Wingdings"/>
          <w:sz w:val="22"/>
          <w:szCs w:val="22"/>
        </w:rPr>
        <w:t>clients «  personnes physiques »</w:t>
      </w:r>
      <w:r>
        <w:rPr>
          <w:rFonts w:ascii="Book Antiqua" w:hAnsi="Book Antiqua" w:cs="Wingdings"/>
          <w:sz w:val="22"/>
          <w:szCs w:val="22"/>
        </w:rPr>
        <w:t xml:space="preserve"> et  « personnes morales ». </w:t>
      </w:r>
    </w:p>
    <w:p w:rsidR="00915B5E" w:rsidRPr="00463ABD" w:rsidRDefault="00F32A37" w:rsidP="00C01C11">
      <w:pPr>
        <w:spacing w:before="240" w:after="240" w:line="276" w:lineRule="auto"/>
        <w:jc w:val="both"/>
        <w:rPr>
          <w:rFonts w:ascii="Book Antiqua" w:hAnsi="Book Antiqua"/>
          <w:sz w:val="22"/>
          <w:szCs w:val="22"/>
        </w:rPr>
      </w:pPr>
      <w:r>
        <w:rPr>
          <w:rFonts w:ascii="Book Antiqua" w:hAnsi="Book Antiqua"/>
          <w:sz w:val="22"/>
          <w:szCs w:val="22"/>
        </w:rPr>
        <w:t xml:space="preserve">Le passage en revue de ces opinions </w:t>
      </w:r>
      <w:r w:rsidR="00C911DC">
        <w:rPr>
          <w:rFonts w:ascii="Book Antiqua" w:hAnsi="Book Antiqua"/>
          <w:sz w:val="22"/>
          <w:szCs w:val="22"/>
        </w:rPr>
        <w:t>requiert de la part des acteurs du secteur bancaire la nécessité de poursuivre</w:t>
      </w:r>
      <w:r w:rsidR="00C6355E">
        <w:rPr>
          <w:rFonts w:ascii="Book Antiqua" w:hAnsi="Book Antiqua"/>
          <w:sz w:val="22"/>
          <w:szCs w:val="22"/>
        </w:rPr>
        <w:t xml:space="preserve"> </w:t>
      </w:r>
      <w:r w:rsidR="00C911DC" w:rsidRPr="00463ABD">
        <w:rPr>
          <w:rFonts w:ascii="Book Antiqua" w:hAnsi="Book Antiqua"/>
          <w:sz w:val="22"/>
          <w:szCs w:val="22"/>
        </w:rPr>
        <w:t>les mesures de rationalisation de</w:t>
      </w:r>
      <w:r w:rsidR="00C911DC">
        <w:rPr>
          <w:rFonts w:ascii="Book Antiqua" w:hAnsi="Book Antiqua"/>
          <w:sz w:val="22"/>
          <w:szCs w:val="22"/>
        </w:rPr>
        <w:t>s</w:t>
      </w:r>
      <w:r w:rsidR="00C911DC" w:rsidRPr="00463ABD">
        <w:rPr>
          <w:rFonts w:ascii="Book Antiqua" w:hAnsi="Book Antiqua"/>
          <w:sz w:val="22"/>
          <w:szCs w:val="22"/>
        </w:rPr>
        <w:t xml:space="preserve"> services bancaires à travers une réduction progressive des coûts de</w:t>
      </w:r>
      <w:r w:rsidR="00C911DC">
        <w:rPr>
          <w:rFonts w:ascii="Book Antiqua" w:hAnsi="Book Antiqua"/>
          <w:sz w:val="22"/>
          <w:szCs w:val="22"/>
        </w:rPr>
        <w:t xml:space="preserve"> certains</w:t>
      </w:r>
      <w:r w:rsidR="00C911DC" w:rsidRPr="00463ABD">
        <w:rPr>
          <w:rFonts w:ascii="Book Antiqua" w:hAnsi="Book Antiqua"/>
          <w:sz w:val="22"/>
          <w:szCs w:val="22"/>
        </w:rPr>
        <w:t xml:space="preserve"> services</w:t>
      </w:r>
      <w:r w:rsidR="00C911DC">
        <w:rPr>
          <w:rFonts w:ascii="Book Antiqua" w:hAnsi="Book Antiqua"/>
          <w:sz w:val="22"/>
          <w:szCs w:val="22"/>
        </w:rPr>
        <w:t>, s</w:t>
      </w:r>
      <w:r w:rsidR="00915B5E" w:rsidRPr="00463ABD">
        <w:rPr>
          <w:rFonts w:ascii="Book Antiqua" w:hAnsi="Book Antiqua"/>
          <w:sz w:val="22"/>
          <w:szCs w:val="22"/>
        </w:rPr>
        <w:t xml:space="preserve">ans préjudice </w:t>
      </w:r>
      <w:r w:rsidR="00C911DC">
        <w:rPr>
          <w:rFonts w:ascii="Book Antiqua" w:hAnsi="Book Antiqua"/>
          <w:sz w:val="22"/>
          <w:szCs w:val="22"/>
        </w:rPr>
        <w:t xml:space="preserve">des considérations liées </w:t>
      </w:r>
      <w:r w:rsidR="00915B5E" w:rsidRPr="00463ABD">
        <w:rPr>
          <w:rFonts w:ascii="Book Antiqua" w:hAnsi="Book Antiqua"/>
          <w:sz w:val="22"/>
          <w:szCs w:val="22"/>
        </w:rPr>
        <w:t>à la liberté des conditions de banque</w:t>
      </w:r>
      <w:r w:rsidR="00C911DC">
        <w:rPr>
          <w:rFonts w:ascii="Book Antiqua" w:hAnsi="Book Antiqua"/>
          <w:sz w:val="22"/>
          <w:szCs w:val="22"/>
        </w:rPr>
        <w:t xml:space="preserve"> à prendre en compte dans cette dynamique. </w:t>
      </w:r>
      <w:r w:rsidR="00517D37">
        <w:rPr>
          <w:rFonts w:ascii="Book Antiqua" w:hAnsi="Book Antiqua"/>
          <w:sz w:val="22"/>
          <w:szCs w:val="22"/>
        </w:rPr>
        <w:t>Celles-ci devraient viser en priorité les</w:t>
      </w:r>
      <w:r w:rsidR="00915B5E" w:rsidRPr="00463ABD">
        <w:rPr>
          <w:rFonts w:ascii="Book Antiqua" w:hAnsi="Book Antiqua"/>
          <w:sz w:val="22"/>
          <w:szCs w:val="22"/>
        </w:rPr>
        <w:t xml:space="preserve"> frais de délivrance </w:t>
      </w:r>
      <w:r w:rsidR="00517D37">
        <w:rPr>
          <w:rFonts w:ascii="Book Antiqua" w:hAnsi="Book Antiqua"/>
          <w:sz w:val="22"/>
          <w:szCs w:val="22"/>
        </w:rPr>
        <w:t>d’</w:t>
      </w:r>
      <w:r w:rsidR="00C911DC">
        <w:rPr>
          <w:rFonts w:ascii="Book Antiqua" w:hAnsi="Book Antiqua"/>
          <w:sz w:val="22"/>
          <w:szCs w:val="22"/>
        </w:rPr>
        <w:t>attestations</w:t>
      </w:r>
      <w:r w:rsidR="00915B5E" w:rsidRPr="00463ABD">
        <w:rPr>
          <w:rFonts w:ascii="Book Antiqua" w:hAnsi="Book Antiqua"/>
          <w:sz w:val="22"/>
          <w:szCs w:val="22"/>
        </w:rPr>
        <w:t xml:space="preserve"> d’engagement  et de non engagement, les pénalités sur les remboursements anticipés de crédit qui constituent de réelles entraves tarifaires à la mobilité bancaire. </w:t>
      </w:r>
    </w:p>
    <w:p w:rsidR="00402B1C" w:rsidRDefault="00915B5E" w:rsidP="00C01C11">
      <w:pPr>
        <w:spacing w:before="240" w:after="240" w:line="276" w:lineRule="auto"/>
        <w:jc w:val="both"/>
        <w:rPr>
          <w:rFonts w:ascii="Book Antiqua" w:hAnsi="Book Antiqua"/>
          <w:sz w:val="22"/>
          <w:szCs w:val="22"/>
        </w:rPr>
      </w:pPr>
      <w:r w:rsidRPr="00463ABD">
        <w:rPr>
          <w:rFonts w:ascii="Book Antiqua" w:hAnsi="Book Antiqua"/>
          <w:sz w:val="22"/>
          <w:szCs w:val="22"/>
        </w:rPr>
        <w:t xml:space="preserve">Par ailleurs, dans </w:t>
      </w:r>
      <w:r w:rsidR="00402B1C">
        <w:rPr>
          <w:rFonts w:ascii="Book Antiqua" w:hAnsi="Book Antiqua"/>
          <w:sz w:val="22"/>
          <w:szCs w:val="22"/>
        </w:rPr>
        <w:t xml:space="preserve">le </w:t>
      </w:r>
      <w:r w:rsidRPr="00463ABD">
        <w:rPr>
          <w:rFonts w:ascii="Book Antiqua" w:hAnsi="Book Antiqua"/>
          <w:sz w:val="22"/>
          <w:szCs w:val="22"/>
        </w:rPr>
        <w:t>contexte</w:t>
      </w:r>
      <w:r w:rsidR="00402B1C">
        <w:rPr>
          <w:rFonts w:ascii="Book Antiqua" w:hAnsi="Book Antiqua"/>
          <w:sz w:val="22"/>
          <w:szCs w:val="22"/>
        </w:rPr>
        <w:t xml:space="preserve"> actuel</w:t>
      </w:r>
      <w:r w:rsidR="00C6355E">
        <w:rPr>
          <w:rFonts w:ascii="Book Antiqua" w:hAnsi="Book Antiqua"/>
          <w:sz w:val="22"/>
          <w:szCs w:val="22"/>
        </w:rPr>
        <w:t xml:space="preserve"> </w:t>
      </w:r>
      <w:r w:rsidR="00402B1C">
        <w:rPr>
          <w:rFonts w:ascii="Book Antiqua" w:hAnsi="Book Antiqua"/>
          <w:sz w:val="22"/>
          <w:szCs w:val="22"/>
        </w:rPr>
        <w:t>de mise en œuvre de la</w:t>
      </w:r>
      <w:r w:rsidRPr="00463ABD">
        <w:rPr>
          <w:rFonts w:ascii="Book Antiqua" w:hAnsi="Book Antiqua"/>
          <w:sz w:val="22"/>
          <w:szCs w:val="22"/>
        </w:rPr>
        <w:t xml:space="preserve"> stratégie</w:t>
      </w:r>
      <w:r w:rsidR="00402B1C">
        <w:rPr>
          <w:rFonts w:ascii="Book Antiqua" w:hAnsi="Book Antiqua"/>
          <w:sz w:val="22"/>
          <w:szCs w:val="22"/>
        </w:rPr>
        <w:t xml:space="preserve"> nationale</w:t>
      </w:r>
      <w:r w:rsidRPr="00463ABD">
        <w:rPr>
          <w:rFonts w:ascii="Book Antiqua" w:hAnsi="Book Antiqua"/>
          <w:sz w:val="22"/>
          <w:szCs w:val="22"/>
        </w:rPr>
        <w:t xml:space="preserve"> d’inclusion financière</w:t>
      </w:r>
      <w:r w:rsidR="00402B1C">
        <w:rPr>
          <w:rFonts w:ascii="Book Antiqua" w:hAnsi="Book Antiqua"/>
          <w:sz w:val="22"/>
          <w:szCs w:val="22"/>
        </w:rPr>
        <w:t xml:space="preserve"> (SNIF) au Sénégal</w:t>
      </w:r>
      <w:r w:rsidRPr="00463ABD">
        <w:rPr>
          <w:rFonts w:ascii="Book Antiqua" w:hAnsi="Book Antiqua"/>
          <w:sz w:val="22"/>
          <w:szCs w:val="22"/>
        </w:rPr>
        <w:t xml:space="preserve"> où la promotion du </w:t>
      </w:r>
      <w:proofErr w:type="spellStart"/>
      <w:r w:rsidRPr="00463ABD">
        <w:rPr>
          <w:rFonts w:ascii="Book Antiqua" w:hAnsi="Book Antiqua"/>
          <w:i/>
          <w:sz w:val="22"/>
          <w:szCs w:val="22"/>
        </w:rPr>
        <w:t>Low</w:t>
      </w:r>
      <w:proofErr w:type="spellEnd"/>
      <w:r w:rsidRPr="00463ABD">
        <w:rPr>
          <w:rFonts w:ascii="Book Antiqua" w:hAnsi="Book Antiqua"/>
          <w:i/>
          <w:sz w:val="22"/>
          <w:szCs w:val="22"/>
        </w:rPr>
        <w:t xml:space="preserve"> </w:t>
      </w:r>
      <w:proofErr w:type="spellStart"/>
      <w:r w:rsidRPr="00463ABD">
        <w:rPr>
          <w:rFonts w:ascii="Book Antiqua" w:hAnsi="Book Antiqua"/>
          <w:i/>
          <w:sz w:val="22"/>
          <w:szCs w:val="22"/>
        </w:rPr>
        <w:t>Income</w:t>
      </w:r>
      <w:proofErr w:type="spellEnd"/>
      <w:r w:rsidRPr="00463ABD">
        <w:rPr>
          <w:rFonts w:ascii="Book Antiqua" w:hAnsi="Book Antiqua"/>
          <w:i/>
          <w:sz w:val="22"/>
          <w:szCs w:val="22"/>
        </w:rPr>
        <w:t xml:space="preserve"> </w:t>
      </w:r>
      <w:proofErr w:type="spellStart"/>
      <w:r w:rsidRPr="00463ABD">
        <w:rPr>
          <w:rFonts w:ascii="Book Antiqua" w:hAnsi="Book Antiqua"/>
          <w:i/>
          <w:sz w:val="22"/>
          <w:szCs w:val="22"/>
        </w:rPr>
        <w:t>Banking</w:t>
      </w:r>
      <w:proofErr w:type="spellEnd"/>
      <w:r w:rsidRPr="00463ABD">
        <w:rPr>
          <w:rFonts w:ascii="Book Antiqua" w:hAnsi="Book Antiqua"/>
          <w:i/>
          <w:sz w:val="22"/>
          <w:szCs w:val="22"/>
        </w:rPr>
        <w:t xml:space="preserve"> (LIB) </w:t>
      </w:r>
      <w:r w:rsidRPr="00463ABD">
        <w:rPr>
          <w:rFonts w:ascii="Book Antiqua" w:hAnsi="Book Antiqua"/>
          <w:sz w:val="22"/>
          <w:szCs w:val="22"/>
        </w:rPr>
        <w:t xml:space="preserve">occupe une place importante, le développement de l’offre spécifique en faveur des clients en situation de fragilité financière pourrait </w:t>
      </w:r>
      <w:r w:rsidR="00402B1C">
        <w:rPr>
          <w:rFonts w:ascii="Book Antiqua" w:hAnsi="Book Antiqua"/>
          <w:sz w:val="22"/>
          <w:szCs w:val="22"/>
        </w:rPr>
        <w:t xml:space="preserve">être </w:t>
      </w:r>
      <w:r w:rsidRPr="00463ABD">
        <w:rPr>
          <w:rFonts w:ascii="Book Antiqua" w:hAnsi="Book Antiqua"/>
          <w:sz w:val="22"/>
          <w:szCs w:val="22"/>
        </w:rPr>
        <w:t>une autre initiative à encourager</w:t>
      </w:r>
      <w:r w:rsidR="00402B1C">
        <w:rPr>
          <w:rFonts w:ascii="Book Antiqua" w:hAnsi="Book Antiqua"/>
          <w:sz w:val="22"/>
          <w:szCs w:val="22"/>
        </w:rPr>
        <w:t xml:space="preserve"> en complément des mesures sus</w:t>
      </w:r>
      <w:r w:rsidR="00E86AD0">
        <w:rPr>
          <w:rFonts w:ascii="Book Antiqua" w:hAnsi="Book Antiqua"/>
          <w:sz w:val="22"/>
          <w:szCs w:val="22"/>
        </w:rPr>
        <w:t>-</w:t>
      </w:r>
      <w:r w:rsidR="00402B1C">
        <w:rPr>
          <w:rFonts w:ascii="Book Antiqua" w:hAnsi="Book Antiqua"/>
          <w:sz w:val="22"/>
          <w:szCs w:val="22"/>
        </w:rPr>
        <w:t>évoquées</w:t>
      </w:r>
      <w:r w:rsidRPr="00463ABD">
        <w:rPr>
          <w:rFonts w:ascii="Book Antiqua" w:hAnsi="Book Antiqua"/>
          <w:sz w:val="22"/>
          <w:szCs w:val="22"/>
        </w:rPr>
        <w:t xml:space="preserve">. </w:t>
      </w:r>
    </w:p>
    <w:p w:rsidR="00915B5E" w:rsidRPr="00463ABD" w:rsidRDefault="00915B5E" w:rsidP="00C01C11">
      <w:pPr>
        <w:spacing w:before="240" w:after="240" w:line="276" w:lineRule="auto"/>
        <w:jc w:val="both"/>
        <w:rPr>
          <w:rFonts w:ascii="Book Antiqua" w:hAnsi="Book Antiqua"/>
          <w:sz w:val="22"/>
          <w:szCs w:val="22"/>
        </w:rPr>
      </w:pPr>
      <w:r w:rsidRPr="00463ABD">
        <w:rPr>
          <w:rFonts w:ascii="Book Antiqua" w:hAnsi="Book Antiqua"/>
          <w:sz w:val="22"/>
          <w:szCs w:val="22"/>
        </w:rPr>
        <w:t>Il s’agit d’une gamme de moyens de paiement alte</w:t>
      </w:r>
      <w:r w:rsidR="00402B1C">
        <w:rPr>
          <w:rFonts w:ascii="Book Antiqua" w:hAnsi="Book Antiqua"/>
          <w:sz w:val="22"/>
          <w:szCs w:val="22"/>
        </w:rPr>
        <w:t>rnatifs (GPA) au chèque proposée</w:t>
      </w:r>
      <w:r w:rsidRPr="00463ABD">
        <w:rPr>
          <w:rFonts w:ascii="Book Antiqua" w:hAnsi="Book Antiqua"/>
          <w:sz w:val="22"/>
          <w:szCs w:val="22"/>
        </w:rPr>
        <w:t xml:space="preserve"> par une banque à un client</w:t>
      </w:r>
      <w:r w:rsidR="00C6355E">
        <w:rPr>
          <w:rFonts w:ascii="Book Antiqua" w:hAnsi="Book Antiqua"/>
          <w:sz w:val="22"/>
          <w:szCs w:val="22"/>
        </w:rPr>
        <w:t xml:space="preserve"> </w:t>
      </w:r>
      <w:r w:rsidR="009C7059" w:rsidRPr="00463ABD">
        <w:rPr>
          <w:rFonts w:ascii="Book Antiqua" w:hAnsi="Book Antiqua"/>
          <w:sz w:val="22"/>
          <w:szCs w:val="22"/>
        </w:rPr>
        <w:t>pour un tarif mensuel modéré</w:t>
      </w:r>
      <w:r w:rsidRPr="00463ABD">
        <w:rPr>
          <w:rFonts w:ascii="Book Antiqua" w:hAnsi="Book Antiqua"/>
          <w:sz w:val="22"/>
          <w:szCs w:val="22"/>
        </w:rPr>
        <w:t xml:space="preserve">. Cette gamme comprend des opérations effectuées par virements, prélèvements et une carte de paiement à autorisation systématique. </w:t>
      </w:r>
    </w:p>
    <w:p w:rsidR="00915B5E" w:rsidRPr="00463ABD" w:rsidRDefault="005F3AB6" w:rsidP="00C01C11">
      <w:pPr>
        <w:spacing w:before="240" w:after="240" w:line="276" w:lineRule="auto"/>
        <w:jc w:val="both"/>
        <w:rPr>
          <w:rFonts w:ascii="Book Antiqua" w:hAnsi="Book Antiqua"/>
          <w:sz w:val="22"/>
          <w:szCs w:val="22"/>
        </w:rPr>
      </w:pPr>
      <w:r>
        <w:rPr>
          <w:rFonts w:ascii="Book Antiqua" w:hAnsi="Book Antiqua"/>
          <w:sz w:val="22"/>
          <w:szCs w:val="22"/>
        </w:rPr>
        <w:lastRenderedPageBreak/>
        <w:t>A titre illustratif,</w:t>
      </w:r>
      <w:r w:rsidR="00915B5E" w:rsidRPr="00463ABD">
        <w:rPr>
          <w:rFonts w:ascii="Book Antiqua" w:hAnsi="Book Antiqua"/>
          <w:sz w:val="22"/>
          <w:szCs w:val="22"/>
        </w:rPr>
        <w:t xml:space="preserve"> l’expérience </w:t>
      </w:r>
      <w:r>
        <w:rPr>
          <w:rFonts w:ascii="Book Antiqua" w:hAnsi="Book Antiqua"/>
          <w:sz w:val="22"/>
          <w:szCs w:val="22"/>
        </w:rPr>
        <w:t xml:space="preserve">éprouvée </w:t>
      </w:r>
      <w:r w:rsidR="00915B5E" w:rsidRPr="00463ABD">
        <w:rPr>
          <w:rFonts w:ascii="Book Antiqua" w:hAnsi="Book Antiqua"/>
          <w:sz w:val="22"/>
          <w:szCs w:val="22"/>
        </w:rPr>
        <w:t>de la France mérite une attention particulière</w:t>
      </w:r>
      <w:r>
        <w:rPr>
          <w:rFonts w:ascii="Book Antiqua" w:hAnsi="Book Antiqua"/>
          <w:sz w:val="22"/>
          <w:szCs w:val="22"/>
        </w:rPr>
        <w:t>. Dans ce pays,</w:t>
      </w:r>
      <w:r w:rsidR="00C6355E">
        <w:rPr>
          <w:rFonts w:ascii="Book Antiqua" w:hAnsi="Book Antiqua"/>
          <w:sz w:val="22"/>
          <w:szCs w:val="22"/>
        </w:rPr>
        <w:t xml:space="preserve"> </w:t>
      </w:r>
      <w:r>
        <w:rPr>
          <w:rFonts w:ascii="Book Antiqua" w:hAnsi="Book Antiqua"/>
          <w:sz w:val="22"/>
          <w:szCs w:val="22"/>
        </w:rPr>
        <w:t>la</w:t>
      </w:r>
      <w:r w:rsidR="00C6355E">
        <w:rPr>
          <w:rFonts w:ascii="Book Antiqua" w:hAnsi="Book Antiqua"/>
          <w:sz w:val="22"/>
          <w:szCs w:val="22"/>
        </w:rPr>
        <w:t xml:space="preserve"> </w:t>
      </w:r>
      <w:r w:rsidRPr="00463ABD">
        <w:rPr>
          <w:rFonts w:ascii="Book Antiqua" w:hAnsi="Book Antiqua"/>
          <w:i/>
          <w:sz w:val="22"/>
          <w:szCs w:val="22"/>
        </w:rPr>
        <w:t xml:space="preserve">loi </w:t>
      </w:r>
      <w:r w:rsidR="00717371">
        <w:rPr>
          <w:rFonts w:ascii="Book Antiqua" w:hAnsi="Book Antiqua"/>
          <w:i/>
          <w:sz w:val="22"/>
          <w:szCs w:val="22"/>
        </w:rPr>
        <w:t xml:space="preserve">n°2013 -672 du </w:t>
      </w:r>
      <w:r w:rsidRPr="00463ABD">
        <w:rPr>
          <w:rFonts w:ascii="Book Antiqua" w:hAnsi="Book Antiqua"/>
          <w:i/>
          <w:sz w:val="22"/>
          <w:szCs w:val="22"/>
        </w:rPr>
        <w:t>26 juillet 2013</w:t>
      </w:r>
      <w:r w:rsidR="00717371">
        <w:rPr>
          <w:rFonts w:ascii="Book Antiqua" w:hAnsi="Book Antiqua"/>
          <w:i/>
          <w:sz w:val="22"/>
          <w:szCs w:val="22"/>
        </w:rPr>
        <w:t xml:space="preserve"> portant séparation et régulation des activités bancaires</w:t>
      </w:r>
      <w:r w:rsidR="00E86AD0">
        <w:rPr>
          <w:rFonts w:ascii="Book Antiqua" w:hAnsi="Book Antiqua"/>
          <w:i/>
          <w:sz w:val="22"/>
          <w:szCs w:val="22"/>
        </w:rPr>
        <w:t xml:space="preserve"> </w:t>
      </w:r>
      <w:r w:rsidR="00717371">
        <w:rPr>
          <w:rFonts w:ascii="Book Antiqua" w:hAnsi="Book Antiqua"/>
          <w:sz w:val="22"/>
          <w:szCs w:val="22"/>
        </w:rPr>
        <w:t xml:space="preserve">fait obligation </w:t>
      </w:r>
      <w:r w:rsidR="00915B5E" w:rsidRPr="00463ABD">
        <w:rPr>
          <w:rFonts w:ascii="Book Antiqua" w:hAnsi="Book Antiqua"/>
          <w:sz w:val="22"/>
          <w:szCs w:val="22"/>
        </w:rPr>
        <w:t xml:space="preserve"> aux établissements de crédit de proposer aux personnes physiques en sit</w:t>
      </w:r>
      <w:r>
        <w:rPr>
          <w:rFonts w:ascii="Book Antiqua" w:hAnsi="Book Antiqua"/>
          <w:sz w:val="22"/>
          <w:szCs w:val="22"/>
        </w:rPr>
        <w:t>uation de fragilité financière</w:t>
      </w:r>
      <w:r w:rsidR="00915B5E" w:rsidRPr="00463ABD">
        <w:rPr>
          <w:rFonts w:ascii="Book Antiqua" w:hAnsi="Book Antiqua"/>
          <w:sz w:val="22"/>
          <w:szCs w:val="22"/>
        </w:rPr>
        <w:t>, une offre spécifique comprenant, des moyens de paiement et des services bancaires</w:t>
      </w:r>
      <w:r w:rsidR="00EC7BF3">
        <w:rPr>
          <w:rFonts w:ascii="Book Antiqua" w:hAnsi="Book Antiqua"/>
          <w:sz w:val="22"/>
          <w:szCs w:val="22"/>
        </w:rPr>
        <w:t xml:space="preserve"> appropriés à leur situation </w:t>
      </w:r>
      <w:r w:rsidR="00915B5E" w:rsidRPr="00463ABD">
        <w:rPr>
          <w:rFonts w:ascii="Book Antiqua" w:hAnsi="Book Antiqua"/>
          <w:sz w:val="22"/>
          <w:szCs w:val="22"/>
        </w:rPr>
        <w:t>de nature à limiter les frais d'incidents</w:t>
      </w:r>
      <w:r w:rsidR="00EC7BF3">
        <w:rPr>
          <w:rFonts w:ascii="Book Antiqua" w:hAnsi="Book Antiqua"/>
          <w:sz w:val="22"/>
          <w:szCs w:val="22"/>
        </w:rPr>
        <w:t>,</w:t>
      </w:r>
      <w:r w:rsidR="00E86AD0">
        <w:rPr>
          <w:rFonts w:ascii="Book Antiqua" w:hAnsi="Book Antiqua"/>
          <w:sz w:val="22"/>
          <w:szCs w:val="22"/>
        </w:rPr>
        <w:t xml:space="preserve"> </w:t>
      </w:r>
      <w:r w:rsidR="00EC7BF3" w:rsidRPr="00463ABD">
        <w:rPr>
          <w:rFonts w:ascii="Book Antiqua" w:hAnsi="Book Antiqua"/>
          <w:sz w:val="22"/>
          <w:szCs w:val="22"/>
        </w:rPr>
        <w:t xml:space="preserve">pour un tarif ne pouvant pas </w:t>
      </w:r>
      <w:r w:rsidR="00EC7BF3">
        <w:rPr>
          <w:rFonts w:ascii="Book Antiqua" w:hAnsi="Book Antiqua"/>
          <w:sz w:val="22"/>
          <w:szCs w:val="22"/>
        </w:rPr>
        <w:t>dépasser un montant forfaitaire.</w:t>
      </w:r>
    </w:p>
    <w:p w:rsidR="00915B5E" w:rsidRPr="00463ABD" w:rsidRDefault="00EC7BF3" w:rsidP="00C01C11">
      <w:pPr>
        <w:pStyle w:val="Paragraphedeliste"/>
        <w:spacing w:before="240" w:after="240" w:line="276" w:lineRule="auto"/>
        <w:ind w:left="0"/>
        <w:contextualSpacing w:val="0"/>
        <w:jc w:val="both"/>
        <w:rPr>
          <w:rFonts w:ascii="Book Antiqua" w:hAnsi="Book Antiqua"/>
          <w:b/>
          <w:sz w:val="22"/>
          <w:szCs w:val="22"/>
        </w:rPr>
      </w:pPr>
      <w:r>
        <w:rPr>
          <w:rFonts w:ascii="Book Antiqua" w:hAnsi="Book Antiqua"/>
          <w:b/>
          <w:sz w:val="22"/>
          <w:szCs w:val="22"/>
        </w:rPr>
        <w:t>R6</w:t>
      </w:r>
      <w:r w:rsidR="00915B5E" w:rsidRPr="00463ABD">
        <w:rPr>
          <w:rFonts w:ascii="Book Antiqua" w:hAnsi="Book Antiqua"/>
          <w:b/>
          <w:sz w:val="22"/>
          <w:szCs w:val="22"/>
        </w:rPr>
        <w:t xml:space="preserve">.  </w:t>
      </w:r>
      <w:r w:rsidR="00915B5E" w:rsidRPr="00D156BE">
        <w:rPr>
          <w:rFonts w:ascii="Book Antiqua" w:hAnsi="Book Antiqua"/>
          <w:b/>
          <w:sz w:val="22"/>
          <w:szCs w:val="22"/>
        </w:rPr>
        <w:t>Améliorer les conditions de distribution du crédit</w:t>
      </w:r>
    </w:p>
    <w:p w:rsidR="00551DCB" w:rsidRDefault="00DB1D2F" w:rsidP="00C01C11">
      <w:pPr>
        <w:autoSpaceDE w:val="0"/>
        <w:autoSpaceDN w:val="0"/>
        <w:adjustRightInd w:val="0"/>
        <w:spacing w:before="240" w:after="240" w:line="276" w:lineRule="auto"/>
        <w:jc w:val="both"/>
        <w:rPr>
          <w:rFonts w:ascii="Book Antiqua" w:eastAsia="Calibri" w:hAnsi="Book Antiqua"/>
          <w:sz w:val="22"/>
          <w:szCs w:val="22"/>
        </w:rPr>
      </w:pPr>
      <w:r>
        <w:rPr>
          <w:rFonts w:ascii="Book Antiqua" w:hAnsi="Book Antiqua" w:cs="Wingdings"/>
          <w:sz w:val="22"/>
          <w:szCs w:val="22"/>
        </w:rPr>
        <w:t>L’examen des</w:t>
      </w:r>
      <w:r w:rsidR="005F3AB6">
        <w:rPr>
          <w:rFonts w:ascii="Book Antiqua" w:hAnsi="Book Antiqua" w:cs="Wingdings"/>
          <w:sz w:val="22"/>
          <w:szCs w:val="22"/>
        </w:rPr>
        <w:t xml:space="preserve"> résultats de l’ESUB</w:t>
      </w:r>
      <w:r w:rsidR="00E86AD0">
        <w:rPr>
          <w:rFonts w:ascii="Book Antiqua" w:hAnsi="Book Antiqua" w:cs="Wingdings"/>
          <w:sz w:val="22"/>
          <w:szCs w:val="22"/>
        </w:rPr>
        <w:t xml:space="preserve"> </w:t>
      </w:r>
      <w:r>
        <w:rPr>
          <w:rFonts w:ascii="Book Antiqua" w:hAnsi="Book Antiqua" w:cs="Wingdings"/>
          <w:sz w:val="22"/>
          <w:szCs w:val="22"/>
        </w:rPr>
        <w:t>met</w:t>
      </w:r>
      <w:r w:rsidR="00915B5E" w:rsidRPr="00463ABD">
        <w:rPr>
          <w:rFonts w:ascii="Book Antiqua" w:hAnsi="Book Antiqua" w:cs="Wingdings"/>
          <w:sz w:val="22"/>
          <w:szCs w:val="22"/>
        </w:rPr>
        <w:t xml:space="preserve"> en exergue</w:t>
      </w:r>
      <w:r w:rsidR="00551DCB">
        <w:rPr>
          <w:rFonts w:ascii="Book Antiqua" w:hAnsi="Book Antiqua" w:cs="Wingdings"/>
          <w:sz w:val="22"/>
          <w:szCs w:val="22"/>
        </w:rPr>
        <w:t xml:space="preserve"> le caractère</w:t>
      </w:r>
      <w:r w:rsidR="00915B5E" w:rsidRPr="00463ABD">
        <w:rPr>
          <w:rFonts w:ascii="Book Antiqua" w:hAnsi="Book Antiqua" w:cs="Wingdings"/>
          <w:sz w:val="22"/>
          <w:szCs w:val="22"/>
        </w:rPr>
        <w:t xml:space="preserve"> élevé du </w:t>
      </w:r>
      <w:r w:rsidR="00551DCB">
        <w:rPr>
          <w:rFonts w:ascii="Book Antiqua" w:hAnsi="Book Antiqua" w:cs="Wingdings"/>
          <w:sz w:val="22"/>
          <w:szCs w:val="22"/>
        </w:rPr>
        <w:t xml:space="preserve">coût du </w:t>
      </w:r>
      <w:r w:rsidR="00915B5E" w:rsidRPr="00463ABD">
        <w:rPr>
          <w:rFonts w:ascii="Book Antiqua" w:hAnsi="Book Antiqua" w:cs="Wingdings"/>
          <w:sz w:val="22"/>
          <w:szCs w:val="22"/>
        </w:rPr>
        <w:t>crédit avec une proportion de 91,0% des c</w:t>
      </w:r>
      <w:r w:rsidR="00551DCB">
        <w:rPr>
          <w:rFonts w:ascii="Book Antiqua" w:hAnsi="Book Antiqua" w:cs="Wingdings"/>
          <w:sz w:val="22"/>
          <w:szCs w:val="22"/>
        </w:rPr>
        <w:t xml:space="preserve">lients personnes physiques. </w:t>
      </w:r>
      <w:r w:rsidR="00915B5E" w:rsidRPr="00463ABD">
        <w:rPr>
          <w:rFonts w:ascii="Book Antiqua" w:eastAsia="Calibri" w:hAnsi="Book Antiqua"/>
          <w:sz w:val="22"/>
          <w:szCs w:val="22"/>
        </w:rPr>
        <w:t xml:space="preserve">Pour les unités bénéficiaires de crédits d’investissement, il est relevé une proportion de 85,4% qui estime ces taux débiteurs </w:t>
      </w:r>
      <w:r w:rsidR="00915B5E" w:rsidRPr="00463ABD">
        <w:rPr>
          <w:rFonts w:ascii="Book Antiqua" w:eastAsia="Calibri" w:hAnsi="Book Antiqua"/>
          <w:i/>
          <w:sz w:val="22"/>
          <w:szCs w:val="22"/>
        </w:rPr>
        <w:t>« élevés »</w:t>
      </w:r>
      <w:r w:rsidR="00551DCB">
        <w:rPr>
          <w:rFonts w:ascii="Book Antiqua" w:eastAsia="Calibri" w:hAnsi="Book Antiqua"/>
          <w:i/>
          <w:sz w:val="22"/>
          <w:szCs w:val="22"/>
        </w:rPr>
        <w:t>.</w:t>
      </w:r>
      <w:r w:rsidR="006C2147">
        <w:rPr>
          <w:rFonts w:ascii="Book Antiqua" w:eastAsia="Calibri" w:hAnsi="Book Antiqua"/>
          <w:sz w:val="22"/>
          <w:szCs w:val="22"/>
        </w:rPr>
        <w:t xml:space="preserve"> Les mêmes récriminations sont observées</w:t>
      </w:r>
      <w:r w:rsidR="00C6355E">
        <w:rPr>
          <w:rFonts w:ascii="Book Antiqua" w:eastAsia="Calibri" w:hAnsi="Book Antiqua"/>
          <w:sz w:val="22"/>
          <w:szCs w:val="22"/>
        </w:rPr>
        <w:t xml:space="preserve"> </w:t>
      </w:r>
      <w:r w:rsidR="00B5329C">
        <w:rPr>
          <w:rFonts w:ascii="Book Antiqua" w:eastAsia="Calibri" w:hAnsi="Book Antiqua"/>
          <w:sz w:val="22"/>
          <w:szCs w:val="22"/>
        </w:rPr>
        <w:t>pour</w:t>
      </w:r>
      <w:r w:rsidR="00915B5E" w:rsidRPr="00463ABD">
        <w:rPr>
          <w:rFonts w:ascii="Book Antiqua" w:eastAsia="Calibri" w:hAnsi="Book Antiqua"/>
          <w:sz w:val="22"/>
          <w:szCs w:val="22"/>
        </w:rPr>
        <w:t xml:space="preserve"> les crédits de fonctionnement avec des opinions d</w:t>
      </w:r>
      <w:r w:rsidR="00B5329C">
        <w:rPr>
          <w:rFonts w:ascii="Book Antiqua" w:eastAsia="Calibri" w:hAnsi="Book Antiqua"/>
          <w:sz w:val="22"/>
          <w:szCs w:val="22"/>
        </w:rPr>
        <w:t>éfavorables de l’ordre de 85,4%.</w:t>
      </w:r>
    </w:p>
    <w:p w:rsidR="00915B5E" w:rsidRDefault="009823BB" w:rsidP="00C01C11">
      <w:pPr>
        <w:autoSpaceDE w:val="0"/>
        <w:autoSpaceDN w:val="0"/>
        <w:adjustRightInd w:val="0"/>
        <w:spacing w:before="240" w:after="240" w:line="276" w:lineRule="auto"/>
        <w:jc w:val="both"/>
        <w:rPr>
          <w:rFonts w:ascii="Book Antiqua" w:eastAsia="Calibri" w:hAnsi="Book Antiqua"/>
          <w:sz w:val="22"/>
          <w:szCs w:val="22"/>
        </w:rPr>
      </w:pPr>
      <w:r>
        <w:rPr>
          <w:rFonts w:ascii="Book Antiqua" w:hAnsi="Book Antiqua" w:cs="Wingdings"/>
          <w:sz w:val="22"/>
          <w:szCs w:val="22"/>
        </w:rPr>
        <w:t>Sur un autre registre,</w:t>
      </w:r>
      <w:r w:rsidR="00551DCB">
        <w:rPr>
          <w:rFonts w:ascii="Book Antiqua" w:hAnsi="Book Antiqua" w:cs="Wingdings"/>
          <w:sz w:val="22"/>
          <w:szCs w:val="22"/>
        </w:rPr>
        <w:t xml:space="preserve"> il </w:t>
      </w:r>
      <w:r w:rsidR="002B6AFD">
        <w:rPr>
          <w:rFonts w:ascii="Book Antiqua" w:hAnsi="Book Antiqua" w:cs="Wingdings"/>
          <w:sz w:val="22"/>
          <w:szCs w:val="22"/>
        </w:rPr>
        <w:t xml:space="preserve">est apparu au travers de cette enquête </w:t>
      </w:r>
      <w:r w:rsidR="00551DCB" w:rsidRPr="00463ABD">
        <w:rPr>
          <w:rFonts w:ascii="Book Antiqua" w:eastAsia="Calibri" w:hAnsi="Book Antiqua"/>
          <w:sz w:val="22"/>
          <w:szCs w:val="22"/>
        </w:rPr>
        <w:t>une proportion relativement faible de clients ayant eu à formuler une demande de prêt auprès de leur banque (53,1%).</w:t>
      </w:r>
    </w:p>
    <w:p w:rsidR="00915B5E" w:rsidRPr="00463ABD" w:rsidRDefault="00F120DC" w:rsidP="00C01C11">
      <w:pPr>
        <w:spacing w:before="240" w:after="240" w:line="276" w:lineRule="auto"/>
        <w:jc w:val="both"/>
        <w:rPr>
          <w:rFonts w:ascii="Book Antiqua" w:eastAsia="Calibri" w:hAnsi="Book Antiqua"/>
          <w:sz w:val="22"/>
          <w:szCs w:val="22"/>
        </w:rPr>
      </w:pPr>
      <w:r>
        <w:rPr>
          <w:rFonts w:ascii="Book Antiqua" w:eastAsia="Calibri" w:hAnsi="Book Antiqua"/>
          <w:sz w:val="22"/>
          <w:szCs w:val="22"/>
        </w:rPr>
        <w:t xml:space="preserve">Ces statistiques sont assez révélatrices des difficultés liées à aux conditions d’accès au crédit aussi bien chez les personnes physiques que les personnes morales.  </w:t>
      </w:r>
      <w:r w:rsidR="00E06824">
        <w:rPr>
          <w:rFonts w:ascii="Book Antiqua" w:eastAsia="Calibri" w:hAnsi="Book Antiqua"/>
          <w:sz w:val="22"/>
          <w:szCs w:val="22"/>
        </w:rPr>
        <w:t>Pour encourager les demandes de financement et de façon subséquente les bénéficiaires de crédit, diverses mesures pourraient être envisagées. Il s’agit :</w:t>
      </w:r>
    </w:p>
    <w:p w:rsidR="00915B5E" w:rsidRPr="00463ABD" w:rsidRDefault="00915B5E" w:rsidP="007B5000">
      <w:pPr>
        <w:pStyle w:val="Paragraphedeliste"/>
        <w:numPr>
          <w:ilvl w:val="0"/>
          <w:numId w:val="46"/>
        </w:numPr>
        <w:spacing w:before="120" w:after="120" w:line="276" w:lineRule="auto"/>
        <w:ind w:left="568" w:hanging="284"/>
        <w:contextualSpacing w:val="0"/>
        <w:jc w:val="both"/>
        <w:rPr>
          <w:rFonts w:ascii="Book Antiqua" w:hAnsi="Book Antiqua"/>
          <w:sz w:val="22"/>
          <w:szCs w:val="22"/>
        </w:rPr>
      </w:pPr>
      <w:r w:rsidRPr="00463ABD">
        <w:rPr>
          <w:rFonts w:ascii="Book Antiqua" w:hAnsi="Book Antiqua"/>
          <w:sz w:val="22"/>
          <w:szCs w:val="22"/>
        </w:rPr>
        <w:t>de définir</w:t>
      </w:r>
      <w:r w:rsidR="002B26DF">
        <w:rPr>
          <w:rFonts w:ascii="Book Antiqua" w:hAnsi="Book Antiqua"/>
          <w:sz w:val="22"/>
          <w:szCs w:val="22"/>
        </w:rPr>
        <w:t xml:space="preserve"> et d’adopter</w:t>
      </w:r>
      <w:r w:rsidR="00C6355E">
        <w:rPr>
          <w:rFonts w:ascii="Book Antiqua" w:hAnsi="Book Antiqua"/>
          <w:sz w:val="22"/>
          <w:szCs w:val="22"/>
        </w:rPr>
        <w:t xml:space="preserve"> </w:t>
      </w:r>
      <w:r w:rsidR="00E04408">
        <w:rPr>
          <w:rFonts w:ascii="Book Antiqua" w:hAnsi="Book Antiqua"/>
          <w:sz w:val="22"/>
          <w:szCs w:val="22"/>
        </w:rPr>
        <w:t>sous l’égide de la Banque centrale</w:t>
      </w:r>
      <w:r w:rsidR="002B26DF">
        <w:rPr>
          <w:rFonts w:ascii="Book Antiqua" w:hAnsi="Book Antiqua"/>
          <w:sz w:val="22"/>
          <w:szCs w:val="22"/>
        </w:rPr>
        <w:t>,</w:t>
      </w:r>
      <w:r w:rsidR="00C6355E">
        <w:rPr>
          <w:rFonts w:ascii="Book Antiqua" w:hAnsi="Book Antiqua"/>
          <w:sz w:val="22"/>
          <w:szCs w:val="22"/>
        </w:rPr>
        <w:t xml:space="preserve"> </w:t>
      </w:r>
      <w:r w:rsidRPr="00463ABD">
        <w:rPr>
          <w:rFonts w:ascii="Book Antiqua" w:hAnsi="Book Antiqua"/>
          <w:sz w:val="22"/>
          <w:szCs w:val="22"/>
        </w:rPr>
        <w:t>une méthode</w:t>
      </w:r>
      <w:r w:rsidR="00D86835">
        <w:rPr>
          <w:rFonts w:ascii="Book Antiqua" w:hAnsi="Book Antiqua"/>
          <w:sz w:val="22"/>
          <w:szCs w:val="22"/>
        </w:rPr>
        <w:t xml:space="preserve"> uniforme</w:t>
      </w:r>
      <w:r w:rsidRPr="00463ABD">
        <w:rPr>
          <w:rFonts w:ascii="Book Antiqua" w:hAnsi="Book Antiqua"/>
          <w:sz w:val="22"/>
          <w:szCs w:val="22"/>
        </w:rPr>
        <w:t xml:space="preserve"> de fixation du taux de base bancaire </w:t>
      </w:r>
      <w:r w:rsidR="002B26DF">
        <w:rPr>
          <w:rFonts w:ascii="Book Antiqua" w:hAnsi="Book Antiqua"/>
          <w:sz w:val="22"/>
          <w:szCs w:val="22"/>
        </w:rPr>
        <w:t>applicable</w:t>
      </w:r>
      <w:r w:rsidR="00E04408">
        <w:rPr>
          <w:rFonts w:ascii="Book Antiqua" w:hAnsi="Book Antiqua"/>
          <w:sz w:val="22"/>
          <w:szCs w:val="22"/>
        </w:rPr>
        <w:t xml:space="preserve"> par les banques ;</w:t>
      </w:r>
    </w:p>
    <w:p w:rsidR="00915B5E" w:rsidRPr="00C63614" w:rsidRDefault="00915B5E" w:rsidP="007B5000">
      <w:pPr>
        <w:pStyle w:val="Paragraphedeliste"/>
        <w:numPr>
          <w:ilvl w:val="0"/>
          <w:numId w:val="46"/>
        </w:numPr>
        <w:spacing w:before="120" w:after="120" w:line="276" w:lineRule="auto"/>
        <w:ind w:left="568" w:hanging="284"/>
        <w:contextualSpacing w:val="0"/>
        <w:jc w:val="both"/>
        <w:rPr>
          <w:rFonts w:ascii="Book Antiqua" w:hAnsi="Book Antiqua"/>
          <w:sz w:val="22"/>
          <w:szCs w:val="22"/>
        </w:rPr>
      </w:pPr>
      <w:r w:rsidRPr="00463ABD">
        <w:rPr>
          <w:rFonts w:ascii="Book Antiqua" w:hAnsi="Book Antiqua"/>
          <w:sz w:val="22"/>
          <w:szCs w:val="22"/>
        </w:rPr>
        <w:t>d’envisager la réforme du taux de l’usure</w:t>
      </w:r>
      <w:r w:rsidR="000740FA">
        <w:rPr>
          <w:rFonts w:ascii="Book Antiqua" w:hAnsi="Book Antiqua"/>
          <w:sz w:val="22"/>
          <w:szCs w:val="22"/>
        </w:rPr>
        <w:t xml:space="preserve"> : </w:t>
      </w:r>
      <w:r w:rsidR="00D46F48">
        <w:rPr>
          <w:rFonts w:ascii="Book Antiqua" w:hAnsi="Book Antiqua"/>
          <w:sz w:val="22"/>
          <w:szCs w:val="22"/>
        </w:rPr>
        <w:t xml:space="preserve">il convient de relever que </w:t>
      </w:r>
      <w:r w:rsidR="000740FA">
        <w:rPr>
          <w:rFonts w:ascii="Book Antiqua" w:hAnsi="Book Antiqua"/>
          <w:sz w:val="22"/>
          <w:szCs w:val="22"/>
        </w:rPr>
        <w:t>la baisse du seuil de l’usure</w:t>
      </w:r>
      <w:r w:rsidR="00C6355E">
        <w:rPr>
          <w:rFonts w:ascii="Book Antiqua" w:hAnsi="Book Antiqua"/>
          <w:sz w:val="22"/>
          <w:szCs w:val="22"/>
        </w:rPr>
        <w:t xml:space="preserve"> </w:t>
      </w:r>
      <w:r w:rsidR="000740FA" w:rsidRPr="00463ABD">
        <w:rPr>
          <w:rFonts w:ascii="Book Antiqua" w:hAnsi="Book Antiqua"/>
          <w:sz w:val="22"/>
          <w:szCs w:val="22"/>
        </w:rPr>
        <w:t>de 18 à 15%</w:t>
      </w:r>
      <w:r w:rsidR="000740FA">
        <w:rPr>
          <w:rFonts w:ascii="Book Antiqua" w:hAnsi="Book Antiqua"/>
          <w:sz w:val="22"/>
          <w:szCs w:val="22"/>
        </w:rPr>
        <w:t>en vigueur depuis le 1</w:t>
      </w:r>
      <w:r w:rsidR="000740FA" w:rsidRPr="000740FA">
        <w:rPr>
          <w:rFonts w:ascii="Book Antiqua" w:hAnsi="Book Antiqua"/>
          <w:sz w:val="22"/>
          <w:szCs w:val="22"/>
          <w:vertAlign w:val="superscript"/>
        </w:rPr>
        <w:t>er</w:t>
      </w:r>
      <w:r w:rsidR="000740FA">
        <w:rPr>
          <w:rFonts w:ascii="Book Antiqua" w:hAnsi="Book Antiqua"/>
          <w:sz w:val="22"/>
          <w:szCs w:val="22"/>
        </w:rPr>
        <w:t>janvier</w:t>
      </w:r>
      <w:r w:rsidR="00FF740D">
        <w:rPr>
          <w:rFonts w:ascii="Book Antiqua" w:hAnsi="Book Antiqua"/>
          <w:sz w:val="22"/>
          <w:szCs w:val="22"/>
        </w:rPr>
        <w:t xml:space="preserve"> 2014</w:t>
      </w:r>
      <w:r w:rsidR="000740FA">
        <w:rPr>
          <w:rFonts w:ascii="Book Antiqua" w:hAnsi="Book Antiqua"/>
          <w:sz w:val="22"/>
          <w:szCs w:val="22"/>
        </w:rPr>
        <w:t>, n</w:t>
      </w:r>
      <w:r w:rsidR="00D46F48">
        <w:rPr>
          <w:rFonts w:ascii="Book Antiqua" w:hAnsi="Book Antiqua"/>
          <w:sz w:val="22"/>
          <w:szCs w:val="22"/>
        </w:rPr>
        <w:t>e semble pas avoir</w:t>
      </w:r>
      <w:r w:rsidR="00C6355E">
        <w:rPr>
          <w:rFonts w:ascii="Book Antiqua" w:hAnsi="Book Antiqua"/>
          <w:sz w:val="22"/>
          <w:szCs w:val="22"/>
        </w:rPr>
        <w:t xml:space="preserve"> </w:t>
      </w:r>
      <w:r w:rsidR="00D46F48">
        <w:rPr>
          <w:rFonts w:ascii="Book Antiqua" w:hAnsi="Book Antiqua"/>
          <w:sz w:val="22"/>
          <w:szCs w:val="22"/>
        </w:rPr>
        <w:t>impacté</w:t>
      </w:r>
      <w:r w:rsidR="000740FA">
        <w:rPr>
          <w:rFonts w:ascii="Book Antiqua" w:hAnsi="Book Antiqua"/>
          <w:sz w:val="22"/>
          <w:szCs w:val="22"/>
        </w:rPr>
        <w:t xml:space="preserve"> significativement </w:t>
      </w:r>
      <w:r w:rsidRPr="00463ABD">
        <w:rPr>
          <w:rFonts w:ascii="Book Antiqua" w:hAnsi="Book Antiqua"/>
          <w:sz w:val="22"/>
          <w:szCs w:val="22"/>
        </w:rPr>
        <w:t>l</w:t>
      </w:r>
      <w:r w:rsidR="000740FA">
        <w:rPr>
          <w:rFonts w:ascii="Book Antiqua" w:hAnsi="Book Antiqua"/>
          <w:sz w:val="22"/>
          <w:szCs w:val="22"/>
        </w:rPr>
        <w:t xml:space="preserve">es conditions d’accès au crédit. </w:t>
      </w:r>
      <w:r w:rsidR="00C63614">
        <w:rPr>
          <w:rFonts w:ascii="Book Antiqua" w:hAnsi="Book Antiqua"/>
          <w:sz w:val="22"/>
          <w:szCs w:val="22"/>
        </w:rPr>
        <w:t>Ainsi, la</w:t>
      </w:r>
      <w:r w:rsidR="00021E21">
        <w:rPr>
          <w:rFonts w:ascii="Book Antiqua" w:hAnsi="Book Antiqua"/>
          <w:sz w:val="22"/>
          <w:szCs w:val="22"/>
        </w:rPr>
        <w:t>dite</w:t>
      </w:r>
      <w:r w:rsidR="00C63614">
        <w:rPr>
          <w:rFonts w:ascii="Book Antiqua" w:hAnsi="Book Antiqua"/>
          <w:sz w:val="22"/>
          <w:szCs w:val="22"/>
        </w:rPr>
        <w:t xml:space="preserve"> réforme pourrait</w:t>
      </w:r>
      <w:r w:rsidR="00021E21">
        <w:rPr>
          <w:rFonts w:ascii="Book Antiqua" w:hAnsi="Book Antiqua"/>
          <w:sz w:val="22"/>
          <w:szCs w:val="22"/>
        </w:rPr>
        <w:t xml:space="preserve"> être amorcée</w:t>
      </w:r>
      <w:r w:rsidR="00C6355E">
        <w:rPr>
          <w:rFonts w:ascii="Book Antiqua" w:hAnsi="Book Antiqua"/>
          <w:sz w:val="22"/>
          <w:szCs w:val="22"/>
        </w:rPr>
        <w:t xml:space="preserve"> </w:t>
      </w:r>
      <w:r w:rsidR="00021E21">
        <w:rPr>
          <w:rFonts w:ascii="Book Antiqua" w:hAnsi="Book Antiqua"/>
          <w:sz w:val="22"/>
          <w:szCs w:val="22"/>
        </w:rPr>
        <w:t xml:space="preserve">suivant un processus similaire à celui </w:t>
      </w:r>
      <w:r w:rsidR="00C63614">
        <w:rPr>
          <w:rFonts w:ascii="Book Antiqua" w:hAnsi="Book Antiqua"/>
          <w:sz w:val="22"/>
          <w:szCs w:val="22"/>
        </w:rPr>
        <w:t xml:space="preserve">de </w:t>
      </w:r>
      <w:r w:rsidRPr="00C63614">
        <w:rPr>
          <w:rFonts w:ascii="Book Antiqua" w:hAnsi="Book Antiqua"/>
          <w:sz w:val="22"/>
          <w:szCs w:val="22"/>
        </w:rPr>
        <w:t xml:space="preserve">la Banque de </w:t>
      </w:r>
      <w:r w:rsidR="00C63614">
        <w:rPr>
          <w:rFonts w:ascii="Book Antiqua" w:hAnsi="Book Antiqua"/>
          <w:sz w:val="22"/>
          <w:szCs w:val="22"/>
        </w:rPr>
        <w:t xml:space="preserve">France. </w:t>
      </w:r>
      <w:r w:rsidR="00021E21">
        <w:rPr>
          <w:rFonts w:ascii="Book Antiqua" w:hAnsi="Book Antiqua"/>
          <w:sz w:val="22"/>
          <w:szCs w:val="22"/>
        </w:rPr>
        <w:t>En effet, ce</w:t>
      </w:r>
      <w:r w:rsidR="00C63614">
        <w:rPr>
          <w:rFonts w:ascii="Book Antiqua" w:hAnsi="Book Antiqua"/>
          <w:sz w:val="22"/>
          <w:szCs w:val="22"/>
        </w:rPr>
        <w:t xml:space="preserve">lle-ci </w:t>
      </w:r>
      <w:r w:rsidRPr="00C63614">
        <w:rPr>
          <w:rFonts w:ascii="Book Antiqua" w:hAnsi="Book Antiqua"/>
          <w:sz w:val="22"/>
          <w:szCs w:val="22"/>
        </w:rPr>
        <w:t xml:space="preserve">publie tous les trimestres, pour chaque catégorie de prêt, un taux limite à ne pas dépasser. Ce taux est calculé sur la base des conditions pratiquées au cours du trimestre écoulé </w:t>
      </w:r>
      <w:r w:rsidR="00451F78">
        <w:rPr>
          <w:rFonts w:ascii="Book Antiqua" w:hAnsi="Book Antiqua"/>
          <w:sz w:val="22"/>
          <w:szCs w:val="22"/>
        </w:rPr>
        <w:t>sur un</w:t>
      </w:r>
      <w:r w:rsidRPr="00C63614">
        <w:rPr>
          <w:rFonts w:ascii="Book Antiqua" w:hAnsi="Book Antiqua"/>
          <w:sz w:val="22"/>
          <w:szCs w:val="22"/>
        </w:rPr>
        <w:t xml:space="preserve"> échantillon d’établissements prêteurs. La moyenne ainsi obtenue est alors majorée d’un tiers de sa valeur pour la détermination du taux de l’usure. Cette méthode présente l’avantage de la souplesse puisqu'elle permet une modulation du taux de l’usure en fonction du secteur de l’économie et de la cat</w:t>
      </w:r>
      <w:r w:rsidR="00BB7192">
        <w:rPr>
          <w:rFonts w:ascii="Book Antiqua" w:hAnsi="Book Antiqua"/>
          <w:sz w:val="22"/>
          <w:szCs w:val="22"/>
        </w:rPr>
        <w:t>égorie des opérations de crédit ;</w:t>
      </w:r>
    </w:p>
    <w:p w:rsidR="00915B5E" w:rsidRPr="00463ABD" w:rsidRDefault="00915B5E" w:rsidP="007B5000">
      <w:pPr>
        <w:pStyle w:val="Paragraphedeliste"/>
        <w:numPr>
          <w:ilvl w:val="0"/>
          <w:numId w:val="46"/>
        </w:numPr>
        <w:spacing w:before="120" w:after="120" w:line="276" w:lineRule="auto"/>
        <w:ind w:left="568" w:hanging="284"/>
        <w:contextualSpacing w:val="0"/>
        <w:jc w:val="both"/>
        <w:rPr>
          <w:rFonts w:ascii="Book Antiqua" w:hAnsi="Book Antiqua"/>
          <w:sz w:val="22"/>
          <w:szCs w:val="22"/>
        </w:rPr>
      </w:pPr>
      <w:r w:rsidRPr="00463ABD">
        <w:rPr>
          <w:rFonts w:ascii="Book Antiqua" w:hAnsi="Book Antiqua"/>
          <w:sz w:val="22"/>
          <w:szCs w:val="22"/>
        </w:rPr>
        <w:t xml:space="preserve">de procéder à un meilleur encadrement de la publicité sur le crédit à travers </w:t>
      </w:r>
      <w:r w:rsidR="00451F78">
        <w:rPr>
          <w:rFonts w:ascii="Book Antiqua" w:hAnsi="Book Antiqua"/>
          <w:sz w:val="22"/>
          <w:szCs w:val="22"/>
        </w:rPr>
        <w:t>la moralisation</w:t>
      </w:r>
      <w:r w:rsidRPr="00463ABD">
        <w:rPr>
          <w:rFonts w:ascii="Book Antiqua" w:hAnsi="Book Antiqua"/>
          <w:sz w:val="22"/>
          <w:szCs w:val="22"/>
        </w:rPr>
        <w:t xml:space="preserve"> des informations </w:t>
      </w:r>
      <w:r w:rsidR="00451F78">
        <w:rPr>
          <w:rFonts w:ascii="Book Antiqua" w:hAnsi="Book Antiqua"/>
          <w:sz w:val="22"/>
          <w:szCs w:val="22"/>
        </w:rPr>
        <w:t xml:space="preserve">fournies la clientèle ; ainsi, il pourrait être ajouté dans les spots publicitaires relatifs </w:t>
      </w:r>
      <w:r w:rsidR="004B66C6">
        <w:rPr>
          <w:rFonts w:ascii="Book Antiqua" w:hAnsi="Book Antiqua"/>
          <w:sz w:val="22"/>
          <w:szCs w:val="22"/>
        </w:rPr>
        <w:t xml:space="preserve">à </w:t>
      </w:r>
      <w:r w:rsidR="00451F78">
        <w:rPr>
          <w:rFonts w:ascii="Book Antiqua" w:hAnsi="Book Antiqua"/>
          <w:sz w:val="22"/>
          <w:szCs w:val="22"/>
        </w:rPr>
        <w:t>l’offre de crédits</w:t>
      </w:r>
      <w:r w:rsidRPr="00463ABD">
        <w:rPr>
          <w:rFonts w:ascii="Book Antiqua" w:hAnsi="Book Antiqua"/>
          <w:sz w:val="22"/>
          <w:szCs w:val="22"/>
        </w:rPr>
        <w:t xml:space="preserve"> la mention</w:t>
      </w:r>
      <w:r w:rsidR="00451F78">
        <w:rPr>
          <w:rFonts w:ascii="Book Antiqua" w:hAnsi="Book Antiqua"/>
          <w:sz w:val="22"/>
          <w:szCs w:val="22"/>
        </w:rPr>
        <w:t xml:space="preserve"> par exemple,</w:t>
      </w:r>
      <w:r w:rsidR="00C6355E">
        <w:rPr>
          <w:rFonts w:ascii="Book Antiqua" w:hAnsi="Book Antiqua"/>
          <w:sz w:val="22"/>
          <w:szCs w:val="22"/>
        </w:rPr>
        <w:t xml:space="preserve"> </w:t>
      </w:r>
      <w:r w:rsidRPr="00451F78">
        <w:rPr>
          <w:rFonts w:ascii="Book Antiqua" w:hAnsi="Book Antiqua"/>
          <w:i/>
          <w:sz w:val="22"/>
          <w:szCs w:val="22"/>
        </w:rPr>
        <w:t xml:space="preserve">« Un crédit vous engage et doit être </w:t>
      </w:r>
      <w:r w:rsidR="00451F78" w:rsidRPr="00451F78">
        <w:rPr>
          <w:rFonts w:ascii="Book Antiqua" w:hAnsi="Book Antiqua"/>
          <w:i/>
          <w:sz w:val="22"/>
          <w:szCs w:val="22"/>
        </w:rPr>
        <w:t>remboursé. Vérifier vos capacités de remboursement avant de vous engager »</w:t>
      </w:r>
      <w:r w:rsidR="00BB7192">
        <w:rPr>
          <w:rFonts w:ascii="Book Antiqua" w:hAnsi="Book Antiqua"/>
          <w:i/>
          <w:sz w:val="22"/>
          <w:szCs w:val="22"/>
        </w:rPr>
        <w:t> ;</w:t>
      </w:r>
    </w:p>
    <w:p w:rsidR="00915B5E" w:rsidRPr="00463ABD" w:rsidRDefault="00451F78" w:rsidP="007B5000">
      <w:pPr>
        <w:pStyle w:val="Paragraphedeliste"/>
        <w:numPr>
          <w:ilvl w:val="0"/>
          <w:numId w:val="46"/>
        </w:numPr>
        <w:spacing w:before="120" w:after="120" w:line="276" w:lineRule="auto"/>
        <w:ind w:left="568" w:hanging="284"/>
        <w:contextualSpacing w:val="0"/>
        <w:jc w:val="both"/>
        <w:rPr>
          <w:rFonts w:ascii="Book Antiqua" w:hAnsi="Book Antiqua"/>
          <w:sz w:val="22"/>
          <w:szCs w:val="22"/>
        </w:rPr>
      </w:pPr>
      <w:r>
        <w:rPr>
          <w:rFonts w:ascii="Book Antiqua" w:hAnsi="Book Antiqua"/>
          <w:sz w:val="22"/>
          <w:szCs w:val="22"/>
        </w:rPr>
        <w:t>de renforcer l</w:t>
      </w:r>
      <w:r w:rsidR="00915B5E" w:rsidRPr="00463ABD">
        <w:rPr>
          <w:rFonts w:ascii="Book Antiqua" w:hAnsi="Book Antiqua"/>
          <w:sz w:val="22"/>
          <w:szCs w:val="22"/>
        </w:rPr>
        <w:t xml:space="preserve">es obligations incombant aux prêteurs </w:t>
      </w:r>
      <w:r w:rsidR="00AF630F">
        <w:rPr>
          <w:rFonts w:ascii="Book Antiqua" w:hAnsi="Book Antiqua"/>
          <w:sz w:val="22"/>
          <w:szCs w:val="22"/>
        </w:rPr>
        <w:t>relatives à la</w:t>
      </w:r>
      <w:r w:rsidR="00C6355E">
        <w:rPr>
          <w:rFonts w:ascii="Book Antiqua" w:hAnsi="Book Antiqua"/>
          <w:sz w:val="22"/>
          <w:szCs w:val="22"/>
        </w:rPr>
        <w:t xml:space="preserve"> </w:t>
      </w:r>
      <w:r w:rsidRPr="00463ABD">
        <w:rPr>
          <w:rFonts w:ascii="Book Antiqua" w:hAnsi="Book Antiqua"/>
          <w:sz w:val="22"/>
          <w:szCs w:val="22"/>
        </w:rPr>
        <w:t>transparence</w:t>
      </w:r>
      <w:r w:rsidR="00C6355E">
        <w:rPr>
          <w:rFonts w:ascii="Book Antiqua" w:hAnsi="Book Antiqua"/>
          <w:sz w:val="22"/>
          <w:szCs w:val="22"/>
        </w:rPr>
        <w:t xml:space="preserve"> </w:t>
      </w:r>
      <w:r w:rsidR="00B27A83">
        <w:rPr>
          <w:rFonts w:ascii="Book Antiqua" w:hAnsi="Book Antiqua"/>
          <w:sz w:val="22"/>
          <w:szCs w:val="22"/>
        </w:rPr>
        <w:t>de l’information sur le crédit</w:t>
      </w:r>
      <w:r w:rsidR="007B5000">
        <w:rPr>
          <w:rFonts w:ascii="Book Antiqua" w:hAnsi="Book Antiqua"/>
          <w:sz w:val="22"/>
          <w:szCs w:val="22"/>
        </w:rPr>
        <w:t xml:space="preserve"> </w:t>
      </w:r>
      <w:r w:rsidRPr="00463ABD">
        <w:rPr>
          <w:rFonts w:ascii="Book Antiqua" w:hAnsi="Book Antiqua"/>
          <w:sz w:val="22"/>
          <w:szCs w:val="22"/>
        </w:rPr>
        <w:t>;</w:t>
      </w:r>
    </w:p>
    <w:p w:rsidR="00915B5E" w:rsidRPr="00C01C11" w:rsidRDefault="00915B5E" w:rsidP="007B5000">
      <w:pPr>
        <w:pStyle w:val="Paragraphedeliste"/>
        <w:numPr>
          <w:ilvl w:val="0"/>
          <w:numId w:val="46"/>
        </w:numPr>
        <w:spacing w:before="120" w:after="120" w:line="276" w:lineRule="auto"/>
        <w:ind w:left="568" w:hanging="284"/>
        <w:contextualSpacing w:val="0"/>
        <w:jc w:val="both"/>
        <w:rPr>
          <w:rFonts w:ascii="Book Antiqua" w:hAnsi="Book Antiqua"/>
          <w:sz w:val="22"/>
          <w:szCs w:val="22"/>
        </w:rPr>
      </w:pPr>
      <w:r w:rsidRPr="00AF630F">
        <w:rPr>
          <w:rFonts w:ascii="Book Antiqua" w:hAnsi="Book Antiqua"/>
          <w:sz w:val="22"/>
          <w:szCs w:val="22"/>
        </w:rPr>
        <w:t xml:space="preserve">de poursuivre la diversification </w:t>
      </w:r>
      <w:r w:rsidR="004B66C6">
        <w:rPr>
          <w:rFonts w:ascii="Book Antiqua" w:hAnsi="Book Antiqua"/>
          <w:sz w:val="22"/>
          <w:szCs w:val="22"/>
        </w:rPr>
        <w:t>des produits financiers</w:t>
      </w:r>
      <w:r w:rsidR="00C6355E">
        <w:rPr>
          <w:rFonts w:ascii="Book Antiqua" w:hAnsi="Book Antiqua"/>
          <w:sz w:val="22"/>
          <w:szCs w:val="22"/>
        </w:rPr>
        <w:t xml:space="preserve"> </w:t>
      </w:r>
      <w:r w:rsidR="004B66C6">
        <w:rPr>
          <w:rFonts w:ascii="Book Antiqua" w:hAnsi="Book Antiqua"/>
          <w:sz w:val="22"/>
          <w:szCs w:val="22"/>
        </w:rPr>
        <w:t>à travers</w:t>
      </w:r>
      <w:r w:rsidRPr="00AF630F">
        <w:rPr>
          <w:rFonts w:ascii="Book Antiqua" w:hAnsi="Book Antiqua"/>
          <w:sz w:val="22"/>
          <w:szCs w:val="22"/>
        </w:rPr>
        <w:t xml:space="preserve"> la création d’établissements</w:t>
      </w:r>
      <w:r w:rsidR="00893D2D" w:rsidRPr="00AF630F">
        <w:rPr>
          <w:rFonts w:ascii="Book Antiqua" w:hAnsi="Book Antiqua"/>
          <w:sz w:val="22"/>
          <w:szCs w:val="22"/>
        </w:rPr>
        <w:t xml:space="preserve"> spécialisés</w:t>
      </w:r>
      <w:r w:rsidRPr="00AF630F">
        <w:rPr>
          <w:rFonts w:ascii="Book Antiqua" w:hAnsi="Book Antiqua"/>
          <w:sz w:val="22"/>
          <w:szCs w:val="22"/>
        </w:rPr>
        <w:t xml:space="preserve"> de </w:t>
      </w:r>
      <w:r w:rsidR="00893D2D" w:rsidRPr="00AF630F">
        <w:rPr>
          <w:rFonts w:ascii="Book Antiqua" w:hAnsi="Book Antiqua"/>
          <w:sz w:val="22"/>
          <w:szCs w:val="22"/>
        </w:rPr>
        <w:t>crédit-bail</w:t>
      </w:r>
      <w:r w:rsidRPr="00AF630F">
        <w:rPr>
          <w:rFonts w:ascii="Book Antiqua" w:hAnsi="Book Antiqua"/>
          <w:sz w:val="22"/>
          <w:szCs w:val="22"/>
        </w:rPr>
        <w:t>, d’affacturage, de fonds d’investissement et de sociétés de crédit mutuel.</w:t>
      </w:r>
    </w:p>
    <w:p w:rsidR="00F04BB2" w:rsidRPr="00D44DAE" w:rsidRDefault="00893D2D" w:rsidP="00C01C11">
      <w:pPr>
        <w:spacing w:before="240" w:after="240" w:line="276" w:lineRule="auto"/>
        <w:jc w:val="both"/>
        <w:rPr>
          <w:rFonts w:ascii="Book Antiqua" w:hAnsi="Book Antiqua"/>
          <w:b/>
          <w:sz w:val="22"/>
          <w:szCs w:val="22"/>
        </w:rPr>
      </w:pPr>
      <w:r w:rsidRPr="00D44DAE">
        <w:rPr>
          <w:rFonts w:ascii="Book Antiqua" w:hAnsi="Book Antiqua"/>
          <w:b/>
          <w:sz w:val="22"/>
          <w:szCs w:val="22"/>
        </w:rPr>
        <w:lastRenderedPageBreak/>
        <w:t>R.7</w:t>
      </w:r>
      <w:r w:rsidR="00F04BB2" w:rsidRPr="00D44DAE">
        <w:rPr>
          <w:rFonts w:ascii="Book Antiqua" w:hAnsi="Book Antiqua"/>
          <w:b/>
          <w:sz w:val="22"/>
          <w:szCs w:val="22"/>
        </w:rPr>
        <w:t>. Réduire les frais liés à l'utilisation de la carte bancaire</w:t>
      </w:r>
    </w:p>
    <w:p w:rsidR="004B595D" w:rsidRDefault="004B595D" w:rsidP="00C01C11">
      <w:pPr>
        <w:autoSpaceDE w:val="0"/>
        <w:autoSpaceDN w:val="0"/>
        <w:adjustRightInd w:val="0"/>
        <w:spacing w:before="240" w:after="240" w:line="276" w:lineRule="auto"/>
        <w:jc w:val="both"/>
        <w:rPr>
          <w:rFonts w:ascii="Book Antiqua" w:eastAsia="Calibri" w:hAnsi="Book Antiqua"/>
          <w:sz w:val="22"/>
          <w:szCs w:val="22"/>
        </w:rPr>
      </w:pPr>
      <w:r>
        <w:rPr>
          <w:rFonts w:ascii="Book Antiqua" w:hAnsi="Book Antiqua" w:cs="Tahoma"/>
          <w:sz w:val="22"/>
          <w:szCs w:val="22"/>
        </w:rPr>
        <w:t>Il ressort des statistiques de l’ESUB</w:t>
      </w:r>
      <w:r w:rsidR="00E86AD0">
        <w:rPr>
          <w:rFonts w:ascii="Book Antiqua" w:hAnsi="Book Antiqua" w:cs="Tahoma"/>
          <w:sz w:val="22"/>
          <w:szCs w:val="22"/>
        </w:rPr>
        <w:t xml:space="preserve"> </w:t>
      </w:r>
      <w:r>
        <w:rPr>
          <w:rFonts w:ascii="Book Antiqua" w:hAnsi="Book Antiqua" w:cs="Tahoma"/>
          <w:sz w:val="22"/>
          <w:szCs w:val="22"/>
        </w:rPr>
        <w:t>qu’u</w:t>
      </w:r>
      <w:r w:rsidRPr="00F04BB2">
        <w:rPr>
          <w:rFonts w:ascii="Book Antiqua" w:hAnsi="Book Antiqua" w:cs="Tahoma"/>
          <w:sz w:val="22"/>
          <w:szCs w:val="22"/>
        </w:rPr>
        <w:t xml:space="preserve">ne proportion de 73,2% </w:t>
      </w:r>
      <w:r>
        <w:rPr>
          <w:rFonts w:ascii="Book Antiqua" w:hAnsi="Book Antiqua" w:cs="Tahoma"/>
          <w:sz w:val="22"/>
          <w:szCs w:val="22"/>
        </w:rPr>
        <w:t>des clients</w:t>
      </w:r>
      <w:r w:rsidR="00C6355E">
        <w:rPr>
          <w:rFonts w:ascii="Book Antiqua" w:hAnsi="Book Antiqua" w:cs="Tahoma"/>
          <w:sz w:val="22"/>
          <w:szCs w:val="22"/>
        </w:rPr>
        <w:t xml:space="preserve"> </w:t>
      </w:r>
      <w:r w:rsidR="00AC4007">
        <w:rPr>
          <w:rFonts w:ascii="Book Antiqua" w:hAnsi="Book Antiqua" w:cs="Tahoma"/>
          <w:sz w:val="22"/>
          <w:szCs w:val="22"/>
        </w:rPr>
        <w:t>interrogés dispose</w:t>
      </w:r>
      <w:r w:rsidRPr="00F04BB2">
        <w:rPr>
          <w:rFonts w:ascii="Book Antiqua" w:hAnsi="Book Antiqua" w:cs="Tahoma"/>
          <w:sz w:val="22"/>
          <w:szCs w:val="22"/>
        </w:rPr>
        <w:t xml:space="preserve"> d’une c</w:t>
      </w:r>
      <w:r>
        <w:rPr>
          <w:rFonts w:ascii="Book Antiqua" w:hAnsi="Book Antiqua" w:cs="Tahoma"/>
          <w:sz w:val="22"/>
          <w:szCs w:val="22"/>
        </w:rPr>
        <w:t>arte bancaire.</w:t>
      </w:r>
      <w:r w:rsidR="00C6355E">
        <w:rPr>
          <w:rFonts w:ascii="Book Antiqua" w:hAnsi="Book Antiqua" w:cs="Tahoma"/>
          <w:sz w:val="22"/>
          <w:szCs w:val="22"/>
        </w:rPr>
        <w:t xml:space="preserve"> </w:t>
      </w:r>
      <w:r>
        <w:rPr>
          <w:rFonts w:ascii="Book Antiqua" w:hAnsi="Book Antiqua" w:cs="Tahoma"/>
          <w:sz w:val="22"/>
          <w:szCs w:val="22"/>
        </w:rPr>
        <w:t>Parmi ceux-ci, une écrasante majorité (</w:t>
      </w:r>
      <w:r w:rsidRPr="00F04BB2">
        <w:rPr>
          <w:rFonts w:ascii="Book Antiqua" w:eastAsia="Calibri" w:hAnsi="Book Antiqua"/>
          <w:sz w:val="22"/>
          <w:szCs w:val="22"/>
        </w:rPr>
        <w:t>71,4%</w:t>
      </w:r>
      <w:r>
        <w:rPr>
          <w:rFonts w:ascii="Book Antiqua" w:eastAsia="Calibri" w:hAnsi="Book Antiqua"/>
          <w:sz w:val="22"/>
          <w:szCs w:val="22"/>
        </w:rPr>
        <w:t>)</w:t>
      </w:r>
      <w:r w:rsidR="00C6355E">
        <w:rPr>
          <w:rFonts w:ascii="Book Antiqua" w:eastAsia="Calibri" w:hAnsi="Book Antiqua"/>
          <w:sz w:val="22"/>
          <w:szCs w:val="22"/>
        </w:rPr>
        <w:t xml:space="preserve"> </w:t>
      </w:r>
      <w:r>
        <w:rPr>
          <w:rFonts w:ascii="Book Antiqua" w:eastAsia="Calibri" w:hAnsi="Book Antiqua"/>
          <w:sz w:val="22"/>
          <w:szCs w:val="22"/>
        </w:rPr>
        <w:t>juge</w:t>
      </w:r>
      <w:r w:rsidR="00C6355E">
        <w:rPr>
          <w:rFonts w:ascii="Book Antiqua" w:eastAsia="Calibri" w:hAnsi="Book Antiqua"/>
          <w:sz w:val="22"/>
          <w:szCs w:val="22"/>
        </w:rPr>
        <w:t xml:space="preserve"> </w:t>
      </w:r>
      <w:r w:rsidR="001B0756">
        <w:rPr>
          <w:rFonts w:ascii="Book Antiqua" w:eastAsia="Calibri" w:hAnsi="Book Antiqua"/>
          <w:sz w:val="22"/>
          <w:szCs w:val="22"/>
        </w:rPr>
        <w:t xml:space="preserve">élevés </w:t>
      </w:r>
      <w:r>
        <w:rPr>
          <w:rFonts w:ascii="Book Antiqua" w:eastAsia="Calibri" w:hAnsi="Book Antiqua"/>
          <w:sz w:val="22"/>
          <w:szCs w:val="22"/>
        </w:rPr>
        <w:t xml:space="preserve">les frais liés à l’usage de ce service. </w:t>
      </w:r>
    </w:p>
    <w:p w:rsidR="00AC4007" w:rsidRDefault="00AC4007" w:rsidP="00C01C11">
      <w:pPr>
        <w:autoSpaceDE w:val="0"/>
        <w:autoSpaceDN w:val="0"/>
        <w:adjustRightInd w:val="0"/>
        <w:spacing w:before="240" w:after="240" w:line="276" w:lineRule="auto"/>
        <w:jc w:val="both"/>
        <w:rPr>
          <w:rFonts w:ascii="Book Antiqua" w:eastAsia="Calibri" w:hAnsi="Book Antiqua"/>
          <w:sz w:val="22"/>
          <w:szCs w:val="22"/>
        </w:rPr>
      </w:pPr>
      <w:r>
        <w:rPr>
          <w:rFonts w:ascii="Book Antiqua" w:eastAsia="Calibri" w:hAnsi="Book Antiqua"/>
          <w:sz w:val="22"/>
          <w:szCs w:val="22"/>
        </w:rPr>
        <w:t xml:space="preserve">Ce constat défavorable ne plaide pas en faveur de la promotion des moyens de paiements et de façon plus globale à l’inclusion financière des populations, malgré les initiatives </w:t>
      </w:r>
      <w:r w:rsidR="00791017">
        <w:rPr>
          <w:rFonts w:ascii="Book Antiqua" w:eastAsia="Calibri" w:hAnsi="Book Antiqua"/>
          <w:sz w:val="22"/>
          <w:szCs w:val="22"/>
        </w:rPr>
        <w:t>prises</w:t>
      </w:r>
      <w:r w:rsidR="00C6355E">
        <w:rPr>
          <w:rFonts w:ascii="Book Antiqua" w:eastAsia="Calibri" w:hAnsi="Book Antiqua"/>
          <w:sz w:val="22"/>
          <w:szCs w:val="22"/>
        </w:rPr>
        <w:t xml:space="preserve"> </w:t>
      </w:r>
      <w:r w:rsidR="00C608A4">
        <w:rPr>
          <w:rFonts w:ascii="Book Antiqua" w:eastAsia="Calibri" w:hAnsi="Book Antiqua"/>
          <w:sz w:val="22"/>
          <w:szCs w:val="22"/>
        </w:rPr>
        <w:t>d</w:t>
      </w:r>
      <w:r w:rsidR="00791017">
        <w:rPr>
          <w:rFonts w:ascii="Book Antiqua" w:eastAsia="Calibri" w:hAnsi="Book Antiqua"/>
          <w:sz w:val="22"/>
          <w:szCs w:val="22"/>
        </w:rPr>
        <w:t>ans ce domaine</w:t>
      </w:r>
      <w:r w:rsidR="001B0756">
        <w:rPr>
          <w:rFonts w:ascii="Book Antiqua" w:eastAsia="Calibri" w:hAnsi="Book Antiqua"/>
          <w:sz w:val="22"/>
          <w:szCs w:val="22"/>
        </w:rPr>
        <w:t xml:space="preserve"> par</w:t>
      </w:r>
      <w:r>
        <w:rPr>
          <w:rFonts w:ascii="Book Antiqua" w:eastAsia="Calibri" w:hAnsi="Book Antiqua"/>
          <w:sz w:val="22"/>
          <w:szCs w:val="22"/>
        </w:rPr>
        <w:t>les autorités étatiques</w:t>
      </w:r>
      <w:r w:rsidR="00C6355E">
        <w:rPr>
          <w:rFonts w:ascii="Book Antiqua" w:eastAsia="Calibri" w:hAnsi="Book Antiqua"/>
          <w:sz w:val="22"/>
          <w:szCs w:val="22"/>
        </w:rPr>
        <w:t xml:space="preserve"> </w:t>
      </w:r>
      <w:r w:rsidR="00791017">
        <w:rPr>
          <w:rFonts w:ascii="Book Antiqua" w:eastAsia="Calibri" w:hAnsi="Book Antiqua"/>
          <w:sz w:val="22"/>
          <w:szCs w:val="22"/>
        </w:rPr>
        <w:t xml:space="preserve">et </w:t>
      </w:r>
      <w:r w:rsidR="001B0756">
        <w:rPr>
          <w:rFonts w:ascii="Book Antiqua" w:eastAsia="Calibri" w:hAnsi="Book Antiqua"/>
          <w:sz w:val="22"/>
          <w:szCs w:val="22"/>
        </w:rPr>
        <w:t>la B</w:t>
      </w:r>
      <w:r w:rsidR="00791017">
        <w:rPr>
          <w:rFonts w:ascii="Book Antiqua" w:eastAsia="Calibri" w:hAnsi="Book Antiqua"/>
          <w:sz w:val="22"/>
          <w:szCs w:val="22"/>
        </w:rPr>
        <w:t xml:space="preserve">anque centrale dont entre autres </w:t>
      </w:r>
      <w:r w:rsidR="00791017" w:rsidRPr="009027B4">
        <w:rPr>
          <w:rFonts w:ascii="Book Antiqua" w:eastAsia="Calibri" w:hAnsi="Book Antiqua"/>
          <w:i/>
          <w:sz w:val="22"/>
          <w:szCs w:val="22"/>
        </w:rPr>
        <w:t>l’instruction n°008-05-2015</w:t>
      </w:r>
      <w:r w:rsidR="00791017">
        <w:rPr>
          <w:rFonts w:ascii="Book Antiqua" w:eastAsia="Calibri" w:hAnsi="Book Antiqua"/>
          <w:sz w:val="22"/>
          <w:szCs w:val="22"/>
        </w:rPr>
        <w:t xml:space="preserve"> régissant les conditions et modalités d’exercice des activités des émetteurs de monnaie électronique (EME) dans les Etats membres de l’UEMOA et la </w:t>
      </w:r>
      <w:r w:rsidR="00791017" w:rsidRPr="009027B4">
        <w:rPr>
          <w:rFonts w:ascii="Book Antiqua" w:eastAsia="Calibri" w:hAnsi="Book Antiqua"/>
          <w:i/>
          <w:sz w:val="22"/>
          <w:szCs w:val="22"/>
        </w:rPr>
        <w:t>loi uniforme n°2008-48 du 03 septembre 2008</w:t>
      </w:r>
      <w:r w:rsidR="00791017">
        <w:rPr>
          <w:rFonts w:ascii="Book Antiqua" w:eastAsia="Calibri" w:hAnsi="Book Antiqua"/>
          <w:sz w:val="22"/>
          <w:szCs w:val="22"/>
        </w:rPr>
        <w:t xml:space="preserve"> relative à la suppression des infractions en matière de chèque, de carte bancaire et d’autres instruments et procédés électroniques de paiements. </w:t>
      </w:r>
    </w:p>
    <w:p w:rsidR="00F04BB2" w:rsidRDefault="001B0756" w:rsidP="00C01C11">
      <w:pPr>
        <w:autoSpaceDE w:val="0"/>
        <w:autoSpaceDN w:val="0"/>
        <w:adjustRightInd w:val="0"/>
        <w:spacing w:before="240" w:after="240" w:line="276" w:lineRule="auto"/>
        <w:jc w:val="both"/>
        <w:rPr>
          <w:rFonts w:ascii="Book Antiqua" w:hAnsi="Book Antiqua" w:cs="Tahoma"/>
          <w:sz w:val="22"/>
          <w:szCs w:val="22"/>
        </w:rPr>
      </w:pPr>
      <w:r>
        <w:rPr>
          <w:rFonts w:ascii="Book Antiqua" w:eastAsia="Calibri" w:hAnsi="Book Antiqua"/>
          <w:sz w:val="22"/>
          <w:szCs w:val="22"/>
        </w:rPr>
        <w:t xml:space="preserve">Pour accroitre le niveau d’accès à la carte bancaire, il serait souhaitable pour les opérateurs de services bancaires de recourir au développement des banques virtuelles </w:t>
      </w:r>
      <w:r>
        <w:rPr>
          <w:rFonts w:ascii="Book Antiqua" w:hAnsi="Book Antiqua" w:cs="Tahoma"/>
          <w:sz w:val="22"/>
          <w:szCs w:val="22"/>
        </w:rPr>
        <w:t>pour réduire les charges  liées à l’exploitation de leurs réseaux. Cette expérience très répandue en Amérique du Nord</w:t>
      </w:r>
      <w:r w:rsidR="00B42795">
        <w:rPr>
          <w:rFonts w:ascii="Book Antiqua" w:hAnsi="Book Antiqua" w:cs="Tahoma"/>
          <w:sz w:val="22"/>
          <w:szCs w:val="22"/>
        </w:rPr>
        <w:t>,</w:t>
      </w:r>
      <w:r>
        <w:rPr>
          <w:rFonts w:ascii="Book Antiqua" w:hAnsi="Book Antiqua" w:cs="Tahoma"/>
          <w:sz w:val="22"/>
          <w:szCs w:val="22"/>
        </w:rPr>
        <w:t xml:space="preserve"> a l’avantage de </w:t>
      </w:r>
      <w:r w:rsidR="00B42795">
        <w:rPr>
          <w:rFonts w:ascii="Book Antiqua" w:hAnsi="Book Antiqua" w:cs="Tahoma"/>
          <w:sz w:val="22"/>
          <w:szCs w:val="22"/>
        </w:rPr>
        <w:t>permettre</w:t>
      </w:r>
      <w:r w:rsidR="00C6355E">
        <w:rPr>
          <w:rFonts w:ascii="Book Antiqua" w:hAnsi="Book Antiqua" w:cs="Tahoma"/>
          <w:sz w:val="22"/>
          <w:szCs w:val="22"/>
        </w:rPr>
        <w:t xml:space="preserve"> </w:t>
      </w:r>
      <w:r w:rsidR="00F04BB2" w:rsidRPr="00F04BB2">
        <w:rPr>
          <w:rFonts w:ascii="Book Antiqua" w:hAnsi="Book Antiqua" w:cs="Tahoma"/>
          <w:sz w:val="22"/>
          <w:szCs w:val="22"/>
        </w:rPr>
        <w:t xml:space="preserve">aux </w:t>
      </w:r>
      <w:r>
        <w:rPr>
          <w:rFonts w:ascii="Book Antiqua" w:hAnsi="Book Antiqua" w:cs="Tahoma"/>
          <w:sz w:val="22"/>
          <w:szCs w:val="22"/>
        </w:rPr>
        <w:t xml:space="preserve">usagers et </w:t>
      </w:r>
      <w:r w:rsidR="00F04BB2" w:rsidRPr="00F04BB2">
        <w:rPr>
          <w:rFonts w:ascii="Book Antiqua" w:hAnsi="Book Antiqua" w:cs="Tahoma"/>
          <w:sz w:val="22"/>
          <w:szCs w:val="22"/>
        </w:rPr>
        <w:t xml:space="preserve">clients </w:t>
      </w:r>
      <w:r w:rsidR="00B42795">
        <w:rPr>
          <w:rFonts w:ascii="Book Antiqua" w:hAnsi="Book Antiqua" w:cs="Tahoma"/>
          <w:sz w:val="22"/>
          <w:szCs w:val="22"/>
        </w:rPr>
        <w:t xml:space="preserve">de disposer d’un certain nombre de </w:t>
      </w:r>
      <w:r w:rsidR="00F04BB2" w:rsidRPr="00F04BB2">
        <w:rPr>
          <w:rFonts w:ascii="Book Antiqua" w:hAnsi="Book Antiqua" w:cs="Tahoma"/>
          <w:sz w:val="22"/>
          <w:szCs w:val="22"/>
        </w:rPr>
        <w:t>services gratuits à l’ouverture du compte</w:t>
      </w:r>
      <w:r w:rsidR="00B42795">
        <w:rPr>
          <w:rFonts w:ascii="Book Antiqua" w:hAnsi="Book Antiqua" w:cs="Tahoma"/>
          <w:sz w:val="22"/>
          <w:szCs w:val="22"/>
        </w:rPr>
        <w:t xml:space="preserve"> (chéquier, carte bancaire)</w:t>
      </w:r>
      <w:r w:rsidR="00F04BB2" w:rsidRPr="00F04BB2">
        <w:rPr>
          <w:rFonts w:ascii="Book Antiqua" w:hAnsi="Book Antiqua" w:cs="Tahoma"/>
          <w:sz w:val="22"/>
          <w:szCs w:val="22"/>
        </w:rPr>
        <w:t xml:space="preserve">. </w:t>
      </w:r>
    </w:p>
    <w:p w:rsidR="00B42795" w:rsidRPr="00622A54" w:rsidRDefault="00FE236B" w:rsidP="00C01C11">
      <w:pPr>
        <w:autoSpaceDE w:val="0"/>
        <w:autoSpaceDN w:val="0"/>
        <w:adjustRightInd w:val="0"/>
        <w:spacing w:before="240" w:after="240" w:line="276" w:lineRule="auto"/>
        <w:jc w:val="both"/>
        <w:rPr>
          <w:rFonts w:ascii="Book Antiqua" w:eastAsia="Calibri" w:hAnsi="Book Antiqua"/>
          <w:sz w:val="22"/>
          <w:szCs w:val="22"/>
        </w:rPr>
      </w:pPr>
      <w:r>
        <w:rPr>
          <w:rFonts w:ascii="Book Antiqua" w:hAnsi="Book Antiqua" w:cs="Tahoma"/>
          <w:sz w:val="22"/>
          <w:szCs w:val="22"/>
        </w:rPr>
        <w:t xml:space="preserve">Par ailleurs, </w:t>
      </w:r>
      <w:r w:rsidR="00866963">
        <w:rPr>
          <w:rFonts w:ascii="Book Antiqua" w:hAnsi="Book Antiqua" w:cs="Tahoma"/>
          <w:sz w:val="22"/>
          <w:szCs w:val="22"/>
        </w:rPr>
        <w:t>la généralisation de l’interopérabilité des GAB et TPE à travers le système des paiements du réseau GIM-UEMOA pourrait infléchir sur le coût lié à l’utilisation de la carte bancaire.</w:t>
      </w:r>
    </w:p>
    <w:p w:rsidR="00915B5E" w:rsidRDefault="00F04BB2" w:rsidP="00C01C11">
      <w:pPr>
        <w:spacing w:before="240" w:after="240" w:line="276" w:lineRule="auto"/>
        <w:jc w:val="both"/>
        <w:rPr>
          <w:rFonts w:ascii="Book Antiqua" w:hAnsi="Book Antiqua"/>
          <w:b/>
          <w:sz w:val="22"/>
          <w:szCs w:val="22"/>
        </w:rPr>
      </w:pPr>
      <w:r w:rsidRPr="00037E72">
        <w:rPr>
          <w:rFonts w:ascii="Book Antiqua" w:hAnsi="Book Antiqua"/>
          <w:b/>
          <w:sz w:val="22"/>
          <w:szCs w:val="22"/>
        </w:rPr>
        <w:t>R.</w:t>
      </w:r>
      <w:r w:rsidR="00037E72" w:rsidRPr="00037E72">
        <w:rPr>
          <w:rFonts w:ascii="Book Antiqua" w:hAnsi="Book Antiqua"/>
          <w:b/>
          <w:sz w:val="22"/>
          <w:szCs w:val="22"/>
        </w:rPr>
        <w:t>8</w:t>
      </w:r>
      <w:r w:rsidR="00915B5E" w:rsidRPr="00037E72">
        <w:rPr>
          <w:rFonts w:ascii="Book Antiqua" w:hAnsi="Book Antiqua"/>
          <w:b/>
          <w:sz w:val="22"/>
          <w:szCs w:val="22"/>
        </w:rPr>
        <w:t>. Prévenir et mieux encadrer le surendettement des clients</w:t>
      </w:r>
    </w:p>
    <w:p w:rsidR="00E94DDB" w:rsidRPr="00D05F5A" w:rsidRDefault="00E94DDB" w:rsidP="00C01C11">
      <w:pPr>
        <w:spacing w:before="240" w:after="240" w:line="276" w:lineRule="auto"/>
        <w:jc w:val="both"/>
        <w:rPr>
          <w:rFonts w:ascii="Book Antiqua" w:eastAsia="Calibri" w:hAnsi="Book Antiqua"/>
          <w:sz w:val="22"/>
          <w:szCs w:val="22"/>
        </w:rPr>
      </w:pPr>
      <w:r>
        <w:rPr>
          <w:rFonts w:ascii="Book Antiqua" w:hAnsi="Book Antiqua"/>
          <w:sz w:val="22"/>
          <w:szCs w:val="22"/>
        </w:rPr>
        <w:t>Une</w:t>
      </w:r>
      <w:r w:rsidR="00D81E92">
        <w:rPr>
          <w:rFonts w:ascii="Book Antiqua" w:hAnsi="Book Antiqua"/>
          <w:sz w:val="22"/>
          <w:szCs w:val="22"/>
        </w:rPr>
        <w:t xml:space="preserve"> proportion de </w:t>
      </w:r>
      <w:r w:rsidR="00915B5E" w:rsidRPr="00463ABD">
        <w:rPr>
          <w:rFonts w:ascii="Book Antiqua" w:hAnsi="Book Antiqua"/>
          <w:sz w:val="22"/>
          <w:szCs w:val="22"/>
        </w:rPr>
        <w:t xml:space="preserve">8,5% de personnes interrogées </w:t>
      </w:r>
      <w:r w:rsidR="00D81E92" w:rsidRPr="00463ABD">
        <w:rPr>
          <w:rFonts w:ascii="Book Antiqua" w:eastAsia="Calibri" w:hAnsi="Book Antiqua"/>
          <w:sz w:val="22"/>
          <w:szCs w:val="22"/>
        </w:rPr>
        <w:t>déclare</w:t>
      </w:r>
      <w:r w:rsidR="00915B5E" w:rsidRPr="00463ABD">
        <w:rPr>
          <w:rFonts w:ascii="Book Antiqua" w:eastAsia="Calibri" w:hAnsi="Book Antiqua"/>
          <w:sz w:val="22"/>
          <w:szCs w:val="22"/>
        </w:rPr>
        <w:t xml:space="preserve"> avoir déjà formulé une demande de dépassement</w:t>
      </w:r>
      <w:r w:rsidR="00D81E92">
        <w:rPr>
          <w:rFonts w:ascii="Book Antiqua" w:eastAsia="Calibri" w:hAnsi="Book Antiqua"/>
          <w:sz w:val="22"/>
          <w:szCs w:val="22"/>
        </w:rPr>
        <w:t xml:space="preserve"> ponctuel</w:t>
      </w:r>
      <w:r w:rsidR="00915B5E" w:rsidRPr="00463ABD">
        <w:rPr>
          <w:rFonts w:ascii="Book Antiqua" w:eastAsia="Calibri" w:hAnsi="Book Antiqua"/>
          <w:sz w:val="22"/>
          <w:szCs w:val="22"/>
        </w:rPr>
        <w:t xml:space="preserve"> au niveau de leur banque</w:t>
      </w:r>
      <w:r w:rsidR="00D81E92">
        <w:rPr>
          <w:rFonts w:ascii="Book Antiqua" w:eastAsia="Calibri" w:hAnsi="Book Antiqua"/>
          <w:sz w:val="22"/>
          <w:szCs w:val="22"/>
        </w:rPr>
        <w:t>,</w:t>
      </w:r>
      <w:r w:rsidR="00915B5E" w:rsidRPr="00463ABD">
        <w:rPr>
          <w:rFonts w:ascii="Book Antiqua" w:eastAsia="Calibri" w:hAnsi="Book Antiqua"/>
          <w:sz w:val="22"/>
          <w:szCs w:val="22"/>
        </w:rPr>
        <w:t xml:space="preserve"> dont 90,7% ont vu leur requête acceptée.  </w:t>
      </w:r>
    </w:p>
    <w:p w:rsidR="00037E72" w:rsidRPr="00E94DDB" w:rsidRDefault="00E94DDB" w:rsidP="00C01C11">
      <w:pPr>
        <w:spacing w:before="240" w:after="240" w:line="276" w:lineRule="auto"/>
        <w:jc w:val="both"/>
        <w:rPr>
          <w:rFonts w:ascii="Book Antiqua" w:eastAsia="Calibri" w:hAnsi="Book Antiqua"/>
          <w:sz w:val="22"/>
          <w:szCs w:val="22"/>
        </w:rPr>
      </w:pPr>
      <w:r>
        <w:rPr>
          <w:rFonts w:ascii="Book Antiqua" w:hAnsi="Book Antiqua"/>
          <w:sz w:val="22"/>
          <w:szCs w:val="22"/>
        </w:rPr>
        <w:t>Ces statistiques</w:t>
      </w:r>
      <w:r w:rsidR="00C6355E">
        <w:rPr>
          <w:rFonts w:ascii="Book Antiqua" w:hAnsi="Book Antiqua"/>
          <w:sz w:val="22"/>
          <w:szCs w:val="22"/>
        </w:rPr>
        <w:t xml:space="preserve"> </w:t>
      </w:r>
      <w:r>
        <w:rPr>
          <w:rFonts w:ascii="Book Antiqua" w:hAnsi="Book Antiqua"/>
          <w:sz w:val="22"/>
          <w:szCs w:val="22"/>
        </w:rPr>
        <w:t xml:space="preserve">qui ressortent des résultats de l’ESUB, révèlent l’emprise de plus en plus marquée du risque de surendettement chez une certaine frange de la clientèle et témoignent si besoin des mesures correctives à prendre pour juguler la survenance du phénomène. A cet égard, les actions ci-après pourraient être amorcées : </w:t>
      </w:r>
    </w:p>
    <w:p w:rsidR="00E94DDB" w:rsidRDefault="00E94DDB" w:rsidP="007B5000">
      <w:pPr>
        <w:pStyle w:val="Paragraphedeliste"/>
        <w:numPr>
          <w:ilvl w:val="0"/>
          <w:numId w:val="44"/>
        </w:numPr>
        <w:spacing w:before="120" w:after="120" w:line="276" w:lineRule="auto"/>
        <w:ind w:left="567" w:hanging="283"/>
        <w:contextualSpacing w:val="0"/>
        <w:jc w:val="both"/>
        <w:rPr>
          <w:rFonts w:ascii="Book Antiqua" w:hAnsi="Book Antiqua"/>
          <w:sz w:val="22"/>
          <w:szCs w:val="22"/>
        </w:rPr>
      </w:pPr>
      <w:r>
        <w:rPr>
          <w:rFonts w:ascii="Book Antiqua" w:hAnsi="Book Antiqua"/>
          <w:sz w:val="22"/>
          <w:szCs w:val="22"/>
        </w:rPr>
        <w:t>la vulgarisation</w:t>
      </w:r>
      <w:r w:rsidR="00915B5E" w:rsidRPr="00463ABD">
        <w:rPr>
          <w:rFonts w:ascii="Book Antiqua" w:hAnsi="Book Antiqua"/>
          <w:sz w:val="22"/>
          <w:szCs w:val="22"/>
        </w:rPr>
        <w:t xml:space="preserve"> de l’éducation financière des usagers</w:t>
      </w:r>
      <w:r>
        <w:rPr>
          <w:rFonts w:ascii="Book Antiqua" w:hAnsi="Book Antiqua"/>
          <w:sz w:val="22"/>
          <w:szCs w:val="22"/>
        </w:rPr>
        <w:t xml:space="preserve"> en langues nationales en privilégiant des canaux de communication de masse (sketchs, bandes dessinées, radios communautaires, etc.) ;</w:t>
      </w:r>
    </w:p>
    <w:p w:rsidR="00915B5E" w:rsidRPr="00E94DDB" w:rsidRDefault="00E94DDB" w:rsidP="007B5000">
      <w:pPr>
        <w:pStyle w:val="Paragraphedeliste"/>
        <w:numPr>
          <w:ilvl w:val="0"/>
          <w:numId w:val="44"/>
        </w:numPr>
        <w:spacing w:before="120" w:after="120" w:line="276" w:lineRule="auto"/>
        <w:ind w:left="567" w:hanging="283"/>
        <w:contextualSpacing w:val="0"/>
        <w:jc w:val="both"/>
        <w:rPr>
          <w:rFonts w:ascii="Book Antiqua" w:hAnsi="Book Antiqua"/>
          <w:sz w:val="22"/>
          <w:szCs w:val="22"/>
        </w:rPr>
      </w:pPr>
      <w:r>
        <w:rPr>
          <w:rFonts w:ascii="Book Antiqua" w:hAnsi="Book Antiqua"/>
          <w:sz w:val="22"/>
          <w:szCs w:val="22"/>
        </w:rPr>
        <w:t>l’</w:t>
      </w:r>
      <w:r w:rsidR="00915B5E" w:rsidRPr="00E94DDB">
        <w:rPr>
          <w:rFonts w:ascii="Book Antiqua" w:hAnsi="Book Antiqua"/>
          <w:sz w:val="22"/>
          <w:szCs w:val="22"/>
        </w:rPr>
        <w:t xml:space="preserve">assainissement du marché du crédit à la consommation à travers </w:t>
      </w:r>
      <w:r>
        <w:rPr>
          <w:rFonts w:ascii="Book Antiqua" w:hAnsi="Book Antiqua"/>
          <w:sz w:val="22"/>
          <w:szCs w:val="22"/>
        </w:rPr>
        <w:t>un encadrement juridique du phé</w:t>
      </w:r>
      <w:r w:rsidR="00752E1C">
        <w:rPr>
          <w:rFonts w:ascii="Book Antiqua" w:hAnsi="Book Antiqua"/>
          <w:sz w:val="22"/>
          <w:szCs w:val="22"/>
        </w:rPr>
        <w:t xml:space="preserve">nomène </w:t>
      </w:r>
      <w:r w:rsidR="00915B5E" w:rsidRPr="00E94DDB">
        <w:rPr>
          <w:rFonts w:ascii="Book Antiqua" w:hAnsi="Book Antiqua"/>
          <w:sz w:val="22"/>
          <w:szCs w:val="22"/>
        </w:rPr>
        <w:t>de surendettement</w:t>
      </w:r>
      <w:r w:rsidR="00752E1C">
        <w:rPr>
          <w:rFonts w:ascii="Book Antiqua" w:hAnsi="Book Antiqua"/>
          <w:sz w:val="22"/>
          <w:szCs w:val="22"/>
        </w:rPr>
        <w:t xml:space="preserve"> à l’instar de la France</w:t>
      </w:r>
      <w:r w:rsidR="003E63DD">
        <w:rPr>
          <w:rFonts w:ascii="Book Antiqua" w:hAnsi="Book Antiqua"/>
          <w:sz w:val="22"/>
          <w:szCs w:val="22"/>
        </w:rPr>
        <w:t xml:space="preserve"> avec notamment l’avènement de la </w:t>
      </w:r>
      <w:r w:rsidR="003E63DD" w:rsidRPr="00E86AD0">
        <w:rPr>
          <w:rFonts w:ascii="Book Antiqua" w:hAnsi="Book Antiqua"/>
          <w:i/>
          <w:sz w:val="22"/>
          <w:szCs w:val="22"/>
        </w:rPr>
        <w:t>loi Hamon du 17 mars 2014</w:t>
      </w:r>
      <w:r w:rsidR="003E63DD">
        <w:rPr>
          <w:rFonts w:ascii="Book Antiqua" w:hAnsi="Book Antiqua"/>
          <w:sz w:val="22"/>
          <w:szCs w:val="22"/>
        </w:rPr>
        <w:t xml:space="preserve"> portant sur le délai de rétraction du prêt personnel ; </w:t>
      </w:r>
    </w:p>
    <w:p w:rsidR="00915B5E" w:rsidRPr="00463ABD" w:rsidRDefault="00915B5E" w:rsidP="007B5000">
      <w:pPr>
        <w:pStyle w:val="Paragraphedeliste"/>
        <w:numPr>
          <w:ilvl w:val="0"/>
          <w:numId w:val="44"/>
        </w:numPr>
        <w:spacing w:before="120" w:after="120" w:line="276" w:lineRule="auto"/>
        <w:ind w:left="567" w:hanging="283"/>
        <w:contextualSpacing w:val="0"/>
        <w:jc w:val="both"/>
        <w:rPr>
          <w:rFonts w:ascii="Book Antiqua" w:hAnsi="Book Antiqua"/>
          <w:sz w:val="22"/>
          <w:szCs w:val="22"/>
        </w:rPr>
      </w:pPr>
      <w:r w:rsidRPr="00463ABD">
        <w:rPr>
          <w:rFonts w:ascii="Book Antiqua" w:hAnsi="Book Antiqua"/>
          <w:sz w:val="22"/>
          <w:szCs w:val="22"/>
        </w:rPr>
        <w:t>le renforcement</w:t>
      </w:r>
      <w:r w:rsidR="00C6355E">
        <w:rPr>
          <w:rFonts w:ascii="Book Antiqua" w:hAnsi="Book Antiqua"/>
          <w:sz w:val="22"/>
          <w:szCs w:val="22"/>
        </w:rPr>
        <w:t xml:space="preserve"> </w:t>
      </w:r>
      <w:r w:rsidR="00D15293">
        <w:rPr>
          <w:rFonts w:ascii="Book Antiqua" w:hAnsi="Book Antiqua"/>
          <w:sz w:val="22"/>
          <w:szCs w:val="22"/>
        </w:rPr>
        <w:t>de la collaboration avec la médiation conciliation judiciaire</w:t>
      </w:r>
      <w:r w:rsidR="00D15293">
        <w:rPr>
          <w:rStyle w:val="Appelnotedebasdep"/>
          <w:rFonts w:ascii="Book Antiqua" w:hAnsi="Book Antiqua"/>
          <w:sz w:val="22"/>
          <w:szCs w:val="22"/>
        </w:rPr>
        <w:footnoteReference w:id="17"/>
      </w:r>
      <w:r w:rsidR="00D15293">
        <w:rPr>
          <w:rFonts w:ascii="Book Antiqua" w:hAnsi="Book Antiqua"/>
          <w:sz w:val="22"/>
          <w:szCs w:val="22"/>
        </w:rPr>
        <w:t xml:space="preserve"> ainsi que </w:t>
      </w:r>
      <w:r w:rsidRPr="00463ABD">
        <w:rPr>
          <w:rFonts w:ascii="Book Antiqua" w:hAnsi="Book Antiqua"/>
          <w:sz w:val="22"/>
          <w:szCs w:val="22"/>
        </w:rPr>
        <w:t xml:space="preserve"> des missions de la méd</w:t>
      </w:r>
      <w:r w:rsidR="003E63DD">
        <w:rPr>
          <w:rFonts w:ascii="Book Antiqua" w:hAnsi="Book Antiqua"/>
          <w:sz w:val="22"/>
          <w:szCs w:val="22"/>
        </w:rPr>
        <w:t>iation bancaire de l’OQSF</w:t>
      </w:r>
      <w:r w:rsidRPr="00463ABD">
        <w:rPr>
          <w:rFonts w:ascii="Book Antiqua" w:hAnsi="Book Antiqua"/>
          <w:sz w:val="22"/>
          <w:szCs w:val="22"/>
        </w:rPr>
        <w:t xml:space="preserve"> aux volets « Conseils » et « Accompagnement des personnes surendettées »</w:t>
      </w:r>
      <w:r w:rsidR="00D15293">
        <w:rPr>
          <w:rFonts w:ascii="Book Antiqua" w:hAnsi="Book Antiqua"/>
          <w:sz w:val="22"/>
          <w:szCs w:val="22"/>
        </w:rPr>
        <w:t xml:space="preserve">. </w:t>
      </w:r>
    </w:p>
    <w:p w:rsidR="00F04BB2" w:rsidRDefault="00D81E92" w:rsidP="00C01C11">
      <w:pPr>
        <w:spacing w:before="240" w:after="240" w:line="276" w:lineRule="auto"/>
        <w:jc w:val="both"/>
        <w:rPr>
          <w:rFonts w:ascii="Book Antiqua" w:hAnsi="Book Antiqua"/>
          <w:sz w:val="22"/>
          <w:szCs w:val="22"/>
        </w:rPr>
      </w:pPr>
      <w:r>
        <w:rPr>
          <w:rFonts w:ascii="Book Antiqua" w:hAnsi="Book Antiqua"/>
          <w:sz w:val="22"/>
          <w:szCs w:val="22"/>
        </w:rPr>
        <w:lastRenderedPageBreak/>
        <w:t>En complément de ces actions qui concourent à circonscrire les risques de surendettement</w:t>
      </w:r>
      <w:r w:rsidR="006D199C">
        <w:rPr>
          <w:rFonts w:ascii="Book Antiqua" w:hAnsi="Book Antiqua"/>
          <w:sz w:val="22"/>
          <w:szCs w:val="22"/>
        </w:rPr>
        <w:t>, une</w:t>
      </w:r>
      <w:r>
        <w:rPr>
          <w:rFonts w:ascii="Book Antiqua" w:hAnsi="Book Antiqua"/>
          <w:sz w:val="22"/>
          <w:szCs w:val="22"/>
        </w:rPr>
        <w:t xml:space="preserve"> étude approfondie</w:t>
      </w:r>
      <w:r w:rsidR="006D199C">
        <w:rPr>
          <w:rFonts w:ascii="Book Antiqua" w:hAnsi="Book Antiqua"/>
          <w:sz w:val="22"/>
          <w:szCs w:val="22"/>
        </w:rPr>
        <w:t xml:space="preserve"> sur le phénomène</w:t>
      </w:r>
      <w:r w:rsidR="00C6355E">
        <w:rPr>
          <w:rFonts w:ascii="Book Antiqua" w:hAnsi="Book Antiqua"/>
          <w:sz w:val="22"/>
          <w:szCs w:val="22"/>
        </w:rPr>
        <w:t xml:space="preserve"> </w:t>
      </w:r>
      <w:r w:rsidR="006D199C">
        <w:rPr>
          <w:rFonts w:ascii="Book Antiqua" w:hAnsi="Book Antiqua"/>
          <w:sz w:val="22"/>
          <w:szCs w:val="22"/>
        </w:rPr>
        <w:t>serait tout indiqué</w:t>
      </w:r>
      <w:r w:rsidR="00C6355E">
        <w:rPr>
          <w:rFonts w:ascii="Book Antiqua" w:hAnsi="Book Antiqua"/>
          <w:sz w:val="22"/>
          <w:szCs w:val="22"/>
        </w:rPr>
        <w:t xml:space="preserve"> </w:t>
      </w:r>
      <w:r>
        <w:rPr>
          <w:rFonts w:ascii="Book Antiqua" w:hAnsi="Book Antiqua"/>
          <w:sz w:val="22"/>
          <w:szCs w:val="22"/>
        </w:rPr>
        <w:t>en vue de</w:t>
      </w:r>
      <w:r w:rsidR="00C6355E">
        <w:rPr>
          <w:rFonts w:ascii="Book Antiqua" w:hAnsi="Book Antiqua"/>
          <w:sz w:val="22"/>
          <w:szCs w:val="22"/>
        </w:rPr>
        <w:t xml:space="preserve"> </w:t>
      </w:r>
      <w:r>
        <w:rPr>
          <w:rFonts w:ascii="Book Antiqua" w:hAnsi="Book Antiqua"/>
          <w:sz w:val="22"/>
          <w:szCs w:val="22"/>
        </w:rPr>
        <w:t>mieux cerner</w:t>
      </w:r>
      <w:r w:rsidR="00C6355E">
        <w:rPr>
          <w:rFonts w:ascii="Book Antiqua" w:hAnsi="Book Antiqua"/>
          <w:sz w:val="22"/>
          <w:szCs w:val="22"/>
        </w:rPr>
        <w:t xml:space="preserve"> </w:t>
      </w:r>
      <w:r>
        <w:rPr>
          <w:rFonts w:ascii="Book Antiqua" w:hAnsi="Book Antiqua"/>
          <w:sz w:val="22"/>
          <w:szCs w:val="22"/>
        </w:rPr>
        <w:t>les causes à la base du</w:t>
      </w:r>
      <w:r w:rsidR="00915B5E" w:rsidRPr="00463ABD">
        <w:rPr>
          <w:rFonts w:ascii="Book Antiqua" w:hAnsi="Book Antiqua"/>
          <w:sz w:val="22"/>
          <w:szCs w:val="22"/>
        </w:rPr>
        <w:t xml:space="preserve"> surendettement des ménages </w:t>
      </w:r>
      <w:r>
        <w:rPr>
          <w:rFonts w:ascii="Book Antiqua" w:hAnsi="Book Antiqua"/>
          <w:sz w:val="22"/>
          <w:szCs w:val="22"/>
        </w:rPr>
        <w:t>dans la perspective de</w:t>
      </w:r>
      <w:r w:rsidR="00915B5E" w:rsidRPr="00463ABD">
        <w:rPr>
          <w:rFonts w:ascii="Book Antiqua" w:hAnsi="Book Antiqua"/>
          <w:sz w:val="22"/>
          <w:szCs w:val="22"/>
        </w:rPr>
        <w:t xml:space="preserve"> rendre plus efficace la politique de prévention et de résolution de ce </w:t>
      </w:r>
      <w:r w:rsidR="008621A6">
        <w:rPr>
          <w:rFonts w:ascii="Book Antiqua" w:hAnsi="Book Antiqua"/>
          <w:sz w:val="22"/>
          <w:szCs w:val="22"/>
        </w:rPr>
        <w:t xml:space="preserve">fléau. </w:t>
      </w:r>
    </w:p>
    <w:p w:rsidR="00915B5E" w:rsidRPr="00463ABD" w:rsidRDefault="00915B5E" w:rsidP="007B5000">
      <w:pPr>
        <w:pStyle w:val="Paragraphedeliste"/>
        <w:numPr>
          <w:ilvl w:val="1"/>
          <w:numId w:val="36"/>
        </w:numPr>
        <w:spacing w:before="240" w:after="240" w:line="276" w:lineRule="auto"/>
        <w:ind w:left="567" w:hanging="283"/>
        <w:contextualSpacing w:val="0"/>
        <w:jc w:val="both"/>
        <w:rPr>
          <w:rFonts w:ascii="Book Antiqua" w:hAnsi="Book Antiqua"/>
          <w:b/>
          <w:sz w:val="22"/>
          <w:szCs w:val="22"/>
        </w:rPr>
      </w:pPr>
      <w:r w:rsidRPr="00463ABD">
        <w:rPr>
          <w:rFonts w:ascii="Book Antiqua" w:hAnsi="Book Antiqua"/>
          <w:b/>
          <w:sz w:val="22"/>
          <w:szCs w:val="22"/>
        </w:rPr>
        <w:t xml:space="preserve">Sur la qualité de la relation clientèle </w:t>
      </w:r>
    </w:p>
    <w:p w:rsidR="00915B5E" w:rsidRPr="00463ABD" w:rsidRDefault="007B5EF3" w:rsidP="00C01C11">
      <w:pPr>
        <w:spacing w:before="240" w:after="240" w:line="276" w:lineRule="auto"/>
        <w:jc w:val="both"/>
        <w:rPr>
          <w:rFonts w:ascii="Book Antiqua" w:eastAsia="Univers" w:hAnsi="Book Antiqua" w:cs="Arial"/>
          <w:sz w:val="22"/>
          <w:szCs w:val="22"/>
        </w:rPr>
      </w:pPr>
      <w:r>
        <w:rPr>
          <w:rFonts w:ascii="Book Antiqua" w:eastAsia="Univers" w:hAnsi="Book Antiqua" w:cs="Arial"/>
          <w:b/>
          <w:sz w:val="22"/>
          <w:szCs w:val="22"/>
        </w:rPr>
        <w:t>R9</w:t>
      </w:r>
      <w:r w:rsidR="00915B5E" w:rsidRPr="00463ABD">
        <w:rPr>
          <w:rFonts w:ascii="Book Antiqua" w:eastAsia="Univers" w:hAnsi="Book Antiqua" w:cs="Arial"/>
          <w:b/>
          <w:sz w:val="22"/>
          <w:szCs w:val="22"/>
        </w:rPr>
        <w:t>. Renforcer la qualité de transparence de l’information contractuelle et précontractuelle</w:t>
      </w:r>
    </w:p>
    <w:p w:rsidR="00915B5E" w:rsidRPr="00463ABD" w:rsidRDefault="00915B5E" w:rsidP="00C01C11">
      <w:pPr>
        <w:spacing w:before="240" w:after="240" w:line="276" w:lineRule="auto"/>
        <w:jc w:val="both"/>
        <w:rPr>
          <w:rFonts w:ascii="Book Antiqua" w:eastAsiaTheme="minorEastAsia" w:hAnsi="Book Antiqua"/>
          <w:sz w:val="22"/>
          <w:szCs w:val="22"/>
        </w:rPr>
      </w:pPr>
      <w:r w:rsidRPr="00463ABD">
        <w:rPr>
          <w:rFonts w:ascii="Book Antiqua" w:eastAsiaTheme="minorEastAsia" w:hAnsi="Book Antiqua"/>
          <w:sz w:val="22"/>
          <w:szCs w:val="22"/>
        </w:rPr>
        <w:t>La transparence en matière de tarification des services bancaires recouvre générale</w:t>
      </w:r>
      <w:r w:rsidR="007B5EF3">
        <w:rPr>
          <w:rFonts w:ascii="Book Antiqua" w:eastAsiaTheme="minorEastAsia" w:hAnsi="Book Antiqua"/>
          <w:sz w:val="22"/>
          <w:szCs w:val="22"/>
        </w:rPr>
        <w:t xml:space="preserve">ment deux dimensions : </w:t>
      </w:r>
      <w:r w:rsidR="007B5EF3" w:rsidRPr="00463ABD">
        <w:rPr>
          <w:rFonts w:ascii="Book Antiqua" w:eastAsiaTheme="minorEastAsia" w:hAnsi="Book Antiqua"/>
          <w:sz w:val="22"/>
          <w:szCs w:val="22"/>
        </w:rPr>
        <w:t>la</w:t>
      </w:r>
      <w:r w:rsidRPr="00463ABD">
        <w:rPr>
          <w:rFonts w:ascii="Book Antiqua" w:eastAsiaTheme="minorEastAsia" w:hAnsi="Book Antiqua"/>
          <w:sz w:val="22"/>
          <w:szCs w:val="22"/>
        </w:rPr>
        <w:t xml:space="preserve"> teneur de l’information </w:t>
      </w:r>
      <w:r w:rsidR="007B5EF3">
        <w:rPr>
          <w:rFonts w:ascii="Book Antiqua" w:eastAsiaTheme="minorEastAsia" w:hAnsi="Book Antiqua"/>
          <w:sz w:val="22"/>
          <w:szCs w:val="22"/>
        </w:rPr>
        <w:t>fournie aux clients et l</w:t>
      </w:r>
      <w:r w:rsidRPr="00463ABD">
        <w:rPr>
          <w:rFonts w:ascii="Book Antiqua" w:eastAsiaTheme="minorEastAsia" w:hAnsi="Book Antiqua"/>
          <w:sz w:val="22"/>
          <w:szCs w:val="22"/>
        </w:rPr>
        <w:t xml:space="preserve">es </w:t>
      </w:r>
      <w:r w:rsidR="007B5EF3">
        <w:rPr>
          <w:rFonts w:ascii="Book Antiqua" w:eastAsiaTheme="minorEastAsia" w:hAnsi="Book Antiqua"/>
          <w:sz w:val="22"/>
          <w:szCs w:val="22"/>
        </w:rPr>
        <w:t>canaux de transmission</w:t>
      </w:r>
      <w:r w:rsidRPr="00463ABD">
        <w:rPr>
          <w:rFonts w:ascii="Book Antiqua" w:eastAsiaTheme="minorEastAsia" w:hAnsi="Book Antiqua"/>
          <w:sz w:val="22"/>
          <w:szCs w:val="22"/>
        </w:rPr>
        <w:t xml:space="preserve"> de </w:t>
      </w:r>
      <w:r w:rsidR="007B5EF3">
        <w:rPr>
          <w:rFonts w:ascii="Book Antiqua" w:eastAsiaTheme="minorEastAsia" w:hAnsi="Book Antiqua"/>
          <w:sz w:val="22"/>
          <w:szCs w:val="22"/>
        </w:rPr>
        <w:t xml:space="preserve">cette information. </w:t>
      </w:r>
    </w:p>
    <w:p w:rsidR="00915B5E" w:rsidRPr="00463ABD" w:rsidRDefault="007B5EF3" w:rsidP="00C01C11">
      <w:pPr>
        <w:spacing w:before="240" w:after="240" w:line="276" w:lineRule="auto"/>
        <w:jc w:val="both"/>
        <w:rPr>
          <w:rFonts w:ascii="Book Antiqua" w:eastAsiaTheme="minorEastAsia" w:hAnsi="Book Antiqua"/>
          <w:sz w:val="22"/>
          <w:szCs w:val="22"/>
        </w:rPr>
      </w:pPr>
      <w:r>
        <w:rPr>
          <w:rFonts w:ascii="Book Antiqua" w:eastAsiaTheme="minorEastAsia" w:hAnsi="Book Antiqua"/>
          <w:sz w:val="22"/>
          <w:szCs w:val="22"/>
        </w:rPr>
        <w:t>La qualité de l’information fournie à la clientèle est diversement appréciée chez les enquêtés de l’ESUB. En effet</w:t>
      </w:r>
      <w:r w:rsidR="00915B5E" w:rsidRPr="00463ABD">
        <w:rPr>
          <w:rFonts w:ascii="Book Antiqua" w:eastAsiaTheme="minorEastAsia" w:hAnsi="Book Antiqua"/>
          <w:sz w:val="22"/>
          <w:szCs w:val="22"/>
        </w:rPr>
        <w:t xml:space="preserve">, </w:t>
      </w:r>
      <w:r w:rsidR="001575BE">
        <w:rPr>
          <w:rFonts w:ascii="Book Antiqua" w:eastAsiaTheme="minorEastAsia" w:hAnsi="Book Antiqua"/>
          <w:sz w:val="22"/>
          <w:szCs w:val="22"/>
        </w:rPr>
        <w:t xml:space="preserve">une </w:t>
      </w:r>
      <w:r>
        <w:rPr>
          <w:rFonts w:ascii="Book Antiqua" w:eastAsiaTheme="minorEastAsia" w:hAnsi="Book Antiqua"/>
          <w:sz w:val="22"/>
          <w:szCs w:val="22"/>
        </w:rPr>
        <w:t>proportion de</w:t>
      </w:r>
      <w:r w:rsidR="00915B5E" w:rsidRPr="00463ABD">
        <w:rPr>
          <w:rFonts w:ascii="Book Antiqua" w:eastAsiaTheme="minorEastAsia" w:hAnsi="Book Antiqua"/>
          <w:sz w:val="22"/>
          <w:szCs w:val="22"/>
        </w:rPr>
        <w:t xml:space="preserve"> 32% des clients « personnes physiques » </w:t>
      </w:r>
      <w:r w:rsidR="001575BE">
        <w:rPr>
          <w:rFonts w:ascii="Book Antiqua" w:eastAsiaTheme="minorEastAsia" w:hAnsi="Book Antiqua"/>
          <w:sz w:val="22"/>
          <w:szCs w:val="22"/>
        </w:rPr>
        <w:t>déclare</w:t>
      </w:r>
      <w:r>
        <w:rPr>
          <w:rFonts w:ascii="Book Antiqua" w:eastAsiaTheme="minorEastAsia" w:hAnsi="Book Antiqua"/>
          <w:sz w:val="22"/>
          <w:szCs w:val="22"/>
        </w:rPr>
        <w:t xml:space="preserve"> ne pas être</w:t>
      </w:r>
      <w:r w:rsidR="00915B5E" w:rsidRPr="00463ABD">
        <w:rPr>
          <w:rFonts w:ascii="Book Antiqua" w:eastAsiaTheme="minorEastAsia" w:hAnsi="Book Antiqua"/>
          <w:sz w:val="22"/>
          <w:szCs w:val="22"/>
        </w:rPr>
        <w:t xml:space="preserve"> informés des conditions tarifaires au moment de l’o</w:t>
      </w:r>
      <w:r>
        <w:rPr>
          <w:rFonts w:ascii="Book Antiqua" w:eastAsiaTheme="minorEastAsia" w:hAnsi="Book Antiqua"/>
          <w:sz w:val="22"/>
          <w:szCs w:val="22"/>
        </w:rPr>
        <w:t>uverture de leur compte</w:t>
      </w:r>
      <w:r w:rsidR="00915B5E" w:rsidRPr="00463ABD">
        <w:rPr>
          <w:rFonts w:ascii="Book Antiqua" w:eastAsiaTheme="minorEastAsia" w:hAnsi="Book Antiqua"/>
          <w:sz w:val="22"/>
          <w:szCs w:val="22"/>
        </w:rPr>
        <w:t xml:space="preserve">. </w:t>
      </w:r>
    </w:p>
    <w:p w:rsidR="00915B5E" w:rsidRPr="00463ABD" w:rsidRDefault="00915B5E" w:rsidP="00C01C11">
      <w:pPr>
        <w:spacing w:before="240" w:after="240" w:line="276" w:lineRule="auto"/>
        <w:jc w:val="both"/>
        <w:rPr>
          <w:rFonts w:ascii="Book Antiqua" w:eastAsiaTheme="minorEastAsia" w:hAnsi="Book Antiqua"/>
          <w:sz w:val="22"/>
          <w:szCs w:val="22"/>
        </w:rPr>
      </w:pPr>
      <w:r w:rsidRPr="00463ABD">
        <w:rPr>
          <w:rFonts w:ascii="Book Antiqua" w:eastAsiaTheme="minorEastAsia" w:hAnsi="Book Antiqua"/>
          <w:sz w:val="22"/>
          <w:szCs w:val="22"/>
        </w:rPr>
        <w:t>Par ailleurs,</w:t>
      </w:r>
      <w:r w:rsidR="00C6355E">
        <w:rPr>
          <w:rFonts w:ascii="Book Antiqua" w:eastAsiaTheme="minorEastAsia" w:hAnsi="Book Antiqua"/>
          <w:sz w:val="22"/>
          <w:szCs w:val="22"/>
        </w:rPr>
        <w:t xml:space="preserve"> </w:t>
      </w:r>
      <w:r w:rsidRPr="00463ABD">
        <w:rPr>
          <w:rFonts w:ascii="Book Antiqua" w:eastAsiaTheme="minorEastAsia" w:hAnsi="Book Antiqua"/>
          <w:sz w:val="22"/>
          <w:szCs w:val="22"/>
        </w:rPr>
        <w:t xml:space="preserve">l’analyse des opinions </w:t>
      </w:r>
      <w:r w:rsidR="001575BE" w:rsidRPr="00463ABD">
        <w:rPr>
          <w:rFonts w:ascii="Book Antiqua" w:eastAsiaTheme="minorEastAsia" w:hAnsi="Book Antiqua"/>
          <w:sz w:val="22"/>
          <w:szCs w:val="22"/>
        </w:rPr>
        <w:t xml:space="preserve">des unités économiques enquêtées </w:t>
      </w:r>
      <w:r w:rsidR="001575BE">
        <w:rPr>
          <w:rFonts w:ascii="Book Antiqua" w:eastAsiaTheme="minorEastAsia" w:hAnsi="Book Antiqua"/>
          <w:sz w:val="22"/>
          <w:szCs w:val="22"/>
        </w:rPr>
        <w:t>fait apparaitre qu’une proportion non négligeable</w:t>
      </w:r>
      <w:r w:rsidR="00C6355E">
        <w:rPr>
          <w:rFonts w:ascii="Book Antiqua" w:eastAsiaTheme="minorEastAsia" w:hAnsi="Book Antiqua"/>
          <w:sz w:val="22"/>
          <w:szCs w:val="22"/>
        </w:rPr>
        <w:t xml:space="preserve"> </w:t>
      </w:r>
      <w:r w:rsidR="001575BE">
        <w:rPr>
          <w:rFonts w:ascii="Book Antiqua" w:eastAsiaTheme="minorEastAsia" w:hAnsi="Book Antiqua"/>
          <w:sz w:val="22"/>
          <w:szCs w:val="22"/>
        </w:rPr>
        <w:t>(</w:t>
      </w:r>
      <w:r w:rsidRPr="00463ABD">
        <w:rPr>
          <w:rFonts w:ascii="Book Antiqua" w:eastAsiaTheme="minorEastAsia" w:hAnsi="Book Antiqua"/>
          <w:sz w:val="22"/>
          <w:szCs w:val="22"/>
        </w:rPr>
        <w:t>45,9%</w:t>
      </w:r>
      <w:r w:rsidR="001575BE">
        <w:rPr>
          <w:rFonts w:ascii="Book Antiqua" w:eastAsiaTheme="minorEastAsia" w:hAnsi="Book Antiqua"/>
          <w:sz w:val="22"/>
          <w:szCs w:val="22"/>
        </w:rPr>
        <w:t>)</w:t>
      </w:r>
      <w:r w:rsidR="00E86AD0">
        <w:rPr>
          <w:rFonts w:ascii="Book Antiqua" w:eastAsiaTheme="minorEastAsia" w:hAnsi="Book Antiqua"/>
          <w:sz w:val="22"/>
          <w:szCs w:val="22"/>
        </w:rPr>
        <w:t xml:space="preserve"> </w:t>
      </w:r>
      <w:r w:rsidR="001575BE">
        <w:rPr>
          <w:rFonts w:ascii="Book Antiqua" w:eastAsiaTheme="minorEastAsia" w:hAnsi="Book Antiqua"/>
          <w:sz w:val="22"/>
          <w:szCs w:val="22"/>
        </w:rPr>
        <w:t>déclare</w:t>
      </w:r>
      <w:r w:rsidRPr="00463ABD">
        <w:rPr>
          <w:rFonts w:ascii="Book Antiqua" w:eastAsiaTheme="minorEastAsia" w:hAnsi="Book Antiqua"/>
          <w:sz w:val="22"/>
          <w:szCs w:val="22"/>
        </w:rPr>
        <w:t xml:space="preserve"> n’avoir aucune connaissance du niveau des taux appliqués sur les crédits d’investissement. Ce taux ressort à 41,0% pour les crédits de fonctionnement.  </w:t>
      </w:r>
    </w:p>
    <w:p w:rsidR="00915B5E" w:rsidRPr="00463ABD" w:rsidRDefault="00CE7382" w:rsidP="00C01C11">
      <w:pPr>
        <w:spacing w:before="240" w:after="240" w:line="276" w:lineRule="auto"/>
        <w:jc w:val="both"/>
        <w:rPr>
          <w:rFonts w:ascii="Book Antiqua" w:eastAsia="Univers" w:hAnsi="Book Antiqua" w:cs="Arial"/>
          <w:sz w:val="22"/>
          <w:szCs w:val="22"/>
        </w:rPr>
      </w:pPr>
      <w:r>
        <w:rPr>
          <w:rFonts w:ascii="Book Antiqua" w:eastAsia="Univers" w:hAnsi="Book Antiqua" w:cs="Arial"/>
          <w:sz w:val="22"/>
          <w:szCs w:val="22"/>
        </w:rPr>
        <w:t>Face à cette situation</w:t>
      </w:r>
      <w:r w:rsidR="00915B5E" w:rsidRPr="00463ABD">
        <w:rPr>
          <w:rFonts w:ascii="Book Antiqua" w:eastAsia="Univers" w:hAnsi="Book Antiqua" w:cs="Arial"/>
          <w:sz w:val="22"/>
          <w:szCs w:val="22"/>
        </w:rPr>
        <w:t>, il sera plus que jamais nécessaire pour les banques de renforcer leur communication financière à travers une meilleure qualité des in</w:t>
      </w:r>
      <w:r>
        <w:rPr>
          <w:rFonts w:ascii="Book Antiqua" w:eastAsia="Univers" w:hAnsi="Book Antiqua" w:cs="Arial"/>
          <w:sz w:val="22"/>
          <w:szCs w:val="22"/>
        </w:rPr>
        <w:t>formations destinées à la clientèle en conformité avec les recommandations de Bâle 2 et 3 au titre desquelles</w:t>
      </w:r>
      <w:r w:rsidR="00E86AD0">
        <w:rPr>
          <w:rFonts w:ascii="Book Antiqua" w:eastAsia="Univers" w:hAnsi="Book Antiqua" w:cs="Arial"/>
          <w:sz w:val="22"/>
          <w:szCs w:val="22"/>
        </w:rPr>
        <w:t xml:space="preserve"> </w:t>
      </w:r>
      <w:r>
        <w:rPr>
          <w:rFonts w:ascii="Book Antiqua" w:eastAsia="Univers" w:hAnsi="Book Antiqua" w:cs="Arial"/>
          <w:sz w:val="22"/>
          <w:szCs w:val="22"/>
        </w:rPr>
        <w:t>la discipline de marché est érigée comme un pilier central des réformes sur le secteur financier.</w:t>
      </w:r>
      <w:r w:rsidR="00E86AD0">
        <w:rPr>
          <w:rFonts w:ascii="Book Antiqua" w:eastAsia="Univers" w:hAnsi="Book Antiqua" w:cs="Arial"/>
          <w:sz w:val="22"/>
          <w:szCs w:val="22"/>
        </w:rPr>
        <w:t xml:space="preserve"> </w:t>
      </w:r>
      <w:r>
        <w:rPr>
          <w:rFonts w:ascii="Book Antiqua" w:eastAsia="Univers" w:hAnsi="Book Antiqua" w:cs="Arial"/>
          <w:sz w:val="22"/>
          <w:szCs w:val="22"/>
        </w:rPr>
        <w:t>Sous le bénéfice de ces observations,</w:t>
      </w:r>
      <w:r w:rsidR="005E73C7">
        <w:rPr>
          <w:rFonts w:ascii="Book Antiqua" w:eastAsia="Univers" w:hAnsi="Book Antiqua" w:cs="Arial"/>
          <w:sz w:val="22"/>
          <w:szCs w:val="22"/>
        </w:rPr>
        <w:t xml:space="preserve"> il est important de rappeler les dispositions d’essence réglementaire auxquelles les banques sont assujetties. Celles-ci visent principalement :   </w:t>
      </w:r>
    </w:p>
    <w:p w:rsidR="00915B5E" w:rsidRPr="00463ABD" w:rsidRDefault="00915B5E" w:rsidP="00113477">
      <w:pPr>
        <w:pStyle w:val="Paragraphedeliste"/>
        <w:numPr>
          <w:ilvl w:val="0"/>
          <w:numId w:val="45"/>
        </w:numPr>
        <w:spacing w:before="240" w:after="240" w:line="276" w:lineRule="auto"/>
        <w:ind w:left="567" w:hanging="283"/>
        <w:contextualSpacing w:val="0"/>
        <w:jc w:val="both"/>
        <w:rPr>
          <w:rFonts w:ascii="Book Antiqua" w:eastAsia="Univers" w:hAnsi="Book Antiqua" w:cs="Arial"/>
          <w:sz w:val="22"/>
          <w:szCs w:val="22"/>
        </w:rPr>
      </w:pPr>
      <w:r w:rsidRPr="00463ABD">
        <w:rPr>
          <w:rFonts w:ascii="Book Antiqua" w:hAnsi="Book Antiqua"/>
          <w:sz w:val="22"/>
          <w:szCs w:val="22"/>
        </w:rPr>
        <w:t>l’affi</w:t>
      </w:r>
      <w:r w:rsidR="005E73C7">
        <w:rPr>
          <w:rFonts w:ascii="Book Antiqua" w:hAnsi="Book Antiqua"/>
          <w:sz w:val="22"/>
          <w:szCs w:val="22"/>
        </w:rPr>
        <w:t>chage des conditions de banques</w:t>
      </w:r>
      <w:r w:rsidRPr="00463ABD">
        <w:rPr>
          <w:rFonts w:ascii="Book Antiqua" w:hAnsi="Book Antiqua"/>
          <w:sz w:val="22"/>
          <w:szCs w:val="22"/>
        </w:rPr>
        <w:t xml:space="preserve"> sous un format clair et visible par voie d'affichage et/ou dépliants au sein des agences b</w:t>
      </w:r>
      <w:r w:rsidR="005E73C7">
        <w:rPr>
          <w:rFonts w:ascii="Book Antiqua" w:hAnsi="Book Antiqua"/>
          <w:sz w:val="22"/>
          <w:szCs w:val="22"/>
        </w:rPr>
        <w:t>ancaires et la publication des tarifs</w:t>
      </w:r>
      <w:r w:rsidR="004C0D2B">
        <w:rPr>
          <w:rFonts w:ascii="Book Antiqua" w:hAnsi="Book Antiqua"/>
          <w:sz w:val="22"/>
          <w:szCs w:val="22"/>
        </w:rPr>
        <w:t xml:space="preserve"> des services bancaires sur leur site internet ; </w:t>
      </w:r>
    </w:p>
    <w:p w:rsidR="00915B5E" w:rsidRPr="00463ABD" w:rsidRDefault="00915B5E" w:rsidP="00113477">
      <w:pPr>
        <w:pStyle w:val="Paragraphedeliste"/>
        <w:numPr>
          <w:ilvl w:val="0"/>
          <w:numId w:val="45"/>
        </w:numPr>
        <w:spacing w:before="240" w:after="240" w:line="276" w:lineRule="auto"/>
        <w:ind w:left="567" w:hanging="283"/>
        <w:contextualSpacing w:val="0"/>
        <w:jc w:val="both"/>
        <w:rPr>
          <w:rFonts w:ascii="Book Antiqua" w:eastAsia="Univers" w:hAnsi="Book Antiqua" w:cs="Arial"/>
          <w:sz w:val="22"/>
          <w:szCs w:val="22"/>
        </w:rPr>
      </w:pPr>
      <w:r w:rsidRPr="00463ABD">
        <w:rPr>
          <w:rFonts w:ascii="Book Antiqua" w:eastAsia="Univers" w:hAnsi="Book Antiqua" w:cs="Arial"/>
          <w:sz w:val="22"/>
          <w:szCs w:val="22"/>
        </w:rPr>
        <w:t>la délivrance</w:t>
      </w:r>
      <w:r w:rsidR="004C0D2B">
        <w:rPr>
          <w:rFonts w:ascii="Book Antiqua" w:eastAsia="Univers" w:hAnsi="Book Antiqua" w:cs="Arial"/>
          <w:sz w:val="22"/>
          <w:szCs w:val="22"/>
        </w:rPr>
        <w:t xml:space="preserve"> systématique</w:t>
      </w:r>
      <w:r w:rsidRPr="00463ABD">
        <w:rPr>
          <w:rFonts w:ascii="Book Antiqua" w:eastAsia="Univers" w:hAnsi="Book Antiqua" w:cs="Arial"/>
          <w:sz w:val="22"/>
          <w:szCs w:val="22"/>
        </w:rPr>
        <w:t xml:space="preserve"> de la convention de crédit et du tableau d’amortissement de prêt mettant clairement en évidence le taux effectif global d’i</w:t>
      </w:r>
      <w:r w:rsidR="004C0D2B">
        <w:rPr>
          <w:rFonts w:ascii="Book Antiqua" w:eastAsia="Univers" w:hAnsi="Book Antiqua" w:cs="Arial"/>
          <w:sz w:val="22"/>
          <w:szCs w:val="22"/>
        </w:rPr>
        <w:t>ntérêt (TEG) applicable, la proportion</w:t>
      </w:r>
      <w:r w:rsidRPr="00463ABD">
        <w:rPr>
          <w:rFonts w:ascii="Book Antiqua" w:eastAsia="Univers" w:hAnsi="Book Antiqua" w:cs="Arial"/>
          <w:sz w:val="22"/>
          <w:szCs w:val="22"/>
        </w:rPr>
        <w:t xml:space="preserve"> des frais de dossier et les pénalités encourues en cas de remboursement anticipé ou de rachat de crédit ;</w:t>
      </w:r>
    </w:p>
    <w:p w:rsidR="00881EEA" w:rsidRPr="00E86AD0" w:rsidRDefault="00915B5E" w:rsidP="00113477">
      <w:pPr>
        <w:pStyle w:val="Paragraphedeliste"/>
        <w:numPr>
          <w:ilvl w:val="0"/>
          <w:numId w:val="47"/>
        </w:numPr>
        <w:autoSpaceDE w:val="0"/>
        <w:autoSpaceDN w:val="0"/>
        <w:adjustRightInd w:val="0"/>
        <w:spacing w:before="240" w:after="240" w:line="276" w:lineRule="auto"/>
        <w:ind w:left="567" w:hanging="283"/>
        <w:contextualSpacing w:val="0"/>
        <w:jc w:val="both"/>
        <w:rPr>
          <w:rFonts w:ascii="Book Antiqua" w:hAnsi="Book Antiqua" w:cs="Arial, sans-serif"/>
          <w:sz w:val="22"/>
          <w:szCs w:val="22"/>
        </w:rPr>
      </w:pPr>
      <w:r w:rsidRPr="00463ABD">
        <w:rPr>
          <w:rFonts w:ascii="Book Antiqua" w:hAnsi="Book Antiqua" w:cs="Arial, sans-serif"/>
          <w:sz w:val="22"/>
          <w:szCs w:val="22"/>
        </w:rPr>
        <w:t xml:space="preserve">la transmission systématique </w:t>
      </w:r>
      <w:r w:rsidR="004C0D2B">
        <w:rPr>
          <w:rFonts w:ascii="Book Antiqua" w:hAnsi="Book Antiqua" w:cs="Arial, sans-serif"/>
          <w:sz w:val="22"/>
          <w:szCs w:val="22"/>
        </w:rPr>
        <w:t xml:space="preserve">de leurs </w:t>
      </w:r>
      <w:r w:rsidRPr="00463ABD">
        <w:rPr>
          <w:rFonts w:ascii="Book Antiqua" w:hAnsi="Book Antiqua" w:cs="Arial, sans-serif"/>
          <w:sz w:val="22"/>
          <w:szCs w:val="22"/>
        </w:rPr>
        <w:t>conditions tarifaires à l’OQSF et aux associations de c</w:t>
      </w:r>
      <w:r w:rsidR="004C0D2B">
        <w:rPr>
          <w:rFonts w:ascii="Book Antiqua" w:hAnsi="Book Antiqua" w:cs="Arial, sans-serif"/>
          <w:sz w:val="22"/>
          <w:szCs w:val="22"/>
        </w:rPr>
        <w:t>onsommateurs par des moyens</w:t>
      </w:r>
      <w:r w:rsidRPr="00463ABD">
        <w:rPr>
          <w:rFonts w:ascii="Book Antiqua" w:hAnsi="Book Antiqua" w:cs="Arial, sans-serif"/>
          <w:sz w:val="22"/>
          <w:szCs w:val="22"/>
        </w:rPr>
        <w:t xml:space="preserve"> approprié</w:t>
      </w:r>
      <w:r w:rsidR="004C0D2B">
        <w:rPr>
          <w:rFonts w:ascii="Book Antiqua" w:hAnsi="Book Antiqua" w:cs="Arial, sans-serif"/>
          <w:sz w:val="22"/>
          <w:szCs w:val="22"/>
        </w:rPr>
        <w:t>s</w:t>
      </w:r>
      <w:r w:rsidR="00881EEA">
        <w:rPr>
          <w:rFonts w:ascii="Book Antiqua" w:hAnsi="Book Antiqua" w:cs="Arial, sans-serif"/>
          <w:sz w:val="22"/>
          <w:szCs w:val="22"/>
        </w:rPr>
        <w:t>.</w:t>
      </w:r>
    </w:p>
    <w:p w:rsidR="005E73C7" w:rsidRPr="006F1555" w:rsidRDefault="009A6E18" w:rsidP="00C01C11">
      <w:pPr>
        <w:spacing w:before="240" w:after="240" w:line="276" w:lineRule="auto"/>
        <w:jc w:val="both"/>
        <w:rPr>
          <w:rFonts w:ascii="Book Antiqua" w:eastAsia="Univers" w:hAnsi="Book Antiqua" w:cs="Arial"/>
          <w:sz w:val="22"/>
          <w:szCs w:val="22"/>
        </w:rPr>
      </w:pPr>
      <w:r>
        <w:rPr>
          <w:rFonts w:ascii="Book Antiqua" w:eastAsia="Univers" w:hAnsi="Book Antiqua" w:cs="Arial"/>
          <w:sz w:val="22"/>
          <w:szCs w:val="22"/>
        </w:rPr>
        <w:t xml:space="preserve">Dans cette perspective, d’autres mesures visant à améliorer la qualité de l’information pourraient être préconisées. Il s’agit d’une part de </w:t>
      </w:r>
      <w:r w:rsidR="00915B5E" w:rsidRPr="00881EEA">
        <w:rPr>
          <w:rFonts w:ascii="Book Antiqua" w:eastAsia="Univers" w:hAnsi="Book Antiqua" w:cs="Arial"/>
          <w:sz w:val="22"/>
          <w:szCs w:val="22"/>
        </w:rPr>
        <w:t>l’affichag</w:t>
      </w:r>
      <w:r>
        <w:rPr>
          <w:rFonts w:ascii="Book Antiqua" w:eastAsia="Univers" w:hAnsi="Book Antiqua" w:cs="Arial"/>
          <w:sz w:val="22"/>
          <w:szCs w:val="22"/>
        </w:rPr>
        <w:t>e dans les locaux des banques, d</w:t>
      </w:r>
      <w:r w:rsidR="00915B5E" w:rsidRPr="00881EEA">
        <w:rPr>
          <w:rFonts w:ascii="Book Antiqua" w:eastAsia="Univers" w:hAnsi="Book Antiqua" w:cs="Arial"/>
          <w:sz w:val="22"/>
          <w:szCs w:val="22"/>
        </w:rPr>
        <w:t>es canaux de traitement des réclamations de la clientèle</w:t>
      </w:r>
      <w:r w:rsidR="00915B5E" w:rsidRPr="00881EEA">
        <w:rPr>
          <w:rFonts w:ascii="Book Antiqua" w:hAnsi="Book Antiqua"/>
          <w:sz w:val="22"/>
          <w:szCs w:val="22"/>
        </w:rPr>
        <w:t xml:space="preserve"> (</w:t>
      </w:r>
      <w:r w:rsidR="00915B5E" w:rsidRPr="00881EEA">
        <w:rPr>
          <w:rFonts w:ascii="Book Antiqua" w:eastAsia="Univers" w:hAnsi="Book Antiqua" w:cs="Arial"/>
          <w:sz w:val="22"/>
          <w:szCs w:val="22"/>
        </w:rPr>
        <w:t xml:space="preserve">contacts du service de banque en charge des réclamations, </w:t>
      </w:r>
      <w:r>
        <w:rPr>
          <w:rFonts w:ascii="Book Antiqua" w:eastAsia="Univers" w:hAnsi="Book Antiqua" w:cs="Arial"/>
          <w:sz w:val="22"/>
          <w:szCs w:val="22"/>
        </w:rPr>
        <w:t>médiation financière de l’OQSF) et, d’</w:t>
      </w:r>
      <w:r w:rsidRPr="009A6E18">
        <w:rPr>
          <w:rFonts w:ascii="Book Antiqua" w:eastAsia="Univers" w:hAnsi="Book Antiqua" w:cs="Arial"/>
          <w:sz w:val="22"/>
          <w:szCs w:val="22"/>
        </w:rPr>
        <w:t>autre part, l’élaboration et l’adoption d’</w:t>
      </w:r>
      <w:r w:rsidR="005E73C7" w:rsidRPr="009A6E18">
        <w:rPr>
          <w:rFonts w:ascii="Book Antiqua" w:eastAsia="Univers" w:hAnsi="Book Antiqua" w:cs="Arial"/>
          <w:sz w:val="22"/>
          <w:szCs w:val="22"/>
        </w:rPr>
        <w:t>un modèle</w:t>
      </w:r>
      <w:r w:rsidRPr="009A6E18">
        <w:rPr>
          <w:rFonts w:ascii="Book Antiqua" w:eastAsia="Univers" w:hAnsi="Book Antiqua" w:cs="Arial"/>
          <w:sz w:val="22"/>
          <w:szCs w:val="22"/>
        </w:rPr>
        <w:t xml:space="preserve"> harmonisé</w:t>
      </w:r>
      <w:r w:rsidR="00C6355E">
        <w:rPr>
          <w:rFonts w:ascii="Book Antiqua" w:eastAsia="Univers" w:hAnsi="Book Antiqua" w:cs="Arial"/>
          <w:sz w:val="22"/>
          <w:szCs w:val="22"/>
        </w:rPr>
        <w:t xml:space="preserve"> </w:t>
      </w:r>
      <w:r>
        <w:rPr>
          <w:rFonts w:ascii="Book Antiqua" w:eastAsia="Univers" w:hAnsi="Book Antiqua" w:cs="Arial"/>
          <w:sz w:val="22"/>
          <w:szCs w:val="22"/>
        </w:rPr>
        <w:t xml:space="preserve">de convention de compte. </w:t>
      </w:r>
    </w:p>
    <w:p w:rsidR="00307B8A" w:rsidRDefault="00307B8A">
      <w:pPr>
        <w:spacing w:after="200" w:line="276" w:lineRule="auto"/>
        <w:rPr>
          <w:rFonts w:ascii="Book Antiqua" w:hAnsi="Book Antiqua"/>
          <w:b/>
          <w:sz w:val="22"/>
          <w:szCs w:val="22"/>
        </w:rPr>
      </w:pPr>
      <w:r>
        <w:rPr>
          <w:rFonts w:ascii="Book Antiqua" w:hAnsi="Book Antiqua"/>
          <w:b/>
          <w:sz w:val="22"/>
          <w:szCs w:val="22"/>
        </w:rPr>
        <w:br w:type="page"/>
      </w:r>
    </w:p>
    <w:p w:rsidR="00915B5E" w:rsidRPr="00463ABD" w:rsidRDefault="00C6355E" w:rsidP="00C01C11">
      <w:pPr>
        <w:spacing w:before="240" w:after="240" w:line="276" w:lineRule="auto"/>
        <w:jc w:val="both"/>
        <w:rPr>
          <w:rFonts w:ascii="Book Antiqua" w:hAnsi="Book Antiqua"/>
          <w:b/>
          <w:sz w:val="22"/>
          <w:szCs w:val="22"/>
        </w:rPr>
      </w:pPr>
      <w:r>
        <w:rPr>
          <w:rFonts w:ascii="Book Antiqua" w:hAnsi="Book Antiqua"/>
          <w:b/>
          <w:sz w:val="22"/>
          <w:szCs w:val="22"/>
        </w:rPr>
        <w:lastRenderedPageBreak/>
        <w:t>R.10</w:t>
      </w:r>
      <w:r w:rsidR="00915B5E" w:rsidRPr="00463ABD">
        <w:rPr>
          <w:rFonts w:ascii="Book Antiqua" w:hAnsi="Book Antiqua"/>
          <w:b/>
          <w:sz w:val="22"/>
          <w:szCs w:val="22"/>
        </w:rPr>
        <w:t xml:space="preserve">. Développer davantage la digitalisation des services bancaires </w:t>
      </w:r>
    </w:p>
    <w:p w:rsidR="00915B5E" w:rsidRPr="00463ABD" w:rsidRDefault="00D743C0" w:rsidP="00C01C11">
      <w:pPr>
        <w:spacing w:before="240" w:after="240" w:line="276" w:lineRule="auto"/>
        <w:jc w:val="both"/>
        <w:rPr>
          <w:rFonts w:ascii="Book Antiqua" w:hAnsi="Book Antiqua"/>
          <w:sz w:val="22"/>
          <w:szCs w:val="22"/>
        </w:rPr>
      </w:pPr>
      <w:r>
        <w:rPr>
          <w:rFonts w:ascii="Book Antiqua" w:eastAsia="Calibri" w:hAnsi="Book Antiqua"/>
          <w:sz w:val="22"/>
          <w:szCs w:val="22"/>
        </w:rPr>
        <w:t>Le recours des services de</w:t>
      </w:r>
      <w:r w:rsidR="00915B5E" w:rsidRPr="00463ABD">
        <w:rPr>
          <w:rFonts w:ascii="Book Antiqua" w:eastAsia="Calibri" w:hAnsi="Book Antiqua"/>
          <w:sz w:val="22"/>
          <w:szCs w:val="22"/>
        </w:rPr>
        <w:t xml:space="preserve"> consultation à distance reste relativement faible</w:t>
      </w:r>
      <w:r>
        <w:rPr>
          <w:rFonts w:ascii="Book Antiqua" w:eastAsia="Calibri" w:hAnsi="Book Antiqua"/>
          <w:sz w:val="22"/>
          <w:szCs w:val="22"/>
        </w:rPr>
        <w:t xml:space="preserve"> chez les clients interrogés avec une proportion de 24,3%</w:t>
      </w:r>
      <w:r w:rsidR="00915B5E" w:rsidRPr="00463ABD">
        <w:rPr>
          <w:rFonts w:ascii="Book Antiqua" w:eastAsia="Calibri" w:hAnsi="Book Antiqua"/>
          <w:sz w:val="22"/>
          <w:szCs w:val="22"/>
        </w:rPr>
        <w:t xml:space="preserve">. Parmi </w:t>
      </w:r>
      <w:r>
        <w:rPr>
          <w:rFonts w:ascii="Book Antiqua" w:eastAsia="Calibri" w:hAnsi="Book Antiqua"/>
          <w:sz w:val="22"/>
          <w:szCs w:val="22"/>
        </w:rPr>
        <w:t>ceux-ci</w:t>
      </w:r>
      <w:r w:rsidR="00915B5E" w:rsidRPr="00463ABD">
        <w:rPr>
          <w:rFonts w:ascii="Book Antiqua" w:eastAsia="Calibri" w:hAnsi="Book Antiqua"/>
          <w:sz w:val="22"/>
          <w:szCs w:val="22"/>
        </w:rPr>
        <w:t xml:space="preserve">, une majorité </w:t>
      </w:r>
      <w:r>
        <w:rPr>
          <w:rFonts w:ascii="Book Antiqua" w:eastAsia="Calibri" w:hAnsi="Book Antiqua"/>
          <w:sz w:val="22"/>
          <w:szCs w:val="22"/>
        </w:rPr>
        <w:t>de 75,6% se dit satisfaite</w:t>
      </w:r>
      <w:r w:rsidR="00915B5E" w:rsidRPr="00463ABD">
        <w:rPr>
          <w:rFonts w:ascii="Book Antiqua" w:eastAsia="Calibri" w:hAnsi="Book Antiqua"/>
          <w:sz w:val="22"/>
          <w:szCs w:val="22"/>
        </w:rPr>
        <w:t xml:space="preserve"> de la qualité du service</w:t>
      </w:r>
      <w:r>
        <w:rPr>
          <w:rFonts w:ascii="Book Antiqua" w:eastAsia="Calibri" w:hAnsi="Book Antiqua"/>
          <w:sz w:val="22"/>
          <w:szCs w:val="22"/>
        </w:rPr>
        <w:t xml:space="preserve"> et une proportion de </w:t>
      </w:r>
      <w:r w:rsidR="00915B5E" w:rsidRPr="00463ABD">
        <w:rPr>
          <w:rFonts w:ascii="Book Antiqua" w:hAnsi="Book Antiqua"/>
          <w:sz w:val="22"/>
          <w:szCs w:val="22"/>
        </w:rPr>
        <w:t>56,5% de</w:t>
      </w:r>
      <w:r>
        <w:rPr>
          <w:rFonts w:ascii="Book Antiqua" w:hAnsi="Book Antiqua"/>
          <w:sz w:val="22"/>
          <w:szCs w:val="22"/>
        </w:rPr>
        <w:t>s</w:t>
      </w:r>
      <w:r w:rsidR="00915B5E" w:rsidRPr="00463ABD">
        <w:rPr>
          <w:rFonts w:ascii="Book Antiqua" w:hAnsi="Book Antiqua"/>
          <w:sz w:val="22"/>
          <w:szCs w:val="22"/>
        </w:rPr>
        <w:t xml:space="preserve"> clients utilisateurs</w:t>
      </w:r>
      <w:r>
        <w:rPr>
          <w:rFonts w:ascii="Book Antiqua" w:hAnsi="Book Antiqua"/>
          <w:sz w:val="22"/>
          <w:szCs w:val="22"/>
        </w:rPr>
        <w:t xml:space="preserve"> ont émis un avis favorable sur le coût</w:t>
      </w:r>
      <w:r w:rsidR="007D4A9C">
        <w:rPr>
          <w:rFonts w:ascii="Book Antiqua" w:hAnsi="Book Antiqua"/>
          <w:sz w:val="22"/>
          <w:szCs w:val="22"/>
        </w:rPr>
        <w:t xml:space="preserve"> adossé à ce</w:t>
      </w:r>
      <w:r w:rsidR="00896D8D">
        <w:rPr>
          <w:rFonts w:ascii="Book Antiqua" w:hAnsi="Book Antiqua"/>
          <w:sz w:val="22"/>
          <w:szCs w:val="22"/>
        </w:rPr>
        <w:t xml:space="preserve"> type de</w:t>
      </w:r>
      <w:r w:rsidR="007D4A9C">
        <w:rPr>
          <w:rFonts w:ascii="Book Antiqua" w:hAnsi="Book Antiqua"/>
          <w:sz w:val="22"/>
          <w:szCs w:val="22"/>
        </w:rPr>
        <w:t xml:space="preserve"> service. </w:t>
      </w:r>
    </w:p>
    <w:p w:rsidR="004F1E93" w:rsidRDefault="00896D8D" w:rsidP="00C01C11">
      <w:pPr>
        <w:spacing w:before="240" w:after="240" w:line="276" w:lineRule="auto"/>
        <w:jc w:val="both"/>
        <w:rPr>
          <w:rFonts w:ascii="Book Antiqua" w:hAnsi="Book Antiqua"/>
          <w:sz w:val="22"/>
          <w:szCs w:val="22"/>
        </w:rPr>
      </w:pPr>
      <w:r>
        <w:rPr>
          <w:rFonts w:ascii="Book Antiqua" w:hAnsi="Book Antiqua"/>
          <w:sz w:val="22"/>
          <w:szCs w:val="22"/>
        </w:rPr>
        <w:t>Pour consolider ces acquis, l</w:t>
      </w:r>
      <w:r w:rsidR="00915B5E" w:rsidRPr="00463ABD">
        <w:rPr>
          <w:rFonts w:ascii="Book Antiqua" w:hAnsi="Book Antiqua"/>
          <w:sz w:val="22"/>
          <w:szCs w:val="22"/>
        </w:rPr>
        <w:t xml:space="preserve">a transformation numérique </w:t>
      </w:r>
      <w:r>
        <w:rPr>
          <w:rFonts w:ascii="Book Antiqua" w:hAnsi="Book Antiqua"/>
          <w:sz w:val="22"/>
          <w:szCs w:val="22"/>
        </w:rPr>
        <w:t xml:space="preserve">pourrait </w:t>
      </w:r>
      <w:r w:rsidR="00915B5E" w:rsidRPr="00463ABD">
        <w:rPr>
          <w:rFonts w:ascii="Book Antiqua" w:hAnsi="Book Antiqua"/>
          <w:sz w:val="22"/>
          <w:szCs w:val="22"/>
        </w:rPr>
        <w:t>constitue</w:t>
      </w:r>
      <w:r>
        <w:rPr>
          <w:rFonts w:ascii="Book Antiqua" w:hAnsi="Book Antiqua"/>
          <w:sz w:val="22"/>
          <w:szCs w:val="22"/>
        </w:rPr>
        <w:t>r</w:t>
      </w:r>
      <w:r w:rsidR="00915B5E" w:rsidRPr="00463ABD">
        <w:rPr>
          <w:rFonts w:ascii="Book Antiqua" w:hAnsi="Book Antiqua"/>
          <w:sz w:val="22"/>
          <w:szCs w:val="22"/>
        </w:rPr>
        <w:t xml:space="preserve"> une réelle opportunité pour les banques </w:t>
      </w:r>
      <w:r>
        <w:rPr>
          <w:rFonts w:ascii="Book Antiqua" w:hAnsi="Book Antiqua"/>
          <w:sz w:val="22"/>
          <w:szCs w:val="22"/>
        </w:rPr>
        <w:t>et devraient leur permettre de</w:t>
      </w:r>
      <w:r w:rsidR="00915B5E" w:rsidRPr="00463ABD">
        <w:rPr>
          <w:rFonts w:ascii="Book Antiqua" w:hAnsi="Book Antiqua"/>
          <w:sz w:val="22"/>
          <w:szCs w:val="22"/>
        </w:rPr>
        <w:t xml:space="preserve"> passer d’une approche produit à une approche orientée client </w:t>
      </w:r>
      <w:r>
        <w:rPr>
          <w:rFonts w:ascii="Book Antiqua" w:hAnsi="Book Antiqua"/>
          <w:sz w:val="22"/>
          <w:szCs w:val="22"/>
        </w:rPr>
        <w:t>dans la perspective de</w:t>
      </w:r>
      <w:r w:rsidR="00915B5E" w:rsidRPr="00463ABD">
        <w:rPr>
          <w:rFonts w:ascii="Book Antiqua" w:hAnsi="Book Antiqua"/>
          <w:sz w:val="22"/>
          <w:szCs w:val="22"/>
        </w:rPr>
        <w:t xml:space="preserve"> proposer des offres plus innovantes. </w:t>
      </w:r>
      <w:r>
        <w:rPr>
          <w:rFonts w:ascii="Book Antiqua" w:hAnsi="Book Antiqua"/>
          <w:sz w:val="22"/>
          <w:szCs w:val="22"/>
        </w:rPr>
        <w:t>En effet, l</w:t>
      </w:r>
      <w:r w:rsidR="00915B5E" w:rsidRPr="00463ABD">
        <w:rPr>
          <w:rFonts w:ascii="Book Antiqua" w:hAnsi="Book Antiqua"/>
          <w:sz w:val="22"/>
          <w:szCs w:val="22"/>
        </w:rPr>
        <w:t>’utilisation du canal digital offre de nombreux atouts car leur permettant de rendre plus simples</w:t>
      </w:r>
      <w:r w:rsidR="004F1E93">
        <w:rPr>
          <w:rFonts w:ascii="Book Antiqua" w:hAnsi="Book Antiqua"/>
          <w:sz w:val="22"/>
          <w:szCs w:val="22"/>
        </w:rPr>
        <w:t xml:space="preserve"> et adaptées</w:t>
      </w:r>
      <w:r w:rsidR="00915B5E" w:rsidRPr="00463ABD">
        <w:rPr>
          <w:rFonts w:ascii="Book Antiqua" w:hAnsi="Book Antiqua"/>
          <w:sz w:val="22"/>
          <w:szCs w:val="22"/>
        </w:rPr>
        <w:t xml:space="preserve"> l’offre de produits et services. </w:t>
      </w:r>
    </w:p>
    <w:p w:rsidR="00D136EF" w:rsidRPr="00463ABD" w:rsidRDefault="00D136EF" w:rsidP="00C01C11">
      <w:pPr>
        <w:spacing w:before="240" w:after="240" w:line="276" w:lineRule="auto"/>
        <w:jc w:val="both"/>
        <w:rPr>
          <w:rFonts w:ascii="Book Antiqua" w:hAnsi="Book Antiqua"/>
          <w:sz w:val="22"/>
          <w:szCs w:val="22"/>
        </w:rPr>
      </w:pPr>
      <w:r>
        <w:rPr>
          <w:rFonts w:ascii="Book Antiqua" w:hAnsi="Book Antiqua"/>
          <w:sz w:val="22"/>
          <w:szCs w:val="22"/>
        </w:rPr>
        <w:t>Cet impératif est rendu plus accru avec l</w:t>
      </w:r>
      <w:r w:rsidRPr="00463ABD">
        <w:rPr>
          <w:rFonts w:ascii="Book Antiqua" w:hAnsi="Book Antiqua"/>
          <w:sz w:val="22"/>
          <w:szCs w:val="22"/>
        </w:rPr>
        <w:t xml:space="preserve">’émergence de nouveaux acteurs </w:t>
      </w:r>
      <w:r>
        <w:rPr>
          <w:rFonts w:ascii="Book Antiqua" w:hAnsi="Book Antiqua"/>
          <w:sz w:val="22"/>
          <w:szCs w:val="22"/>
        </w:rPr>
        <w:t xml:space="preserve">dans l’écosystème financier et le développement de </w:t>
      </w:r>
      <w:r w:rsidRPr="00463ABD">
        <w:rPr>
          <w:rFonts w:ascii="Book Antiqua" w:hAnsi="Book Antiqua"/>
          <w:sz w:val="22"/>
          <w:szCs w:val="22"/>
        </w:rPr>
        <w:t>nouvelles offres de services bancaires, dont les modes de distribution se diversifient</w:t>
      </w:r>
      <w:r>
        <w:rPr>
          <w:rFonts w:ascii="Book Antiqua" w:hAnsi="Book Antiqua"/>
          <w:sz w:val="22"/>
          <w:szCs w:val="22"/>
        </w:rPr>
        <w:t>.</w:t>
      </w:r>
    </w:p>
    <w:p w:rsidR="00463ABD" w:rsidRDefault="00D136EF" w:rsidP="00C01C11">
      <w:pPr>
        <w:spacing w:before="240" w:after="240" w:line="276" w:lineRule="auto"/>
        <w:jc w:val="both"/>
        <w:rPr>
          <w:rFonts w:ascii="Book Antiqua" w:hAnsi="Book Antiqua"/>
          <w:sz w:val="22"/>
          <w:szCs w:val="22"/>
        </w:rPr>
      </w:pPr>
      <w:r>
        <w:rPr>
          <w:rFonts w:ascii="Book Antiqua" w:hAnsi="Book Antiqua"/>
          <w:sz w:val="22"/>
          <w:szCs w:val="22"/>
        </w:rPr>
        <w:t>A cet égard, l</w:t>
      </w:r>
      <w:r w:rsidR="00915B5E" w:rsidRPr="00463ABD">
        <w:rPr>
          <w:rFonts w:ascii="Book Antiqua" w:hAnsi="Book Antiqua"/>
          <w:sz w:val="22"/>
          <w:szCs w:val="22"/>
        </w:rPr>
        <w:t xml:space="preserve">es solutions </w:t>
      </w:r>
      <w:r>
        <w:rPr>
          <w:rFonts w:ascii="Book Antiqua" w:hAnsi="Book Antiqua"/>
          <w:sz w:val="22"/>
          <w:szCs w:val="22"/>
        </w:rPr>
        <w:t>telles que le paiement en ligne et</w:t>
      </w:r>
      <w:r w:rsidR="00915B5E" w:rsidRPr="00463ABD">
        <w:rPr>
          <w:rFonts w:ascii="Book Antiqua" w:hAnsi="Book Antiqua"/>
          <w:sz w:val="22"/>
          <w:szCs w:val="22"/>
        </w:rPr>
        <w:t xml:space="preserve"> les fonctionnalités sur mobile</w:t>
      </w:r>
      <w:r w:rsidR="00915B5E" w:rsidRPr="00463ABD">
        <w:rPr>
          <w:rFonts w:ascii="Book Antiqua" w:hAnsi="Book Antiqua" w:cs="Calibri"/>
          <w:sz w:val="22"/>
          <w:szCs w:val="22"/>
        </w:rPr>
        <w:t xml:space="preserve"> (</w:t>
      </w:r>
      <w:r w:rsidR="00915B5E" w:rsidRPr="00463ABD">
        <w:rPr>
          <w:rFonts w:ascii="Book Antiqua" w:hAnsi="Book Antiqua" w:cs="Book Antiqua"/>
          <w:sz w:val="22"/>
          <w:szCs w:val="22"/>
        </w:rPr>
        <w:t>SMART DATA, SMART CHECK, BIG DATA, etc.)</w:t>
      </w:r>
      <w:r w:rsidR="00915B5E" w:rsidRPr="00463ABD">
        <w:rPr>
          <w:rFonts w:ascii="Book Antiqua" w:hAnsi="Book Antiqua"/>
          <w:sz w:val="22"/>
          <w:szCs w:val="22"/>
        </w:rPr>
        <w:t xml:space="preserve"> sont autant d’outils qui devront offrir aux banques la possibilité de mieux connaître leur clientèle, de renforcer la satisfactio</w:t>
      </w:r>
      <w:r w:rsidR="00853072">
        <w:rPr>
          <w:rFonts w:ascii="Book Antiqua" w:hAnsi="Book Antiqua"/>
          <w:sz w:val="22"/>
          <w:szCs w:val="22"/>
        </w:rPr>
        <w:t>n et la confiance tout en</w:t>
      </w:r>
      <w:r w:rsidR="00915B5E" w:rsidRPr="00463ABD">
        <w:rPr>
          <w:rFonts w:ascii="Book Antiqua" w:hAnsi="Book Antiqua"/>
          <w:sz w:val="22"/>
          <w:szCs w:val="22"/>
        </w:rPr>
        <w:t xml:space="preserve"> anticipant</w:t>
      </w:r>
      <w:r w:rsidR="00896D8D">
        <w:rPr>
          <w:rFonts w:ascii="Book Antiqua" w:hAnsi="Book Antiqua"/>
          <w:sz w:val="22"/>
          <w:szCs w:val="22"/>
        </w:rPr>
        <w:t xml:space="preserve"> sur</w:t>
      </w:r>
      <w:r w:rsidR="00915B5E" w:rsidRPr="00463ABD">
        <w:rPr>
          <w:rFonts w:ascii="Book Antiqua" w:hAnsi="Book Antiqua"/>
          <w:sz w:val="22"/>
          <w:szCs w:val="22"/>
        </w:rPr>
        <w:t xml:space="preserve"> leurs </w:t>
      </w:r>
      <w:r w:rsidR="00896D8D">
        <w:rPr>
          <w:rFonts w:ascii="Book Antiqua" w:hAnsi="Book Antiqua"/>
          <w:sz w:val="22"/>
          <w:szCs w:val="22"/>
        </w:rPr>
        <w:t>attentes</w:t>
      </w:r>
      <w:r w:rsidR="00915B5E" w:rsidRPr="00463ABD">
        <w:rPr>
          <w:rFonts w:ascii="Book Antiqua" w:hAnsi="Book Antiqua"/>
          <w:sz w:val="22"/>
          <w:szCs w:val="22"/>
        </w:rPr>
        <w:t>.</w:t>
      </w:r>
    </w:p>
    <w:p w:rsidR="00E86AD0" w:rsidRPr="00E86AD0" w:rsidRDefault="00C6355E" w:rsidP="00997034">
      <w:pPr>
        <w:pStyle w:val="NormalWeb"/>
        <w:shd w:val="clear" w:color="auto" w:fill="FFFFFF"/>
        <w:spacing w:before="240" w:beforeAutospacing="0" w:after="240" w:afterAutospacing="0" w:line="276" w:lineRule="auto"/>
        <w:jc w:val="both"/>
        <w:rPr>
          <w:rFonts w:ascii="Book Antiqua" w:hAnsi="Book Antiqua"/>
          <w:sz w:val="22"/>
          <w:szCs w:val="22"/>
        </w:rPr>
      </w:pPr>
      <w:r>
        <w:rPr>
          <w:rFonts w:ascii="Book Antiqua" w:hAnsi="Book Antiqua"/>
          <w:b/>
          <w:sz w:val="22"/>
          <w:szCs w:val="22"/>
        </w:rPr>
        <w:t>R.11</w:t>
      </w:r>
      <w:r w:rsidR="00463ABD" w:rsidRPr="00C6355E">
        <w:rPr>
          <w:rFonts w:ascii="Book Antiqua" w:hAnsi="Book Antiqua"/>
          <w:b/>
          <w:sz w:val="22"/>
          <w:szCs w:val="22"/>
        </w:rPr>
        <w:t xml:space="preserve">. </w:t>
      </w:r>
      <w:r w:rsidR="00FE1A25" w:rsidRPr="00C6355E">
        <w:rPr>
          <w:rFonts w:ascii="Book Antiqua" w:eastAsiaTheme="majorEastAsia" w:hAnsi="Book Antiqua" w:cstheme="majorBidi"/>
          <w:b/>
          <w:bCs/>
          <w:sz w:val="22"/>
          <w:szCs w:val="22"/>
        </w:rPr>
        <w:t>Renforcer les diligences liées au</w:t>
      </w:r>
      <w:r w:rsidR="00D80EF5" w:rsidRPr="00C6355E">
        <w:rPr>
          <w:rFonts w:ascii="Book Antiqua" w:eastAsiaTheme="majorEastAsia" w:hAnsi="Book Antiqua" w:cstheme="majorBidi"/>
          <w:b/>
          <w:bCs/>
          <w:sz w:val="22"/>
          <w:szCs w:val="22"/>
        </w:rPr>
        <w:t xml:space="preserve"> traitement et au suivi des réclamations de la clientèle </w:t>
      </w:r>
    </w:p>
    <w:p w:rsidR="00117D8B" w:rsidRPr="00E86AD0" w:rsidRDefault="00117D8B" w:rsidP="00C01C11">
      <w:pPr>
        <w:pStyle w:val="NormalWeb"/>
        <w:shd w:val="clear" w:color="auto" w:fill="FFFFFF"/>
        <w:spacing w:before="240" w:beforeAutospacing="0" w:after="240" w:afterAutospacing="0" w:line="276" w:lineRule="auto"/>
        <w:jc w:val="both"/>
        <w:rPr>
          <w:rFonts w:ascii="Book Antiqua" w:hAnsi="Book Antiqua"/>
          <w:sz w:val="22"/>
          <w:szCs w:val="22"/>
        </w:rPr>
      </w:pPr>
      <w:r w:rsidRPr="00E86AD0">
        <w:rPr>
          <w:rFonts w:ascii="Book Antiqua" w:eastAsiaTheme="minorEastAsia" w:hAnsi="Book Antiqua"/>
          <w:sz w:val="22"/>
          <w:szCs w:val="22"/>
        </w:rPr>
        <w:t>L</w:t>
      </w:r>
      <w:r w:rsidR="00220108" w:rsidRPr="00E86AD0">
        <w:rPr>
          <w:rFonts w:ascii="Book Antiqua" w:eastAsiaTheme="minorEastAsia" w:hAnsi="Book Antiqua"/>
          <w:sz w:val="22"/>
          <w:szCs w:val="22"/>
        </w:rPr>
        <w:t>’exploitation des statistiques de l’ESUB</w:t>
      </w:r>
      <w:r w:rsidR="006C2D2A" w:rsidRPr="00E86AD0">
        <w:rPr>
          <w:rFonts w:ascii="Book Antiqua" w:eastAsiaTheme="minorEastAsia" w:hAnsi="Book Antiqua"/>
          <w:sz w:val="22"/>
          <w:szCs w:val="22"/>
        </w:rPr>
        <w:t xml:space="preserve"> laisse </w:t>
      </w:r>
      <w:r w:rsidR="00220108" w:rsidRPr="00E86AD0">
        <w:rPr>
          <w:rFonts w:ascii="Book Antiqua" w:eastAsiaTheme="minorEastAsia" w:hAnsi="Book Antiqua"/>
          <w:sz w:val="22"/>
          <w:szCs w:val="22"/>
        </w:rPr>
        <w:t>apparaitre un sentiment</w:t>
      </w:r>
      <w:r w:rsidR="006C2D2A" w:rsidRPr="00E86AD0">
        <w:rPr>
          <w:rFonts w:ascii="Book Antiqua" w:eastAsiaTheme="minorEastAsia" w:hAnsi="Book Antiqua"/>
          <w:sz w:val="22"/>
          <w:szCs w:val="22"/>
        </w:rPr>
        <w:t xml:space="preserve"> d’insatisfaction chez les enquêtés dont plus de la moitié (55,4%) déplore de la qualité du suivi de leurs requête</w:t>
      </w:r>
      <w:r w:rsidR="00220108" w:rsidRPr="00E86AD0">
        <w:rPr>
          <w:rFonts w:ascii="Book Antiqua" w:eastAsiaTheme="minorEastAsia" w:hAnsi="Book Antiqua"/>
          <w:sz w:val="22"/>
          <w:szCs w:val="22"/>
        </w:rPr>
        <w:t>s</w:t>
      </w:r>
      <w:r w:rsidR="006C2D2A" w:rsidRPr="00E86AD0">
        <w:rPr>
          <w:rFonts w:ascii="Book Antiqua" w:eastAsiaTheme="minorEastAsia" w:hAnsi="Book Antiqua"/>
          <w:sz w:val="22"/>
          <w:szCs w:val="22"/>
        </w:rPr>
        <w:t xml:space="preserve">. Ce constat </w:t>
      </w:r>
      <w:r w:rsidRPr="00E86AD0">
        <w:rPr>
          <w:rFonts w:ascii="Book Antiqua" w:eastAsiaTheme="minorEastAsia" w:hAnsi="Book Antiqua"/>
          <w:sz w:val="22"/>
          <w:szCs w:val="22"/>
        </w:rPr>
        <w:t>défavorable</w:t>
      </w:r>
      <w:r w:rsidR="00220108" w:rsidRPr="00E86AD0">
        <w:rPr>
          <w:rFonts w:ascii="Book Antiqua" w:eastAsiaTheme="minorEastAsia" w:hAnsi="Book Antiqua"/>
          <w:sz w:val="22"/>
          <w:szCs w:val="22"/>
        </w:rPr>
        <w:t xml:space="preserve"> rend impératif</w:t>
      </w:r>
      <w:r w:rsidR="00C6355E" w:rsidRPr="00E86AD0">
        <w:rPr>
          <w:rFonts w:ascii="Book Antiqua" w:eastAsiaTheme="minorEastAsia" w:hAnsi="Book Antiqua"/>
          <w:sz w:val="22"/>
          <w:szCs w:val="22"/>
        </w:rPr>
        <w:t xml:space="preserve"> </w:t>
      </w:r>
      <w:r w:rsidR="00220108" w:rsidRPr="00E86AD0">
        <w:rPr>
          <w:rFonts w:ascii="Book Antiqua" w:eastAsiaTheme="minorEastAsia" w:hAnsi="Book Antiqua"/>
          <w:sz w:val="22"/>
          <w:szCs w:val="22"/>
        </w:rPr>
        <w:t>l’adoption des mesures ci-après :</w:t>
      </w:r>
    </w:p>
    <w:p w:rsidR="006C2D2A" w:rsidRPr="004A7125" w:rsidRDefault="00220108" w:rsidP="00997034">
      <w:pPr>
        <w:pStyle w:val="Paragraphedeliste"/>
        <w:numPr>
          <w:ilvl w:val="0"/>
          <w:numId w:val="49"/>
        </w:numPr>
        <w:spacing w:before="120" w:after="120" w:line="276" w:lineRule="auto"/>
        <w:ind w:left="568" w:hanging="284"/>
        <w:contextualSpacing w:val="0"/>
        <w:jc w:val="both"/>
        <w:rPr>
          <w:rFonts w:ascii="Book Antiqua" w:eastAsiaTheme="minorEastAsia" w:hAnsi="Book Antiqua"/>
          <w:sz w:val="22"/>
          <w:szCs w:val="22"/>
        </w:rPr>
      </w:pPr>
      <w:r>
        <w:rPr>
          <w:rFonts w:ascii="Book Antiqua" w:eastAsiaTheme="minorEastAsia" w:hAnsi="Book Antiqua"/>
          <w:sz w:val="22"/>
          <w:szCs w:val="22"/>
        </w:rPr>
        <w:t>le renforcement de la qualité des informations fournies sur les droits et obligations de la clientèle pour réduire</w:t>
      </w:r>
      <w:r w:rsidR="006C2D2A" w:rsidRPr="004A7125">
        <w:rPr>
          <w:rFonts w:ascii="Book Antiqua" w:eastAsiaTheme="minorEastAsia" w:hAnsi="Book Antiqua"/>
          <w:sz w:val="22"/>
          <w:szCs w:val="22"/>
        </w:rPr>
        <w:t xml:space="preserve"> la récurrence des récriminations ;</w:t>
      </w:r>
    </w:p>
    <w:p w:rsidR="006C2D2A" w:rsidRPr="00620831" w:rsidRDefault="006C2D2A" w:rsidP="00997034">
      <w:pPr>
        <w:pStyle w:val="Paragraphedeliste"/>
        <w:numPr>
          <w:ilvl w:val="0"/>
          <w:numId w:val="49"/>
        </w:numPr>
        <w:spacing w:before="120" w:after="120" w:line="276" w:lineRule="auto"/>
        <w:ind w:left="568" w:hanging="284"/>
        <w:contextualSpacing w:val="0"/>
        <w:jc w:val="both"/>
        <w:rPr>
          <w:rFonts w:ascii="Book Antiqua" w:hAnsi="Book Antiqua"/>
          <w:b/>
          <w:sz w:val="22"/>
          <w:szCs w:val="22"/>
        </w:rPr>
      </w:pPr>
      <w:r w:rsidRPr="004A7125">
        <w:rPr>
          <w:rFonts w:ascii="Book Antiqua" w:eastAsiaTheme="minorEastAsia" w:hAnsi="Book Antiqua"/>
          <w:sz w:val="22"/>
          <w:szCs w:val="22"/>
        </w:rPr>
        <w:t>la mise en place généralisée d’un dispositif de suivi</w:t>
      </w:r>
      <w:r w:rsidR="00620831">
        <w:rPr>
          <w:rFonts w:ascii="Book Antiqua" w:eastAsiaTheme="minorEastAsia" w:hAnsi="Book Antiqua"/>
          <w:sz w:val="22"/>
          <w:szCs w:val="22"/>
        </w:rPr>
        <w:t xml:space="preserve"> des réclamations</w:t>
      </w:r>
      <w:r w:rsidRPr="004A7125">
        <w:rPr>
          <w:rFonts w:ascii="Book Antiqua" w:eastAsiaTheme="minorEastAsia" w:hAnsi="Book Antiqua"/>
          <w:sz w:val="22"/>
          <w:szCs w:val="22"/>
        </w:rPr>
        <w:t xml:space="preserve"> pour accroitre l’efficacité du traitement</w:t>
      </w:r>
      <w:r w:rsidR="00620831">
        <w:rPr>
          <w:rFonts w:ascii="Book Antiqua" w:eastAsiaTheme="minorEastAsia" w:hAnsi="Book Antiqua"/>
          <w:sz w:val="22"/>
          <w:szCs w:val="22"/>
        </w:rPr>
        <w:t xml:space="preserve"> en interne</w:t>
      </w:r>
      <w:r w:rsidRPr="004A7125">
        <w:rPr>
          <w:rFonts w:ascii="Book Antiqua" w:eastAsiaTheme="minorEastAsia" w:hAnsi="Book Antiqua"/>
          <w:sz w:val="22"/>
          <w:szCs w:val="22"/>
        </w:rPr>
        <w:t xml:space="preserve"> des </w:t>
      </w:r>
      <w:r w:rsidR="00620831">
        <w:rPr>
          <w:rFonts w:ascii="Book Antiqua" w:eastAsiaTheme="minorEastAsia" w:hAnsi="Book Antiqua"/>
          <w:sz w:val="22"/>
          <w:szCs w:val="22"/>
        </w:rPr>
        <w:t>plaintes de la clientèle ;</w:t>
      </w:r>
    </w:p>
    <w:p w:rsidR="00620831" w:rsidRPr="00BC4395" w:rsidRDefault="00620831" w:rsidP="00997034">
      <w:pPr>
        <w:pStyle w:val="Paragraphedeliste"/>
        <w:numPr>
          <w:ilvl w:val="0"/>
          <w:numId w:val="49"/>
        </w:numPr>
        <w:spacing w:before="120" w:after="120" w:line="276" w:lineRule="auto"/>
        <w:ind w:left="568" w:hanging="284"/>
        <w:contextualSpacing w:val="0"/>
        <w:jc w:val="both"/>
        <w:rPr>
          <w:rFonts w:ascii="Book Antiqua" w:hAnsi="Book Antiqua"/>
          <w:b/>
          <w:sz w:val="22"/>
          <w:szCs w:val="22"/>
        </w:rPr>
      </w:pPr>
      <w:r w:rsidRPr="00BC4395">
        <w:rPr>
          <w:rFonts w:ascii="Book Antiqua" w:hAnsi="Book Antiqua"/>
          <w:sz w:val="22"/>
          <w:szCs w:val="22"/>
        </w:rPr>
        <w:t>la gestion digitalisée des plaintes des clients qui apparait aujourd’hui comme un levier incontournable en raison de la forte pénétration de la téléphonie au Sénégal ;</w:t>
      </w:r>
    </w:p>
    <w:p w:rsidR="00620831" w:rsidRPr="00A031FE" w:rsidRDefault="00620831" w:rsidP="00997034">
      <w:pPr>
        <w:pStyle w:val="Paragraphedeliste"/>
        <w:numPr>
          <w:ilvl w:val="0"/>
          <w:numId w:val="49"/>
        </w:numPr>
        <w:spacing w:before="120" w:after="120" w:line="276" w:lineRule="auto"/>
        <w:ind w:left="568" w:hanging="284"/>
        <w:contextualSpacing w:val="0"/>
        <w:jc w:val="both"/>
        <w:rPr>
          <w:rFonts w:ascii="Book Antiqua" w:hAnsi="Book Antiqua"/>
          <w:b/>
          <w:sz w:val="22"/>
          <w:szCs w:val="22"/>
        </w:rPr>
      </w:pPr>
      <w:r>
        <w:rPr>
          <w:rFonts w:ascii="Book Antiqua" w:eastAsiaTheme="minorEastAsia" w:hAnsi="Book Antiqua"/>
          <w:sz w:val="22"/>
          <w:szCs w:val="22"/>
        </w:rPr>
        <w:t xml:space="preserve">l’insertion </w:t>
      </w:r>
      <w:r w:rsidRPr="004A7125">
        <w:rPr>
          <w:rFonts w:ascii="Book Antiqua" w:eastAsiaTheme="minorEastAsia" w:hAnsi="Book Antiqua"/>
          <w:sz w:val="22"/>
          <w:szCs w:val="22"/>
        </w:rPr>
        <w:t>des coordonnées du Médiateur des banques dans</w:t>
      </w:r>
      <w:r w:rsidR="00BC4395">
        <w:rPr>
          <w:rFonts w:ascii="Book Antiqua" w:eastAsiaTheme="minorEastAsia" w:hAnsi="Book Antiqua"/>
          <w:sz w:val="22"/>
          <w:szCs w:val="22"/>
        </w:rPr>
        <w:t xml:space="preserve"> les documents contractuels et brochures d’information destinés à la clientèle sans préjudice</w:t>
      </w:r>
      <w:r w:rsidR="005D24A1">
        <w:rPr>
          <w:rFonts w:ascii="Book Antiqua" w:eastAsiaTheme="minorEastAsia" w:hAnsi="Book Antiqua"/>
          <w:sz w:val="22"/>
          <w:szCs w:val="22"/>
        </w:rPr>
        <w:t xml:space="preserve"> du recours à d’autres canaux</w:t>
      </w:r>
      <w:r w:rsidR="00E86AD0">
        <w:rPr>
          <w:rFonts w:ascii="Book Antiqua" w:eastAsiaTheme="minorEastAsia" w:hAnsi="Book Antiqua"/>
          <w:sz w:val="22"/>
          <w:szCs w:val="22"/>
        </w:rPr>
        <w:t xml:space="preserve"> </w:t>
      </w:r>
      <w:r w:rsidR="005D24A1">
        <w:rPr>
          <w:rFonts w:ascii="Book Antiqua" w:eastAsiaTheme="minorEastAsia" w:hAnsi="Book Antiqua"/>
          <w:sz w:val="22"/>
          <w:szCs w:val="22"/>
        </w:rPr>
        <w:t>de comm</w:t>
      </w:r>
      <w:r w:rsidR="008B15F7">
        <w:rPr>
          <w:rFonts w:ascii="Book Antiqua" w:eastAsiaTheme="minorEastAsia" w:hAnsi="Book Antiqua"/>
          <w:sz w:val="22"/>
          <w:szCs w:val="22"/>
        </w:rPr>
        <w:t>unication (site web des banques). Dans ce registre,</w:t>
      </w:r>
      <w:r w:rsidR="00A031FE" w:rsidRPr="0080577B">
        <w:rPr>
          <w:rFonts w:ascii="Book Antiqua" w:eastAsiaTheme="minorEastAsia" w:hAnsi="Book Antiqua"/>
          <w:sz w:val="22"/>
          <w:szCs w:val="22"/>
        </w:rPr>
        <w:t xml:space="preserve"> l’exemple de la France pourrait être mis à profit. Dans ce pays, ce sont les banques qui ont décidé d’insérer les coordonnées du Médiateur dans les conventions de compte systématiqu</w:t>
      </w:r>
      <w:r w:rsidR="003E73CF">
        <w:rPr>
          <w:rFonts w:ascii="Book Antiqua" w:eastAsiaTheme="minorEastAsia" w:hAnsi="Book Antiqua"/>
          <w:sz w:val="22"/>
          <w:szCs w:val="22"/>
        </w:rPr>
        <w:t>ement délivrées à la clientèle ;</w:t>
      </w:r>
    </w:p>
    <w:p w:rsidR="005D24A1" w:rsidRPr="0080577B" w:rsidRDefault="005D24A1" w:rsidP="00997034">
      <w:pPr>
        <w:pStyle w:val="Paragraphedeliste"/>
        <w:numPr>
          <w:ilvl w:val="0"/>
          <w:numId w:val="49"/>
        </w:numPr>
        <w:spacing w:before="120" w:after="120" w:line="276" w:lineRule="auto"/>
        <w:ind w:left="568" w:hanging="284"/>
        <w:contextualSpacing w:val="0"/>
        <w:jc w:val="both"/>
        <w:rPr>
          <w:rFonts w:ascii="Book Antiqua" w:hAnsi="Book Antiqua"/>
          <w:sz w:val="22"/>
          <w:szCs w:val="22"/>
        </w:rPr>
      </w:pPr>
      <w:r w:rsidRPr="0080577B">
        <w:rPr>
          <w:rFonts w:ascii="Book Antiqua" w:hAnsi="Book Antiqua"/>
          <w:sz w:val="22"/>
          <w:szCs w:val="22"/>
        </w:rPr>
        <w:t>le renforcement de la collaboration avec les banques</w:t>
      </w:r>
      <w:r w:rsidR="003E73CF">
        <w:rPr>
          <w:rFonts w:ascii="Book Antiqua" w:hAnsi="Book Antiqua"/>
          <w:sz w:val="22"/>
          <w:szCs w:val="22"/>
        </w:rPr>
        <w:t xml:space="preserve"> élargie à l’APBEF</w:t>
      </w:r>
      <w:r w:rsidRPr="0080577B">
        <w:rPr>
          <w:rFonts w:ascii="Book Antiqua" w:hAnsi="Book Antiqua"/>
          <w:sz w:val="22"/>
          <w:szCs w:val="22"/>
        </w:rPr>
        <w:t xml:space="preserve"> à </w:t>
      </w:r>
      <w:r w:rsidR="00620831" w:rsidRPr="0080577B">
        <w:rPr>
          <w:rFonts w:ascii="Book Antiqua" w:hAnsi="Book Antiqua"/>
          <w:sz w:val="22"/>
          <w:szCs w:val="22"/>
        </w:rPr>
        <w:t>travers l’organisation</w:t>
      </w:r>
      <w:r w:rsidR="003E73CF">
        <w:rPr>
          <w:rFonts w:ascii="Book Antiqua" w:hAnsi="Book Antiqua"/>
          <w:sz w:val="22"/>
          <w:szCs w:val="22"/>
        </w:rPr>
        <w:t xml:space="preserve"> conjointe</w:t>
      </w:r>
      <w:r w:rsidR="00620831" w:rsidRPr="0080577B">
        <w:rPr>
          <w:rFonts w:ascii="Book Antiqua" w:hAnsi="Book Antiqua"/>
          <w:sz w:val="22"/>
          <w:szCs w:val="22"/>
        </w:rPr>
        <w:t xml:space="preserve"> de réunions publiques d’information et de sensibilis</w:t>
      </w:r>
      <w:r w:rsidR="008B15F7">
        <w:rPr>
          <w:rFonts w:ascii="Book Antiqua" w:hAnsi="Book Antiqua"/>
          <w:sz w:val="22"/>
          <w:szCs w:val="22"/>
        </w:rPr>
        <w:t>ation sur d</w:t>
      </w:r>
      <w:r w:rsidRPr="0080577B">
        <w:rPr>
          <w:rFonts w:ascii="Book Antiqua" w:hAnsi="Book Antiqua"/>
          <w:sz w:val="22"/>
          <w:szCs w:val="22"/>
        </w:rPr>
        <w:t>es thématiques prégnantes ressortant du traitement des réclamations de la clientèle ;</w:t>
      </w:r>
    </w:p>
    <w:p w:rsidR="00620831" w:rsidRPr="0080577B" w:rsidRDefault="005D24A1" w:rsidP="00997034">
      <w:pPr>
        <w:pStyle w:val="Paragraphedeliste"/>
        <w:numPr>
          <w:ilvl w:val="0"/>
          <w:numId w:val="49"/>
        </w:numPr>
        <w:spacing w:before="120" w:after="120" w:line="276" w:lineRule="auto"/>
        <w:ind w:left="568" w:hanging="284"/>
        <w:contextualSpacing w:val="0"/>
        <w:jc w:val="both"/>
        <w:rPr>
          <w:rFonts w:ascii="Book Antiqua" w:hAnsi="Book Antiqua"/>
          <w:sz w:val="22"/>
          <w:szCs w:val="22"/>
        </w:rPr>
      </w:pPr>
      <w:r w:rsidRPr="0080577B">
        <w:rPr>
          <w:rFonts w:ascii="Book Antiqua" w:hAnsi="Book Antiqua"/>
          <w:sz w:val="22"/>
          <w:szCs w:val="22"/>
        </w:rPr>
        <w:t xml:space="preserve">le renforcement des actions de communication de masse à travers </w:t>
      </w:r>
      <w:r w:rsidR="00620831" w:rsidRPr="0080577B">
        <w:rPr>
          <w:rFonts w:ascii="Book Antiqua" w:hAnsi="Book Antiqua"/>
          <w:sz w:val="22"/>
          <w:szCs w:val="22"/>
        </w:rPr>
        <w:t xml:space="preserve">l’affichage de panneaux </w:t>
      </w:r>
      <w:r w:rsidR="00117D8B">
        <w:rPr>
          <w:rFonts w:ascii="Book Antiqua" w:hAnsi="Book Antiqua"/>
          <w:sz w:val="22"/>
          <w:szCs w:val="22"/>
        </w:rPr>
        <w:t xml:space="preserve">mentionnant </w:t>
      </w:r>
      <w:r w:rsidRPr="0080577B">
        <w:rPr>
          <w:rFonts w:ascii="Book Antiqua" w:hAnsi="Book Antiqua"/>
          <w:sz w:val="22"/>
          <w:szCs w:val="22"/>
        </w:rPr>
        <w:t>les voies de recours offertes à la clientèle</w:t>
      </w:r>
      <w:r w:rsidR="00A031FE">
        <w:rPr>
          <w:rFonts w:ascii="Book Antiqua" w:hAnsi="Book Antiqua"/>
          <w:sz w:val="22"/>
          <w:szCs w:val="22"/>
        </w:rPr>
        <w:t xml:space="preserve"> selon des formats à définir</w:t>
      </w:r>
      <w:r w:rsidRPr="0080577B">
        <w:rPr>
          <w:rFonts w:ascii="Book Antiqua" w:hAnsi="Book Antiqua"/>
          <w:sz w:val="22"/>
          <w:szCs w:val="22"/>
        </w:rPr>
        <w:t xml:space="preserve"> ; </w:t>
      </w:r>
    </w:p>
    <w:p w:rsidR="006C2D2A" w:rsidRPr="0080577B" w:rsidRDefault="003E73CF" w:rsidP="00997034">
      <w:pPr>
        <w:pStyle w:val="Paragraphedeliste"/>
        <w:numPr>
          <w:ilvl w:val="0"/>
          <w:numId w:val="49"/>
        </w:numPr>
        <w:spacing w:before="120" w:after="120" w:line="276" w:lineRule="auto"/>
        <w:ind w:left="568" w:hanging="284"/>
        <w:contextualSpacing w:val="0"/>
        <w:jc w:val="both"/>
        <w:rPr>
          <w:rFonts w:ascii="Book Antiqua" w:hAnsi="Book Antiqua"/>
          <w:b/>
          <w:sz w:val="22"/>
          <w:szCs w:val="22"/>
        </w:rPr>
      </w:pPr>
      <w:r>
        <w:rPr>
          <w:rFonts w:ascii="Book Antiqua" w:eastAsiaTheme="minorEastAsia" w:hAnsi="Book Antiqua"/>
          <w:sz w:val="22"/>
          <w:szCs w:val="22"/>
        </w:rPr>
        <w:lastRenderedPageBreak/>
        <w:t>l</w:t>
      </w:r>
      <w:r w:rsidR="008B15F7">
        <w:rPr>
          <w:rFonts w:ascii="Book Antiqua" w:eastAsiaTheme="minorEastAsia" w:hAnsi="Book Antiqua"/>
          <w:sz w:val="22"/>
          <w:szCs w:val="22"/>
        </w:rPr>
        <w:t xml:space="preserve">a  sensibilisation de la </w:t>
      </w:r>
      <w:r w:rsidR="006C2D2A" w:rsidRPr="0080577B">
        <w:rPr>
          <w:rFonts w:ascii="Book Antiqua" w:eastAsiaTheme="minorEastAsia" w:hAnsi="Book Antiqua"/>
          <w:sz w:val="22"/>
          <w:szCs w:val="22"/>
        </w:rPr>
        <w:t>clien</w:t>
      </w:r>
      <w:r w:rsidR="008B15F7">
        <w:rPr>
          <w:rFonts w:ascii="Book Antiqua" w:eastAsiaTheme="minorEastAsia" w:hAnsi="Book Antiqua"/>
          <w:sz w:val="22"/>
          <w:szCs w:val="22"/>
        </w:rPr>
        <w:t>tèle</w:t>
      </w:r>
      <w:r>
        <w:rPr>
          <w:rFonts w:ascii="Book Antiqua" w:eastAsiaTheme="minorEastAsia" w:hAnsi="Book Antiqua"/>
          <w:sz w:val="22"/>
          <w:szCs w:val="22"/>
        </w:rPr>
        <w:t xml:space="preserve"> et des opérateurs bancaires</w:t>
      </w:r>
      <w:r w:rsidR="008B15F7">
        <w:rPr>
          <w:rFonts w:ascii="Book Antiqua" w:eastAsiaTheme="minorEastAsia" w:hAnsi="Book Antiqua"/>
          <w:sz w:val="22"/>
          <w:szCs w:val="22"/>
        </w:rPr>
        <w:t xml:space="preserve"> sur la possibilité qui l</w:t>
      </w:r>
      <w:r>
        <w:rPr>
          <w:rFonts w:ascii="Book Antiqua" w:eastAsiaTheme="minorEastAsia" w:hAnsi="Book Antiqua"/>
          <w:sz w:val="22"/>
          <w:szCs w:val="22"/>
        </w:rPr>
        <w:t>eur est offerte</w:t>
      </w:r>
      <w:r w:rsidR="006C2D2A" w:rsidRPr="0080577B">
        <w:rPr>
          <w:rFonts w:ascii="Book Antiqua" w:eastAsiaTheme="minorEastAsia" w:hAnsi="Book Antiqua"/>
          <w:sz w:val="22"/>
          <w:szCs w:val="22"/>
        </w:rPr>
        <w:t xml:space="preserve"> de recourir désormais à la médiation de </w:t>
      </w:r>
      <w:r>
        <w:rPr>
          <w:rFonts w:ascii="Book Antiqua" w:eastAsiaTheme="minorEastAsia" w:hAnsi="Book Antiqua"/>
          <w:sz w:val="22"/>
          <w:szCs w:val="22"/>
        </w:rPr>
        <w:t>l’OQSF dans le cadre du traitement des contentieux économiques à caractère financier</w:t>
      </w:r>
      <w:r w:rsidR="00117D8B">
        <w:rPr>
          <w:rFonts w:ascii="Book Antiqua" w:eastAsiaTheme="minorEastAsia" w:hAnsi="Book Antiqua"/>
          <w:sz w:val="22"/>
          <w:szCs w:val="22"/>
        </w:rPr>
        <w:t xml:space="preserve"> sous habilitation judiciaire</w:t>
      </w:r>
      <w:r>
        <w:rPr>
          <w:rFonts w:ascii="Book Antiqua" w:eastAsiaTheme="minorEastAsia" w:hAnsi="Book Antiqua"/>
          <w:sz w:val="22"/>
          <w:szCs w:val="22"/>
        </w:rPr>
        <w:t>.</w:t>
      </w:r>
    </w:p>
    <w:p w:rsidR="004A7125" w:rsidRPr="00D05F5A" w:rsidRDefault="00A233EA" w:rsidP="00C01C11">
      <w:pPr>
        <w:spacing w:before="240" w:after="240" w:line="276" w:lineRule="auto"/>
        <w:jc w:val="both"/>
        <w:rPr>
          <w:rFonts w:ascii="Book Antiqua" w:eastAsiaTheme="majorEastAsia" w:hAnsi="Book Antiqua" w:cstheme="majorBidi"/>
          <w:bCs/>
          <w:sz w:val="22"/>
          <w:szCs w:val="22"/>
        </w:rPr>
      </w:pPr>
      <w:r w:rsidRPr="00D05F5A">
        <w:rPr>
          <w:rFonts w:ascii="Book Antiqua" w:eastAsiaTheme="majorEastAsia" w:hAnsi="Book Antiqua" w:cstheme="majorBidi"/>
          <w:b/>
          <w:bCs/>
          <w:sz w:val="22"/>
          <w:szCs w:val="22"/>
        </w:rPr>
        <w:t>R</w:t>
      </w:r>
      <w:r w:rsidR="00C6355E">
        <w:rPr>
          <w:rFonts w:ascii="Book Antiqua" w:eastAsiaTheme="majorEastAsia" w:hAnsi="Book Antiqua" w:cstheme="majorBidi"/>
          <w:b/>
          <w:bCs/>
          <w:sz w:val="22"/>
          <w:szCs w:val="22"/>
        </w:rPr>
        <w:t>.12</w:t>
      </w:r>
      <w:r w:rsidRPr="00D05F5A">
        <w:rPr>
          <w:rFonts w:ascii="Book Antiqua" w:eastAsiaTheme="majorEastAsia" w:hAnsi="Book Antiqua" w:cstheme="majorBidi"/>
          <w:b/>
          <w:bCs/>
          <w:sz w:val="22"/>
          <w:szCs w:val="22"/>
        </w:rPr>
        <w:t xml:space="preserve">. </w:t>
      </w:r>
      <w:r w:rsidR="00D80EF5" w:rsidRPr="00D05F5A">
        <w:rPr>
          <w:rFonts w:ascii="Book Antiqua" w:eastAsiaTheme="majorEastAsia" w:hAnsi="Book Antiqua" w:cstheme="majorBidi"/>
          <w:b/>
          <w:bCs/>
          <w:sz w:val="22"/>
          <w:szCs w:val="22"/>
        </w:rPr>
        <w:t>Accroitre l</w:t>
      </w:r>
      <w:r w:rsidR="00714198" w:rsidRPr="00D05F5A">
        <w:rPr>
          <w:rFonts w:ascii="Book Antiqua" w:eastAsiaTheme="majorEastAsia" w:hAnsi="Book Antiqua" w:cstheme="majorBidi"/>
          <w:b/>
          <w:bCs/>
          <w:sz w:val="22"/>
          <w:szCs w:val="22"/>
        </w:rPr>
        <w:t xml:space="preserve">a qualité du </w:t>
      </w:r>
      <w:r w:rsidR="00D80EF5" w:rsidRPr="00D05F5A">
        <w:rPr>
          <w:rFonts w:ascii="Book Antiqua" w:eastAsiaTheme="majorEastAsia" w:hAnsi="Book Antiqua" w:cstheme="majorBidi"/>
          <w:b/>
          <w:bCs/>
          <w:sz w:val="22"/>
          <w:szCs w:val="22"/>
        </w:rPr>
        <w:t>suivi personnalisé de la clientèle</w:t>
      </w:r>
      <w:r w:rsidR="004A7125" w:rsidRPr="00D05F5A">
        <w:rPr>
          <w:rFonts w:ascii="Book Antiqua" w:eastAsiaTheme="majorEastAsia" w:hAnsi="Book Antiqua" w:cstheme="majorBidi"/>
          <w:bCs/>
          <w:sz w:val="22"/>
          <w:szCs w:val="22"/>
        </w:rPr>
        <w:t> </w:t>
      </w:r>
    </w:p>
    <w:p w:rsidR="00CC3648" w:rsidRDefault="00C21945" w:rsidP="00C01C11">
      <w:pPr>
        <w:spacing w:before="240" w:after="240" w:line="276" w:lineRule="auto"/>
        <w:jc w:val="both"/>
        <w:rPr>
          <w:rFonts w:ascii="Book Antiqua" w:eastAsiaTheme="minorEastAsia" w:hAnsi="Book Antiqua"/>
          <w:sz w:val="22"/>
          <w:szCs w:val="22"/>
        </w:rPr>
      </w:pPr>
      <w:r>
        <w:rPr>
          <w:rFonts w:ascii="Book Antiqua" w:eastAsiaTheme="majorEastAsia" w:hAnsi="Book Antiqua" w:cstheme="majorBidi"/>
          <w:bCs/>
          <w:sz w:val="22"/>
          <w:szCs w:val="22"/>
        </w:rPr>
        <w:t>Une</w:t>
      </w:r>
      <w:r w:rsidR="00463ABD" w:rsidRPr="00D05F5A">
        <w:rPr>
          <w:rFonts w:ascii="Book Antiqua" w:eastAsiaTheme="majorEastAsia" w:hAnsi="Book Antiqua" w:cstheme="majorBidi"/>
          <w:bCs/>
          <w:sz w:val="22"/>
          <w:szCs w:val="22"/>
        </w:rPr>
        <w:t xml:space="preserve"> proportion</w:t>
      </w:r>
      <w:r>
        <w:rPr>
          <w:rFonts w:ascii="Book Antiqua" w:eastAsiaTheme="majorEastAsia" w:hAnsi="Book Antiqua" w:cstheme="majorBidi"/>
          <w:bCs/>
          <w:sz w:val="22"/>
          <w:szCs w:val="22"/>
        </w:rPr>
        <w:t xml:space="preserve"> de 63,3%</w:t>
      </w:r>
      <w:r w:rsidR="00463ABD" w:rsidRPr="00D05F5A">
        <w:rPr>
          <w:rFonts w:ascii="Book Antiqua" w:eastAsiaTheme="majorEastAsia" w:hAnsi="Book Antiqua" w:cstheme="majorBidi"/>
          <w:bCs/>
          <w:sz w:val="22"/>
          <w:szCs w:val="22"/>
        </w:rPr>
        <w:t xml:space="preserve"> des clients déplore la mauvaise qualité du suivi personnalisé</w:t>
      </w:r>
      <w:r>
        <w:rPr>
          <w:rFonts w:ascii="Book Antiqua" w:eastAsiaTheme="majorEastAsia" w:hAnsi="Book Antiqua" w:cstheme="majorBidi"/>
          <w:bCs/>
          <w:sz w:val="22"/>
          <w:szCs w:val="22"/>
        </w:rPr>
        <w:t xml:space="preserve">. </w:t>
      </w:r>
      <w:r w:rsidRPr="00D05F5A">
        <w:rPr>
          <w:rFonts w:ascii="Book Antiqua" w:eastAsiaTheme="majorEastAsia" w:hAnsi="Book Antiqua" w:cstheme="majorBidi"/>
          <w:bCs/>
          <w:sz w:val="22"/>
          <w:szCs w:val="22"/>
        </w:rPr>
        <w:t>Par ailleurs,</w:t>
      </w:r>
      <w:r w:rsidR="00C6355E">
        <w:rPr>
          <w:rFonts w:ascii="Book Antiqua" w:eastAsiaTheme="majorEastAsia" w:hAnsi="Book Antiqua" w:cstheme="majorBidi"/>
          <w:bCs/>
          <w:sz w:val="22"/>
          <w:szCs w:val="22"/>
        </w:rPr>
        <w:t xml:space="preserve"> </w:t>
      </w:r>
      <w:r w:rsidRPr="00D05F5A">
        <w:rPr>
          <w:rFonts w:ascii="Book Antiqua" w:eastAsiaTheme="majorEastAsia" w:hAnsi="Book Antiqua" w:cstheme="majorBidi"/>
          <w:bCs/>
          <w:sz w:val="22"/>
          <w:szCs w:val="22"/>
        </w:rPr>
        <w:t xml:space="preserve">il ressort de l’appréciation des opinions des enquêtés sur la qualité de la gestion du compte </w:t>
      </w:r>
      <w:r>
        <w:rPr>
          <w:rFonts w:ascii="Book Antiqua" w:eastAsiaTheme="majorEastAsia" w:hAnsi="Book Antiqua" w:cstheme="majorBidi"/>
          <w:bCs/>
          <w:sz w:val="22"/>
          <w:szCs w:val="22"/>
        </w:rPr>
        <w:t xml:space="preserve">que </w:t>
      </w:r>
      <w:r w:rsidRPr="00D05F5A">
        <w:rPr>
          <w:rFonts w:ascii="Book Antiqua" w:eastAsiaTheme="minorEastAsia" w:hAnsi="Book Antiqua"/>
          <w:sz w:val="22"/>
          <w:szCs w:val="22"/>
        </w:rPr>
        <w:t xml:space="preserve">43,5% </w:t>
      </w:r>
      <w:r>
        <w:rPr>
          <w:rFonts w:ascii="Book Antiqua" w:eastAsiaTheme="minorEastAsia" w:hAnsi="Book Antiqua"/>
          <w:sz w:val="22"/>
          <w:szCs w:val="22"/>
        </w:rPr>
        <w:t xml:space="preserve">ne sont pas satisfaits de celle-ci. </w:t>
      </w:r>
    </w:p>
    <w:p w:rsidR="00CC3648" w:rsidRDefault="00C21945" w:rsidP="00C01C11">
      <w:pPr>
        <w:spacing w:before="240" w:after="240" w:line="276" w:lineRule="auto"/>
        <w:jc w:val="both"/>
        <w:rPr>
          <w:rFonts w:ascii="Book Antiqua" w:eastAsiaTheme="majorEastAsia" w:hAnsi="Book Antiqua" w:cstheme="majorBidi"/>
          <w:bCs/>
          <w:sz w:val="22"/>
          <w:szCs w:val="22"/>
        </w:rPr>
      </w:pPr>
      <w:r>
        <w:rPr>
          <w:rFonts w:ascii="Book Antiqua" w:eastAsiaTheme="minorEastAsia" w:hAnsi="Book Antiqua"/>
          <w:sz w:val="22"/>
          <w:szCs w:val="22"/>
        </w:rPr>
        <w:t xml:space="preserve">Ces résultats </w:t>
      </w:r>
      <w:r w:rsidR="00CC3648">
        <w:rPr>
          <w:rFonts w:ascii="Book Antiqua" w:eastAsiaTheme="minorEastAsia" w:hAnsi="Book Antiqua"/>
          <w:sz w:val="22"/>
          <w:szCs w:val="22"/>
        </w:rPr>
        <w:t>pourraient dans une certaine mesure traduire la nécessité pour les banques</w:t>
      </w:r>
      <w:r w:rsidR="00297144">
        <w:rPr>
          <w:rFonts w:ascii="Book Antiqua" w:eastAsiaTheme="minorEastAsia" w:hAnsi="Book Antiqua"/>
          <w:sz w:val="22"/>
          <w:szCs w:val="22"/>
        </w:rPr>
        <w:t xml:space="preserve"> </w:t>
      </w:r>
      <w:r w:rsidR="00CC3648">
        <w:rPr>
          <w:rFonts w:ascii="Book Antiqua" w:eastAsiaTheme="majorEastAsia" w:hAnsi="Book Antiqua" w:cstheme="majorBidi"/>
          <w:bCs/>
          <w:sz w:val="22"/>
          <w:szCs w:val="22"/>
        </w:rPr>
        <w:t>de l’amélioration de la qualité du</w:t>
      </w:r>
      <w:r w:rsidRPr="00D05F5A">
        <w:rPr>
          <w:rFonts w:ascii="Book Antiqua" w:eastAsiaTheme="majorEastAsia" w:hAnsi="Book Antiqua" w:cstheme="majorBidi"/>
          <w:bCs/>
          <w:sz w:val="22"/>
          <w:szCs w:val="22"/>
        </w:rPr>
        <w:t xml:space="preserve"> suivi </w:t>
      </w:r>
      <w:r w:rsidR="00CC3648">
        <w:rPr>
          <w:rFonts w:ascii="Book Antiqua" w:eastAsiaTheme="majorEastAsia" w:hAnsi="Book Antiqua" w:cstheme="majorBidi"/>
          <w:bCs/>
          <w:sz w:val="22"/>
          <w:szCs w:val="22"/>
        </w:rPr>
        <w:t xml:space="preserve">de la clientèle. A cet égard, il serait souhaitable de rendre opérationnelles les actions ci-après : </w:t>
      </w:r>
    </w:p>
    <w:p w:rsidR="00C21945" w:rsidRPr="000F780F" w:rsidRDefault="00CC3648" w:rsidP="00997034">
      <w:pPr>
        <w:pStyle w:val="Paragraphedeliste"/>
        <w:numPr>
          <w:ilvl w:val="0"/>
          <w:numId w:val="59"/>
        </w:numPr>
        <w:spacing w:before="120" w:after="120" w:line="276" w:lineRule="auto"/>
        <w:ind w:left="568" w:hanging="284"/>
        <w:contextualSpacing w:val="0"/>
        <w:jc w:val="both"/>
        <w:rPr>
          <w:rFonts w:ascii="Book Antiqua" w:eastAsiaTheme="majorEastAsia" w:hAnsi="Book Antiqua" w:cstheme="majorBidi"/>
          <w:bCs/>
          <w:sz w:val="22"/>
          <w:szCs w:val="22"/>
        </w:rPr>
      </w:pPr>
      <w:r w:rsidRPr="000F780F">
        <w:rPr>
          <w:rFonts w:ascii="Book Antiqua" w:eastAsiaTheme="majorEastAsia" w:hAnsi="Book Antiqua" w:cstheme="majorBidi"/>
          <w:bCs/>
          <w:sz w:val="22"/>
          <w:szCs w:val="22"/>
        </w:rPr>
        <w:t xml:space="preserve">la diversification </w:t>
      </w:r>
      <w:r w:rsidR="00C21945" w:rsidRPr="000F780F">
        <w:rPr>
          <w:rFonts w:ascii="Book Antiqua" w:eastAsiaTheme="majorEastAsia" w:hAnsi="Book Antiqua" w:cstheme="majorBidi"/>
          <w:bCs/>
          <w:sz w:val="22"/>
          <w:szCs w:val="22"/>
        </w:rPr>
        <w:t xml:space="preserve">des canaux </w:t>
      </w:r>
      <w:r w:rsidRPr="000F780F">
        <w:rPr>
          <w:rFonts w:ascii="Book Antiqua" w:eastAsiaTheme="majorEastAsia" w:hAnsi="Book Antiqua" w:cstheme="majorBidi"/>
          <w:bCs/>
          <w:sz w:val="22"/>
          <w:szCs w:val="22"/>
        </w:rPr>
        <w:t>de communication au profit de la clientèle. Dans cette perspective, l’internet et le téléphone portable</w:t>
      </w:r>
      <w:r w:rsidR="00297144" w:rsidRPr="000F780F">
        <w:rPr>
          <w:rFonts w:ascii="Book Antiqua" w:eastAsiaTheme="majorEastAsia" w:hAnsi="Book Antiqua" w:cstheme="majorBidi"/>
          <w:bCs/>
          <w:sz w:val="22"/>
          <w:szCs w:val="22"/>
        </w:rPr>
        <w:t xml:space="preserve"> </w:t>
      </w:r>
      <w:r w:rsidRPr="000F780F">
        <w:rPr>
          <w:rFonts w:ascii="Book Antiqua" w:eastAsiaTheme="majorEastAsia" w:hAnsi="Book Antiqua" w:cstheme="majorBidi"/>
          <w:bCs/>
          <w:sz w:val="22"/>
          <w:szCs w:val="22"/>
        </w:rPr>
        <w:t>pourraient</w:t>
      </w:r>
      <w:r w:rsidR="00297144" w:rsidRPr="000F780F">
        <w:rPr>
          <w:rFonts w:ascii="Book Antiqua" w:eastAsiaTheme="majorEastAsia" w:hAnsi="Book Antiqua" w:cstheme="majorBidi"/>
          <w:bCs/>
          <w:sz w:val="22"/>
          <w:szCs w:val="22"/>
        </w:rPr>
        <w:t xml:space="preserve"> </w:t>
      </w:r>
      <w:r w:rsidR="00874D47" w:rsidRPr="000F780F">
        <w:rPr>
          <w:rFonts w:ascii="Book Antiqua" w:eastAsiaTheme="majorEastAsia" w:hAnsi="Book Antiqua" w:cstheme="majorBidi"/>
          <w:bCs/>
          <w:sz w:val="22"/>
          <w:szCs w:val="22"/>
        </w:rPr>
        <w:t xml:space="preserve">permettre </w:t>
      </w:r>
      <w:r w:rsidR="00C21945" w:rsidRPr="000F780F">
        <w:rPr>
          <w:rFonts w:ascii="Book Antiqua" w:eastAsiaTheme="majorEastAsia" w:hAnsi="Book Antiqua" w:cstheme="majorBidi"/>
          <w:bCs/>
          <w:sz w:val="22"/>
          <w:szCs w:val="22"/>
        </w:rPr>
        <w:t>d’accroitre</w:t>
      </w:r>
      <w:r w:rsidR="00874D47" w:rsidRPr="000F780F">
        <w:rPr>
          <w:rFonts w:ascii="Book Antiqua" w:eastAsiaTheme="majorEastAsia" w:hAnsi="Book Antiqua" w:cstheme="majorBidi"/>
          <w:bCs/>
          <w:sz w:val="22"/>
          <w:szCs w:val="22"/>
        </w:rPr>
        <w:t xml:space="preserve"> de façon significative</w:t>
      </w:r>
      <w:r w:rsidR="00C21945" w:rsidRPr="000F780F">
        <w:rPr>
          <w:rFonts w:ascii="Book Antiqua" w:eastAsiaTheme="majorEastAsia" w:hAnsi="Book Antiqua" w:cstheme="majorBidi"/>
          <w:bCs/>
          <w:sz w:val="22"/>
          <w:szCs w:val="22"/>
        </w:rPr>
        <w:t xml:space="preserve"> l</w:t>
      </w:r>
      <w:r w:rsidR="00874D47" w:rsidRPr="000F780F">
        <w:rPr>
          <w:rFonts w:ascii="Book Antiqua" w:eastAsiaTheme="majorEastAsia" w:hAnsi="Book Antiqua" w:cstheme="majorBidi"/>
          <w:bCs/>
          <w:sz w:val="22"/>
          <w:szCs w:val="22"/>
        </w:rPr>
        <w:t>a qualité du suivi personnalisé ;</w:t>
      </w:r>
    </w:p>
    <w:p w:rsidR="00874D47" w:rsidRPr="000F780F" w:rsidRDefault="00874D47" w:rsidP="00997034">
      <w:pPr>
        <w:pStyle w:val="Paragraphedeliste"/>
        <w:numPr>
          <w:ilvl w:val="0"/>
          <w:numId w:val="59"/>
        </w:numPr>
        <w:spacing w:before="120" w:after="120" w:line="276" w:lineRule="auto"/>
        <w:ind w:left="568" w:hanging="284"/>
        <w:contextualSpacing w:val="0"/>
        <w:jc w:val="both"/>
        <w:rPr>
          <w:rFonts w:ascii="Book Antiqua" w:eastAsiaTheme="minorEastAsia" w:hAnsi="Book Antiqua"/>
          <w:sz w:val="22"/>
          <w:szCs w:val="22"/>
        </w:rPr>
      </w:pPr>
      <w:r w:rsidRPr="000F780F">
        <w:rPr>
          <w:rFonts w:ascii="Book Antiqua" w:eastAsiaTheme="minorEastAsia" w:hAnsi="Book Antiqua"/>
          <w:sz w:val="22"/>
          <w:szCs w:val="22"/>
        </w:rPr>
        <w:t xml:space="preserve">le renforcement des capacités notamment du personnel du « front office » ; </w:t>
      </w:r>
    </w:p>
    <w:p w:rsidR="00463ABD" w:rsidRPr="000F780F" w:rsidRDefault="00874D47" w:rsidP="00997034">
      <w:pPr>
        <w:pStyle w:val="Paragraphedeliste"/>
        <w:numPr>
          <w:ilvl w:val="0"/>
          <w:numId w:val="59"/>
        </w:numPr>
        <w:spacing w:before="120" w:after="120" w:line="276" w:lineRule="auto"/>
        <w:ind w:left="568" w:hanging="284"/>
        <w:contextualSpacing w:val="0"/>
        <w:jc w:val="both"/>
        <w:rPr>
          <w:rFonts w:ascii="Book Antiqua" w:eastAsiaTheme="minorEastAsia" w:hAnsi="Book Antiqua"/>
          <w:sz w:val="22"/>
          <w:szCs w:val="22"/>
        </w:rPr>
      </w:pPr>
      <w:r w:rsidRPr="000F780F">
        <w:rPr>
          <w:rFonts w:ascii="Book Antiqua" w:eastAsiaTheme="minorEastAsia" w:hAnsi="Book Antiqua"/>
          <w:sz w:val="22"/>
          <w:szCs w:val="22"/>
        </w:rPr>
        <w:t>l’élargissement de la gamme de produits et services innovants et adaptés aux besoins de la clientèle.</w:t>
      </w:r>
    </w:p>
    <w:p w:rsidR="00463ABD" w:rsidRPr="00D05F5A" w:rsidRDefault="00C6355E" w:rsidP="00C01C11">
      <w:pPr>
        <w:spacing w:before="240" w:after="240" w:line="276" w:lineRule="auto"/>
        <w:jc w:val="both"/>
        <w:rPr>
          <w:rFonts w:ascii="Book Antiqua" w:eastAsiaTheme="majorEastAsia" w:hAnsi="Book Antiqua" w:cstheme="majorBidi"/>
          <w:b/>
          <w:bCs/>
          <w:sz w:val="22"/>
          <w:szCs w:val="22"/>
        </w:rPr>
      </w:pPr>
      <w:r>
        <w:rPr>
          <w:rFonts w:ascii="Book Antiqua" w:eastAsiaTheme="majorEastAsia" w:hAnsi="Book Antiqua" w:cstheme="majorBidi"/>
          <w:b/>
          <w:bCs/>
          <w:sz w:val="22"/>
          <w:szCs w:val="22"/>
        </w:rPr>
        <w:t>R.13</w:t>
      </w:r>
      <w:r w:rsidR="00A233EA" w:rsidRPr="00D05F5A">
        <w:rPr>
          <w:rFonts w:ascii="Book Antiqua" w:eastAsiaTheme="majorEastAsia" w:hAnsi="Book Antiqua" w:cstheme="majorBidi"/>
          <w:b/>
          <w:bCs/>
          <w:sz w:val="22"/>
          <w:szCs w:val="22"/>
        </w:rPr>
        <w:t xml:space="preserve">. </w:t>
      </w:r>
      <w:r w:rsidR="00864AAA" w:rsidRPr="00D05F5A">
        <w:rPr>
          <w:rFonts w:ascii="Book Antiqua" w:eastAsiaTheme="majorEastAsia" w:hAnsi="Book Antiqua" w:cstheme="majorBidi"/>
          <w:b/>
          <w:bCs/>
          <w:sz w:val="22"/>
          <w:szCs w:val="22"/>
        </w:rPr>
        <w:t>Accroitre la transparence de l’information sur les conditions de banque</w:t>
      </w:r>
    </w:p>
    <w:p w:rsidR="00F30910" w:rsidRDefault="00FA783C" w:rsidP="00C01C11">
      <w:pPr>
        <w:spacing w:before="240" w:after="240" w:line="276" w:lineRule="auto"/>
        <w:jc w:val="both"/>
        <w:rPr>
          <w:rFonts w:ascii="Book Antiqua" w:hAnsi="Book Antiqua"/>
          <w:sz w:val="22"/>
          <w:szCs w:val="22"/>
        </w:rPr>
      </w:pPr>
      <w:r>
        <w:rPr>
          <w:rFonts w:ascii="Book Antiqua" w:hAnsi="Book Antiqua"/>
          <w:sz w:val="22"/>
          <w:szCs w:val="22"/>
        </w:rPr>
        <w:t>Une proportion non négligeable</w:t>
      </w:r>
      <w:r w:rsidR="00436AEA">
        <w:rPr>
          <w:rFonts w:ascii="Book Antiqua" w:hAnsi="Book Antiqua"/>
          <w:sz w:val="22"/>
          <w:szCs w:val="22"/>
        </w:rPr>
        <w:t xml:space="preserve"> des enquêtés (</w:t>
      </w:r>
      <w:r>
        <w:rPr>
          <w:rFonts w:ascii="Book Antiqua" w:eastAsiaTheme="minorEastAsia" w:hAnsi="Book Antiqua"/>
          <w:sz w:val="22"/>
          <w:szCs w:val="22"/>
        </w:rPr>
        <w:t>40,6%</w:t>
      </w:r>
      <w:r w:rsidR="00436AEA">
        <w:rPr>
          <w:rFonts w:ascii="Book Antiqua" w:eastAsiaTheme="minorEastAsia" w:hAnsi="Book Antiqua"/>
          <w:sz w:val="22"/>
          <w:szCs w:val="22"/>
        </w:rPr>
        <w:t>)</w:t>
      </w:r>
      <w:r>
        <w:rPr>
          <w:rFonts w:ascii="Book Antiqua" w:eastAsiaTheme="minorEastAsia" w:hAnsi="Book Antiqua"/>
          <w:sz w:val="22"/>
          <w:szCs w:val="22"/>
        </w:rPr>
        <w:t xml:space="preserve"> déclare</w:t>
      </w:r>
      <w:r w:rsidR="003C76C1" w:rsidRPr="00D05F5A">
        <w:rPr>
          <w:rFonts w:ascii="Book Antiqua" w:eastAsiaTheme="minorEastAsia" w:hAnsi="Book Antiqua"/>
          <w:sz w:val="22"/>
          <w:szCs w:val="22"/>
        </w:rPr>
        <w:t xml:space="preserve"> n’avoir pas reçu d’informations préalables sur les</w:t>
      </w:r>
      <w:r>
        <w:rPr>
          <w:rFonts w:ascii="Book Antiqua" w:eastAsiaTheme="minorEastAsia" w:hAnsi="Book Antiqua"/>
          <w:sz w:val="22"/>
          <w:szCs w:val="22"/>
        </w:rPr>
        <w:t xml:space="preserve"> conditions tarifaires de leur banque</w:t>
      </w:r>
      <w:r w:rsidR="003C76C1" w:rsidRPr="00D05F5A">
        <w:rPr>
          <w:rFonts w:ascii="Book Antiqua" w:eastAsiaTheme="minorEastAsia" w:hAnsi="Book Antiqua"/>
          <w:sz w:val="22"/>
          <w:szCs w:val="22"/>
        </w:rPr>
        <w:t xml:space="preserve"> au</w:t>
      </w:r>
      <w:r w:rsidR="003C76C1">
        <w:rPr>
          <w:rFonts w:ascii="Book Antiqua" w:eastAsiaTheme="minorEastAsia" w:hAnsi="Book Antiqua"/>
          <w:sz w:val="22"/>
          <w:szCs w:val="22"/>
        </w:rPr>
        <w:t xml:space="preserve"> moment de l’entrée en relation.</w:t>
      </w:r>
      <w:r w:rsidR="00297144">
        <w:rPr>
          <w:rFonts w:ascii="Book Antiqua" w:eastAsiaTheme="minorEastAsia" w:hAnsi="Book Antiqua"/>
          <w:sz w:val="22"/>
          <w:szCs w:val="22"/>
        </w:rPr>
        <w:t xml:space="preserve"> </w:t>
      </w:r>
      <w:r w:rsidR="00436AEA">
        <w:rPr>
          <w:rFonts w:ascii="Book Antiqua" w:hAnsi="Book Antiqua"/>
          <w:sz w:val="22"/>
          <w:szCs w:val="22"/>
        </w:rPr>
        <w:t xml:space="preserve">Ce résultat laisse transparaitre des manquements à des obligations d’essence réglementaire à la charge des opérations de services bancaires. Cette exigence </w:t>
      </w:r>
      <w:r w:rsidR="00F30910">
        <w:rPr>
          <w:rFonts w:ascii="Book Antiqua" w:hAnsi="Book Antiqua"/>
          <w:sz w:val="22"/>
          <w:szCs w:val="22"/>
        </w:rPr>
        <w:t xml:space="preserve">prend davantage de relief eu égard à la </w:t>
      </w:r>
      <w:r w:rsidR="00463ABD" w:rsidRPr="00D05F5A">
        <w:rPr>
          <w:rFonts w:ascii="Book Antiqua" w:hAnsi="Book Antiqua"/>
          <w:sz w:val="22"/>
          <w:szCs w:val="22"/>
        </w:rPr>
        <w:t>complexité de l’information tarifaire</w:t>
      </w:r>
      <w:r w:rsidR="00F30910">
        <w:rPr>
          <w:rFonts w:ascii="Book Antiqua" w:hAnsi="Book Antiqua"/>
          <w:sz w:val="22"/>
          <w:szCs w:val="22"/>
        </w:rPr>
        <w:t xml:space="preserve"> qui, très souvent,</w:t>
      </w:r>
      <w:r w:rsidR="00463ABD" w:rsidRPr="00D05F5A">
        <w:rPr>
          <w:rFonts w:ascii="Book Antiqua" w:hAnsi="Book Antiqua"/>
          <w:sz w:val="22"/>
          <w:szCs w:val="22"/>
        </w:rPr>
        <w:t xml:space="preserve"> fait obstacle à sa bonne compréhension par les clients</w:t>
      </w:r>
      <w:r w:rsidR="00F30910">
        <w:rPr>
          <w:rFonts w:ascii="Book Antiqua" w:hAnsi="Book Antiqua"/>
          <w:sz w:val="22"/>
          <w:szCs w:val="22"/>
        </w:rPr>
        <w:t xml:space="preserve"> notamment les plus vulnérables</w:t>
      </w:r>
      <w:r w:rsidR="00463ABD" w:rsidRPr="00D05F5A">
        <w:rPr>
          <w:rFonts w:ascii="Book Antiqua" w:hAnsi="Book Antiqua"/>
          <w:sz w:val="22"/>
          <w:szCs w:val="22"/>
        </w:rPr>
        <w:t xml:space="preserve">. </w:t>
      </w:r>
    </w:p>
    <w:p w:rsidR="00F30910" w:rsidRDefault="007522F5" w:rsidP="00C01C11">
      <w:pPr>
        <w:spacing w:before="240" w:after="240" w:line="276" w:lineRule="auto"/>
        <w:jc w:val="both"/>
        <w:rPr>
          <w:rFonts w:ascii="Book Antiqua" w:hAnsi="Book Antiqua"/>
          <w:sz w:val="22"/>
          <w:szCs w:val="22"/>
        </w:rPr>
      </w:pPr>
      <w:r>
        <w:rPr>
          <w:rFonts w:ascii="Book Antiqua" w:hAnsi="Book Antiqua"/>
          <w:sz w:val="22"/>
          <w:szCs w:val="22"/>
        </w:rPr>
        <w:t>A cet égard</w:t>
      </w:r>
      <w:r w:rsidR="00F30910">
        <w:rPr>
          <w:rFonts w:ascii="Book Antiqua" w:hAnsi="Book Antiqua"/>
          <w:sz w:val="22"/>
          <w:szCs w:val="22"/>
        </w:rPr>
        <w:t>,</w:t>
      </w:r>
      <w:r>
        <w:rPr>
          <w:rFonts w:ascii="Book Antiqua" w:hAnsi="Book Antiqua"/>
          <w:sz w:val="22"/>
          <w:szCs w:val="22"/>
        </w:rPr>
        <w:t xml:space="preserve"> il est recommandé le strict respect des prescriptions légales et réglementaires à travers un renforcement</w:t>
      </w:r>
      <w:r w:rsidR="00C6355E">
        <w:rPr>
          <w:rFonts w:ascii="Book Antiqua" w:hAnsi="Book Antiqua"/>
          <w:sz w:val="22"/>
          <w:szCs w:val="22"/>
        </w:rPr>
        <w:t xml:space="preserve"> </w:t>
      </w:r>
      <w:r>
        <w:rPr>
          <w:rFonts w:ascii="Book Antiqua" w:hAnsi="Book Antiqua"/>
          <w:sz w:val="22"/>
          <w:szCs w:val="22"/>
        </w:rPr>
        <w:t>de la</w:t>
      </w:r>
      <w:r w:rsidR="00F30910">
        <w:rPr>
          <w:rFonts w:ascii="Book Antiqua" w:hAnsi="Book Antiqua"/>
          <w:sz w:val="22"/>
          <w:szCs w:val="22"/>
        </w:rPr>
        <w:t xml:space="preserve"> transparence de l’information financière</w:t>
      </w:r>
      <w:r>
        <w:rPr>
          <w:rFonts w:ascii="Book Antiqua" w:hAnsi="Book Antiqua"/>
          <w:sz w:val="22"/>
          <w:szCs w:val="22"/>
        </w:rPr>
        <w:t xml:space="preserve">. Aussi, serait-il indiqué </w:t>
      </w:r>
      <w:r w:rsidR="007725BA">
        <w:rPr>
          <w:rFonts w:ascii="Book Antiqua" w:hAnsi="Book Antiqua"/>
          <w:sz w:val="22"/>
          <w:szCs w:val="22"/>
        </w:rPr>
        <w:t xml:space="preserve">pour la banque centrale, </w:t>
      </w:r>
      <w:r>
        <w:rPr>
          <w:rFonts w:ascii="Book Antiqua" w:hAnsi="Book Antiqua"/>
          <w:sz w:val="22"/>
          <w:szCs w:val="22"/>
        </w:rPr>
        <w:t xml:space="preserve">de veiller à </w:t>
      </w:r>
      <w:r w:rsidR="00F30910">
        <w:rPr>
          <w:rFonts w:ascii="Book Antiqua" w:hAnsi="Book Antiqua"/>
          <w:sz w:val="22"/>
          <w:szCs w:val="22"/>
        </w:rPr>
        <w:t>l’application</w:t>
      </w:r>
      <w:r>
        <w:rPr>
          <w:rFonts w:ascii="Book Antiqua" w:hAnsi="Book Antiqua"/>
          <w:sz w:val="22"/>
          <w:szCs w:val="22"/>
        </w:rPr>
        <w:t xml:space="preserve"> effective</w:t>
      </w:r>
      <w:r w:rsidR="00F30910">
        <w:rPr>
          <w:rFonts w:ascii="Book Antiqua" w:hAnsi="Book Antiqua"/>
          <w:sz w:val="22"/>
          <w:szCs w:val="22"/>
        </w:rPr>
        <w:t xml:space="preserve"> de la nouvelle nomenclature</w:t>
      </w:r>
      <w:r>
        <w:rPr>
          <w:rFonts w:ascii="Book Antiqua" w:hAnsi="Book Antiqua"/>
          <w:sz w:val="22"/>
          <w:szCs w:val="22"/>
        </w:rPr>
        <w:t xml:space="preserve"> harmonisée</w:t>
      </w:r>
      <w:r w:rsidR="00F30910">
        <w:rPr>
          <w:rFonts w:ascii="Book Antiqua" w:hAnsi="Book Antiqua"/>
          <w:sz w:val="22"/>
          <w:szCs w:val="22"/>
        </w:rPr>
        <w:t xml:space="preserve"> des</w:t>
      </w:r>
      <w:r>
        <w:rPr>
          <w:rFonts w:ascii="Book Antiqua" w:hAnsi="Book Antiqua"/>
          <w:sz w:val="22"/>
          <w:szCs w:val="22"/>
        </w:rPr>
        <w:t xml:space="preserve"> conditions </w:t>
      </w:r>
      <w:r w:rsidR="007725BA">
        <w:rPr>
          <w:rFonts w:ascii="Book Antiqua" w:hAnsi="Book Antiqua"/>
          <w:sz w:val="22"/>
          <w:szCs w:val="22"/>
        </w:rPr>
        <w:t xml:space="preserve">tarifaires applicables conformément à l’instruction </w:t>
      </w:r>
      <w:r w:rsidR="007725BA" w:rsidRPr="007725BA">
        <w:rPr>
          <w:rFonts w:ascii="Book Antiqua" w:hAnsi="Book Antiqua"/>
          <w:i/>
          <w:sz w:val="22"/>
          <w:szCs w:val="22"/>
        </w:rPr>
        <w:t>n°004-05-2015 du 08 mai 2015</w:t>
      </w:r>
      <w:r w:rsidR="007725BA">
        <w:rPr>
          <w:rFonts w:ascii="Book Antiqua" w:hAnsi="Book Antiqua"/>
          <w:sz w:val="22"/>
          <w:szCs w:val="22"/>
        </w:rPr>
        <w:t xml:space="preserve"> établissant un canevas de présentation harmonisé des tarifs des produits et services bancaires offerts à la clientèle. </w:t>
      </w:r>
    </w:p>
    <w:p w:rsidR="00463ABD" w:rsidRPr="00CA716E" w:rsidRDefault="007725BA" w:rsidP="00C01C11">
      <w:pPr>
        <w:spacing w:before="240" w:after="240" w:line="276" w:lineRule="auto"/>
        <w:jc w:val="both"/>
        <w:rPr>
          <w:rFonts w:ascii="Book Antiqua" w:hAnsi="Book Antiqua"/>
          <w:sz w:val="22"/>
          <w:szCs w:val="22"/>
        </w:rPr>
      </w:pPr>
      <w:r>
        <w:rPr>
          <w:rFonts w:ascii="Book Antiqua" w:hAnsi="Book Antiqua"/>
          <w:sz w:val="22"/>
          <w:szCs w:val="22"/>
        </w:rPr>
        <w:t xml:space="preserve">De plus, </w:t>
      </w:r>
      <w:r w:rsidR="00CA716E">
        <w:rPr>
          <w:rFonts w:ascii="Book Antiqua" w:hAnsi="Book Antiqua"/>
          <w:sz w:val="22"/>
          <w:szCs w:val="22"/>
        </w:rPr>
        <w:t xml:space="preserve">il pourrait être envisagé </w:t>
      </w:r>
      <w:r w:rsidR="00463ABD" w:rsidRPr="00D05F5A">
        <w:rPr>
          <w:rFonts w:ascii="Book Antiqua" w:hAnsi="Book Antiqua" w:cs="Arial"/>
          <w:color w:val="000000"/>
          <w:sz w:val="22"/>
          <w:szCs w:val="22"/>
        </w:rPr>
        <w:t xml:space="preserve">la substitution de </w:t>
      </w:r>
      <w:r w:rsidR="00CA716E">
        <w:rPr>
          <w:rFonts w:ascii="Book Antiqua" w:hAnsi="Book Antiqua" w:cs="Arial"/>
          <w:color w:val="000000"/>
          <w:sz w:val="22"/>
          <w:szCs w:val="22"/>
        </w:rPr>
        <w:t>certains « packages »</w:t>
      </w:r>
      <w:r w:rsidR="00463ABD" w:rsidRPr="00D05F5A">
        <w:rPr>
          <w:rFonts w:ascii="Book Antiqua" w:hAnsi="Book Antiqua" w:cs="Arial"/>
          <w:color w:val="000000"/>
          <w:sz w:val="22"/>
          <w:szCs w:val="22"/>
        </w:rPr>
        <w:t xml:space="preserve"> par des </w:t>
      </w:r>
      <w:r w:rsidR="00CA716E">
        <w:rPr>
          <w:rFonts w:ascii="Book Antiqua" w:hAnsi="Book Antiqua" w:cs="Arial"/>
          <w:color w:val="000000"/>
          <w:sz w:val="22"/>
          <w:szCs w:val="22"/>
        </w:rPr>
        <w:t>offres personnalisées en fonction des besoins et revenus de la clientèle</w:t>
      </w:r>
      <w:r w:rsidR="00C6355E">
        <w:rPr>
          <w:rFonts w:ascii="Book Antiqua" w:hAnsi="Book Antiqua" w:cs="Arial"/>
          <w:color w:val="000000"/>
          <w:sz w:val="22"/>
          <w:szCs w:val="22"/>
        </w:rPr>
        <w:t xml:space="preserve"> </w:t>
      </w:r>
      <w:r w:rsidR="00CA716E">
        <w:rPr>
          <w:rFonts w:ascii="Book Antiqua" w:hAnsi="Book Antiqua"/>
          <w:sz w:val="22"/>
          <w:szCs w:val="22"/>
        </w:rPr>
        <w:t>pour réduire l’asymétrie d’information liée à la logique de tarification de ces packages.</w:t>
      </w:r>
    </w:p>
    <w:p w:rsidR="00463ABD" w:rsidRPr="00D05F5A" w:rsidRDefault="00CA716E" w:rsidP="00C01C11">
      <w:pPr>
        <w:spacing w:before="240" w:after="240" w:line="276" w:lineRule="auto"/>
        <w:jc w:val="both"/>
        <w:rPr>
          <w:rFonts w:ascii="Book Antiqua" w:hAnsi="Book Antiqua"/>
          <w:sz w:val="22"/>
          <w:szCs w:val="22"/>
        </w:rPr>
      </w:pPr>
      <w:r>
        <w:rPr>
          <w:rFonts w:ascii="Book Antiqua" w:hAnsi="Book Antiqua"/>
          <w:sz w:val="22"/>
          <w:szCs w:val="22"/>
        </w:rPr>
        <w:t>Par ailleurs, l</w:t>
      </w:r>
      <w:r w:rsidR="00463ABD" w:rsidRPr="00D05F5A">
        <w:rPr>
          <w:rFonts w:ascii="Book Antiqua" w:hAnsi="Book Antiqua"/>
          <w:sz w:val="22"/>
          <w:szCs w:val="22"/>
        </w:rPr>
        <w:t>a</w:t>
      </w:r>
      <w:r>
        <w:rPr>
          <w:rFonts w:ascii="Book Antiqua" w:hAnsi="Book Antiqua"/>
          <w:sz w:val="22"/>
          <w:szCs w:val="22"/>
        </w:rPr>
        <w:t xml:space="preserve"> généralisation de l’insertion</w:t>
      </w:r>
      <w:r w:rsidR="00463ABD" w:rsidRPr="00D05F5A">
        <w:rPr>
          <w:rFonts w:ascii="Book Antiqua" w:hAnsi="Book Antiqua"/>
          <w:sz w:val="22"/>
          <w:szCs w:val="22"/>
        </w:rPr>
        <w:t xml:space="preserve"> dans le site web </w:t>
      </w:r>
      <w:r>
        <w:rPr>
          <w:rFonts w:ascii="Book Antiqua" w:hAnsi="Book Antiqua"/>
          <w:sz w:val="22"/>
          <w:szCs w:val="22"/>
        </w:rPr>
        <w:t xml:space="preserve">des banques </w:t>
      </w:r>
      <w:r w:rsidR="00463ABD" w:rsidRPr="00D05F5A">
        <w:rPr>
          <w:rFonts w:ascii="Book Antiqua" w:hAnsi="Book Antiqua"/>
          <w:sz w:val="22"/>
          <w:szCs w:val="22"/>
        </w:rPr>
        <w:t>d’un  glossaire des expressions bancaires les plus courantes</w:t>
      </w:r>
      <w:r w:rsidR="00C6355E">
        <w:rPr>
          <w:rFonts w:ascii="Book Antiqua" w:hAnsi="Book Antiqua"/>
          <w:sz w:val="22"/>
          <w:szCs w:val="22"/>
        </w:rPr>
        <w:t xml:space="preserve"> </w:t>
      </w:r>
      <w:r w:rsidR="00920B3B">
        <w:rPr>
          <w:rFonts w:ascii="Book Antiqua" w:hAnsi="Book Antiqua"/>
          <w:sz w:val="22"/>
          <w:szCs w:val="22"/>
        </w:rPr>
        <w:t>pourrait constituer une autre piste à explorer</w:t>
      </w:r>
      <w:r w:rsidR="00463ABD" w:rsidRPr="00D05F5A">
        <w:rPr>
          <w:rFonts w:ascii="Book Antiqua" w:hAnsi="Book Antiqua"/>
          <w:sz w:val="22"/>
          <w:szCs w:val="22"/>
        </w:rPr>
        <w:t xml:space="preserve">. </w:t>
      </w:r>
      <w:r>
        <w:rPr>
          <w:rFonts w:ascii="Book Antiqua" w:hAnsi="Book Antiqua"/>
          <w:sz w:val="22"/>
          <w:szCs w:val="22"/>
        </w:rPr>
        <w:t>A l’instar de la France</w:t>
      </w:r>
      <w:r w:rsidR="00463ABD" w:rsidRPr="00D05F5A">
        <w:rPr>
          <w:rFonts w:ascii="Book Antiqua" w:hAnsi="Book Antiqua"/>
          <w:sz w:val="22"/>
          <w:szCs w:val="22"/>
        </w:rPr>
        <w:t>, un glossaire a été élaboré</w:t>
      </w:r>
      <w:r>
        <w:rPr>
          <w:rFonts w:ascii="Book Antiqua" w:hAnsi="Book Antiqua"/>
          <w:sz w:val="22"/>
          <w:szCs w:val="22"/>
        </w:rPr>
        <w:t xml:space="preserve"> et diffusé dans le cadre des travaux du</w:t>
      </w:r>
      <w:r w:rsidR="00463ABD" w:rsidRPr="00D05F5A">
        <w:rPr>
          <w:rFonts w:ascii="Book Antiqua" w:hAnsi="Book Antiqua"/>
          <w:sz w:val="22"/>
          <w:szCs w:val="22"/>
        </w:rPr>
        <w:t xml:space="preserve"> Comité Consultatif </w:t>
      </w:r>
      <w:r>
        <w:rPr>
          <w:rFonts w:ascii="Book Antiqua" w:hAnsi="Book Antiqua"/>
          <w:sz w:val="22"/>
          <w:szCs w:val="22"/>
        </w:rPr>
        <w:t>du Secteur Financier (CCSF) en 2005</w:t>
      </w:r>
      <w:r w:rsidR="00463ABD" w:rsidRPr="00D05F5A">
        <w:rPr>
          <w:rFonts w:ascii="Book Antiqua" w:hAnsi="Book Antiqua"/>
          <w:sz w:val="22"/>
          <w:szCs w:val="22"/>
        </w:rPr>
        <w:t>. Une première actualisation a été achevée en juin 2010. Le glossaire porte sur</w:t>
      </w:r>
      <w:r>
        <w:rPr>
          <w:rFonts w:ascii="Book Antiqua" w:hAnsi="Book Antiqua"/>
          <w:sz w:val="22"/>
          <w:szCs w:val="22"/>
        </w:rPr>
        <w:t xml:space="preserve"> deux cent douze</w:t>
      </w:r>
      <w:r w:rsidR="00297144">
        <w:rPr>
          <w:rFonts w:ascii="Book Antiqua" w:hAnsi="Book Antiqua"/>
          <w:sz w:val="22"/>
          <w:szCs w:val="22"/>
        </w:rPr>
        <w:t xml:space="preserve"> </w:t>
      </w:r>
      <w:r>
        <w:rPr>
          <w:rFonts w:ascii="Book Antiqua" w:hAnsi="Book Antiqua"/>
          <w:sz w:val="22"/>
          <w:szCs w:val="22"/>
        </w:rPr>
        <w:t>(</w:t>
      </w:r>
      <w:r w:rsidR="00463ABD" w:rsidRPr="00D05F5A">
        <w:rPr>
          <w:rFonts w:ascii="Book Antiqua" w:hAnsi="Book Antiqua"/>
          <w:sz w:val="22"/>
          <w:szCs w:val="22"/>
        </w:rPr>
        <w:t>212</w:t>
      </w:r>
      <w:r>
        <w:rPr>
          <w:rFonts w:ascii="Book Antiqua" w:hAnsi="Book Antiqua"/>
          <w:sz w:val="22"/>
          <w:szCs w:val="22"/>
        </w:rPr>
        <w:t>)</w:t>
      </w:r>
      <w:r w:rsidR="00463ABD" w:rsidRPr="00D05F5A">
        <w:rPr>
          <w:rFonts w:ascii="Book Antiqua" w:hAnsi="Book Antiqua"/>
          <w:sz w:val="22"/>
          <w:szCs w:val="22"/>
        </w:rPr>
        <w:t xml:space="preserve"> expressions, dont</w:t>
      </w:r>
      <w:r>
        <w:rPr>
          <w:rFonts w:ascii="Book Antiqua" w:hAnsi="Book Antiqua"/>
          <w:sz w:val="22"/>
          <w:szCs w:val="22"/>
        </w:rPr>
        <w:t xml:space="preserve"> quarante-quatre</w:t>
      </w:r>
      <w:r w:rsidR="00297144">
        <w:rPr>
          <w:rFonts w:ascii="Book Antiqua" w:hAnsi="Book Antiqua"/>
          <w:sz w:val="22"/>
          <w:szCs w:val="22"/>
        </w:rPr>
        <w:t xml:space="preserve"> </w:t>
      </w:r>
      <w:r>
        <w:rPr>
          <w:rFonts w:ascii="Book Antiqua" w:hAnsi="Book Antiqua"/>
          <w:sz w:val="22"/>
          <w:szCs w:val="22"/>
        </w:rPr>
        <w:t>(</w:t>
      </w:r>
      <w:r w:rsidR="00463ABD" w:rsidRPr="00D05F5A">
        <w:rPr>
          <w:rFonts w:ascii="Book Antiqua" w:hAnsi="Book Antiqua"/>
          <w:sz w:val="22"/>
          <w:szCs w:val="22"/>
        </w:rPr>
        <w:t>44</w:t>
      </w:r>
      <w:r>
        <w:rPr>
          <w:rFonts w:ascii="Book Antiqua" w:hAnsi="Book Antiqua"/>
          <w:sz w:val="22"/>
          <w:szCs w:val="22"/>
        </w:rPr>
        <w:t>)</w:t>
      </w:r>
      <w:r w:rsidR="00463ABD" w:rsidRPr="00D05F5A">
        <w:rPr>
          <w:rFonts w:ascii="Book Antiqua" w:hAnsi="Book Antiqua"/>
          <w:sz w:val="22"/>
          <w:szCs w:val="22"/>
        </w:rPr>
        <w:t xml:space="preserve"> concernent la </w:t>
      </w:r>
      <w:r w:rsidR="00463ABD" w:rsidRPr="00D05F5A">
        <w:rPr>
          <w:rFonts w:ascii="Book Antiqua" w:hAnsi="Book Antiqua"/>
          <w:sz w:val="22"/>
          <w:szCs w:val="22"/>
        </w:rPr>
        <w:lastRenderedPageBreak/>
        <w:t xml:space="preserve">tarification des services </w:t>
      </w:r>
      <w:r w:rsidR="00AD100C">
        <w:rPr>
          <w:rFonts w:ascii="Book Antiqua" w:hAnsi="Book Antiqua"/>
          <w:sz w:val="22"/>
          <w:szCs w:val="22"/>
        </w:rPr>
        <w:t>bancaires</w:t>
      </w:r>
      <w:r w:rsidR="00463ABD" w:rsidRPr="00D05F5A">
        <w:rPr>
          <w:rFonts w:ascii="Book Antiqua" w:hAnsi="Book Antiqua"/>
          <w:sz w:val="22"/>
          <w:szCs w:val="22"/>
        </w:rPr>
        <w:t xml:space="preserve">. Ce travail a permis une harmonisation et </w:t>
      </w:r>
      <w:r w:rsidR="00AD100C">
        <w:rPr>
          <w:rFonts w:ascii="Book Antiqua" w:hAnsi="Book Antiqua"/>
          <w:sz w:val="22"/>
          <w:szCs w:val="22"/>
        </w:rPr>
        <w:t xml:space="preserve">une </w:t>
      </w:r>
      <w:r w:rsidR="00463ABD" w:rsidRPr="00D05F5A">
        <w:rPr>
          <w:rFonts w:ascii="Book Antiqua" w:hAnsi="Book Antiqua"/>
          <w:sz w:val="22"/>
          <w:szCs w:val="22"/>
        </w:rPr>
        <w:t xml:space="preserve">clarification des termes </w:t>
      </w:r>
      <w:r w:rsidR="00AD100C">
        <w:rPr>
          <w:rFonts w:ascii="Book Antiqua" w:hAnsi="Book Antiqua"/>
          <w:sz w:val="22"/>
          <w:szCs w:val="22"/>
        </w:rPr>
        <w:t>utilisés</w:t>
      </w:r>
      <w:r w:rsidR="00463ABD" w:rsidRPr="00D05F5A">
        <w:rPr>
          <w:rFonts w:ascii="Book Antiqua" w:hAnsi="Book Antiqua"/>
          <w:sz w:val="22"/>
          <w:szCs w:val="22"/>
        </w:rPr>
        <w:t xml:space="preserve"> par les banques</w:t>
      </w:r>
      <w:r w:rsidR="00AD100C">
        <w:rPr>
          <w:rFonts w:ascii="Book Antiqua" w:hAnsi="Book Antiqua"/>
          <w:sz w:val="22"/>
          <w:szCs w:val="22"/>
        </w:rPr>
        <w:t>.</w:t>
      </w:r>
    </w:p>
    <w:p w:rsidR="00206974" w:rsidRPr="00463ABD" w:rsidRDefault="00206974" w:rsidP="00C01C11">
      <w:pPr>
        <w:pStyle w:val="Paragraphedeliste"/>
        <w:spacing w:before="240" w:after="240" w:line="276" w:lineRule="auto"/>
        <w:ind w:left="0"/>
        <w:contextualSpacing w:val="0"/>
        <w:jc w:val="both"/>
        <w:rPr>
          <w:rFonts w:ascii="Book Antiqua" w:hAnsi="Book Antiqua"/>
          <w:b/>
          <w:sz w:val="22"/>
          <w:szCs w:val="22"/>
        </w:rPr>
      </w:pPr>
      <w:r w:rsidRPr="00463ABD">
        <w:rPr>
          <w:rFonts w:ascii="Book Antiqua" w:hAnsi="Book Antiqua"/>
          <w:b/>
          <w:sz w:val="22"/>
          <w:szCs w:val="22"/>
        </w:rPr>
        <w:t>R</w:t>
      </w:r>
      <w:r w:rsidR="00D05F5A">
        <w:rPr>
          <w:rFonts w:ascii="Book Antiqua" w:hAnsi="Book Antiqua"/>
          <w:b/>
          <w:sz w:val="22"/>
          <w:szCs w:val="22"/>
        </w:rPr>
        <w:t>1</w:t>
      </w:r>
      <w:r w:rsidR="00C6355E">
        <w:rPr>
          <w:rFonts w:ascii="Book Antiqua" w:hAnsi="Book Antiqua"/>
          <w:b/>
          <w:sz w:val="22"/>
          <w:szCs w:val="22"/>
        </w:rPr>
        <w:t>4</w:t>
      </w:r>
      <w:r w:rsidRPr="00463ABD">
        <w:rPr>
          <w:rFonts w:ascii="Book Antiqua" w:hAnsi="Book Antiqua"/>
          <w:b/>
          <w:sz w:val="22"/>
          <w:szCs w:val="22"/>
        </w:rPr>
        <w:t xml:space="preserve">. Promouvoir l’éducation financière de masse </w:t>
      </w:r>
    </w:p>
    <w:p w:rsidR="00206974" w:rsidRPr="00463ABD" w:rsidRDefault="00206974" w:rsidP="00C01C11">
      <w:pPr>
        <w:spacing w:before="240" w:after="240" w:line="276" w:lineRule="auto"/>
        <w:jc w:val="both"/>
        <w:rPr>
          <w:rFonts w:ascii="Book Antiqua" w:hAnsi="Book Antiqua"/>
          <w:sz w:val="22"/>
          <w:szCs w:val="22"/>
        </w:rPr>
      </w:pPr>
      <w:r w:rsidRPr="00463ABD">
        <w:rPr>
          <w:rFonts w:ascii="Book Antiqua" w:hAnsi="Book Antiqua"/>
          <w:sz w:val="22"/>
          <w:szCs w:val="22"/>
        </w:rPr>
        <w:t xml:space="preserve">L’éducation financière de base constitue l’un des trois piliers de la protection des clients </w:t>
      </w:r>
      <w:r w:rsidR="00ED65A1">
        <w:rPr>
          <w:rFonts w:ascii="Book Antiqua" w:hAnsi="Book Antiqua"/>
          <w:sz w:val="22"/>
          <w:szCs w:val="22"/>
        </w:rPr>
        <w:t xml:space="preserve">à côté de </w:t>
      </w:r>
      <w:r w:rsidRPr="00463ABD">
        <w:rPr>
          <w:rFonts w:ascii="Book Antiqua" w:hAnsi="Book Antiqua"/>
          <w:sz w:val="22"/>
          <w:szCs w:val="22"/>
        </w:rPr>
        <w:t xml:space="preserve">l’inclusion financière et la régulation </w:t>
      </w:r>
      <w:r w:rsidR="00ED65A1">
        <w:rPr>
          <w:rFonts w:ascii="Book Antiqua" w:hAnsi="Book Antiqua"/>
          <w:sz w:val="22"/>
          <w:szCs w:val="22"/>
        </w:rPr>
        <w:t>du</w:t>
      </w:r>
      <w:r w:rsidRPr="00463ABD">
        <w:rPr>
          <w:rFonts w:ascii="Book Antiqua" w:hAnsi="Book Antiqua"/>
          <w:sz w:val="22"/>
          <w:szCs w:val="22"/>
        </w:rPr>
        <w:t xml:space="preserve"> secteur bancaire. A ce titre, il apparaît plus que nécessaire de promouvoir à l’échelle nationale, l’éducation </w:t>
      </w:r>
      <w:r w:rsidR="00ED65A1">
        <w:rPr>
          <w:rFonts w:ascii="Book Antiqua" w:hAnsi="Book Antiqua"/>
          <w:sz w:val="22"/>
          <w:szCs w:val="22"/>
        </w:rPr>
        <w:t>b</w:t>
      </w:r>
      <w:r w:rsidRPr="00463ABD">
        <w:rPr>
          <w:rFonts w:ascii="Book Antiqua" w:hAnsi="Book Antiqua"/>
          <w:sz w:val="22"/>
          <w:szCs w:val="22"/>
        </w:rPr>
        <w:t xml:space="preserve">udgétaire et l’apprentissage des </w:t>
      </w:r>
      <w:r w:rsidR="00ED65A1">
        <w:rPr>
          <w:rFonts w:ascii="Book Antiqua" w:hAnsi="Book Antiqua"/>
          <w:sz w:val="22"/>
          <w:szCs w:val="22"/>
        </w:rPr>
        <w:t xml:space="preserve">rudiments </w:t>
      </w:r>
      <w:r w:rsidRPr="00463ABD">
        <w:rPr>
          <w:rFonts w:ascii="Book Antiqua" w:hAnsi="Book Antiqua"/>
          <w:sz w:val="22"/>
          <w:szCs w:val="22"/>
        </w:rPr>
        <w:t>bancaires, afin de diffuser les connaissances minimales permettant à tout usager</w:t>
      </w:r>
      <w:r w:rsidR="003260FF">
        <w:rPr>
          <w:rFonts w:ascii="Book Antiqua" w:hAnsi="Book Antiqua"/>
          <w:sz w:val="22"/>
          <w:szCs w:val="22"/>
        </w:rPr>
        <w:t xml:space="preserve"> des services bancaires</w:t>
      </w:r>
      <w:r w:rsidR="00C6355E">
        <w:rPr>
          <w:rFonts w:ascii="Book Antiqua" w:hAnsi="Book Antiqua"/>
          <w:sz w:val="22"/>
          <w:szCs w:val="22"/>
        </w:rPr>
        <w:t xml:space="preserve"> </w:t>
      </w:r>
      <w:r w:rsidR="003260FF">
        <w:rPr>
          <w:rFonts w:ascii="Book Antiqua" w:hAnsi="Book Antiqua"/>
          <w:sz w:val="22"/>
          <w:szCs w:val="22"/>
        </w:rPr>
        <w:t xml:space="preserve">de gérer </w:t>
      </w:r>
      <w:r w:rsidRPr="00463ABD">
        <w:rPr>
          <w:rFonts w:ascii="Book Antiqua" w:hAnsi="Book Antiqua"/>
          <w:sz w:val="22"/>
          <w:szCs w:val="22"/>
        </w:rPr>
        <w:t>au mieux</w:t>
      </w:r>
      <w:r w:rsidR="003260FF">
        <w:rPr>
          <w:rFonts w:ascii="Book Antiqua" w:hAnsi="Book Antiqua"/>
          <w:sz w:val="22"/>
          <w:szCs w:val="22"/>
        </w:rPr>
        <w:t xml:space="preserve"> un budget,</w:t>
      </w:r>
      <w:r w:rsidRPr="00463ABD">
        <w:rPr>
          <w:rFonts w:ascii="Book Antiqua" w:hAnsi="Book Antiqua"/>
          <w:sz w:val="22"/>
          <w:szCs w:val="22"/>
        </w:rPr>
        <w:t xml:space="preserve"> un compte bancaire,</w:t>
      </w:r>
      <w:r w:rsidR="003260FF">
        <w:rPr>
          <w:rFonts w:ascii="Book Antiqua" w:hAnsi="Book Antiqua"/>
          <w:sz w:val="22"/>
          <w:szCs w:val="22"/>
        </w:rPr>
        <w:t xml:space="preserve"> un crédit et</w:t>
      </w:r>
      <w:r w:rsidR="00297144">
        <w:rPr>
          <w:rFonts w:ascii="Book Antiqua" w:hAnsi="Book Antiqua"/>
          <w:sz w:val="22"/>
          <w:szCs w:val="22"/>
        </w:rPr>
        <w:t xml:space="preserve"> </w:t>
      </w:r>
      <w:r w:rsidR="003260FF">
        <w:rPr>
          <w:rFonts w:ascii="Book Antiqua" w:hAnsi="Book Antiqua"/>
          <w:sz w:val="22"/>
          <w:szCs w:val="22"/>
        </w:rPr>
        <w:t>les moyens de paiement.</w:t>
      </w:r>
    </w:p>
    <w:p w:rsidR="00206974" w:rsidRPr="00463ABD" w:rsidRDefault="00206974" w:rsidP="00C01C11">
      <w:pPr>
        <w:spacing w:before="240" w:after="240" w:line="276" w:lineRule="auto"/>
        <w:jc w:val="both"/>
        <w:rPr>
          <w:rFonts w:ascii="Book Antiqua" w:hAnsi="Book Antiqua"/>
          <w:sz w:val="22"/>
          <w:szCs w:val="22"/>
        </w:rPr>
      </w:pPr>
      <w:r w:rsidRPr="00463ABD">
        <w:rPr>
          <w:rFonts w:ascii="Book Antiqua" w:hAnsi="Book Antiqua"/>
          <w:sz w:val="22"/>
          <w:szCs w:val="22"/>
        </w:rPr>
        <w:t>Au plan décisionnel, l’élaboration d’une stratégie nationale d’éducation financière</w:t>
      </w:r>
      <w:r w:rsidR="00AC580B">
        <w:rPr>
          <w:rFonts w:ascii="Book Antiqua" w:hAnsi="Book Antiqua"/>
          <w:sz w:val="22"/>
          <w:szCs w:val="22"/>
        </w:rPr>
        <w:t xml:space="preserve"> (SNEF)</w:t>
      </w:r>
      <w:r w:rsidRPr="00463ABD">
        <w:rPr>
          <w:rFonts w:ascii="Book Antiqua" w:hAnsi="Book Antiqua"/>
          <w:sz w:val="22"/>
          <w:szCs w:val="22"/>
        </w:rPr>
        <w:t xml:space="preserve"> est à encourager et devrait aboutir à la mise en œuvre d’un programme concerté </w:t>
      </w:r>
      <w:r w:rsidR="00CD5183">
        <w:rPr>
          <w:rFonts w:ascii="Book Antiqua" w:hAnsi="Book Antiqua"/>
          <w:sz w:val="22"/>
          <w:szCs w:val="22"/>
        </w:rPr>
        <w:t xml:space="preserve">entre différentes </w:t>
      </w:r>
      <w:r w:rsidRPr="00463ABD">
        <w:rPr>
          <w:rFonts w:ascii="Book Antiqua" w:hAnsi="Book Antiqua"/>
          <w:sz w:val="22"/>
          <w:szCs w:val="22"/>
        </w:rPr>
        <w:t>parties prenantes</w:t>
      </w:r>
      <w:r w:rsidR="00CD5183">
        <w:rPr>
          <w:rFonts w:ascii="Book Antiqua" w:hAnsi="Book Antiqua"/>
          <w:sz w:val="22"/>
          <w:szCs w:val="22"/>
        </w:rPr>
        <w:t xml:space="preserve"> dont entre autres, la </w:t>
      </w:r>
      <w:r w:rsidRPr="00463ABD">
        <w:rPr>
          <w:rFonts w:ascii="Book Antiqua" w:hAnsi="Book Antiqua"/>
          <w:sz w:val="22"/>
          <w:szCs w:val="22"/>
        </w:rPr>
        <w:t xml:space="preserve">BCEAO, </w:t>
      </w:r>
      <w:r w:rsidR="00CD5183">
        <w:rPr>
          <w:rFonts w:ascii="Book Antiqua" w:hAnsi="Book Antiqua"/>
          <w:sz w:val="22"/>
          <w:szCs w:val="22"/>
        </w:rPr>
        <w:t xml:space="preserve">la </w:t>
      </w:r>
      <w:r w:rsidRPr="00463ABD">
        <w:rPr>
          <w:rFonts w:ascii="Book Antiqua" w:hAnsi="Book Antiqua"/>
          <w:sz w:val="22"/>
          <w:szCs w:val="22"/>
        </w:rPr>
        <w:t xml:space="preserve">DMC, </w:t>
      </w:r>
      <w:r w:rsidR="00CD5183">
        <w:rPr>
          <w:rFonts w:ascii="Book Antiqua" w:hAnsi="Book Antiqua"/>
          <w:sz w:val="22"/>
          <w:szCs w:val="22"/>
        </w:rPr>
        <w:t>l’</w:t>
      </w:r>
      <w:r w:rsidRPr="00463ABD">
        <w:rPr>
          <w:rFonts w:ascii="Book Antiqua" w:hAnsi="Book Antiqua"/>
          <w:sz w:val="22"/>
          <w:szCs w:val="22"/>
        </w:rPr>
        <w:t xml:space="preserve">OQSF, </w:t>
      </w:r>
      <w:r w:rsidR="00CD5183">
        <w:rPr>
          <w:rFonts w:ascii="Book Antiqua" w:hAnsi="Book Antiqua"/>
          <w:sz w:val="22"/>
          <w:szCs w:val="22"/>
        </w:rPr>
        <w:t>l’APBEF, les banques et les</w:t>
      </w:r>
      <w:r w:rsidRPr="00463ABD">
        <w:rPr>
          <w:rFonts w:ascii="Book Antiqua" w:hAnsi="Book Antiqua"/>
          <w:sz w:val="22"/>
          <w:szCs w:val="22"/>
        </w:rPr>
        <w:t xml:space="preserve"> associations consuméristes</w:t>
      </w:r>
      <w:r w:rsidR="00CD5183">
        <w:rPr>
          <w:rFonts w:ascii="Book Antiqua" w:hAnsi="Book Antiqua"/>
          <w:sz w:val="22"/>
          <w:szCs w:val="22"/>
        </w:rPr>
        <w:t>.</w:t>
      </w:r>
    </w:p>
    <w:p w:rsidR="00CD5183" w:rsidRDefault="00206974" w:rsidP="00C01C11">
      <w:pPr>
        <w:pStyle w:val="Paragraphedeliste"/>
        <w:spacing w:before="240" w:after="240" w:line="276" w:lineRule="auto"/>
        <w:ind w:left="0"/>
        <w:contextualSpacing w:val="0"/>
        <w:jc w:val="both"/>
        <w:rPr>
          <w:rFonts w:ascii="Book Antiqua" w:hAnsi="Book Antiqua"/>
          <w:sz w:val="22"/>
          <w:szCs w:val="22"/>
        </w:rPr>
      </w:pPr>
      <w:r w:rsidRPr="00463ABD">
        <w:rPr>
          <w:rFonts w:ascii="Book Antiqua" w:hAnsi="Book Antiqua"/>
          <w:sz w:val="22"/>
          <w:szCs w:val="22"/>
        </w:rPr>
        <w:t>Cette stratégie nationale d’éducation financière devrait s’articuler autour des trois axes ci-après :</w:t>
      </w:r>
    </w:p>
    <w:p w:rsidR="00CD5183" w:rsidRDefault="00CD5183" w:rsidP="00997034">
      <w:pPr>
        <w:pStyle w:val="Paragraphedeliste"/>
        <w:numPr>
          <w:ilvl w:val="0"/>
          <w:numId w:val="49"/>
        </w:numPr>
        <w:spacing w:before="120" w:after="120" w:line="276" w:lineRule="auto"/>
        <w:ind w:left="568" w:hanging="284"/>
        <w:contextualSpacing w:val="0"/>
        <w:jc w:val="both"/>
        <w:rPr>
          <w:rFonts w:ascii="Book Antiqua" w:hAnsi="Book Antiqua"/>
          <w:sz w:val="22"/>
          <w:szCs w:val="22"/>
        </w:rPr>
      </w:pPr>
      <w:r>
        <w:rPr>
          <w:rFonts w:ascii="Book Antiqua" w:hAnsi="Book Antiqua"/>
          <w:sz w:val="22"/>
          <w:szCs w:val="22"/>
        </w:rPr>
        <w:t xml:space="preserve">le premier axe sera orienté vers </w:t>
      </w:r>
      <w:r w:rsidR="00206974" w:rsidRPr="00463ABD">
        <w:rPr>
          <w:rFonts w:ascii="Book Antiqua" w:hAnsi="Book Antiqua"/>
          <w:sz w:val="22"/>
          <w:szCs w:val="22"/>
        </w:rPr>
        <w:t xml:space="preserve">un enseignement d’éducation budgétaire et financière à la base (écoles, universités, etc.) ; </w:t>
      </w:r>
    </w:p>
    <w:p w:rsidR="00CD5183" w:rsidRDefault="00206974" w:rsidP="00997034">
      <w:pPr>
        <w:pStyle w:val="Paragraphedeliste"/>
        <w:numPr>
          <w:ilvl w:val="0"/>
          <w:numId w:val="49"/>
        </w:numPr>
        <w:spacing w:before="120" w:after="120" w:line="276" w:lineRule="auto"/>
        <w:ind w:left="568" w:hanging="284"/>
        <w:contextualSpacing w:val="0"/>
        <w:jc w:val="both"/>
        <w:rPr>
          <w:rFonts w:ascii="Book Antiqua" w:hAnsi="Book Antiqua"/>
          <w:sz w:val="22"/>
          <w:szCs w:val="22"/>
        </w:rPr>
      </w:pPr>
      <w:r w:rsidRPr="00463ABD">
        <w:rPr>
          <w:rFonts w:ascii="Book Antiqua" w:hAnsi="Book Antiqua"/>
          <w:sz w:val="22"/>
          <w:szCs w:val="22"/>
        </w:rPr>
        <w:t xml:space="preserve">le second </w:t>
      </w:r>
      <w:r w:rsidR="00CD5183">
        <w:rPr>
          <w:rFonts w:ascii="Book Antiqua" w:hAnsi="Book Antiqua"/>
          <w:sz w:val="22"/>
          <w:szCs w:val="22"/>
        </w:rPr>
        <w:t xml:space="preserve">sera dédié à l’accompagnement des </w:t>
      </w:r>
      <w:r w:rsidRPr="00463ABD">
        <w:rPr>
          <w:rFonts w:ascii="Book Antiqua" w:hAnsi="Book Antiqua"/>
          <w:sz w:val="22"/>
          <w:szCs w:val="22"/>
        </w:rPr>
        <w:t xml:space="preserve">clients en situation de fragilité financière ; </w:t>
      </w:r>
    </w:p>
    <w:p w:rsidR="00463ABD" w:rsidRPr="00997034" w:rsidRDefault="00CD5183" w:rsidP="00997034">
      <w:pPr>
        <w:pStyle w:val="Paragraphedeliste"/>
        <w:numPr>
          <w:ilvl w:val="0"/>
          <w:numId w:val="49"/>
        </w:numPr>
        <w:spacing w:before="120" w:after="120" w:line="276" w:lineRule="auto"/>
        <w:ind w:left="568" w:hanging="284"/>
        <w:contextualSpacing w:val="0"/>
        <w:jc w:val="both"/>
        <w:rPr>
          <w:rFonts w:ascii="Book Antiqua" w:hAnsi="Book Antiqua"/>
          <w:sz w:val="22"/>
          <w:szCs w:val="22"/>
        </w:rPr>
      </w:pPr>
      <w:r>
        <w:rPr>
          <w:rFonts w:ascii="Book Antiqua" w:hAnsi="Book Antiqua"/>
          <w:sz w:val="22"/>
          <w:szCs w:val="22"/>
        </w:rPr>
        <w:t>le troisième volet visera</w:t>
      </w:r>
      <w:r w:rsidR="00206974" w:rsidRPr="00463ABD">
        <w:rPr>
          <w:rFonts w:ascii="Book Antiqua" w:hAnsi="Book Antiqua"/>
          <w:sz w:val="22"/>
          <w:szCs w:val="22"/>
        </w:rPr>
        <w:t xml:space="preserve"> la vulgarisation de supports pédagogiques et d’outils de communication adaptés à des populations peu alphabétisées et faisant appel aux médias et aux nouvelles technologies de l’information (messages sur mobiles, audiovisuel, internet).  </w:t>
      </w:r>
    </w:p>
    <w:p w:rsidR="00463ABD" w:rsidRPr="00463ABD" w:rsidRDefault="00915B5E" w:rsidP="00997034">
      <w:pPr>
        <w:pStyle w:val="Paragraphedeliste"/>
        <w:numPr>
          <w:ilvl w:val="1"/>
          <w:numId w:val="36"/>
        </w:numPr>
        <w:spacing w:before="240" w:after="240" w:line="276" w:lineRule="auto"/>
        <w:ind w:left="567" w:hanging="283"/>
        <w:contextualSpacing w:val="0"/>
        <w:jc w:val="both"/>
        <w:rPr>
          <w:rFonts w:ascii="Book Antiqua" w:hAnsi="Book Antiqua"/>
          <w:b/>
          <w:sz w:val="22"/>
          <w:szCs w:val="22"/>
        </w:rPr>
      </w:pPr>
      <w:r w:rsidRPr="00463ABD">
        <w:rPr>
          <w:rFonts w:ascii="Book Antiqua" w:hAnsi="Book Antiqua"/>
          <w:b/>
          <w:sz w:val="22"/>
          <w:szCs w:val="22"/>
        </w:rPr>
        <w:t xml:space="preserve">Sur l’accessibilité physique </w:t>
      </w:r>
    </w:p>
    <w:p w:rsidR="003E7BF2" w:rsidRPr="004A7125" w:rsidRDefault="00DF3346" w:rsidP="00C01C11">
      <w:pPr>
        <w:spacing w:before="240" w:after="240" w:line="276" w:lineRule="auto"/>
        <w:jc w:val="both"/>
        <w:rPr>
          <w:rFonts w:ascii="Book Antiqua" w:hAnsi="Book Antiqua"/>
          <w:b/>
          <w:sz w:val="22"/>
          <w:szCs w:val="22"/>
        </w:rPr>
      </w:pPr>
      <w:r>
        <w:rPr>
          <w:rFonts w:ascii="Book Antiqua" w:hAnsi="Book Antiqua"/>
          <w:b/>
          <w:sz w:val="22"/>
          <w:szCs w:val="22"/>
        </w:rPr>
        <w:t>R.15</w:t>
      </w:r>
      <w:r w:rsidR="00463ABD" w:rsidRPr="004A7125">
        <w:rPr>
          <w:rFonts w:ascii="Book Antiqua" w:hAnsi="Book Antiqua"/>
          <w:b/>
          <w:sz w:val="22"/>
          <w:szCs w:val="22"/>
        </w:rPr>
        <w:t xml:space="preserve">. </w:t>
      </w:r>
      <w:r w:rsidR="003D5B50" w:rsidRPr="004A7125">
        <w:rPr>
          <w:rFonts w:ascii="Book Antiqua" w:hAnsi="Book Antiqua"/>
          <w:b/>
          <w:sz w:val="22"/>
          <w:szCs w:val="22"/>
        </w:rPr>
        <w:t xml:space="preserve">Renforcer la politique de proximité </w:t>
      </w:r>
    </w:p>
    <w:p w:rsidR="003E7BF2" w:rsidRPr="00463ABD" w:rsidRDefault="003E7BF2" w:rsidP="00C01C11">
      <w:pPr>
        <w:spacing w:before="240" w:after="240" w:line="276" w:lineRule="auto"/>
        <w:jc w:val="both"/>
        <w:rPr>
          <w:rFonts w:ascii="Book Antiqua" w:eastAsiaTheme="minorEastAsia" w:hAnsi="Book Antiqua"/>
          <w:sz w:val="22"/>
          <w:szCs w:val="22"/>
        </w:rPr>
      </w:pPr>
      <w:r w:rsidRPr="00463ABD">
        <w:rPr>
          <w:rFonts w:ascii="Book Antiqua" w:eastAsiaTheme="minorEastAsia" w:hAnsi="Book Antiqua"/>
          <w:sz w:val="22"/>
          <w:szCs w:val="22"/>
        </w:rPr>
        <w:t xml:space="preserve">A l’examen </w:t>
      </w:r>
      <w:r w:rsidR="003268EA">
        <w:rPr>
          <w:rFonts w:ascii="Book Antiqua" w:eastAsiaTheme="minorEastAsia" w:hAnsi="Book Antiqua"/>
          <w:sz w:val="22"/>
          <w:szCs w:val="22"/>
        </w:rPr>
        <w:t>des résultats de l’ESUB, il apparait</w:t>
      </w:r>
      <w:r w:rsidRPr="00463ABD">
        <w:rPr>
          <w:rFonts w:ascii="Book Antiqua" w:eastAsiaTheme="minorEastAsia" w:hAnsi="Book Antiqua"/>
          <w:sz w:val="22"/>
          <w:szCs w:val="22"/>
        </w:rPr>
        <w:t>,</w:t>
      </w:r>
      <w:r w:rsidR="00DF3346">
        <w:rPr>
          <w:rFonts w:ascii="Book Antiqua" w:eastAsiaTheme="minorEastAsia" w:hAnsi="Book Antiqua"/>
          <w:sz w:val="22"/>
          <w:szCs w:val="22"/>
        </w:rPr>
        <w:t xml:space="preserve"> </w:t>
      </w:r>
      <w:r w:rsidRPr="00463ABD">
        <w:rPr>
          <w:rFonts w:ascii="Book Antiqua" w:eastAsiaTheme="minorEastAsia" w:hAnsi="Book Antiqua"/>
          <w:sz w:val="22"/>
          <w:szCs w:val="22"/>
        </w:rPr>
        <w:t>selon des proportions plus ou moins importantes,</w:t>
      </w:r>
      <w:r w:rsidR="00DF3346">
        <w:rPr>
          <w:rFonts w:ascii="Book Antiqua" w:eastAsiaTheme="minorEastAsia" w:hAnsi="Book Antiqua"/>
          <w:sz w:val="22"/>
          <w:szCs w:val="22"/>
        </w:rPr>
        <w:t xml:space="preserve"> </w:t>
      </w:r>
      <w:r w:rsidRPr="00463ABD">
        <w:rPr>
          <w:rFonts w:ascii="Book Antiqua" w:eastAsiaTheme="minorEastAsia" w:hAnsi="Book Antiqua"/>
          <w:sz w:val="22"/>
          <w:szCs w:val="22"/>
        </w:rPr>
        <w:t>des niches d’insatisfaction chez les opinions des personnes physiques enquêtées</w:t>
      </w:r>
      <w:r w:rsidR="003268EA">
        <w:rPr>
          <w:rFonts w:ascii="Book Antiqua" w:eastAsiaTheme="minorEastAsia" w:hAnsi="Book Antiqua"/>
          <w:sz w:val="22"/>
          <w:szCs w:val="22"/>
        </w:rPr>
        <w:t>,</w:t>
      </w:r>
      <w:r w:rsidR="00DF3346">
        <w:rPr>
          <w:rFonts w:ascii="Book Antiqua" w:eastAsiaTheme="minorEastAsia" w:hAnsi="Book Antiqua"/>
          <w:sz w:val="22"/>
          <w:szCs w:val="22"/>
        </w:rPr>
        <w:t xml:space="preserve"> </w:t>
      </w:r>
      <w:r w:rsidR="003268EA">
        <w:rPr>
          <w:rFonts w:ascii="Book Antiqua" w:eastAsiaTheme="minorEastAsia" w:hAnsi="Book Antiqua"/>
          <w:sz w:val="22"/>
          <w:szCs w:val="22"/>
        </w:rPr>
        <w:t xml:space="preserve">reflétées </w:t>
      </w:r>
      <w:r w:rsidRPr="00463ABD">
        <w:rPr>
          <w:rFonts w:ascii="Book Antiqua" w:eastAsiaTheme="minorEastAsia" w:hAnsi="Book Antiqua"/>
          <w:sz w:val="22"/>
          <w:szCs w:val="22"/>
        </w:rPr>
        <w:t>par :</w:t>
      </w:r>
    </w:p>
    <w:p w:rsidR="003E7BF2" w:rsidRPr="00463ABD" w:rsidRDefault="003E7BF2" w:rsidP="00997034">
      <w:pPr>
        <w:pStyle w:val="Paragraphedeliste"/>
        <w:numPr>
          <w:ilvl w:val="0"/>
          <w:numId w:val="49"/>
        </w:numPr>
        <w:spacing w:before="120" w:after="120" w:line="276" w:lineRule="auto"/>
        <w:ind w:left="568" w:hanging="284"/>
        <w:contextualSpacing w:val="0"/>
        <w:jc w:val="both"/>
        <w:rPr>
          <w:rFonts w:ascii="Book Antiqua" w:eastAsiaTheme="minorEastAsia" w:hAnsi="Book Antiqua"/>
          <w:sz w:val="22"/>
          <w:szCs w:val="22"/>
        </w:rPr>
      </w:pPr>
      <w:r w:rsidRPr="00463ABD">
        <w:rPr>
          <w:rFonts w:ascii="Book Antiqua" w:eastAsiaTheme="minorEastAsia" w:hAnsi="Book Antiqua"/>
          <w:sz w:val="22"/>
          <w:szCs w:val="22"/>
        </w:rPr>
        <w:t xml:space="preserve">un taux d’insatisfaction relativement élevé (27,2%) </w:t>
      </w:r>
      <w:r w:rsidR="003268EA">
        <w:rPr>
          <w:rFonts w:ascii="Book Antiqua" w:eastAsiaTheme="minorEastAsia" w:hAnsi="Book Antiqua"/>
          <w:sz w:val="22"/>
          <w:szCs w:val="22"/>
        </w:rPr>
        <w:t>sur</w:t>
      </w:r>
      <w:r w:rsidRPr="00463ABD">
        <w:rPr>
          <w:rFonts w:ascii="Book Antiqua" w:eastAsiaTheme="minorEastAsia" w:hAnsi="Book Antiqua"/>
          <w:sz w:val="22"/>
          <w:szCs w:val="22"/>
        </w:rPr>
        <w:t xml:space="preserve"> la répartition géographique des agences bancaires ;</w:t>
      </w:r>
    </w:p>
    <w:p w:rsidR="003E7BF2" w:rsidRPr="00463ABD" w:rsidRDefault="003E7BF2" w:rsidP="00997034">
      <w:pPr>
        <w:pStyle w:val="Paragraphedeliste"/>
        <w:numPr>
          <w:ilvl w:val="0"/>
          <w:numId w:val="49"/>
        </w:numPr>
        <w:spacing w:before="120" w:after="120" w:line="276" w:lineRule="auto"/>
        <w:ind w:left="568" w:hanging="284"/>
        <w:contextualSpacing w:val="0"/>
        <w:jc w:val="both"/>
        <w:rPr>
          <w:rFonts w:ascii="Book Antiqua" w:eastAsiaTheme="minorEastAsia" w:hAnsi="Book Antiqua"/>
          <w:sz w:val="22"/>
          <w:szCs w:val="22"/>
        </w:rPr>
      </w:pPr>
      <w:r w:rsidRPr="00463ABD">
        <w:rPr>
          <w:rFonts w:ascii="Book Antiqua" w:eastAsiaTheme="minorEastAsia" w:hAnsi="Book Antiqua"/>
          <w:sz w:val="22"/>
          <w:szCs w:val="22"/>
        </w:rPr>
        <w:t xml:space="preserve">une appréciation négative (21,4%) sur les horaires de services; </w:t>
      </w:r>
    </w:p>
    <w:p w:rsidR="003E7BF2" w:rsidRPr="00463ABD" w:rsidRDefault="003E7BF2" w:rsidP="00997034">
      <w:pPr>
        <w:pStyle w:val="Paragraphedeliste"/>
        <w:numPr>
          <w:ilvl w:val="0"/>
          <w:numId w:val="49"/>
        </w:numPr>
        <w:spacing w:before="120" w:after="120" w:line="276" w:lineRule="auto"/>
        <w:ind w:left="568" w:hanging="284"/>
        <w:contextualSpacing w:val="0"/>
        <w:jc w:val="both"/>
        <w:rPr>
          <w:rFonts w:ascii="Book Antiqua" w:eastAsiaTheme="minorEastAsia" w:hAnsi="Book Antiqua"/>
          <w:sz w:val="22"/>
          <w:szCs w:val="22"/>
        </w:rPr>
      </w:pPr>
      <w:r w:rsidRPr="00463ABD">
        <w:rPr>
          <w:rFonts w:ascii="Book Antiqua" w:eastAsiaTheme="minorEastAsia" w:hAnsi="Book Antiqua"/>
          <w:sz w:val="22"/>
          <w:szCs w:val="22"/>
        </w:rPr>
        <w:t>des opinions défavorables (40,8%) sur l’accessibilité par téléphone;</w:t>
      </w:r>
    </w:p>
    <w:p w:rsidR="003268EA" w:rsidRDefault="003E7BF2" w:rsidP="00997034">
      <w:pPr>
        <w:pStyle w:val="Paragraphedeliste"/>
        <w:numPr>
          <w:ilvl w:val="0"/>
          <w:numId w:val="49"/>
        </w:numPr>
        <w:spacing w:before="120" w:after="120" w:line="276" w:lineRule="auto"/>
        <w:ind w:left="568" w:hanging="284"/>
        <w:contextualSpacing w:val="0"/>
        <w:jc w:val="both"/>
        <w:rPr>
          <w:rFonts w:ascii="Book Antiqua" w:eastAsiaTheme="minorEastAsia" w:hAnsi="Book Antiqua"/>
          <w:sz w:val="22"/>
          <w:szCs w:val="22"/>
        </w:rPr>
      </w:pPr>
      <w:r w:rsidRPr="003268EA">
        <w:rPr>
          <w:rFonts w:ascii="Book Antiqua" w:eastAsiaTheme="minorEastAsia" w:hAnsi="Book Antiqua"/>
          <w:sz w:val="22"/>
          <w:szCs w:val="22"/>
        </w:rPr>
        <w:t xml:space="preserve">des difficultés </w:t>
      </w:r>
      <w:r w:rsidR="003268EA" w:rsidRPr="003268EA">
        <w:rPr>
          <w:rFonts w:ascii="Book Antiqua" w:eastAsiaTheme="minorEastAsia" w:hAnsi="Book Antiqua"/>
          <w:sz w:val="22"/>
          <w:szCs w:val="22"/>
        </w:rPr>
        <w:t xml:space="preserve">d’accès </w:t>
      </w:r>
      <w:r w:rsidR="003268EA">
        <w:rPr>
          <w:rFonts w:ascii="Book Antiqua" w:eastAsiaTheme="minorEastAsia" w:hAnsi="Book Antiqua"/>
          <w:sz w:val="22"/>
          <w:szCs w:val="22"/>
        </w:rPr>
        <w:t>aux services à distance de leur banque</w:t>
      </w:r>
      <w:r w:rsidR="00297144">
        <w:rPr>
          <w:rFonts w:ascii="Book Antiqua" w:eastAsiaTheme="minorEastAsia" w:hAnsi="Book Antiqua"/>
          <w:sz w:val="22"/>
          <w:szCs w:val="22"/>
        </w:rPr>
        <w:t xml:space="preserve"> </w:t>
      </w:r>
      <w:r w:rsidR="003268EA">
        <w:rPr>
          <w:rFonts w:ascii="Book Antiqua" w:eastAsiaTheme="minorEastAsia" w:hAnsi="Book Antiqua"/>
          <w:sz w:val="22"/>
          <w:szCs w:val="22"/>
        </w:rPr>
        <w:t>(</w:t>
      </w:r>
      <w:r w:rsidR="003268EA" w:rsidRPr="003268EA">
        <w:rPr>
          <w:rFonts w:ascii="Book Antiqua" w:eastAsiaTheme="minorEastAsia" w:hAnsi="Book Antiqua"/>
          <w:sz w:val="22"/>
          <w:szCs w:val="22"/>
        </w:rPr>
        <w:t>25,2%</w:t>
      </w:r>
      <w:r w:rsidR="003268EA">
        <w:rPr>
          <w:rFonts w:ascii="Book Antiqua" w:eastAsiaTheme="minorEastAsia" w:hAnsi="Book Antiqua"/>
          <w:sz w:val="22"/>
          <w:szCs w:val="22"/>
        </w:rPr>
        <w:t>).</w:t>
      </w:r>
    </w:p>
    <w:p w:rsidR="003E7BF2" w:rsidRPr="00463ABD" w:rsidRDefault="003E7BF2" w:rsidP="00C01C11">
      <w:pPr>
        <w:spacing w:before="240" w:after="240" w:line="276" w:lineRule="auto"/>
        <w:jc w:val="both"/>
        <w:rPr>
          <w:rFonts w:ascii="Book Antiqua" w:eastAsiaTheme="minorEastAsia" w:hAnsi="Book Antiqua"/>
          <w:sz w:val="22"/>
          <w:szCs w:val="22"/>
        </w:rPr>
      </w:pPr>
      <w:r w:rsidRPr="00463ABD">
        <w:rPr>
          <w:rFonts w:ascii="Book Antiqua" w:eastAsiaTheme="minorEastAsia" w:hAnsi="Book Antiqua"/>
          <w:sz w:val="22"/>
          <w:szCs w:val="22"/>
        </w:rPr>
        <w:t xml:space="preserve">Globalement, les constats négatifs reflétés par </w:t>
      </w:r>
      <w:r w:rsidR="003268EA">
        <w:rPr>
          <w:rFonts w:ascii="Book Antiqua" w:eastAsiaTheme="minorEastAsia" w:hAnsi="Book Antiqua"/>
          <w:sz w:val="22"/>
          <w:szCs w:val="22"/>
        </w:rPr>
        <w:t>les</w:t>
      </w:r>
      <w:r w:rsidR="00DF3346">
        <w:rPr>
          <w:rFonts w:ascii="Book Antiqua" w:eastAsiaTheme="minorEastAsia" w:hAnsi="Book Antiqua"/>
          <w:sz w:val="22"/>
          <w:szCs w:val="22"/>
        </w:rPr>
        <w:t xml:space="preserve"> </w:t>
      </w:r>
      <w:r w:rsidR="003268EA">
        <w:rPr>
          <w:rFonts w:ascii="Book Antiqua" w:eastAsiaTheme="minorEastAsia" w:hAnsi="Book Antiqua"/>
          <w:sz w:val="22"/>
          <w:szCs w:val="22"/>
        </w:rPr>
        <w:t>points</w:t>
      </w:r>
      <w:r w:rsidRPr="00463ABD">
        <w:rPr>
          <w:rFonts w:ascii="Book Antiqua" w:eastAsiaTheme="minorEastAsia" w:hAnsi="Book Antiqua"/>
          <w:sz w:val="22"/>
          <w:szCs w:val="22"/>
        </w:rPr>
        <w:t xml:space="preserve"> d’insatisfaction</w:t>
      </w:r>
      <w:r w:rsidR="003268EA">
        <w:rPr>
          <w:rFonts w:ascii="Book Antiqua" w:eastAsiaTheme="minorEastAsia" w:hAnsi="Book Antiqua"/>
          <w:sz w:val="22"/>
          <w:szCs w:val="22"/>
        </w:rPr>
        <w:t xml:space="preserve"> relevés</w:t>
      </w:r>
      <w:r w:rsidR="00DF3346">
        <w:rPr>
          <w:rFonts w:ascii="Book Antiqua" w:eastAsiaTheme="minorEastAsia" w:hAnsi="Book Antiqua"/>
          <w:sz w:val="22"/>
          <w:szCs w:val="22"/>
        </w:rPr>
        <w:t xml:space="preserve"> </w:t>
      </w:r>
      <w:r w:rsidR="003268EA">
        <w:rPr>
          <w:rFonts w:ascii="Book Antiqua" w:eastAsiaTheme="minorEastAsia" w:hAnsi="Book Antiqua"/>
          <w:sz w:val="22"/>
          <w:szCs w:val="22"/>
        </w:rPr>
        <w:t>sur les aspects susmentionnés requièrent</w:t>
      </w:r>
      <w:r w:rsidR="00DF3346">
        <w:rPr>
          <w:rFonts w:ascii="Book Antiqua" w:eastAsiaTheme="minorEastAsia" w:hAnsi="Book Antiqua"/>
          <w:sz w:val="22"/>
          <w:szCs w:val="22"/>
        </w:rPr>
        <w:t xml:space="preserve"> </w:t>
      </w:r>
      <w:r w:rsidR="003268EA">
        <w:rPr>
          <w:rFonts w:ascii="Book Antiqua" w:eastAsiaTheme="minorEastAsia" w:hAnsi="Book Antiqua"/>
          <w:sz w:val="22"/>
          <w:szCs w:val="22"/>
        </w:rPr>
        <w:t xml:space="preserve">la mise en œuvre des recommandations ci-dessous : </w:t>
      </w:r>
    </w:p>
    <w:p w:rsidR="00692963" w:rsidRPr="00297144" w:rsidRDefault="003268EA" w:rsidP="00997034">
      <w:pPr>
        <w:pStyle w:val="Paragraphedeliste"/>
        <w:numPr>
          <w:ilvl w:val="0"/>
          <w:numId w:val="49"/>
        </w:numPr>
        <w:spacing w:before="120" w:after="120" w:line="276" w:lineRule="auto"/>
        <w:ind w:left="568" w:hanging="284"/>
        <w:contextualSpacing w:val="0"/>
        <w:jc w:val="both"/>
        <w:rPr>
          <w:rFonts w:ascii="Book Antiqua" w:eastAsiaTheme="minorEastAsia" w:hAnsi="Book Antiqua"/>
          <w:sz w:val="22"/>
          <w:szCs w:val="22"/>
        </w:rPr>
      </w:pPr>
      <w:r>
        <w:rPr>
          <w:rFonts w:ascii="Book Antiqua" w:eastAsiaTheme="minorEastAsia" w:hAnsi="Book Antiqua"/>
          <w:sz w:val="22"/>
          <w:szCs w:val="22"/>
        </w:rPr>
        <w:t xml:space="preserve">un maillage plus soutenu des </w:t>
      </w:r>
      <w:r w:rsidR="00692963">
        <w:rPr>
          <w:rFonts w:ascii="Book Antiqua" w:eastAsiaTheme="minorEastAsia" w:hAnsi="Book Antiqua"/>
          <w:sz w:val="22"/>
          <w:szCs w:val="22"/>
        </w:rPr>
        <w:t xml:space="preserve">points de </w:t>
      </w:r>
      <w:r>
        <w:rPr>
          <w:rFonts w:ascii="Book Antiqua" w:eastAsiaTheme="minorEastAsia" w:hAnsi="Book Antiqua"/>
          <w:sz w:val="22"/>
          <w:szCs w:val="22"/>
        </w:rPr>
        <w:t>services bancaires à travers l</w:t>
      </w:r>
      <w:r w:rsidR="003E7BF2" w:rsidRPr="00463ABD">
        <w:rPr>
          <w:rFonts w:ascii="Book Antiqua" w:eastAsiaTheme="minorEastAsia" w:hAnsi="Book Antiqua"/>
          <w:sz w:val="22"/>
          <w:szCs w:val="22"/>
        </w:rPr>
        <w:t xml:space="preserve">a décentralisation </w:t>
      </w:r>
      <w:r w:rsidR="00692963">
        <w:rPr>
          <w:rFonts w:ascii="Book Antiqua" w:eastAsiaTheme="minorEastAsia" w:hAnsi="Book Antiqua"/>
          <w:sz w:val="22"/>
          <w:szCs w:val="22"/>
        </w:rPr>
        <w:t xml:space="preserve">des banques particulièrement dans les régions de </w:t>
      </w:r>
      <w:proofErr w:type="spellStart"/>
      <w:r w:rsidR="00692963">
        <w:rPr>
          <w:rFonts w:ascii="Book Antiqua" w:eastAsiaTheme="minorEastAsia" w:hAnsi="Book Antiqua"/>
          <w:sz w:val="22"/>
          <w:szCs w:val="22"/>
        </w:rPr>
        <w:t>Kaffrine</w:t>
      </w:r>
      <w:proofErr w:type="spellEnd"/>
      <w:r w:rsidR="00692963">
        <w:rPr>
          <w:rFonts w:ascii="Book Antiqua" w:eastAsiaTheme="minorEastAsia" w:hAnsi="Book Antiqua"/>
          <w:sz w:val="22"/>
          <w:szCs w:val="22"/>
        </w:rPr>
        <w:t xml:space="preserve"> et </w:t>
      </w:r>
      <w:proofErr w:type="spellStart"/>
      <w:r w:rsidR="00692963">
        <w:rPr>
          <w:rFonts w:ascii="Book Antiqua" w:eastAsiaTheme="minorEastAsia" w:hAnsi="Book Antiqua"/>
          <w:sz w:val="22"/>
          <w:szCs w:val="22"/>
        </w:rPr>
        <w:t>Sédhiou</w:t>
      </w:r>
      <w:proofErr w:type="spellEnd"/>
      <w:r w:rsidR="00692963">
        <w:rPr>
          <w:rFonts w:ascii="Book Antiqua" w:eastAsiaTheme="minorEastAsia" w:hAnsi="Book Antiqua"/>
          <w:sz w:val="22"/>
          <w:szCs w:val="22"/>
        </w:rPr>
        <w:t>. A</w:t>
      </w:r>
      <w:r w:rsidR="003E7BF2" w:rsidRPr="00463ABD">
        <w:rPr>
          <w:rFonts w:ascii="Book Antiqua" w:eastAsiaTheme="minorEastAsia" w:hAnsi="Book Antiqua"/>
          <w:sz w:val="22"/>
          <w:szCs w:val="22"/>
        </w:rPr>
        <w:t xml:space="preserve"> cet égard, des mesures soutenues </w:t>
      </w:r>
      <w:r w:rsidR="00692963">
        <w:rPr>
          <w:rFonts w:ascii="Book Antiqua" w:eastAsiaTheme="minorEastAsia" w:hAnsi="Book Antiqua"/>
          <w:sz w:val="22"/>
          <w:szCs w:val="22"/>
        </w:rPr>
        <w:t>d’accompagnement de la part des</w:t>
      </w:r>
      <w:r w:rsidR="003E7BF2" w:rsidRPr="00463ABD">
        <w:rPr>
          <w:rFonts w:ascii="Book Antiqua" w:eastAsiaTheme="minorEastAsia" w:hAnsi="Book Antiqua"/>
          <w:sz w:val="22"/>
          <w:szCs w:val="22"/>
        </w:rPr>
        <w:t xml:space="preserve"> autorités étatiques et monétaires</w:t>
      </w:r>
      <w:r w:rsidR="00692963">
        <w:rPr>
          <w:rFonts w:ascii="Book Antiqua" w:eastAsiaTheme="minorEastAsia" w:hAnsi="Book Antiqua"/>
          <w:sz w:val="22"/>
          <w:szCs w:val="22"/>
        </w:rPr>
        <w:t xml:space="preserve"> seraient nécessaires. Il s’agira</w:t>
      </w:r>
      <w:r w:rsidR="00DF3346">
        <w:rPr>
          <w:rFonts w:ascii="Book Antiqua" w:eastAsiaTheme="minorEastAsia" w:hAnsi="Book Antiqua"/>
          <w:sz w:val="22"/>
          <w:szCs w:val="22"/>
        </w:rPr>
        <w:t xml:space="preserve"> </w:t>
      </w:r>
      <w:r w:rsidR="00692963">
        <w:rPr>
          <w:rFonts w:ascii="Book Antiqua" w:eastAsiaTheme="minorEastAsia" w:hAnsi="Book Antiqua"/>
          <w:sz w:val="22"/>
          <w:szCs w:val="22"/>
        </w:rPr>
        <w:t>de renforcer la mise en place d’infrastructures sécuritaires ainsi que</w:t>
      </w:r>
      <w:r w:rsidR="00DF3346">
        <w:rPr>
          <w:rFonts w:ascii="Book Antiqua" w:eastAsiaTheme="minorEastAsia" w:hAnsi="Book Antiqua"/>
          <w:sz w:val="22"/>
          <w:szCs w:val="22"/>
        </w:rPr>
        <w:t xml:space="preserve"> </w:t>
      </w:r>
      <w:r w:rsidR="00692963">
        <w:rPr>
          <w:rFonts w:ascii="Book Antiqua" w:eastAsiaTheme="minorEastAsia" w:hAnsi="Book Antiqua"/>
          <w:sz w:val="22"/>
          <w:szCs w:val="22"/>
        </w:rPr>
        <w:t xml:space="preserve">l’installation d’agences de la Banque centrale, </w:t>
      </w:r>
      <w:r w:rsidR="003E7BF2" w:rsidRPr="00463ABD">
        <w:rPr>
          <w:rFonts w:ascii="Book Antiqua" w:eastAsiaTheme="minorEastAsia" w:hAnsi="Book Antiqua"/>
          <w:sz w:val="22"/>
          <w:szCs w:val="22"/>
        </w:rPr>
        <w:t>proches des lie</w:t>
      </w:r>
      <w:r w:rsidR="00692963">
        <w:rPr>
          <w:rFonts w:ascii="Book Antiqua" w:eastAsiaTheme="minorEastAsia" w:hAnsi="Book Antiqua"/>
          <w:sz w:val="22"/>
          <w:szCs w:val="22"/>
        </w:rPr>
        <w:t>ux d’implantation des banques</w:t>
      </w:r>
      <w:r w:rsidR="009C2269">
        <w:rPr>
          <w:rFonts w:ascii="Book Antiqua" w:eastAsiaTheme="minorEastAsia" w:hAnsi="Book Antiqua"/>
          <w:sz w:val="22"/>
          <w:szCs w:val="22"/>
        </w:rPr>
        <w:t xml:space="preserve">. </w:t>
      </w:r>
      <w:r w:rsidR="009C2269">
        <w:rPr>
          <w:rFonts w:ascii="Book Antiqua" w:eastAsiaTheme="minorEastAsia" w:hAnsi="Book Antiqua"/>
          <w:sz w:val="22"/>
          <w:szCs w:val="22"/>
        </w:rPr>
        <w:lastRenderedPageBreak/>
        <w:t xml:space="preserve">En outre, </w:t>
      </w:r>
      <w:r w:rsidR="009C2269" w:rsidRPr="00772C67">
        <w:rPr>
          <w:rFonts w:ascii="Book Antiqua" w:eastAsiaTheme="minorEastAsia" w:hAnsi="Book Antiqua"/>
          <w:sz w:val="22"/>
          <w:szCs w:val="22"/>
        </w:rPr>
        <w:t xml:space="preserve">des </w:t>
      </w:r>
      <w:r w:rsidR="009C2269" w:rsidRPr="00772C67">
        <w:rPr>
          <w:rFonts w:ascii="Book Antiqua" w:hAnsi="Book Antiqua"/>
          <w:sz w:val="22"/>
          <w:szCs w:val="22"/>
        </w:rPr>
        <w:t xml:space="preserve">mesures d’incitations fiscales, l’amélioration de la couverture internet et téléphonique ainsi que </w:t>
      </w:r>
      <w:r w:rsidR="00772C67" w:rsidRPr="00772C67">
        <w:rPr>
          <w:rFonts w:ascii="Book Antiqua" w:hAnsi="Book Antiqua"/>
          <w:sz w:val="22"/>
          <w:szCs w:val="22"/>
        </w:rPr>
        <w:t>le développement</w:t>
      </w:r>
      <w:r w:rsidR="009C2269" w:rsidRPr="00772C67">
        <w:rPr>
          <w:rFonts w:ascii="Book Antiqua" w:hAnsi="Book Antiqua"/>
          <w:sz w:val="22"/>
          <w:szCs w:val="22"/>
        </w:rPr>
        <w:t xml:space="preserve"> de pistes de productions adéquates (routes, pôles économique</w:t>
      </w:r>
      <w:r w:rsidR="00297144">
        <w:rPr>
          <w:rFonts w:ascii="Book Antiqua" w:hAnsi="Book Antiqua"/>
          <w:sz w:val="22"/>
          <w:szCs w:val="22"/>
        </w:rPr>
        <w:t>s,</w:t>
      </w:r>
      <w:r w:rsidR="009C2269" w:rsidRPr="00772C67">
        <w:rPr>
          <w:rFonts w:ascii="Book Antiqua" w:hAnsi="Book Antiqua"/>
          <w:sz w:val="22"/>
          <w:szCs w:val="22"/>
        </w:rPr>
        <w:t xml:space="preserve"> etc.)</w:t>
      </w:r>
      <w:r w:rsidR="00772C67" w:rsidRPr="00772C67">
        <w:rPr>
          <w:rFonts w:ascii="Book Antiqua" w:hAnsi="Book Antiqua"/>
          <w:sz w:val="22"/>
          <w:szCs w:val="22"/>
        </w:rPr>
        <w:t xml:space="preserve"> pourraient également être préconisées</w:t>
      </w:r>
      <w:r w:rsidR="009C2269" w:rsidRPr="00772C67">
        <w:rPr>
          <w:rFonts w:ascii="Book Antiqua" w:hAnsi="Book Antiqua"/>
          <w:sz w:val="22"/>
          <w:szCs w:val="22"/>
        </w:rPr>
        <w:t>.</w:t>
      </w:r>
    </w:p>
    <w:p w:rsidR="003E7BF2" w:rsidRPr="00463ABD" w:rsidRDefault="003E7BF2" w:rsidP="00997034">
      <w:pPr>
        <w:pStyle w:val="Paragraphedeliste"/>
        <w:numPr>
          <w:ilvl w:val="0"/>
          <w:numId w:val="49"/>
        </w:numPr>
        <w:spacing w:before="120" w:after="120" w:line="276" w:lineRule="auto"/>
        <w:ind w:left="568" w:hanging="284"/>
        <w:contextualSpacing w:val="0"/>
        <w:jc w:val="both"/>
        <w:rPr>
          <w:rFonts w:ascii="Book Antiqua" w:eastAsiaTheme="minorEastAsia" w:hAnsi="Book Antiqua"/>
          <w:sz w:val="22"/>
          <w:szCs w:val="22"/>
        </w:rPr>
      </w:pPr>
      <w:r w:rsidRPr="00463ABD">
        <w:rPr>
          <w:rFonts w:ascii="Book Antiqua" w:eastAsiaTheme="minorEastAsia" w:hAnsi="Book Antiqua"/>
          <w:sz w:val="22"/>
          <w:szCs w:val="22"/>
        </w:rPr>
        <w:t>la mise en place et la généralisation d’un serveur vocal et un centre d’appel</w:t>
      </w:r>
      <w:r w:rsidR="009C2269">
        <w:rPr>
          <w:rFonts w:ascii="Book Antiqua" w:eastAsiaTheme="minorEastAsia" w:hAnsi="Book Antiqua"/>
          <w:sz w:val="22"/>
          <w:szCs w:val="22"/>
        </w:rPr>
        <w:t xml:space="preserve"> téléphonique</w:t>
      </w:r>
      <w:r w:rsidRPr="00463ABD">
        <w:rPr>
          <w:rFonts w:ascii="Book Antiqua" w:eastAsiaTheme="minorEastAsia" w:hAnsi="Book Antiqua"/>
          <w:sz w:val="22"/>
          <w:szCs w:val="22"/>
        </w:rPr>
        <w:t xml:space="preserve"> ouvert </w:t>
      </w:r>
      <w:r w:rsidR="00772C67">
        <w:rPr>
          <w:rFonts w:ascii="Book Antiqua" w:eastAsiaTheme="minorEastAsia" w:hAnsi="Book Antiqua"/>
          <w:sz w:val="22"/>
          <w:szCs w:val="22"/>
        </w:rPr>
        <w:t>à des</w:t>
      </w:r>
      <w:r w:rsidRPr="00463ABD">
        <w:rPr>
          <w:rFonts w:ascii="Book Antiqua" w:eastAsiaTheme="minorEastAsia" w:hAnsi="Book Antiqua"/>
          <w:sz w:val="22"/>
          <w:szCs w:val="22"/>
        </w:rPr>
        <w:t xml:space="preserve"> plages horaires plus </w:t>
      </w:r>
      <w:r w:rsidR="009C2269">
        <w:rPr>
          <w:rFonts w:ascii="Book Antiqua" w:eastAsiaTheme="minorEastAsia" w:hAnsi="Book Antiqua"/>
          <w:sz w:val="22"/>
          <w:szCs w:val="22"/>
        </w:rPr>
        <w:t xml:space="preserve">larges. </w:t>
      </w:r>
    </w:p>
    <w:p w:rsidR="009C2269" w:rsidRPr="00463ABD" w:rsidRDefault="003E7BF2" w:rsidP="00C01C11">
      <w:pPr>
        <w:pStyle w:val="NormalWeb"/>
        <w:spacing w:before="240" w:beforeAutospacing="0" w:after="240" w:afterAutospacing="0" w:line="276" w:lineRule="auto"/>
        <w:jc w:val="both"/>
        <w:rPr>
          <w:rFonts w:ascii="Book Antiqua" w:hAnsi="Book Antiqua" w:cs="Helvetica"/>
          <w:spacing w:val="3"/>
          <w:sz w:val="22"/>
          <w:szCs w:val="22"/>
        </w:rPr>
      </w:pPr>
      <w:r w:rsidRPr="00463ABD">
        <w:rPr>
          <w:rFonts w:ascii="Book Antiqua" w:eastAsiaTheme="minorEastAsia" w:hAnsi="Book Antiqua"/>
          <w:sz w:val="22"/>
          <w:szCs w:val="22"/>
        </w:rPr>
        <w:t>Toutefois, l’accessibilité d’une banque ou de ses agences ne saurait être uniquement circonscrit</w:t>
      </w:r>
      <w:r w:rsidR="00772C67">
        <w:rPr>
          <w:rFonts w:ascii="Book Antiqua" w:eastAsiaTheme="minorEastAsia" w:hAnsi="Book Antiqua"/>
          <w:sz w:val="22"/>
          <w:szCs w:val="22"/>
        </w:rPr>
        <w:t>e</w:t>
      </w:r>
      <w:r w:rsidRPr="00463ABD">
        <w:rPr>
          <w:rFonts w:ascii="Book Antiqua" w:eastAsiaTheme="minorEastAsia" w:hAnsi="Book Antiqua"/>
          <w:sz w:val="22"/>
          <w:szCs w:val="22"/>
        </w:rPr>
        <w:t xml:space="preserve"> autour du dimensionnement de son réseau.</w:t>
      </w:r>
      <w:r w:rsidR="00DF3346">
        <w:rPr>
          <w:rFonts w:ascii="Book Antiqua" w:eastAsiaTheme="minorEastAsia" w:hAnsi="Book Antiqua"/>
          <w:sz w:val="22"/>
          <w:szCs w:val="22"/>
        </w:rPr>
        <w:t xml:space="preserve"> </w:t>
      </w:r>
      <w:r w:rsidRPr="00463ABD">
        <w:rPr>
          <w:rFonts w:ascii="Book Antiqua" w:hAnsi="Book Antiqua" w:cs="Helvetica"/>
          <w:spacing w:val="3"/>
          <w:sz w:val="22"/>
          <w:szCs w:val="22"/>
        </w:rPr>
        <w:t>Les banques doivent faire preuve davantage d’innovations</w:t>
      </w:r>
      <w:r w:rsidR="00DF3346">
        <w:rPr>
          <w:rFonts w:ascii="Book Antiqua" w:hAnsi="Book Antiqua" w:cs="Helvetica"/>
          <w:spacing w:val="3"/>
          <w:sz w:val="22"/>
          <w:szCs w:val="22"/>
        </w:rPr>
        <w:t xml:space="preserve"> </w:t>
      </w:r>
      <w:r w:rsidRPr="00463ABD">
        <w:rPr>
          <w:rFonts w:ascii="Book Antiqua" w:hAnsi="Book Antiqua" w:cs="Helvetica"/>
          <w:spacing w:val="3"/>
          <w:sz w:val="22"/>
          <w:szCs w:val="22"/>
        </w:rPr>
        <w:t xml:space="preserve">afin de concilier qualité de service et logique de rentabilité en s’appuyant sur </w:t>
      </w:r>
      <w:r w:rsidR="00772C67">
        <w:rPr>
          <w:rFonts w:ascii="Book Antiqua" w:hAnsi="Book Antiqua" w:cs="Helvetica"/>
          <w:spacing w:val="3"/>
          <w:sz w:val="22"/>
          <w:szCs w:val="22"/>
        </w:rPr>
        <w:t xml:space="preserve">le suivi personnalisé du </w:t>
      </w:r>
      <w:r w:rsidRPr="00463ABD">
        <w:rPr>
          <w:rFonts w:ascii="Book Antiqua" w:hAnsi="Book Antiqua" w:cs="Helvetica"/>
          <w:spacing w:val="3"/>
          <w:sz w:val="22"/>
          <w:szCs w:val="22"/>
        </w:rPr>
        <w:t>client.</w:t>
      </w:r>
    </w:p>
    <w:p w:rsidR="00915B5E" w:rsidRDefault="009C2269" w:rsidP="00C01C11">
      <w:pPr>
        <w:pStyle w:val="NormalWeb"/>
        <w:shd w:val="clear" w:color="auto" w:fill="FFFFFF"/>
        <w:spacing w:before="240" w:beforeAutospacing="0" w:after="240" w:afterAutospacing="0" w:line="276" w:lineRule="auto"/>
        <w:jc w:val="both"/>
        <w:rPr>
          <w:rFonts w:ascii="Book Antiqua" w:hAnsi="Book Antiqua"/>
          <w:sz w:val="22"/>
          <w:szCs w:val="22"/>
        </w:rPr>
      </w:pPr>
      <w:r>
        <w:rPr>
          <w:rStyle w:val="lev"/>
          <w:rFonts w:ascii="Book Antiqua" w:hAnsi="Book Antiqua"/>
          <w:b w:val="0"/>
          <w:sz w:val="22"/>
          <w:szCs w:val="22"/>
        </w:rPr>
        <w:t>A titre illustratif, l</w:t>
      </w:r>
      <w:r w:rsidR="003E7BF2" w:rsidRPr="00463ABD">
        <w:rPr>
          <w:rStyle w:val="lev"/>
          <w:rFonts w:ascii="Book Antiqua" w:hAnsi="Book Antiqua"/>
          <w:b w:val="0"/>
          <w:sz w:val="22"/>
          <w:szCs w:val="22"/>
        </w:rPr>
        <w:t>es banques françaises ont entamé des programmes de rénovation d’agences</w:t>
      </w:r>
      <w:r w:rsidR="003E7BF2" w:rsidRPr="00463ABD">
        <w:rPr>
          <w:rFonts w:ascii="Book Antiqua" w:hAnsi="Book Antiqua"/>
          <w:b/>
          <w:sz w:val="22"/>
          <w:szCs w:val="22"/>
        </w:rPr>
        <w:t>,</w:t>
      </w:r>
      <w:r w:rsidR="003E7BF2" w:rsidRPr="00463ABD">
        <w:rPr>
          <w:rFonts w:ascii="Book Antiqua" w:hAnsi="Book Antiqua"/>
          <w:sz w:val="22"/>
          <w:szCs w:val="22"/>
        </w:rPr>
        <w:t xml:space="preserve"> comme </w:t>
      </w:r>
      <w:r w:rsidRPr="00463ABD">
        <w:rPr>
          <w:rFonts w:ascii="Book Antiqua" w:hAnsi="Book Antiqua"/>
          <w:sz w:val="22"/>
          <w:szCs w:val="22"/>
        </w:rPr>
        <w:t xml:space="preserve"> la Société Générale</w:t>
      </w:r>
      <w:r w:rsidR="00DF3346">
        <w:rPr>
          <w:rFonts w:ascii="Book Antiqua" w:hAnsi="Book Antiqua"/>
          <w:sz w:val="22"/>
          <w:szCs w:val="22"/>
        </w:rPr>
        <w:t xml:space="preserve"> </w:t>
      </w:r>
      <w:r>
        <w:rPr>
          <w:rFonts w:ascii="Book Antiqua" w:hAnsi="Book Antiqua"/>
          <w:sz w:val="22"/>
          <w:szCs w:val="22"/>
        </w:rPr>
        <w:t xml:space="preserve">et </w:t>
      </w:r>
      <w:r w:rsidR="003E7BF2" w:rsidRPr="00463ABD">
        <w:rPr>
          <w:rFonts w:ascii="Book Antiqua" w:hAnsi="Book Antiqua"/>
          <w:sz w:val="22"/>
          <w:szCs w:val="22"/>
        </w:rPr>
        <w:t xml:space="preserve">BNP Paribas </w:t>
      </w:r>
      <w:r>
        <w:rPr>
          <w:rFonts w:ascii="Book Antiqua" w:hAnsi="Book Antiqua"/>
          <w:sz w:val="22"/>
          <w:szCs w:val="22"/>
        </w:rPr>
        <w:t>à travers</w:t>
      </w:r>
      <w:r w:rsidR="003E7BF2" w:rsidRPr="00463ABD">
        <w:rPr>
          <w:rFonts w:ascii="Book Antiqua" w:hAnsi="Book Antiqua"/>
          <w:sz w:val="22"/>
          <w:szCs w:val="22"/>
        </w:rPr>
        <w:t xml:space="preserve"> son programme Alice (Agence laboratoire pour l’innovatio</w:t>
      </w:r>
      <w:r>
        <w:rPr>
          <w:rFonts w:ascii="Book Antiqua" w:hAnsi="Book Antiqua"/>
          <w:sz w:val="22"/>
          <w:szCs w:val="22"/>
        </w:rPr>
        <w:t>n, le commerce et l’excellence)</w:t>
      </w:r>
      <w:r w:rsidR="003E7BF2" w:rsidRPr="00463ABD">
        <w:rPr>
          <w:rFonts w:ascii="Book Antiqua" w:hAnsi="Book Antiqua"/>
          <w:sz w:val="22"/>
          <w:szCs w:val="22"/>
        </w:rPr>
        <w:t xml:space="preserve">. </w:t>
      </w:r>
      <w:r>
        <w:rPr>
          <w:rFonts w:ascii="Book Antiqua" w:hAnsi="Book Antiqua"/>
          <w:sz w:val="22"/>
          <w:szCs w:val="22"/>
        </w:rPr>
        <w:t>Dans cette dynamique, l</w:t>
      </w:r>
      <w:r w:rsidR="003E7BF2" w:rsidRPr="00463ABD">
        <w:rPr>
          <w:rFonts w:ascii="Book Antiqua" w:hAnsi="Book Antiqua"/>
          <w:sz w:val="22"/>
          <w:szCs w:val="22"/>
        </w:rPr>
        <w:t>e concept de petite agence</w:t>
      </w:r>
      <w:r>
        <w:rPr>
          <w:rFonts w:ascii="Book Antiqua" w:hAnsi="Book Antiqua"/>
          <w:sz w:val="22"/>
          <w:szCs w:val="22"/>
        </w:rPr>
        <w:t xml:space="preserve"> est actuellement mis en place et à ce titre, l</w:t>
      </w:r>
      <w:r w:rsidR="003E7BF2" w:rsidRPr="00463ABD">
        <w:rPr>
          <w:rFonts w:ascii="Book Antiqua" w:hAnsi="Book Antiqua"/>
          <w:sz w:val="22"/>
          <w:szCs w:val="22"/>
        </w:rPr>
        <w:t>e Crédit Agricole Touraine Po</w:t>
      </w:r>
      <w:r w:rsidR="00297144">
        <w:rPr>
          <w:rFonts w:ascii="Book Antiqua" w:hAnsi="Book Antiqua"/>
          <w:sz w:val="22"/>
          <w:szCs w:val="22"/>
        </w:rPr>
        <w:t>itou a inauguré en mars dernier.</w:t>
      </w:r>
    </w:p>
    <w:p w:rsidR="00772C67" w:rsidRPr="00297144" w:rsidRDefault="00DF3346" w:rsidP="00C01C11">
      <w:pPr>
        <w:spacing w:before="240" w:after="240" w:line="276" w:lineRule="auto"/>
        <w:jc w:val="both"/>
        <w:rPr>
          <w:rFonts w:ascii="Book Antiqua" w:hAnsi="Book Antiqua"/>
          <w:b/>
          <w:sz w:val="22"/>
          <w:szCs w:val="22"/>
        </w:rPr>
      </w:pPr>
      <w:r>
        <w:rPr>
          <w:rFonts w:ascii="Book Antiqua" w:hAnsi="Book Antiqua"/>
          <w:b/>
          <w:sz w:val="22"/>
          <w:szCs w:val="22"/>
        </w:rPr>
        <w:t>R16</w:t>
      </w:r>
      <w:r w:rsidR="00915B5E" w:rsidRPr="00463ABD">
        <w:rPr>
          <w:rFonts w:ascii="Book Antiqua" w:hAnsi="Book Antiqua"/>
          <w:b/>
          <w:sz w:val="22"/>
          <w:szCs w:val="22"/>
        </w:rPr>
        <w:t xml:space="preserve">. Renforcer les actions de sensibilisation de masse sur le BIC </w:t>
      </w:r>
    </w:p>
    <w:p w:rsidR="00BB06FB" w:rsidRPr="00463ABD" w:rsidRDefault="00772C67" w:rsidP="00C01C11">
      <w:pPr>
        <w:spacing w:before="240" w:after="240" w:line="276" w:lineRule="auto"/>
        <w:jc w:val="both"/>
        <w:rPr>
          <w:rFonts w:ascii="Book Antiqua" w:hAnsi="Book Antiqua"/>
          <w:sz w:val="22"/>
          <w:szCs w:val="22"/>
        </w:rPr>
      </w:pPr>
      <w:r>
        <w:rPr>
          <w:rFonts w:ascii="Book Antiqua" w:hAnsi="Book Antiqua"/>
          <w:sz w:val="22"/>
          <w:szCs w:val="22"/>
        </w:rPr>
        <w:t>Les résultats de l’ESUB mettent en évidence un défaut</w:t>
      </w:r>
      <w:r w:rsidR="00915B5E" w:rsidRPr="00463ABD">
        <w:rPr>
          <w:rFonts w:ascii="Book Antiqua" w:hAnsi="Book Antiqua"/>
          <w:sz w:val="22"/>
          <w:szCs w:val="22"/>
        </w:rPr>
        <w:t xml:space="preserve"> de vérification par la banque du niveau d’endettement du client avant l’octroi du prêt</w:t>
      </w:r>
      <w:r>
        <w:rPr>
          <w:rFonts w:ascii="Book Antiqua" w:hAnsi="Book Antiqua"/>
          <w:sz w:val="22"/>
          <w:szCs w:val="22"/>
        </w:rPr>
        <w:t>. Cette anomalie est relevée</w:t>
      </w:r>
      <w:r w:rsidR="00915B5E" w:rsidRPr="00463ABD">
        <w:rPr>
          <w:rFonts w:ascii="Book Antiqua" w:hAnsi="Book Antiqua"/>
          <w:sz w:val="22"/>
          <w:szCs w:val="22"/>
        </w:rPr>
        <w:t xml:space="preserve"> pour 29,7% </w:t>
      </w:r>
      <w:r>
        <w:rPr>
          <w:rFonts w:ascii="Book Antiqua" w:hAnsi="Book Antiqua"/>
          <w:sz w:val="22"/>
          <w:szCs w:val="22"/>
        </w:rPr>
        <w:t xml:space="preserve">des personnes enquêtées. </w:t>
      </w:r>
    </w:p>
    <w:p w:rsidR="00915B5E" w:rsidRPr="00463ABD" w:rsidRDefault="00772C67" w:rsidP="00C01C11">
      <w:pPr>
        <w:spacing w:before="240" w:after="240" w:line="276" w:lineRule="auto"/>
        <w:jc w:val="both"/>
        <w:rPr>
          <w:rFonts w:ascii="Book Antiqua" w:hAnsi="Book Antiqua"/>
          <w:sz w:val="22"/>
          <w:szCs w:val="22"/>
        </w:rPr>
      </w:pPr>
      <w:r>
        <w:rPr>
          <w:rFonts w:ascii="Book Antiqua" w:hAnsi="Book Antiqua"/>
          <w:sz w:val="22"/>
          <w:szCs w:val="22"/>
        </w:rPr>
        <w:t>Le</w:t>
      </w:r>
      <w:r w:rsidR="00915B5E" w:rsidRPr="00463ABD">
        <w:rPr>
          <w:rFonts w:ascii="Book Antiqua" w:hAnsi="Book Antiqua"/>
          <w:sz w:val="22"/>
          <w:szCs w:val="22"/>
        </w:rPr>
        <w:t xml:space="preserve"> début d’opérationnalisation du bureau d’info</w:t>
      </w:r>
      <w:r>
        <w:rPr>
          <w:rFonts w:ascii="Book Antiqua" w:hAnsi="Book Antiqua"/>
          <w:sz w:val="22"/>
          <w:szCs w:val="22"/>
        </w:rPr>
        <w:t>rmation du crédit (BIC) devrait</w:t>
      </w:r>
      <w:r w:rsidR="00915B5E" w:rsidRPr="00463ABD">
        <w:rPr>
          <w:rFonts w:ascii="Book Antiqua" w:hAnsi="Book Antiqua"/>
          <w:sz w:val="22"/>
          <w:szCs w:val="22"/>
        </w:rPr>
        <w:t xml:space="preserve"> constituer pour les établissements de crédit, un outil d’analyse et de gestion des risques</w:t>
      </w:r>
      <w:r>
        <w:rPr>
          <w:rFonts w:ascii="Book Antiqua" w:hAnsi="Book Antiqua"/>
          <w:sz w:val="22"/>
          <w:szCs w:val="22"/>
        </w:rPr>
        <w:t xml:space="preserve"> en</w:t>
      </w:r>
      <w:r w:rsidR="00915B5E" w:rsidRPr="00463ABD">
        <w:rPr>
          <w:rFonts w:ascii="Book Antiqua" w:hAnsi="Book Antiqua"/>
          <w:sz w:val="22"/>
          <w:szCs w:val="22"/>
        </w:rPr>
        <w:t xml:space="preserve"> leur permettant d'anticiper sur la situation de surendettement des emprunteurs et de réduire</w:t>
      </w:r>
      <w:r>
        <w:rPr>
          <w:rFonts w:ascii="Book Antiqua" w:hAnsi="Book Antiqua"/>
          <w:sz w:val="22"/>
          <w:szCs w:val="22"/>
        </w:rPr>
        <w:t xml:space="preserve"> ainsi le degré d’</w:t>
      </w:r>
      <w:r w:rsidR="00915B5E" w:rsidRPr="00463ABD">
        <w:rPr>
          <w:rFonts w:ascii="Book Antiqua" w:hAnsi="Book Antiqua"/>
          <w:sz w:val="22"/>
          <w:szCs w:val="22"/>
        </w:rPr>
        <w:t xml:space="preserve">asymétrie d’information. </w:t>
      </w:r>
    </w:p>
    <w:p w:rsidR="00915B5E" w:rsidRPr="00463ABD" w:rsidRDefault="00915B5E" w:rsidP="00C01C11">
      <w:pPr>
        <w:spacing w:before="240" w:after="240" w:line="276" w:lineRule="auto"/>
        <w:jc w:val="both"/>
        <w:rPr>
          <w:rFonts w:ascii="Book Antiqua" w:hAnsi="Book Antiqua"/>
          <w:sz w:val="22"/>
          <w:szCs w:val="22"/>
        </w:rPr>
      </w:pPr>
      <w:r w:rsidRPr="00463ABD">
        <w:rPr>
          <w:rFonts w:ascii="Book Antiqua" w:hAnsi="Book Antiqua"/>
          <w:sz w:val="22"/>
          <w:szCs w:val="22"/>
        </w:rPr>
        <w:t>Toutefois, les actions à mener doivent être orientées vers une sensibilisation plus renforcée du public sur le consentement préalable du client</w:t>
      </w:r>
      <w:r w:rsidR="00BB06FB">
        <w:rPr>
          <w:rFonts w:ascii="Book Antiqua" w:hAnsi="Book Antiqua"/>
          <w:sz w:val="22"/>
          <w:szCs w:val="22"/>
        </w:rPr>
        <w:t xml:space="preserve"> eu égard à son niveau encore très faible. En effet, le nombre de clients enrôlés dans la base de données du BIC s’établit à 120 647 au 31 décembre 2016.   </w:t>
      </w:r>
    </w:p>
    <w:p w:rsidR="00037E72" w:rsidRDefault="00037E72" w:rsidP="00E400B1">
      <w:pPr>
        <w:spacing w:before="120" w:after="120" w:line="276" w:lineRule="auto"/>
        <w:jc w:val="both"/>
        <w:rPr>
          <w:rFonts w:ascii="Arial" w:hAnsi="Arial" w:cs="Arial"/>
          <w:sz w:val="22"/>
          <w:szCs w:val="22"/>
        </w:rPr>
        <w:sectPr w:rsidR="00037E72" w:rsidSect="00AE2523">
          <w:pgSz w:w="11907" w:h="16840" w:code="9"/>
          <w:pgMar w:top="680" w:right="1134" w:bottom="680" w:left="1191" w:header="454" w:footer="454" w:gutter="0"/>
          <w:cols w:space="720"/>
          <w:docGrid w:linePitch="360"/>
        </w:sectPr>
      </w:pPr>
    </w:p>
    <w:p w:rsidR="00694F35" w:rsidRDefault="00694F35" w:rsidP="00694F35">
      <w:pPr>
        <w:spacing w:before="120" w:after="120" w:line="276" w:lineRule="auto"/>
        <w:ind w:left="360"/>
        <w:jc w:val="both"/>
        <w:rPr>
          <w:rFonts w:ascii="Arial" w:hAnsi="Arial" w:cs="Arial"/>
          <w:sz w:val="22"/>
          <w:szCs w:val="22"/>
        </w:rPr>
      </w:pPr>
    </w:p>
    <w:p w:rsidR="00694F35" w:rsidRDefault="00694F35" w:rsidP="00694F35">
      <w:pPr>
        <w:spacing w:before="120" w:after="120" w:line="276" w:lineRule="auto"/>
        <w:ind w:left="360"/>
        <w:jc w:val="both"/>
        <w:rPr>
          <w:rFonts w:ascii="Arial" w:hAnsi="Arial" w:cs="Arial"/>
          <w:sz w:val="22"/>
          <w:szCs w:val="22"/>
        </w:rPr>
      </w:pPr>
    </w:p>
    <w:p w:rsidR="00694F35" w:rsidRDefault="00694F35" w:rsidP="00694F35">
      <w:pPr>
        <w:spacing w:before="120" w:after="120" w:line="276" w:lineRule="auto"/>
        <w:ind w:left="360"/>
        <w:jc w:val="both"/>
        <w:rPr>
          <w:rFonts w:ascii="Arial" w:hAnsi="Arial" w:cs="Arial"/>
          <w:sz w:val="22"/>
          <w:szCs w:val="22"/>
        </w:rPr>
      </w:pPr>
    </w:p>
    <w:p w:rsidR="00694F35" w:rsidRDefault="00694F35" w:rsidP="00694F35">
      <w:pPr>
        <w:spacing w:before="120" w:after="120" w:line="276" w:lineRule="auto"/>
        <w:ind w:left="360"/>
        <w:jc w:val="both"/>
        <w:rPr>
          <w:rFonts w:ascii="Arial" w:hAnsi="Arial" w:cs="Arial"/>
          <w:sz w:val="22"/>
          <w:szCs w:val="22"/>
        </w:rPr>
      </w:pPr>
    </w:p>
    <w:p w:rsidR="00694F35" w:rsidRDefault="00694F35" w:rsidP="00694F35">
      <w:pPr>
        <w:spacing w:before="120" w:after="120" w:line="276" w:lineRule="auto"/>
        <w:ind w:left="360"/>
        <w:jc w:val="both"/>
        <w:rPr>
          <w:rFonts w:ascii="Arial" w:hAnsi="Arial" w:cs="Arial"/>
          <w:sz w:val="22"/>
          <w:szCs w:val="22"/>
        </w:rPr>
      </w:pPr>
    </w:p>
    <w:p w:rsidR="00694F35" w:rsidRDefault="00694F35" w:rsidP="00694F35">
      <w:pPr>
        <w:spacing w:before="120" w:after="120" w:line="276" w:lineRule="auto"/>
        <w:ind w:left="360"/>
        <w:jc w:val="both"/>
        <w:rPr>
          <w:rFonts w:ascii="Arial" w:hAnsi="Arial" w:cs="Arial"/>
          <w:sz w:val="22"/>
          <w:szCs w:val="22"/>
        </w:rPr>
      </w:pPr>
    </w:p>
    <w:p w:rsidR="00694F35" w:rsidRDefault="00694F35" w:rsidP="00694F35">
      <w:pPr>
        <w:spacing w:before="120" w:after="120" w:line="276" w:lineRule="auto"/>
        <w:ind w:left="360"/>
        <w:jc w:val="both"/>
        <w:rPr>
          <w:rFonts w:ascii="Arial" w:hAnsi="Arial" w:cs="Arial"/>
          <w:sz w:val="22"/>
          <w:szCs w:val="22"/>
        </w:rPr>
      </w:pPr>
    </w:p>
    <w:p w:rsidR="00694F35" w:rsidRDefault="00694F35" w:rsidP="00694F35">
      <w:pPr>
        <w:spacing w:before="120" w:after="120" w:line="276" w:lineRule="auto"/>
        <w:ind w:left="360"/>
        <w:jc w:val="both"/>
        <w:rPr>
          <w:rFonts w:ascii="Arial" w:hAnsi="Arial" w:cs="Arial"/>
          <w:sz w:val="22"/>
          <w:szCs w:val="22"/>
        </w:rPr>
      </w:pPr>
    </w:p>
    <w:p w:rsidR="00694F35" w:rsidRDefault="00694F35" w:rsidP="00694F35">
      <w:pPr>
        <w:spacing w:before="120" w:after="120" w:line="276" w:lineRule="auto"/>
        <w:ind w:left="360"/>
        <w:jc w:val="both"/>
        <w:rPr>
          <w:rFonts w:ascii="Arial" w:hAnsi="Arial" w:cs="Arial"/>
          <w:sz w:val="22"/>
          <w:szCs w:val="22"/>
        </w:rPr>
      </w:pPr>
    </w:p>
    <w:p w:rsidR="00694F35" w:rsidRDefault="00694F35" w:rsidP="00694F35">
      <w:pPr>
        <w:spacing w:before="120" w:after="120" w:line="276" w:lineRule="auto"/>
        <w:ind w:left="360"/>
        <w:jc w:val="both"/>
        <w:rPr>
          <w:rFonts w:ascii="Arial" w:hAnsi="Arial" w:cs="Arial"/>
          <w:sz w:val="22"/>
          <w:szCs w:val="22"/>
        </w:rPr>
      </w:pPr>
    </w:p>
    <w:p w:rsidR="00694F35" w:rsidRDefault="00694F35" w:rsidP="00694F35">
      <w:pPr>
        <w:spacing w:before="120" w:after="120" w:line="276" w:lineRule="auto"/>
        <w:ind w:left="360"/>
        <w:jc w:val="both"/>
        <w:rPr>
          <w:rFonts w:ascii="Arial" w:hAnsi="Arial" w:cs="Arial"/>
          <w:sz w:val="22"/>
          <w:szCs w:val="22"/>
        </w:rPr>
      </w:pPr>
    </w:p>
    <w:p w:rsidR="00694F35" w:rsidRDefault="00694F35" w:rsidP="00694F35">
      <w:pPr>
        <w:spacing w:before="120" w:after="120" w:line="276" w:lineRule="auto"/>
        <w:ind w:left="360"/>
        <w:jc w:val="both"/>
        <w:rPr>
          <w:rFonts w:ascii="Arial" w:hAnsi="Arial" w:cs="Arial"/>
          <w:sz w:val="22"/>
          <w:szCs w:val="22"/>
        </w:rPr>
      </w:pPr>
    </w:p>
    <w:p w:rsidR="00694F35" w:rsidRDefault="00694F35" w:rsidP="00694F35">
      <w:pPr>
        <w:spacing w:before="120" w:after="120" w:line="276" w:lineRule="auto"/>
        <w:ind w:left="360"/>
        <w:jc w:val="both"/>
        <w:rPr>
          <w:rFonts w:ascii="Arial" w:hAnsi="Arial" w:cs="Arial"/>
          <w:sz w:val="22"/>
          <w:szCs w:val="22"/>
        </w:rPr>
      </w:pPr>
    </w:p>
    <w:p w:rsidR="00694F35" w:rsidRDefault="00694F35" w:rsidP="00694F35">
      <w:pPr>
        <w:spacing w:before="120" w:after="120" w:line="276" w:lineRule="auto"/>
        <w:ind w:left="360"/>
        <w:jc w:val="both"/>
        <w:rPr>
          <w:rFonts w:ascii="Arial" w:hAnsi="Arial" w:cs="Arial"/>
          <w:sz w:val="22"/>
          <w:szCs w:val="22"/>
        </w:rPr>
      </w:pPr>
    </w:p>
    <w:p w:rsidR="008472D9" w:rsidRDefault="00113477">
      <w:pPr>
        <w:spacing w:after="200" w:line="276" w:lineRule="auto"/>
        <w:rPr>
          <w:rFonts w:ascii="Arial" w:hAnsi="Arial" w:cs="Arial"/>
          <w:sz w:val="22"/>
          <w:szCs w:val="22"/>
        </w:rPr>
      </w:pPr>
      <w:r>
        <w:rPr>
          <w:rFonts w:ascii="Arial" w:hAnsi="Arial" w:cs="Arial"/>
          <w:noProof/>
          <w:sz w:val="22"/>
          <w:szCs w:val="22"/>
        </w:rPr>
        <w:pict>
          <v:shape id="_x0000_s1031" type="#_x0000_t202" style="position:absolute;margin-left:21.95pt;margin-top:10.5pt;width:448.8pt;height:90.2pt;z-index:251663360;mso-width-relative:margin;mso-height-relative:margin" strokeweight="3pt">
            <v:textbox style="mso-next-textbox:#_x0000_s1031">
              <w:txbxContent>
                <w:p w:rsidR="003C6676" w:rsidRPr="001E4A60" w:rsidRDefault="003C6676" w:rsidP="00113477">
                  <w:pPr>
                    <w:spacing w:before="480" w:line="360" w:lineRule="auto"/>
                    <w:jc w:val="center"/>
                    <w:rPr>
                      <w:rFonts w:ascii="Book Antiqua" w:hAnsi="Book Antiqua"/>
                      <w:b/>
                      <w:color w:val="000000" w:themeColor="text1"/>
                      <w:sz w:val="48"/>
                      <w:szCs w:val="48"/>
                    </w:rPr>
                  </w:pPr>
                  <w:r>
                    <w:rPr>
                      <w:rFonts w:ascii="Book Antiqua" w:hAnsi="Book Antiqua"/>
                      <w:b/>
                      <w:color w:val="000000" w:themeColor="text1"/>
                      <w:sz w:val="48"/>
                      <w:szCs w:val="48"/>
                    </w:rPr>
                    <w:t>ANNEXES</w:t>
                  </w:r>
                </w:p>
              </w:txbxContent>
            </v:textbox>
          </v:shape>
        </w:pict>
      </w:r>
      <w:r w:rsidR="008472D9">
        <w:rPr>
          <w:rFonts w:ascii="Arial" w:hAnsi="Arial" w:cs="Arial"/>
          <w:sz w:val="22"/>
          <w:szCs w:val="22"/>
        </w:rPr>
        <w:br w:type="page"/>
      </w:r>
    </w:p>
    <w:p w:rsidR="00C84262" w:rsidRPr="00113477" w:rsidRDefault="008472D9" w:rsidP="00B761CF">
      <w:pPr>
        <w:ind w:left="357"/>
        <w:jc w:val="center"/>
        <w:outlineLvl w:val="1"/>
        <w:rPr>
          <w:rFonts w:ascii="Book Antiqua" w:hAnsi="Book Antiqua" w:cs="Arial"/>
          <w:b/>
          <w:sz w:val="20"/>
          <w:szCs w:val="20"/>
        </w:rPr>
      </w:pPr>
      <w:bookmarkStart w:id="384" w:name="_Toc523322140"/>
      <w:r w:rsidRPr="00A37A16">
        <w:rPr>
          <w:rFonts w:ascii="Book Antiqua" w:hAnsi="Book Antiqua" w:cs="Arial"/>
          <w:b/>
          <w:sz w:val="20"/>
          <w:szCs w:val="20"/>
          <w:u w:val="single"/>
        </w:rPr>
        <w:lastRenderedPageBreak/>
        <w:t>Annexe 1</w:t>
      </w:r>
      <w:r w:rsidRPr="00113477">
        <w:rPr>
          <w:rFonts w:ascii="Book Antiqua" w:hAnsi="Book Antiqua" w:cs="Arial"/>
          <w:b/>
          <w:sz w:val="20"/>
          <w:szCs w:val="20"/>
        </w:rPr>
        <w:t> </w:t>
      </w:r>
      <w:r w:rsidR="00F058E7" w:rsidRPr="00113477">
        <w:rPr>
          <w:rFonts w:ascii="Book Antiqua" w:hAnsi="Book Antiqua" w:cs="Arial"/>
          <w:b/>
          <w:sz w:val="20"/>
          <w:szCs w:val="20"/>
        </w:rPr>
        <w:t xml:space="preserve">: </w:t>
      </w:r>
      <w:r w:rsidR="003326D3" w:rsidRPr="00113477">
        <w:rPr>
          <w:rFonts w:ascii="Book Antiqua" w:hAnsi="Book Antiqua" w:cs="Arial"/>
          <w:b/>
          <w:sz w:val="20"/>
          <w:szCs w:val="20"/>
        </w:rPr>
        <w:t>Formules de calcul des principaux indicateurs de satisfaction</w:t>
      </w:r>
      <w:bookmarkEnd w:id="384"/>
      <w:r w:rsidR="001B4FDB" w:rsidRPr="00113477">
        <w:rPr>
          <w:rFonts w:ascii="Book Antiqua" w:hAnsi="Book Antiqua" w:cs="Arial"/>
          <w:b/>
          <w:sz w:val="20"/>
          <w:szCs w:val="20"/>
        </w:rPr>
        <w:t xml:space="preserve"> </w:t>
      </w:r>
    </w:p>
    <w:p w:rsidR="004A3746" w:rsidRPr="00113477" w:rsidRDefault="001B4FDB" w:rsidP="00B761CF">
      <w:pPr>
        <w:ind w:left="357"/>
        <w:jc w:val="center"/>
        <w:outlineLvl w:val="1"/>
        <w:rPr>
          <w:rFonts w:ascii="Book Antiqua" w:hAnsi="Book Antiqua" w:cs="Arial"/>
          <w:b/>
          <w:sz w:val="20"/>
          <w:szCs w:val="20"/>
        </w:rPr>
      </w:pPr>
      <w:bookmarkStart w:id="385" w:name="_Toc523322141"/>
      <w:proofErr w:type="gramStart"/>
      <w:r w:rsidRPr="00113477">
        <w:rPr>
          <w:rFonts w:ascii="Book Antiqua" w:hAnsi="Book Antiqua" w:cs="Arial"/>
          <w:b/>
          <w:sz w:val="20"/>
          <w:szCs w:val="20"/>
        </w:rPr>
        <w:t>du</w:t>
      </w:r>
      <w:proofErr w:type="gramEnd"/>
      <w:r w:rsidRPr="00113477">
        <w:rPr>
          <w:rFonts w:ascii="Book Antiqua" w:hAnsi="Book Antiqua" w:cs="Arial"/>
          <w:b/>
          <w:sz w:val="20"/>
          <w:szCs w:val="20"/>
        </w:rPr>
        <w:t xml:space="preserve"> </w:t>
      </w:r>
      <w:r w:rsidR="00E6372B" w:rsidRPr="00113477">
        <w:rPr>
          <w:rFonts w:ascii="Book Antiqua" w:hAnsi="Book Antiqua" w:cs="Arial"/>
          <w:b/>
          <w:sz w:val="20"/>
          <w:szCs w:val="20"/>
        </w:rPr>
        <w:t>V</w:t>
      </w:r>
      <w:r w:rsidR="00AF43CC" w:rsidRPr="00113477">
        <w:rPr>
          <w:rFonts w:ascii="Book Antiqua" w:hAnsi="Book Antiqua" w:cs="Arial"/>
          <w:b/>
          <w:sz w:val="20"/>
          <w:szCs w:val="20"/>
        </w:rPr>
        <w:t>olet « p</w:t>
      </w:r>
      <w:r w:rsidR="0057741E" w:rsidRPr="00113477">
        <w:rPr>
          <w:rFonts w:ascii="Book Antiqua" w:hAnsi="Book Antiqua" w:cs="Arial"/>
          <w:b/>
          <w:sz w:val="20"/>
          <w:szCs w:val="20"/>
        </w:rPr>
        <w:t>ersonnes morales</w:t>
      </w:r>
      <w:r w:rsidR="00AF43CC" w:rsidRPr="00113477">
        <w:rPr>
          <w:rFonts w:ascii="Book Antiqua" w:hAnsi="Book Antiqua" w:cs="Arial"/>
          <w:b/>
          <w:sz w:val="20"/>
          <w:szCs w:val="20"/>
        </w:rPr>
        <w:t> »</w:t>
      </w:r>
      <w:bookmarkEnd w:id="385"/>
    </w:p>
    <w:tbl>
      <w:tblPr>
        <w:tblStyle w:val="Grilledutableau"/>
        <w:tblW w:w="10349" w:type="dxa"/>
        <w:tblInd w:w="-176" w:type="dxa"/>
        <w:tblLook w:val="04A0"/>
      </w:tblPr>
      <w:tblGrid>
        <w:gridCol w:w="3261"/>
        <w:gridCol w:w="7088"/>
      </w:tblGrid>
      <w:tr w:rsidR="00BC6D0A" w:rsidRPr="00113477" w:rsidTr="00B761CF">
        <w:trPr>
          <w:trHeight w:hRule="exact" w:val="344"/>
        </w:trPr>
        <w:tc>
          <w:tcPr>
            <w:tcW w:w="10349" w:type="dxa"/>
            <w:gridSpan w:val="2"/>
            <w:vAlign w:val="center"/>
          </w:tcPr>
          <w:p w:rsidR="00BC6D0A" w:rsidRPr="00B761CF" w:rsidRDefault="00BC6D0A" w:rsidP="000B0B0C">
            <w:pPr>
              <w:widowControl w:val="0"/>
              <w:spacing w:before="120" w:line="312" w:lineRule="auto"/>
              <w:jc w:val="center"/>
              <w:rPr>
                <w:rFonts w:ascii="Book Antiqua" w:hAnsi="Book Antiqua" w:cs="Arial"/>
                <w:sz w:val="16"/>
                <w:szCs w:val="16"/>
              </w:rPr>
            </w:pPr>
            <w:r w:rsidRPr="00B761CF">
              <w:rPr>
                <w:rFonts w:ascii="Book Antiqua" w:hAnsi="Book Antiqua" w:cs="Arial"/>
                <w:b/>
                <w:bCs/>
                <w:sz w:val="16"/>
                <w:szCs w:val="16"/>
              </w:rPr>
              <w:t>SATISFACTION SUR L’OFFRE DE SERVICES</w:t>
            </w:r>
          </w:p>
        </w:tc>
      </w:tr>
      <w:tr w:rsidR="00A852FE" w:rsidRPr="00113477" w:rsidTr="00B761CF">
        <w:trPr>
          <w:trHeight w:hRule="exact" w:val="677"/>
        </w:trPr>
        <w:tc>
          <w:tcPr>
            <w:tcW w:w="3261" w:type="dxa"/>
            <w:vAlign w:val="center"/>
          </w:tcPr>
          <w:p w:rsidR="004A3746" w:rsidRPr="00B761CF" w:rsidRDefault="004A3746" w:rsidP="00113477">
            <w:pPr>
              <w:jc w:val="both"/>
              <w:rPr>
                <w:rFonts w:ascii="Book Antiqua" w:hAnsi="Book Antiqua" w:cs="Arial"/>
                <w:sz w:val="16"/>
                <w:szCs w:val="16"/>
              </w:rPr>
            </w:pPr>
            <w:r w:rsidRPr="00B761CF">
              <w:rPr>
                <w:rFonts w:ascii="Book Antiqua" w:hAnsi="Book Antiqua" w:cs="Arial"/>
                <w:sz w:val="16"/>
                <w:szCs w:val="16"/>
              </w:rPr>
              <w:t>Nombre moyen de comptes courants ouverts par entreprise</w:t>
            </w:r>
          </w:p>
        </w:tc>
        <w:tc>
          <w:tcPr>
            <w:tcW w:w="7088" w:type="dxa"/>
            <w:vAlign w:val="center"/>
          </w:tcPr>
          <w:p w:rsidR="004A3746" w:rsidRPr="00B761C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comptes ouverts</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echantillon</m:t>
                    </m:r>
                  </m:den>
                </m:f>
              </m:oMath>
            </m:oMathPara>
          </w:p>
        </w:tc>
      </w:tr>
      <w:tr w:rsidR="00A852FE" w:rsidRPr="00113477" w:rsidTr="00B761CF">
        <w:trPr>
          <w:trHeight w:hRule="exact" w:val="716"/>
        </w:trPr>
        <w:tc>
          <w:tcPr>
            <w:tcW w:w="3261" w:type="dxa"/>
            <w:vAlign w:val="center"/>
          </w:tcPr>
          <w:p w:rsidR="004A3746" w:rsidRPr="00B761CF" w:rsidRDefault="004A3746" w:rsidP="00113477">
            <w:pPr>
              <w:jc w:val="both"/>
              <w:rPr>
                <w:rFonts w:ascii="Book Antiqua" w:hAnsi="Book Antiqua" w:cs="Arial"/>
                <w:bCs/>
                <w:sz w:val="16"/>
                <w:szCs w:val="16"/>
              </w:rPr>
            </w:pPr>
            <w:r w:rsidRPr="00B761CF">
              <w:rPr>
                <w:rFonts w:ascii="Book Antiqua" w:hAnsi="Book Antiqua" w:cs="Arial"/>
                <w:sz w:val="16"/>
                <w:szCs w:val="16"/>
              </w:rPr>
              <w:t>Pourcentage d’entreprises ayant déjà changé de banque</w:t>
            </w:r>
          </w:p>
        </w:tc>
        <w:tc>
          <w:tcPr>
            <w:tcW w:w="7088" w:type="dxa"/>
            <w:vAlign w:val="center"/>
          </w:tcPr>
          <w:p w:rsidR="004A3746" w:rsidRPr="00B761CF" w:rsidRDefault="000D65F2" w:rsidP="001259EB">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ayant eu a changer de banque au moins une fois</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echantillon</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854"/>
        </w:trPr>
        <w:tc>
          <w:tcPr>
            <w:tcW w:w="3261" w:type="dxa"/>
            <w:vAlign w:val="center"/>
          </w:tcPr>
          <w:p w:rsidR="004A3746" w:rsidRPr="00B761CF" w:rsidRDefault="004A3746" w:rsidP="00B761CF">
            <w:pPr>
              <w:ind w:left="34"/>
              <w:jc w:val="both"/>
              <w:rPr>
                <w:rFonts w:ascii="Book Antiqua" w:hAnsi="Book Antiqua" w:cs="Arial"/>
                <w:sz w:val="16"/>
                <w:szCs w:val="16"/>
              </w:rPr>
            </w:pPr>
            <w:r w:rsidRPr="00B761CF">
              <w:rPr>
                <w:rFonts w:ascii="Book Antiqua" w:hAnsi="Book Antiqua" w:cs="Arial"/>
                <w:sz w:val="16"/>
                <w:szCs w:val="16"/>
              </w:rPr>
              <w:t>Nombre moyen de changement</w:t>
            </w:r>
            <w:r w:rsidR="00282193" w:rsidRPr="00B761CF">
              <w:rPr>
                <w:rFonts w:ascii="Book Antiqua" w:hAnsi="Book Antiqua" w:cs="Arial"/>
                <w:sz w:val="16"/>
                <w:szCs w:val="16"/>
              </w:rPr>
              <w:t>s</w:t>
            </w:r>
            <w:r w:rsidRPr="00B761CF">
              <w:rPr>
                <w:rFonts w:ascii="Book Antiqua" w:hAnsi="Book Antiqua" w:cs="Arial"/>
                <w:sz w:val="16"/>
                <w:szCs w:val="16"/>
              </w:rPr>
              <w:t xml:space="preserve"> de banque</w:t>
            </w:r>
          </w:p>
        </w:tc>
        <w:tc>
          <w:tcPr>
            <w:tcW w:w="7088" w:type="dxa"/>
            <w:vAlign w:val="center"/>
          </w:tcPr>
          <w:p w:rsidR="00544A26" w:rsidRPr="00B761CF" w:rsidRDefault="000D65F2" w:rsidP="00706E1B">
            <w:pPr>
              <w:tabs>
                <w:tab w:val="left" w:pos="-720"/>
              </w:tabs>
              <w:suppressAutoHyphens/>
              <w:spacing w:line="312" w:lineRule="auto"/>
              <w:jc w:val="center"/>
              <w:rPr>
                <w:rFonts w:ascii="Book Antiqua" w:hAnsi="Book Antiqua" w:cs="Arial"/>
                <w:i/>
                <w:sz w:val="16"/>
                <w:szCs w:val="16"/>
              </w:rPr>
            </w:pPr>
            <m:oMathPara>
              <m:oMath>
                <m:f>
                  <m:fPr>
                    <m:ctrlPr>
                      <w:rPr>
                        <w:rFonts w:ascii="Cambria Math" w:hAnsi="Book Antiqua" w:cs="Arial"/>
                        <w:i/>
                        <w:sz w:val="16"/>
                        <w:szCs w:val="16"/>
                      </w:rPr>
                    </m:ctrlPr>
                  </m:fPr>
                  <m:num>
                    <m:nary>
                      <m:naryPr>
                        <m:chr m:val="∑"/>
                        <m:limLoc m:val="undOvr"/>
                        <m:ctrlPr>
                          <w:rPr>
                            <w:rFonts w:ascii="Cambria Math" w:hAnsi="Book Antiqua" w:cs="Arial"/>
                            <w:i/>
                            <w:sz w:val="16"/>
                            <w:szCs w:val="16"/>
                          </w:rPr>
                        </m:ctrlPr>
                      </m:naryPr>
                      <m:sub>
                        <m:r>
                          <w:rPr>
                            <w:rFonts w:ascii="Cambria Math" w:hAnsi="Cambria Math" w:cs="Arial"/>
                            <w:sz w:val="16"/>
                            <w:szCs w:val="16"/>
                          </w:rPr>
                          <m:t>i</m:t>
                        </m:r>
                        <m:r>
                          <w:rPr>
                            <w:rFonts w:ascii="Cambria Math" w:hAnsi="Book Antiqua" w:cs="Arial"/>
                            <w:sz w:val="16"/>
                            <w:szCs w:val="16"/>
                          </w:rPr>
                          <m:t>=1</m:t>
                        </m:r>
                      </m:sub>
                      <m:sup>
                        <m:r>
                          <w:rPr>
                            <w:rFonts w:ascii="Cambria Math" w:hAnsi="Cambria Math" w:cs="Arial"/>
                            <w:sz w:val="16"/>
                            <w:szCs w:val="16"/>
                          </w:rPr>
                          <m:t>k</m:t>
                        </m:r>
                      </m:sup>
                      <m:e>
                        <m:sSub>
                          <m:sSubPr>
                            <m:ctrlPr>
                              <w:rPr>
                                <w:rFonts w:ascii="Cambria Math" w:hAnsi="Book Antiqua" w:cs="Arial"/>
                                <w:i/>
                                <w:sz w:val="16"/>
                                <w:szCs w:val="16"/>
                              </w:rPr>
                            </m:ctrlPr>
                          </m:sSubPr>
                          <m:e>
                            <m:r>
                              <w:rPr>
                                <w:rFonts w:ascii="Cambria Math" w:hAnsi="Cambria Math" w:cs="Arial"/>
                                <w:sz w:val="16"/>
                                <w:szCs w:val="16"/>
                              </w:rPr>
                              <m:t>x</m:t>
                            </m:r>
                          </m:e>
                          <m:sub>
                            <m:r>
                              <w:rPr>
                                <w:rFonts w:ascii="Cambria Math" w:hAnsi="Cambria Math" w:cs="Arial"/>
                                <w:sz w:val="16"/>
                                <w:szCs w:val="16"/>
                              </w:rPr>
                              <m:t>i</m:t>
                            </m:r>
                          </m:sub>
                        </m:sSub>
                        <m:sSub>
                          <m:sSubPr>
                            <m:ctrlPr>
                              <w:rPr>
                                <w:rFonts w:ascii="Cambria Math" w:hAnsi="Book Antiqua" w:cs="Arial"/>
                                <w:i/>
                                <w:sz w:val="16"/>
                                <w:szCs w:val="16"/>
                              </w:rPr>
                            </m:ctrlPr>
                          </m:sSubPr>
                          <m:e>
                            <m:r>
                              <w:rPr>
                                <w:rFonts w:ascii="Cambria Math" w:hAnsi="Cambria Math" w:cs="Arial"/>
                                <w:sz w:val="16"/>
                                <w:szCs w:val="16"/>
                              </w:rPr>
                              <m:t>n</m:t>
                            </m:r>
                          </m:e>
                          <m:sub>
                            <m:r>
                              <w:rPr>
                                <w:rFonts w:ascii="Cambria Math" w:hAnsi="Cambria Math" w:cs="Arial"/>
                                <w:sz w:val="16"/>
                                <w:szCs w:val="16"/>
                              </w:rPr>
                              <m:t>i</m:t>
                            </m:r>
                          </m:sub>
                        </m:sSub>
                      </m:e>
                    </m:nary>
                  </m:num>
                  <m:den>
                    <m:r>
                      <w:rPr>
                        <w:rFonts w:ascii="Cambria Math" w:hAnsi="Cambria Math" w:cs="Arial"/>
                        <w:sz w:val="16"/>
                        <w:szCs w:val="16"/>
                      </w:rPr>
                      <m:t>N</m:t>
                    </m:r>
                  </m:den>
                </m:f>
                <m:r>
                  <w:rPr>
                    <w:rFonts w:ascii="Cambria Math" w:hAnsi="Book Antiqua" w:cs="Arial"/>
                    <w:sz w:val="16"/>
                    <w:szCs w:val="16"/>
                  </w:rPr>
                  <m:t xml:space="preserve"> , </m:t>
                </m:r>
                <m:r>
                  <w:rPr>
                    <w:rFonts w:ascii="Cambria Math" w:hAnsi="Cambria Math" w:cs="Arial"/>
                    <w:sz w:val="16"/>
                    <w:szCs w:val="16"/>
                  </w:rPr>
                  <m:t>avec</m:t>
                </m:r>
                <m:r>
                  <w:rPr>
                    <w:rFonts w:ascii="Cambria Math" w:hAnsi="Book Antiqua" w:cs="Arial"/>
                    <w:sz w:val="16"/>
                    <w:szCs w:val="16"/>
                  </w:rPr>
                  <m:t xml:space="preserve"> </m:t>
                </m:r>
                <m:r>
                  <w:rPr>
                    <w:rFonts w:ascii="Cambria Math" w:hAnsi="Cambria Math" w:cs="Arial"/>
                    <w:sz w:val="16"/>
                    <w:szCs w:val="16"/>
                  </w:rPr>
                  <m:t>N</m:t>
                </m:r>
                <m:r>
                  <w:rPr>
                    <w:rFonts w:ascii="Cambria Math" w:hAnsi="Book Antiqua" w:cs="Arial"/>
                    <w:sz w:val="16"/>
                    <w:szCs w:val="16"/>
                  </w:rPr>
                  <m:t>=</m:t>
                </m:r>
                <m:r>
                  <w:rPr>
                    <w:rFonts w:ascii="Cambria Math" w:hAnsi="Cambria Math" w:cs="Arial"/>
                    <w:sz w:val="16"/>
                    <w:szCs w:val="16"/>
                  </w:rPr>
                  <m:t>Nombre</m:t>
                </m:r>
                <m:r>
                  <w:rPr>
                    <w:rFonts w:ascii="Cambria Math" w:hAnsi="Book Antiqua" w:cs="Arial"/>
                    <w:sz w:val="16"/>
                    <w:szCs w:val="16"/>
                  </w:rPr>
                  <m:t xml:space="preserve"> </m:t>
                </m:r>
                <m:sSup>
                  <m:sSupPr>
                    <m:ctrlPr>
                      <w:rPr>
                        <w:rFonts w:ascii="Cambria Math" w:hAnsi="Book Antiqua" w:cs="Arial"/>
                        <w:i/>
                        <w:sz w:val="16"/>
                        <w:szCs w:val="16"/>
                      </w:rPr>
                    </m:ctrlPr>
                  </m:sSupPr>
                  <m:e>
                    <m:r>
                      <w:rPr>
                        <w:rFonts w:ascii="Cambria Math" w:hAnsi="Cambria Math" w:cs="Arial"/>
                        <w:sz w:val="16"/>
                        <w:szCs w:val="16"/>
                      </w:rPr>
                      <m:t>d</m:t>
                    </m:r>
                  </m:e>
                  <m:sup>
                    <m:r>
                      <w:rPr>
                        <w:rFonts w:ascii="Cambria Math" w:hAnsi="Book Antiqua" w:cs="Arial"/>
                        <w:sz w:val="16"/>
                        <w:szCs w:val="16"/>
                      </w:rPr>
                      <m:t>'</m:t>
                    </m:r>
                  </m:sup>
                </m:sSup>
                <m:r>
                  <w:rPr>
                    <w:rFonts w:ascii="Cambria Math" w:hAnsi="Cambria Math" w:cs="Arial"/>
                    <w:sz w:val="16"/>
                    <w:szCs w:val="16"/>
                  </w:rPr>
                  <m:t>entreprises</m:t>
                </m:r>
                <m:r>
                  <w:rPr>
                    <w:rFonts w:ascii="Cambria Math" w:hAnsi="Book Antiqua" w:cs="Arial"/>
                    <w:sz w:val="16"/>
                    <w:szCs w:val="16"/>
                  </w:rPr>
                  <m:t xml:space="preserve"> </m:t>
                </m:r>
                <m:r>
                  <w:rPr>
                    <w:rFonts w:ascii="Cambria Math" w:hAnsi="Cambria Math" w:cs="Arial"/>
                    <w:sz w:val="16"/>
                    <w:szCs w:val="16"/>
                  </w:rPr>
                  <m:t>ayan</m:t>
                </m:r>
                <m:r>
                  <w:rPr>
                    <w:rFonts w:ascii="Cambria Math" w:hAnsi="Cambria Math" w:cs="Arial"/>
                    <w:sz w:val="16"/>
                    <w:szCs w:val="16"/>
                  </w:rPr>
                  <m:t>t</m:t>
                </m:r>
                <m:r>
                  <w:rPr>
                    <w:rFonts w:ascii="Cambria Math" w:hAnsi="Book Antiqua" w:cs="Arial"/>
                    <w:sz w:val="16"/>
                    <w:szCs w:val="16"/>
                  </w:rPr>
                  <m:t xml:space="preserve"> </m:t>
                </m:r>
                <m:r>
                  <w:rPr>
                    <w:rFonts w:ascii="Cambria Math" w:hAnsi="Cambria Math" w:cs="Arial"/>
                    <w:sz w:val="16"/>
                    <w:szCs w:val="16"/>
                  </w:rPr>
                  <m:t>change</m:t>
                </m:r>
                <m:r>
                  <w:rPr>
                    <w:rFonts w:ascii="Cambria Math" w:hAnsi="Book Antiqua" w:cs="Arial"/>
                    <w:sz w:val="16"/>
                    <w:szCs w:val="16"/>
                  </w:rPr>
                  <m:t xml:space="preserve"> </m:t>
                </m:r>
                <m:r>
                  <w:rPr>
                    <w:rFonts w:ascii="Cambria Math" w:hAnsi="Cambria Math" w:cs="Arial"/>
                    <w:sz w:val="16"/>
                    <w:szCs w:val="16"/>
                  </w:rPr>
                  <m:t>au</m:t>
                </m:r>
                <m:r>
                  <w:rPr>
                    <w:rFonts w:ascii="Cambria Math" w:hAnsi="Book Antiqua" w:cs="Arial"/>
                    <w:sz w:val="16"/>
                    <w:szCs w:val="16"/>
                  </w:rPr>
                  <m:t xml:space="preserve"> </m:t>
                </m:r>
                <m:r>
                  <w:rPr>
                    <w:rFonts w:ascii="Cambria Math" w:hAnsi="Cambria Math" w:cs="Arial"/>
                    <w:sz w:val="16"/>
                    <w:szCs w:val="16"/>
                  </w:rPr>
                  <m:t>moins</m:t>
                </m:r>
                <m:r>
                  <w:rPr>
                    <w:rFonts w:ascii="Cambria Math" w:hAnsi="Book Antiqua" w:cs="Arial"/>
                    <w:sz w:val="16"/>
                    <w:szCs w:val="16"/>
                  </w:rPr>
                  <m:t xml:space="preserve"> </m:t>
                </m:r>
                <m:r>
                  <w:rPr>
                    <w:rFonts w:ascii="Cambria Math" w:hAnsi="Cambria Math" w:cs="Arial"/>
                    <w:sz w:val="16"/>
                    <w:szCs w:val="16"/>
                  </w:rPr>
                  <m:t>une</m:t>
                </m:r>
                <m:r>
                  <w:rPr>
                    <w:rFonts w:ascii="Cambria Math" w:hAnsi="Book Antiqua" w:cs="Arial"/>
                    <w:sz w:val="16"/>
                    <w:szCs w:val="16"/>
                  </w:rPr>
                  <m:t xml:space="preserve"> </m:t>
                </m:r>
                <m:r>
                  <w:rPr>
                    <w:rFonts w:ascii="Cambria Math" w:hAnsi="Cambria Math" w:cs="Arial"/>
                    <w:sz w:val="16"/>
                    <w:szCs w:val="16"/>
                  </w:rPr>
                  <m:t>fois</m:t>
                </m:r>
                <m:r>
                  <w:rPr>
                    <w:rFonts w:ascii="Cambria Math" w:hAnsi="Book Antiqua" w:cs="Arial"/>
                    <w:sz w:val="16"/>
                    <w:szCs w:val="16"/>
                  </w:rPr>
                  <m:t xml:space="preserve"> </m:t>
                </m:r>
                <m:r>
                  <w:rPr>
                    <w:rFonts w:ascii="Cambria Math" w:hAnsi="Cambria Math" w:cs="Arial"/>
                    <w:sz w:val="16"/>
                    <w:szCs w:val="16"/>
                  </w:rPr>
                  <m:t>de</m:t>
                </m:r>
                <m:r>
                  <w:rPr>
                    <w:rFonts w:ascii="Cambria Math" w:hAnsi="Book Antiqua" w:cs="Arial"/>
                    <w:sz w:val="16"/>
                    <w:szCs w:val="16"/>
                  </w:rPr>
                  <m:t xml:space="preserve"> </m:t>
                </m:r>
                <m:r>
                  <w:rPr>
                    <w:rFonts w:ascii="Cambria Math" w:hAnsi="Cambria Math" w:cs="Arial"/>
                    <w:sz w:val="16"/>
                    <w:szCs w:val="16"/>
                  </w:rPr>
                  <m:t>banque</m:t>
                </m:r>
              </m:oMath>
            </m:oMathPara>
          </w:p>
          <w:p w:rsidR="004A3746" w:rsidRPr="00B761CF" w:rsidRDefault="00B761CF" w:rsidP="00F82A72">
            <w:pPr>
              <w:tabs>
                <w:tab w:val="left" w:pos="-720"/>
              </w:tabs>
              <w:suppressAutoHyphens/>
              <w:spacing w:line="312" w:lineRule="auto"/>
              <w:jc w:val="center"/>
              <w:rPr>
                <w:rFonts w:ascii="Book Antiqua" w:hAnsi="Book Antiqua" w:cs="Arial"/>
                <w:sz w:val="16"/>
                <w:szCs w:val="16"/>
              </w:rPr>
            </w:pPr>
            <m:oMathPara>
              <m:oMath>
                <m:r>
                  <w:rPr>
                    <w:rFonts w:ascii="Cambria Math" w:hAnsi="Book Antiqua" w:cs="Arial"/>
                    <w:sz w:val="16"/>
                    <w:szCs w:val="16"/>
                  </w:rPr>
                  <m:t xml:space="preserve"> </m:t>
                </m:r>
                <m:r>
                  <w:rPr>
                    <w:rFonts w:ascii="Cambria Math" w:hAnsi="Cambria Math" w:cs="Arial"/>
                    <w:sz w:val="16"/>
                    <w:szCs w:val="16"/>
                  </w:rPr>
                  <m:t>et</m:t>
                </m:r>
                <m:r>
                  <w:rPr>
                    <w:rFonts w:ascii="Cambria Math" w:hAnsi="Book Antiqua" w:cs="Arial"/>
                    <w:sz w:val="16"/>
                    <w:szCs w:val="16"/>
                  </w:rPr>
                  <m:t xml:space="preserve"> </m:t>
                </m:r>
                <m:sSub>
                  <m:sSubPr>
                    <m:ctrlPr>
                      <w:rPr>
                        <w:rFonts w:ascii="Cambria Math" w:hAnsi="Book Antiqua" w:cs="Arial"/>
                        <w:i/>
                        <w:sz w:val="16"/>
                        <w:szCs w:val="16"/>
                      </w:rPr>
                    </m:ctrlPr>
                  </m:sSubPr>
                  <m:e>
                    <m:r>
                      <w:rPr>
                        <w:rFonts w:ascii="Cambria Math" w:hAnsi="Cambria Math" w:cs="Arial"/>
                        <w:sz w:val="16"/>
                        <w:szCs w:val="16"/>
                      </w:rPr>
                      <m:t>n</m:t>
                    </m:r>
                  </m:e>
                  <m:sub>
                    <m:r>
                      <w:rPr>
                        <w:rFonts w:ascii="Cambria Math" w:hAnsi="Cambria Math" w:cs="Arial"/>
                        <w:sz w:val="16"/>
                        <w:szCs w:val="16"/>
                      </w:rPr>
                      <m:t>i</m:t>
                    </m:r>
                  </m:sub>
                </m:sSub>
                <m:r>
                  <w:rPr>
                    <w:rFonts w:ascii="Cambria Math" w:hAnsi="Book Antiqua" w:cs="Arial"/>
                    <w:sz w:val="16"/>
                    <w:szCs w:val="16"/>
                  </w:rPr>
                  <m:t>=</m:t>
                </m:r>
                <m:r>
                  <w:rPr>
                    <w:rFonts w:ascii="Cambria Math" w:hAnsi="Cambria Math" w:cs="Arial"/>
                    <w:sz w:val="16"/>
                    <w:szCs w:val="16"/>
                  </w:rPr>
                  <m:t>nombre</m:t>
                </m:r>
                <m:r>
                  <w:rPr>
                    <w:rFonts w:ascii="Cambria Math" w:hAnsi="Book Antiqua" w:cs="Arial"/>
                    <w:sz w:val="16"/>
                    <w:szCs w:val="16"/>
                  </w:rPr>
                  <m:t xml:space="preserve"> </m:t>
                </m:r>
                <m:sSup>
                  <m:sSupPr>
                    <m:ctrlPr>
                      <w:rPr>
                        <w:rFonts w:ascii="Cambria Math" w:hAnsi="Book Antiqua" w:cs="Arial"/>
                        <w:i/>
                        <w:sz w:val="16"/>
                        <w:szCs w:val="16"/>
                      </w:rPr>
                    </m:ctrlPr>
                  </m:sSupPr>
                  <m:e>
                    <m:r>
                      <w:rPr>
                        <w:rFonts w:ascii="Cambria Math" w:hAnsi="Cambria Math" w:cs="Arial"/>
                        <w:sz w:val="16"/>
                        <w:szCs w:val="16"/>
                      </w:rPr>
                      <m:t>d</m:t>
                    </m:r>
                  </m:e>
                  <m:sup>
                    <m:r>
                      <w:rPr>
                        <w:rFonts w:ascii="Cambria Math" w:hAnsi="Book Antiqua" w:cs="Arial"/>
                        <w:sz w:val="16"/>
                        <w:szCs w:val="16"/>
                      </w:rPr>
                      <m:t>'</m:t>
                    </m:r>
                  </m:sup>
                </m:sSup>
                <m:r>
                  <w:rPr>
                    <w:rFonts w:ascii="Cambria Math" w:hAnsi="Cambria Math" w:cs="Arial"/>
                    <w:sz w:val="16"/>
                    <w:szCs w:val="16"/>
                  </w:rPr>
                  <m:t>entreprises</m:t>
                </m:r>
                <m:r>
                  <w:rPr>
                    <w:rFonts w:ascii="Cambria Math" w:hAnsi="Book Antiqua" w:cs="Arial"/>
                    <w:sz w:val="16"/>
                    <w:szCs w:val="16"/>
                  </w:rPr>
                  <m:t xml:space="preserve"> </m:t>
                </m:r>
                <m:r>
                  <w:rPr>
                    <w:rFonts w:ascii="Cambria Math" w:hAnsi="Cambria Math" w:cs="Arial"/>
                    <w:sz w:val="16"/>
                    <w:szCs w:val="16"/>
                  </w:rPr>
                  <m:t>ayant</m:t>
                </m:r>
                <m:r>
                  <w:rPr>
                    <w:rFonts w:ascii="Cambria Math" w:hAnsi="Book Antiqua" w:cs="Arial"/>
                    <w:sz w:val="16"/>
                    <w:szCs w:val="16"/>
                  </w:rPr>
                  <m:t xml:space="preserve"> </m:t>
                </m:r>
                <m:r>
                  <w:rPr>
                    <w:rFonts w:ascii="Cambria Math" w:hAnsi="Cambria Math" w:cs="Arial"/>
                    <w:sz w:val="16"/>
                    <w:szCs w:val="16"/>
                  </w:rPr>
                  <m:t>change</m:t>
                </m:r>
                <w:bookmarkStart w:id="386" w:name="_GoBack"/>
                <w:bookmarkEnd w:id="386"/>
                <m:r>
                  <w:rPr>
                    <w:rFonts w:ascii="Cambria Math" w:hAnsi="Book Antiqua" w:cs="Arial"/>
                    <w:sz w:val="16"/>
                    <w:szCs w:val="16"/>
                  </w:rPr>
                  <m:t xml:space="preserve"> </m:t>
                </m:r>
                <m:r>
                  <w:rPr>
                    <w:rFonts w:ascii="Cambria Math" w:hAnsi="Cambria Math" w:cs="Arial"/>
                    <w:sz w:val="16"/>
                    <w:szCs w:val="16"/>
                  </w:rPr>
                  <m:t>de</m:t>
                </m:r>
                <m:r>
                  <w:rPr>
                    <w:rFonts w:ascii="Cambria Math" w:hAnsi="Book Antiqua" w:cs="Arial"/>
                    <w:sz w:val="16"/>
                    <w:szCs w:val="16"/>
                  </w:rPr>
                  <m:t xml:space="preserve"> </m:t>
                </m:r>
                <m:r>
                  <w:rPr>
                    <w:rFonts w:ascii="Cambria Math" w:hAnsi="Cambria Math" w:cs="Arial"/>
                    <w:sz w:val="16"/>
                    <w:szCs w:val="16"/>
                  </w:rPr>
                  <m:t>banque</m:t>
                </m:r>
                <m:r>
                  <w:rPr>
                    <w:rFonts w:ascii="Cambria Math" w:hAnsi="Book Antiqua" w:cs="Arial"/>
                    <w:sz w:val="16"/>
                    <w:szCs w:val="16"/>
                  </w:rPr>
                  <m:t xml:space="preserve"> </m:t>
                </m:r>
                <m:r>
                  <w:rPr>
                    <w:rFonts w:ascii="Cambria Math" w:hAnsi="Cambria Math" w:cs="Arial"/>
                    <w:sz w:val="16"/>
                    <w:szCs w:val="16"/>
                  </w:rPr>
                  <m:t>a</m:t>
                </m:r>
                <m:r>
                  <w:rPr>
                    <w:rFonts w:ascii="Cambria Math" w:hAnsi="Book Antiqua" w:cs="Arial"/>
                    <w:sz w:val="16"/>
                    <w:szCs w:val="16"/>
                  </w:rPr>
                  <m:t xml:space="preserve"> </m:t>
                </m:r>
                <m:sSub>
                  <m:sSubPr>
                    <m:ctrlPr>
                      <w:rPr>
                        <w:rFonts w:ascii="Cambria Math" w:hAnsi="Book Antiqua" w:cs="Arial"/>
                        <w:i/>
                        <w:sz w:val="16"/>
                        <w:szCs w:val="16"/>
                      </w:rPr>
                    </m:ctrlPr>
                  </m:sSubPr>
                  <m:e>
                    <m:r>
                      <w:rPr>
                        <w:rFonts w:ascii="Cambria Math" w:hAnsi="Book Antiqua" w:cs="Arial"/>
                        <w:sz w:val="16"/>
                        <w:szCs w:val="16"/>
                      </w:rPr>
                      <m:t>"</m:t>
                    </m:r>
                    <m:r>
                      <w:rPr>
                        <w:rFonts w:ascii="Cambria Math" w:hAnsi="Cambria Math" w:cs="Arial"/>
                        <w:sz w:val="16"/>
                        <w:szCs w:val="16"/>
                      </w:rPr>
                      <m:t>x</m:t>
                    </m:r>
                  </m:e>
                  <m:sub>
                    <m:r>
                      <w:rPr>
                        <w:rFonts w:ascii="Cambria Math" w:hAnsi="Cambria Math" w:cs="Arial"/>
                        <w:sz w:val="16"/>
                        <w:szCs w:val="16"/>
                      </w:rPr>
                      <m:t>i</m:t>
                    </m:r>
                  </m:sub>
                </m:sSub>
                <m:r>
                  <w:rPr>
                    <w:rFonts w:ascii="Cambria Math" w:hAnsi="Book Antiqua" w:cs="Arial"/>
                    <w:sz w:val="16"/>
                    <w:szCs w:val="16"/>
                  </w:rPr>
                  <m:t xml:space="preserve">" </m:t>
                </m:r>
                <m:r>
                  <w:rPr>
                    <w:rFonts w:ascii="Cambria Math" w:hAnsi="Cambria Math" w:cs="Arial"/>
                    <w:sz w:val="16"/>
                    <w:szCs w:val="16"/>
                  </w:rPr>
                  <m:t>reprises</m:t>
                </m:r>
              </m:oMath>
            </m:oMathPara>
          </w:p>
        </w:tc>
      </w:tr>
      <w:tr w:rsidR="00A852FE" w:rsidRPr="00113477" w:rsidTr="00B761CF">
        <w:trPr>
          <w:trHeight w:hRule="exact" w:val="851"/>
        </w:trPr>
        <w:tc>
          <w:tcPr>
            <w:tcW w:w="3261" w:type="dxa"/>
            <w:vAlign w:val="center"/>
          </w:tcPr>
          <w:p w:rsidR="004A3746" w:rsidRPr="00B761CF" w:rsidRDefault="004A3746" w:rsidP="00B761CF">
            <w:pPr>
              <w:ind w:left="34" w:hanging="34"/>
              <w:jc w:val="both"/>
              <w:rPr>
                <w:rFonts w:ascii="Book Antiqua" w:hAnsi="Book Antiqua" w:cs="Arial"/>
                <w:sz w:val="16"/>
                <w:szCs w:val="16"/>
              </w:rPr>
            </w:pPr>
            <w:r w:rsidRPr="00B761CF">
              <w:rPr>
                <w:rFonts w:ascii="Book Antiqua" w:hAnsi="Book Antiqua" w:cs="Arial"/>
                <w:sz w:val="16"/>
                <w:szCs w:val="16"/>
              </w:rPr>
              <w:t>Proportion des entreprises ayant jugé positive l’attitude des banques au moment du changement d’opérateur</w:t>
            </w:r>
          </w:p>
        </w:tc>
        <w:tc>
          <w:tcPr>
            <w:tcW w:w="7088" w:type="dxa"/>
            <w:vAlign w:val="center"/>
          </w:tcPr>
          <w:p w:rsidR="004A3746" w:rsidRPr="00B761C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i/>
                        <w:sz w:val="16"/>
                        <w:szCs w:val="16"/>
                      </w:rPr>
                    </m:ctrlPr>
                  </m:fPr>
                  <m:num>
                    <m:r>
                      <w:rPr>
                        <w:rFonts w:ascii="Cambria Math" w:hAnsi="Book Antiqua" w:cs="Arial"/>
                        <w:sz w:val="16"/>
                        <w:szCs w:val="16"/>
                      </w:rPr>
                      <m:t xml:space="preserve">Nombre </m:t>
                    </m:r>
                    <m:sSup>
                      <m:sSupPr>
                        <m:ctrlPr>
                          <w:rPr>
                            <w:rFonts w:ascii="Cambria Math" w:hAnsi="Book Antiqua" w:cs="Arial"/>
                            <w:i/>
                            <w:sz w:val="16"/>
                            <w:szCs w:val="16"/>
                            <w:lang w:val="en-US"/>
                          </w:rPr>
                        </m:ctrlPr>
                      </m:sSupPr>
                      <m:e>
                        <m:r>
                          <w:rPr>
                            <w:rFonts w:ascii="Cambria Math" w:hAnsi="Book Antiqua" w:cs="Arial"/>
                            <w:sz w:val="16"/>
                            <w:szCs w:val="16"/>
                            <w:lang w:val="en-US"/>
                          </w:rPr>
                          <m:t>d</m:t>
                        </m:r>
                      </m:e>
                      <m:sup>
                        <m:r>
                          <w:rPr>
                            <w:rFonts w:ascii="Cambria Math" w:hAnsi="Cambria Math" w:cs="Arial"/>
                            <w:sz w:val="16"/>
                            <w:szCs w:val="16"/>
                          </w:rPr>
                          <m:t>'</m:t>
                        </m:r>
                      </m:sup>
                    </m:sSup>
                    <m:r>
                      <w:rPr>
                        <w:rFonts w:ascii="Cambria Math" w:hAnsi="Book Antiqua" w:cs="Arial"/>
                        <w:sz w:val="16"/>
                        <w:szCs w:val="16"/>
                        <w:lang w:val="en-US"/>
                      </w:rPr>
                      <m:t>entreprisesquiontjugeleurbanque</m:t>
                    </m:r>
                    <m:r>
                      <w:rPr>
                        <w:rFonts w:ascii="Cambria Math" w:hAnsi="Book Antiqua" w:cs="Arial"/>
                        <w:sz w:val="16"/>
                        <w:szCs w:val="16"/>
                      </w:rPr>
                      <m:t xml:space="preserve"> "</m:t>
                    </m:r>
                    <m:r>
                      <w:rPr>
                        <w:rFonts w:ascii="Cambria Math" w:hAnsi="Book Antiqua" w:cs="Arial"/>
                        <w:sz w:val="16"/>
                        <w:szCs w:val="16"/>
                        <w:lang w:val="en-US"/>
                      </w:rPr>
                      <m:t>Co</m:t>
                    </m:r>
                    <m:r>
                      <m:rPr>
                        <m:nor/>
                      </m:rPr>
                      <w:rPr>
                        <w:rFonts w:ascii="Book Antiqua" w:hAnsi="Book Antiqua" w:cs="Arial"/>
                        <w:sz w:val="16"/>
                        <w:szCs w:val="16"/>
                      </w:rPr>
                      <m:t>operative" ou "t</m:t>
                    </m:r>
                    <m:r>
                      <w:rPr>
                        <w:rFonts w:ascii="Cambria Math" w:hAnsi="Book Antiqua" w:cs="Arial"/>
                        <w:sz w:val="16"/>
                        <w:szCs w:val="16"/>
                      </w:rPr>
                      <m:t>res Cooperative"</m:t>
                    </m:r>
                  </m:num>
                  <m:den>
                    <m:r>
                      <w:rPr>
                        <w:rFonts w:ascii="Cambria Math" w:hAnsi="Book Antiqua" w:cs="Arial"/>
                        <w:sz w:val="16"/>
                        <w:szCs w:val="16"/>
                      </w:rPr>
                      <m:t xml:space="preserve">Nombre </m:t>
                    </m:r>
                    <m:sSup>
                      <m:sSupPr>
                        <m:ctrlPr>
                          <w:rPr>
                            <w:rFonts w:ascii="Cambria Math" w:hAnsi="Book Antiqua" w:cs="Arial"/>
                            <w:i/>
                            <w:sz w:val="16"/>
                            <w:szCs w:val="16"/>
                          </w:rPr>
                        </m:ctrlPr>
                      </m:sSupPr>
                      <m:e>
                        <m:r>
                          <w:rPr>
                            <w:rFonts w:ascii="Cambria Math" w:hAnsi="Book Antiqua" w:cs="Arial"/>
                            <w:sz w:val="16"/>
                            <w:szCs w:val="16"/>
                          </w:rPr>
                          <m:t>d</m:t>
                        </m:r>
                      </m:e>
                      <m:sup>
                        <m:r>
                          <w:rPr>
                            <w:rFonts w:ascii="Cambria Math" w:hAnsi="Cambria Math" w:cs="Arial"/>
                            <w:sz w:val="16"/>
                            <w:szCs w:val="16"/>
                          </w:rPr>
                          <m:t>'</m:t>
                        </m:r>
                      </m:sup>
                    </m:sSup>
                    <m:r>
                      <w:rPr>
                        <w:rFonts w:ascii="Cambria Math" w:hAnsi="Book Antiqua" w:cs="Arial"/>
                        <w:sz w:val="16"/>
                        <w:szCs w:val="16"/>
                      </w:rPr>
                      <m:t>entreprises ayant c</m:t>
                    </m:r>
                    <m:r>
                      <w:rPr>
                        <w:rFonts w:ascii="Cambria Math" w:hAnsi="Cambria Math" w:cs="Cambria Math"/>
                        <w:sz w:val="16"/>
                        <w:szCs w:val="16"/>
                      </w:rPr>
                      <m:t>h</m:t>
                    </m:r>
                    <m:r>
                      <w:rPr>
                        <w:rFonts w:ascii="Cambria Math" w:hAnsi="Book Antiqua" w:cs="Arial"/>
                        <w:sz w:val="16"/>
                        <w:szCs w:val="16"/>
                      </w:rPr>
                      <m:t>ange de banq</m:t>
                    </m:r>
                    <m:r>
                      <w:rPr>
                        <w:rFonts w:ascii="Cambria Math" w:hAnsi="Book Antiqua" w:cs="Arial"/>
                        <w:sz w:val="16"/>
                        <w:szCs w:val="16"/>
                      </w:rPr>
                      <m:t>ue</m:t>
                    </m:r>
                  </m:den>
                </m:f>
                <m:r>
                  <w:rPr>
                    <w:rFonts w:ascii="Cambria Math" w:hAnsi="Book Antiqua" w:cs="Arial"/>
                    <w:sz w:val="16"/>
                    <w:szCs w:val="16"/>
                  </w:rPr>
                  <m:t>×</m:t>
                </m:r>
                <m:r>
                  <w:rPr>
                    <w:rFonts w:ascii="Cambria Math" w:hAnsi="Book Antiqua" w:cs="Arial"/>
                    <w:sz w:val="16"/>
                    <w:szCs w:val="16"/>
                  </w:rPr>
                  <m:t>100</m:t>
                </m:r>
              </m:oMath>
            </m:oMathPara>
          </w:p>
        </w:tc>
      </w:tr>
      <w:tr w:rsidR="00A852FE" w:rsidRPr="00113477" w:rsidTr="00B761CF">
        <w:trPr>
          <w:trHeight w:hRule="exact" w:val="566"/>
        </w:trPr>
        <w:tc>
          <w:tcPr>
            <w:tcW w:w="3261" w:type="dxa"/>
            <w:vAlign w:val="center"/>
          </w:tcPr>
          <w:p w:rsidR="004A3746" w:rsidRPr="00B761CF" w:rsidRDefault="004A3746" w:rsidP="00B761CF">
            <w:pPr>
              <w:rPr>
                <w:rFonts w:ascii="Book Antiqua" w:hAnsi="Book Antiqua" w:cs="Arial"/>
                <w:sz w:val="16"/>
                <w:szCs w:val="16"/>
              </w:rPr>
            </w:pPr>
            <w:r w:rsidRPr="00B761CF">
              <w:rPr>
                <w:rFonts w:ascii="Book Antiqua" w:hAnsi="Book Antiqua" w:cs="Arial"/>
                <w:sz w:val="16"/>
                <w:szCs w:val="16"/>
              </w:rPr>
              <w:t>Pourcentage d’entreprises ayant déjà eu un litige avec leur banque</w:t>
            </w:r>
          </w:p>
        </w:tc>
        <w:tc>
          <w:tcPr>
            <w:tcW w:w="7088" w:type="dxa"/>
            <w:vAlign w:val="center"/>
          </w:tcPr>
          <w:p w:rsidR="004A3746" w:rsidRPr="00B761C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ayant eu un litige avec leur banque</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echantillon</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560"/>
        </w:trPr>
        <w:tc>
          <w:tcPr>
            <w:tcW w:w="3261" w:type="dxa"/>
            <w:vAlign w:val="center"/>
          </w:tcPr>
          <w:p w:rsidR="004A3746" w:rsidRPr="00B761CF" w:rsidRDefault="004A3746" w:rsidP="00B761CF">
            <w:pPr>
              <w:jc w:val="both"/>
              <w:rPr>
                <w:rFonts w:ascii="Book Antiqua" w:hAnsi="Book Antiqua" w:cs="Arial"/>
                <w:sz w:val="16"/>
                <w:szCs w:val="16"/>
              </w:rPr>
            </w:pPr>
            <w:r w:rsidRPr="00B761CF">
              <w:rPr>
                <w:rFonts w:ascii="Book Antiqua" w:hAnsi="Book Antiqua" w:cs="Arial"/>
                <w:sz w:val="16"/>
                <w:szCs w:val="16"/>
              </w:rPr>
              <w:t>Taux de satisfaction des entreprises sur le nombre des agences bancaires</w:t>
            </w:r>
          </w:p>
        </w:tc>
        <w:tc>
          <w:tcPr>
            <w:tcW w:w="7088" w:type="dxa"/>
            <w:vAlign w:val="center"/>
          </w:tcPr>
          <w:p w:rsidR="004A3746" w:rsidRPr="00B761C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m:t>
                    </m:r>
                    <m:r>
                      <m:rPr>
                        <m:nor/>
                      </m:rPr>
                      <w:rPr>
                        <w:rFonts w:ascii="Book Antiqua" w:hAnsi="Book Antiqua" w:cs="Arial"/>
                        <w:sz w:val="16"/>
                        <w:szCs w:val="16"/>
                      </w:rPr>
                      <m:t xml:space="preserve">Satisfaites" </m:t>
                    </m:r>
                    <m:r>
                      <m:rPr>
                        <m:sty m:val="p"/>
                      </m:rPr>
                      <w:rPr>
                        <w:rFonts w:ascii="Cambria Math" w:hAnsi="Book Antiqua" w:cs="Arial"/>
                        <w:sz w:val="16"/>
                        <w:szCs w:val="16"/>
                      </w:rPr>
                      <m:t>ou "Tres satisfaites"</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echantillon</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710"/>
        </w:trPr>
        <w:tc>
          <w:tcPr>
            <w:tcW w:w="3261" w:type="dxa"/>
            <w:vAlign w:val="center"/>
          </w:tcPr>
          <w:p w:rsidR="004A3746" w:rsidRPr="00B761CF" w:rsidRDefault="004A3746" w:rsidP="00B761CF">
            <w:pPr>
              <w:jc w:val="both"/>
              <w:rPr>
                <w:rFonts w:ascii="Book Antiqua" w:hAnsi="Book Antiqua" w:cs="Arial"/>
                <w:sz w:val="16"/>
                <w:szCs w:val="16"/>
              </w:rPr>
            </w:pPr>
            <w:r w:rsidRPr="00B761CF">
              <w:rPr>
                <w:rFonts w:ascii="Book Antiqua" w:hAnsi="Book Antiqua" w:cs="Arial"/>
                <w:sz w:val="16"/>
                <w:szCs w:val="16"/>
              </w:rPr>
              <w:t>Taux de satisfaction des entreprises sur le nombre de caisses fonctionnelles</w:t>
            </w:r>
          </w:p>
        </w:tc>
        <w:tc>
          <w:tcPr>
            <w:tcW w:w="7088" w:type="dxa"/>
            <w:vAlign w:val="center"/>
          </w:tcPr>
          <w:p w:rsidR="004A3746" w:rsidRPr="00B761C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m:t>
                    </m:r>
                    <m:r>
                      <m:rPr>
                        <m:nor/>
                      </m:rPr>
                      <w:rPr>
                        <w:rFonts w:ascii="Book Antiqua" w:hAnsi="Book Antiqua" w:cs="Arial"/>
                        <w:sz w:val="16"/>
                        <w:szCs w:val="16"/>
                      </w:rPr>
                      <m:t xml:space="preserve">Satisfaites" </m:t>
                    </m:r>
                    <m:r>
                      <m:rPr>
                        <m:sty m:val="p"/>
                      </m:rPr>
                      <w:rPr>
                        <w:rFonts w:ascii="Cambria Math" w:hAnsi="Book Antiqua" w:cs="Arial"/>
                        <w:sz w:val="16"/>
                        <w:szCs w:val="16"/>
                      </w:rPr>
                      <m:t>ou "Tres satisfaites"</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echantillon</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691"/>
        </w:trPr>
        <w:tc>
          <w:tcPr>
            <w:tcW w:w="3261" w:type="dxa"/>
            <w:vAlign w:val="center"/>
          </w:tcPr>
          <w:p w:rsidR="004A3746" w:rsidRPr="00B761CF" w:rsidRDefault="004A3746" w:rsidP="00B761CF">
            <w:pPr>
              <w:jc w:val="both"/>
              <w:rPr>
                <w:rFonts w:ascii="Book Antiqua" w:hAnsi="Book Antiqua" w:cs="Arial"/>
                <w:sz w:val="16"/>
                <w:szCs w:val="16"/>
              </w:rPr>
            </w:pPr>
            <w:r w:rsidRPr="00B761CF">
              <w:rPr>
                <w:rFonts w:ascii="Book Antiqua" w:hAnsi="Book Antiqua" w:cs="Arial"/>
                <w:sz w:val="16"/>
                <w:szCs w:val="16"/>
              </w:rPr>
              <w:t>Taux de satisfaction des entreprises sur la durée de traitement des opérations de caisse</w:t>
            </w:r>
          </w:p>
        </w:tc>
        <w:tc>
          <w:tcPr>
            <w:tcW w:w="7088" w:type="dxa"/>
            <w:vAlign w:val="center"/>
          </w:tcPr>
          <w:p w:rsidR="004A3746" w:rsidRPr="00B761C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m:t>
                    </m:r>
                    <m:r>
                      <m:rPr>
                        <m:nor/>
                      </m:rPr>
                      <w:rPr>
                        <w:rFonts w:ascii="Book Antiqua" w:hAnsi="Book Antiqua" w:cs="Arial"/>
                        <w:sz w:val="16"/>
                        <w:szCs w:val="16"/>
                      </w:rPr>
                      <m:t xml:space="preserve">Satisfaites" </m:t>
                    </m:r>
                    <m:r>
                      <m:rPr>
                        <m:sty m:val="p"/>
                      </m:rPr>
                      <w:rPr>
                        <w:rFonts w:ascii="Cambria Math" w:hAnsi="Book Antiqua" w:cs="Arial"/>
                        <w:sz w:val="16"/>
                        <w:szCs w:val="16"/>
                      </w:rPr>
                      <m:t>ou "Tres satisfaites"</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echantillon</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704"/>
        </w:trPr>
        <w:tc>
          <w:tcPr>
            <w:tcW w:w="3261" w:type="dxa"/>
            <w:vAlign w:val="center"/>
          </w:tcPr>
          <w:p w:rsidR="004A3746" w:rsidRPr="00B761CF" w:rsidRDefault="004A3746" w:rsidP="00B761CF">
            <w:pPr>
              <w:jc w:val="both"/>
              <w:rPr>
                <w:rFonts w:ascii="Book Antiqua" w:hAnsi="Book Antiqua" w:cs="Arial"/>
                <w:sz w:val="16"/>
                <w:szCs w:val="16"/>
              </w:rPr>
            </w:pPr>
            <w:r w:rsidRPr="00B761CF">
              <w:rPr>
                <w:rFonts w:ascii="Book Antiqua" w:hAnsi="Book Antiqua" w:cs="Arial"/>
                <w:sz w:val="16"/>
                <w:szCs w:val="16"/>
              </w:rPr>
              <w:t>Pourcentage des entreprises qui utilisent les virements domestiques</w:t>
            </w:r>
          </w:p>
        </w:tc>
        <w:tc>
          <w:tcPr>
            <w:tcW w:w="7088" w:type="dxa"/>
            <w:vAlign w:val="center"/>
          </w:tcPr>
          <w:p w:rsidR="004A3746" w:rsidRPr="00B761C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ayant deja effectue un virement domestique</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echantillon</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633"/>
        </w:trPr>
        <w:tc>
          <w:tcPr>
            <w:tcW w:w="3261" w:type="dxa"/>
            <w:vAlign w:val="center"/>
          </w:tcPr>
          <w:p w:rsidR="004A3746" w:rsidRPr="00B761CF" w:rsidRDefault="004A3746" w:rsidP="00B761CF">
            <w:pPr>
              <w:jc w:val="both"/>
              <w:rPr>
                <w:rFonts w:ascii="Book Antiqua" w:hAnsi="Book Antiqua" w:cs="Arial"/>
                <w:sz w:val="16"/>
                <w:szCs w:val="16"/>
              </w:rPr>
            </w:pPr>
            <w:r w:rsidRPr="00B761CF">
              <w:rPr>
                <w:rFonts w:ascii="Book Antiqua" w:hAnsi="Book Antiqua" w:cs="Arial"/>
                <w:sz w:val="16"/>
                <w:szCs w:val="16"/>
              </w:rPr>
              <w:t>Taux de satisfaction des entreprises sur la durée de traitement des virements domestiques</w:t>
            </w:r>
          </w:p>
        </w:tc>
        <w:tc>
          <w:tcPr>
            <w:tcW w:w="7088" w:type="dxa"/>
            <w:vAlign w:val="center"/>
          </w:tcPr>
          <w:p w:rsidR="004A3746" w:rsidRPr="00B761CF" w:rsidRDefault="000D65F2" w:rsidP="000B0B0C">
            <w:pPr>
              <w:widowControl w:val="0"/>
              <w:spacing w:before="120" w:line="312" w:lineRule="auto"/>
              <w:jc w:val="center"/>
              <w:rPr>
                <w:rFonts w:ascii="Book Antiqua" w:hAnsi="Book Antiqua" w:cs="Arial"/>
                <w:i/>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qui jugent la duree "Acceptable</m:t>
                    </m:r>
                    <m:r>
                      <m:rPr>
                        <m:nor/>
                      </m:rPr>
                      <w:rPr>
                        <w:rFonts w:ascii="Book Antiqua" w:hAnsi="Book Antiqua" w:cs="Arial"/>
                        <w:sz w:val="16"/>
                        <w:szCs w:val="16"/>
                      </w:rPr>
                      <m:t xml:space="preserve">" , "Courte" </m:t>
                    </m:r>
                    <m:r>
                      <m:rPr>
                        <m:sty m:val="p"/>
                      </m:rPr>
                      <w:rPr>
                        <w:rFonts w:ascii="Cambria Math" w:hAnsi="Book Antiqua" w:cs="Arial"/>
                        <w:sz w:val="16"/>
                        <w:szCs w:val="16"/>
                      </w:rPr>
                      <m:t>ou "Tres courte"</m:t>
                    </m:r>
                  </m:num>
                  <m:den>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ayant deja effectue un virement domestique</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698"/>
        </w:trPr>
        <w:tc>
          <w:tcPr>
            <w:tcW w:w="3261" w:type="dxa"/>
            <w:vAlign w:val="center"/>
          </w:tcPr>
          <w:p w:rsidR="004A3746" w:rsidRPr="00B761CF" w:rsidRDefault="004A3746" w:rsidP="00B761CF">
            <w:pPr>
              <w:jc w:val="both"/>
              <w:rPr>
                <w:rFonts w:ascii="Book Antiqua" w:hAnsi="Book Antiqua" w:cs="Arial"/>
                <w:sz w:val="16"/>
                <w:szCs w:val="16"/>
              </w:rPr>
            </w:pPr>
            <w:r w:rsidRPr="00B761CF">
              <w:rPr>
                <w:rFonts w:ascii="Book Antiqua" w:hAnsi="Book Antiqua" w:cs="Arial"/>
                <w:sz w:val="16"/>
                <w:szCs w:val="16"/>
              </w:rPr>
              <w:t>Pourcentage des entreprises ayant émis des virements vers l’étranger</w:t>
            </w:r>
          </w:p>
        </w:tc>
        <w:tc>
          <w:tcPr>
            <w:tcW w:w="7088" w:type="dxa"/>
            <w:vAlign w:val="center"/>
          </w:tcPr>
          <w:p w:rsidR="004A3746" w:rsidRPr="00B761C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ayant deja effectue un virement vers l</m:t>
                    </m:r>
                    <m:r>
                      <m:rPr>
                        <m:sty m:val="p"/>
                      </m:rPr>
                      <w:rPr>
                        <w:rFonts w:ascii="Book Antiqua" w:hAnsi="Book Antiqua" w:cs="Arial"/>
                        <w:sz w:val="16"/>
                        <w:szCs w:val="16"/>
                      </w:rPr>
                      <m:t>'</m:t>
                    </m:r>
                    <m:r>
                      <m:rPr>
                        <m:sty m:val="p"/>
                      </m:rPr>
                      <w:rPr>
                        <w:rFonts w:ascii="Cambria Math" w:hAnsi="Book Antiqua" w:cs="Arial"/>
                        <w:sz w:val="16"/>
                        <w:szCs w:val="16"/>
                      </w:rPr>
                      <m:t>etranger</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echantillon</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564"/>
        </w:trPr>
        <w:tc>
          <w:tcPr>
            <w:tcW w:w="3261" w:type="dxa"/>
            <w:vAlign w:val="center"/>
          </w:tcPr>
          <w:p w:rsidR="004A3746" w:rsidRPr="00B761CF" w:rsidRDefault="004A3746" w:rsidP="00B761CF">
            <w:pPr>
              <w:jc w:val="both"/>
              <w:rPr>
                <w:rFonts w:ascii="Book Antiqua" w:hAnsi="Book Antiqua" w:cs="Arial"/>
                <w:sz w:val="16"/>
                <w:szCs w:val="16"/>
              </w:rPr>
            </w:pPr>
            <w:r w:rsidRPr="00B761CF">
              <w:rPr>
                <w:rFonts w:ascii="Book Antiqua" w:hAnsi="Book Antiqua" w:cs="Arial"/>
                <w:sz w:val="16"/>
                <w:szCs w:val="16"/>
              </w:rPr>
              <w:t>Taux de satisfaction des entreprises sur la durée de traitement des virements vers l’étranger</w:t>
            </w:r>
          </w:p>
        </w:tc>
        <w:tc>
          <w:tcPr>
            <w:tcW w:w="7088" w:type="dxa"/>
            <w:vAlign w:val="center"/>
          </w:tcPr>
          <w:p w:rsidR="004A3746" w:rsidRPr="00B761CF" w:rsidRDefault="000D65F2" w:rsidP="000B0B0C">
            <w:pPr>
              <w:widowControl w:val="0"/>
              <w:spacing w:before="120" w:line="312" w:lineRule="auto"/>
              <w:jc w:val="center"/>
              <w:rPr>
                <w:rFonts w:ascii="Book Antiqua" w:hAnsi="Book Antiqua" w:cs="Arial"/>
                <w:i/>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qui jugent la duree "Acceptable</m:t>
                    </m:r>
                    <m:r>
                      <m:rPr>
                        <m:nor/>
                      </m:rPr>
                      <w:rPr>
                        <w:rFonts w:ascii="Book Antiqua" w:hAnsi="Book Antiqua" w:cs="Arial"/>
                        <w:sz w:val="16"/>
                        <w:szCs w:val="16"/>
                      </w:rPr>
                      <m:t xml:space="preserve">" , "Courte" </m:t>
                    </m:r>
                    <m:r>
                      <m:rPr>
                        <m:sty m:val="p"/>
                      </m:rPr>
                      <w:rPr>
                        <w:rFonts w:ascii="Cambria Math" w:hAnsi="Book Antiqua" w:cs="Arial"/>
                        <w:sz w:val="16"/>
                        <w:szCs w:val="16"/>
                      </w:rPr>
                      <m:t>ou "Tres courte"</m:t>
                    </m:r>
                  </m:num>
                  <m:den>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ayant deja emis un virement vers l</m:t>
                    </m:r>
                    <m:r>
                      <m:rPr>
                        <m:sty m:val="p"/>
                      </m:rPr>
                      <w:rPr>
                        <w:rFonts w:ascii="Cambria Math" w:hAnsi="Cambria Math" w:cs="Arial"/>
                        <w:sz w:val="16"/>
                        <w:szCs w:val="16"/>
                      </w:rPr>
                      <m:t>'</m:t>
                    </m:r>
                    <m:r>
                      <m:rPr>
                        <m:sty m:val="p"/>
                      </m:rPr>
                      <w:rPr>
                        <w:rFonts w:ascii="Cambria Math" w:hAnsi="Book Antiqua" w:cs="Arial"/>
                        <w:sz w:val="16"/>
                        <w:szCs w:val="16"/>
                      </w:rPr>
                      <m:t>etranger</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572"/>
        </w:trPr>
        <w:tc>
          <w:tcPr>
            <w:tcW w:w="3261" w:type="dxa"/>
            <w:vAlign w:val="center"/>
          </w:tcPr>
          <w:p w:rsidR="004A3746" w:rsidRPr="00B761CF" w:rsidRDefault="004A3746" w:rsidP="00B761CF">
            <w:pPr>
              <w:jc w:val="both"/>
              <w:rPr>
                <w:rFonts w:ascii="Book Antiqua" w:hAnsi="Book Antiqua" w:cs="Arial"/>
                <w:sz w:val="16"/>
                <w:szCs w:val="16"/>
              </w:rPr>
            </w:pPr>
            <w:r w:rsidRPr="00B761CF">
              <w:rPr>
                <w:rFonts w:ascii="Book Antiqua" w:hAnsi="Book Antiqua" w:cs="Arial"/>
                <w:sz w:val="16"/>
                <w:szCs w:val="16"/>
              </w:rPr>
              <w:t>Pourcentage des entreprises ayant reçu des virements de l’étranger</w:t>
            </w:r>
          </w:p>
        </w:tc>
        <w:tc>
          <w:tcPr>
            <w:tcW w:w="7088" w:type="dxa"/>
            <w:vAlign w:val="center"/>
          </w:tcPr>
          <w:p w:rsidR="004A3746" w:rsidRPr="00B761C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ayant deja recu un virement de l</m:t>
                    </m:r>
                    <m:r>
                      <m:rPr>
                        <m:sty m:val="p"/>
                      </m:rPr>
                      <w:rPr>
                        <w:rFonts w:ascii="Book Antiqua" w:hAnsi="Book Antiqua" w:cs="Arial"/>
                        <w:sz w:val="16"/>
                        <w:szCs w:val="16"/>
                      </w:rPr>
                      <m:t>'</m:t>
                    </m:r>
                    <m:r>
                      <m:rPr>
                        <m:sty m:val="p"/>
                      </m:rPr>
                      <w:rPr>
                        <w:rFonts w:ascii="Cambria Math" w:hAnsi="Book Antiqua" w:cs="Arial"/>
                        <w:sz w:val="16"/>
                        <w:szCs w:val="16"/>
                      </w:rPr>
                      <m:t>etranger</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echantillon</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662"/>
        </w:trPr>
        <w:tc>
          <w:tcPr>
            <w:tcW w:w="3261" w:type="dxa"/>
            <w:vAlign w:val="center"/>
          </w:tcPr>
          <w:p w:rsidR="004A3746" w:rsidRPr="00B761CF" w:rsidRDefault="004A3746" w:rsidP="00B761CF">
            <w:pPr>
              <w:jc w:val="both"/>
              <w:rPr>
                <w:rFonts w:ascii="Book Antiqua" w:hAnsi="Book Antiqua" w:cs="Arial"/>
                <w:sz w:val="16"/>
                <w:szCs w:val="16"/>
              </w:rPr>
            </w:pPr>
            <w:r w:rsidRPr="00B761CF">
              <w:rPr>
                <w:rFonts w:ascii="Book Antiqua" w:hAnsi="Book Antiqua" w:cs="Arial"/>
                <w:sz w:val="16"/>
                <w:szCs w:val="16"/>
              </w:rPr>
              <w:t xml:space="preserve">Taux de satisfaction des entreprises sur la durée de traitement des virements </w:t>
            </w:r>
            <w:r w:rsidR="00F97F7D" w:rsidRPr="00B761CF">
              <w:rPr>
                <w:rFonts w:ascii="Book Antiqua" w:hAnsi="Book Antiqua" w:cs="Arial"/>
                <w:sz w:val="16"/>
                <w:szCs w:val="16"/>
              </w:rPr>
              <w:t xml:space="preserve">en provenance </w:t>
            </w:r>
            <w:r w:rsidRPr="00B761CF">
              <w:rPr>
                <w:rFonts w:ascii="Book Antiqua" w:hAnsi="Book Antiqua" w:cs="Arial"/>
                <w:sz w:val="16"/>
                <w:szCs w:val="16"/>
              </w:rPr>
              <w:t>de l’étranger</w:t>
            </w:r>
          </w:p>
        </w:tc>
        <w:tc>
          <w:tcPr>
            <w:tcW w:w="7088" w:type="dxa"/>
            <w:vAlign w:val="center"/>
          </w:tcPr>
          <w:p w:rsidR="004A3746" w:rsidRPr="00B761CF" w:rsidRDefault="000D65F2" w:rsidP="000B0B0C">
            <w:pPr>
              <w:spacing w:line="312" w:lineRule="auto"/>
              <w:jc w:val="center"/>
              <w:rPr>
                <w:rFonts w:ascii="Book Antiqua" w:hAnsi="Book Antiqua" w:cs="Arial"/>
                <w:i/>
                <w:sz w:val="16"/>
                <w:szCs w:val="16"/>
              </w:rPr>
            </w:pPr>
            <m:oMathPara>
              <m:oMathParaPr>
                <m:jc m:val="center"/>
              </m:oMathParaPr>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qui jugent la duree "Acceptable</m:t>
                    </m:r>
                    <m:r>
                      <m:rPr>
                        <m:nor/>
                      </m:rPr>
                      <w:rPr>
                        <w:rFonts w:ascii="Book Antiqua" w:hAnsi="Book Antiqua" w:cs="Arial"/>
                        <w:sz w:val="16"/>
                        <w:szCs w:val="16"/>
                      </w:rPr>
                      <m:t xml:space="preserve">" , "Courte" </m:t>
                    </m:r>
                    <m:r>
                      <m:rPr>
                        <m:sty m:val="p"/>
                      </m:rPr>
                      <w:rPr>
                        <w:rFonts w:ascii="Cambria Math" w:hAnsi="Book Antiqua" w:cs="Arial"/>
                        <w:sz w:val="16"/>
                        <w:szCs w:val="16"/>
                      </w:rPr>
                      <m:t>ou "Tres courte"</m:t>
                    </m:r>
                  </m:num>
                  <m:den>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ayant deja recu un virement de l</m:t>
                    </m:r>
                    <m:r>
                      <m:rPr>
                        <m:sty m:val="p"/>
                      </m:rPr>
                      <w:rPr>
                        <w:rFonts w:ascii="Cambria Math" w:hAnsi="Cambria Math" w:cs="Arial"/>
                        <w:sz w:val="16"/>
                        <w:szCs w:val="16"/>
                      </w:rPr>
                      <m:t>'</m:t>
                    </m:r>
                    <m:r>
                      <m:rPr>
                        <m:sty m:val="p"/>
                      </m:rPr>
                      <w:rPr>
                        <w:rFonts w:ascii="Cambria Math" w:hAnsi="Book Antiqua" w:cs="Arial"/>
                        <w:sz w:val="16"/>
                        <w:szCs w:val="16"/>
                      </w:rPr>
                      <m:t>etranger</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672"/>
        </w:trPr>
        <w:tc>
          <w:tcPr>
            <w:tcW w:w="3261" w:type="dxa"/>
            <w:vAlign w:val="center"/>
          </w:tcPr>
          <w:p w:rsidR="004A3746" w:rsidRPr="00B761CF" w:rsidRDefault="004A3746" w:rsidP="00B761CF">
            <w:pPr>
              <w:jc w:val="both"/>
              <w:rPr>
                <w:rFonts w:ascii="Book Antiqua" w:hAnsi="Book Antiqua" w:cs="Arial"/>
                <w:sz w:val="16"/>
                <w:szCs w:val="16"/>
              </w:rPr>
            </w:pPr>
            <w:r w:rsidRPr="00B761CF">
              <w:rPr>
                <w:rFonts w:ascii="Book Antiqua" w:hAnsi="Book Antiqua" w:cs="Arial"/>
                <w:sz w:val="16"/>
                <w:szCs w:val="16"/>
              </w:rPr>
              <w:t>Taux de satisfaction des entreprises sur les délais de renouvellement des chéquiers</w:t>
            </w:r>
          </w:p>
        </w:tc>
        <w:tc>
          <w:tcPr>
            <w:tcW w:w="7088" w:type="dxa"/>
            <w:vAlign w:val="center"/>
          </w:tcPr>
          <w:p w:rsidR="004A3746" w:rsidRPr="00B761CF" w:rsidRDefault="000D65F2" w:rsidP="00D81A04">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ce delai "Acceptable","Court " ou "Tres court"</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echantillon</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8A4AEF" w:rsidRPr="00113477" w:rsidTr="00B761CF">
        <w:trPr>
          <w:trHeight w:hRule="exact" w:val="693"/>
        </w:trPr>
        <w:tc>
          <w:tcPr>
            <w:tcW w:w="3261" w:type="dxa"/>
            <w:vAlign w:val="center"/>
          </w:tcPr>
          <w:p w:rsidR="008A4AEF" w:rsidRPr="00B761CF" w:rsidRDefault="008A4AEF" w:rsidP="00B761CF">
            <w:pPr>
              <w:jc w:val="both"/>
              <w:rPr>
                <w:rFonts w:ascii="Book Antiqua" w:hAnsi="Book Antiqua" w:cs="Arial"/>
                <w:sz w:val="16"/>
                <w:szCs w:val="16"/>
              </w:rPr>
            </w:pPr>
            <w:r w:rsidRPr="00B761CF">
              <w:rPr>
                <w:rFonts w:ascii="Book Antiqua" w:hAnsi="Book Antiqua" w:cs="Arial"/>
                <w:sz w:val="16"/>
                <w:szCs w:val="16"/>
              </w:rPr>
              <w:t xml:space="preserve">Pourcentage d’entreprises </w:t>
            </w:r>
            <w:r w:rsidR="00844115" w:rsidRPr="00B761CF">
              <w:rPr>
                <w:rFonts w:ascii="Book Antiqua" w:hAnsi="Book Antiqua" w:cs="Arial"/>
                <w:sz w:val="16"/>
                <w:szCs w:val="16"/>
              </w:rPr>
              <w:t>n’</w:t>
            </w:r>
            <w:r w:rsidRPr="00B761CF">
              <w:rPr>
                <w:rFonts w:ascii="Book Antiqua" w:hAnsi="Book Antiqua" w:cs="Arial"/>
                <w:sz w:val="16"/>
                <w:szCs w:val="16"/>
              </w:rPr>
              <w:t xml:space="preserve">ayant </w:t>
            </w:r>
            <w:r w:rsidR="00235BB8" w:rsidRPr="00B761CF">
              <w:rPr>
                <w:rFonts w:ascii="Book Antiqua" w:hAnsi="Book Antiqua" w:cs="Arial"/>
                <w:sz w:val="16"/>
                <w:szCs w:val="16"/>
              </w:rPr>
              <w:t>jamais</w:t>
            </w:r>
            <w:r w:rsidR="00844115" w:rsidRPr="00B761CF">
              <w:rPr>
                <w:rFonts w:ascii="Book Antiqua" w:hAnsi="Book Antiqua" w:cs="Arial"/>
                <w:sz w:val="16"/>
                <w:szCs w:val="16"/>
              </w:rPr>
              <w:t xml:space="preserve"> décel</w:t>
            </w:r>
            <w:r w:rsidRPr="00B761CF">
              <w:rPr>
                <w:rFonts w:ascii="Book Antiqua" w:hAnsi="Book Antiqua" w:cs="Arial"/>
                <w:sz w:val="16"/>
                <w:szCs w:val="16"/>
              </w:rPr>
              <w:t>é des irrégularités dans leurs relevés de compte</w:t>
            </w:r>
          </w:p>
        </w:tc>
        <w:tc>
          <w:tcPr>
            <w:tcW w:w="7088" w:type="dxa"/>
            <w:vAlign w:val="center"/>
          </w:tcPr>
          <w:p w:rsidR="008A4AEF" w:rsidRPr="00B761CF" w:rsidRDefault="000D65F2" w:rsidP="00844115">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 xml:space="preserve">entreprises </m:t>
                    </m:r>
                    <m:sSup>
                      <m:sSupPr>
                        <m:ctrlPr>
                          <w:rPr>
                            <w:rFonts w:ascii="Cambria Math" w:hAnsi="Book Antiqua" w:cs="Arial"/>
                            <w:sz w:val="16"/>
                            <w:szCs w:val="16"/>
                          </w:rPr>
                        </m:ctrlPr>
                      </m:sSupPr>
                      <m:e>
                        <m:r>
                          <m:rPr>
                            <m:sty m:val="p"/>
                          </m:rPr>
                          <w:rPr>
                            <w:rFonts w:ascii="Cambria Math" w:hAnsi="Book Antiqua" w:cs="Arial"/>
                            <w:sz w:val="16"/>
                            <w:szCs w:val="16"/>
                          </w:rPr>
                          <m:t>n</m:t>
                        </m:r>
                      </m:e>
                      <m:sup>
                        <m:r>
                          <m:rPr>
                            <m:sty m:val="p"/>
                          </m:rPr>
                          <w:rPr>
                            <w:rFonts w:ascii="Book Antiqua" w:hAnsi="Book Antiqua" w:cs="Arial"/>
                            <w:sz w:val="16"/>
                            <w:szCs w:val="16"/>
                          </w:rPr>
                          <m:t>'</m:t>
                        </m:r>
                      </m:sup>
                    </m:sSup>
                    <m:r>
                      <m:rPr>
                        <m:sty m:val="p"/>
                      </m:rPr>
                      <w:rPr>
                        <w:rFonts w:ascii="Cambria Math" w:hAnsi="Book Antiqua" w:cs="Arial"/>
                        <w:sz w:val="16"/>
                        <w:szCs w:val="16"/>
                      </w:rPr>
                      <m:t>ayant jamais decele d</m:t>
                    </m:r>
                    <m:r>
                      <m:rPr>
                        <m:sty m:val="p"/>
                      </m:rPr>
                      <w:rPr>
                        <w:rFonts w:ascii="Book Antiqua" w:hAnsi="Book Antiqua" w:cs="Arial"/>
                        <w:sz w:val="16"/>
                        <w:szCs w:val="16"/>
                      </w:rPr>
                      <m:t>'</m:t>
                    </m:r>
                    <m:r>
                      <m:rPr>
                        <m:sty m:val="p"/>
                      </m:rPr>
                      <w:rPr>
                        <w:rFonts w:ascii="Cambria Math" w:hAnsi="Book Antiqua" w:cs="Arial"/>
                        <w:sz w:val="16"/>
                        <w:szCs w:val="16"/>
                      </w:rPr>
                      <m:t>irregularites dans leurs releves</m:t>
                    </m:r>
                  </m:num>
                  <m:den>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recoivent leurs releves bancaires</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8A4AEF" w:rsidRPr="00113477" w:rsidTr="00B761CF">
        <w:trPr>
          <w:trHeight w:hRule="exact" w:val="562"/>
        </w:trPr>
        <w:tc>
          <w:tcPr>
            <w:tcW w:w="3261" w:type="dxa"/>
            <w:vAlign w:val="center"/>
          </w:tcPr>
          <w:p w:rsidR="008A4AEF" w:rsidRPr="00B761CF" w:rsidRDefault="008A4AEF" w:rsidP="00B761CF">
            <w:pPr>
              <w:jc w:val="both"/>
              <w:rPr>
                <w:rFonts w:ascii="Book Antiqua" w:hAnsi="Book Antiqua" w:cs="Arial"/>
                <w:sz w:val="16"/>
                <w:szCs w:val="16"/>
              </w:rPr>
            </w:pPr>
            <w:r w:rsidRPr="00B761CF">
              <w:rPr>
                <w:rFonts w:ascii="Book Antiqua" w:hAnsi="Book Antiqua" w:cs="Arial"/>
                <w:sz w:val="16"/>
                <w:szCs w:val="16"/>
              </w:rPr>
              <w:t>Taux de satisfaction des entreprises sur les dates de valeur</w:t>
            </w:r>
          </w:p>
        </w:tc>
        <w:tc>
          <w:tcPr>
            <w:tcW w:w="7088" w:type="dxa"/>
            <w:vAlign w:val="center"/>
          </w:tcPr>
          <w:p w:rsidR="008A4AEF" w:rsidRPr="00B761C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les dates de valeurs "</m:t>
                    </m:r>
                    <m:r>
                      <m:rPr>
                        <m:nor/>
                      </m:rPr>
                      <w:rPr>
                        <w:rFonts w:ascii="Book Antiqua" w:hAnsi="Book Antiqua" w:cs="Arial"/>
                        <w:sz w:val="16"/>
                        <w:szCs w:val="16"/>
                      </w:rPr>
                      <m:t>Acceptables", "</m:t>
                    </m:r>
                    <m:r>
                      <m:rPr>
                        <m:sty m:val="p"/>
                      </m:rPr>
                      <w:rPr>
                        <w:rFonts w:ascii="Cambria Math" w:hAnsi="Book Antiqua" w:cs="Arial"/>
                        <w:sz w:val="16"/>
                        <w:szCs w:val="16"/>
                      </w:rPr>
                      <m:t>Courtes"</m:t>
                    </m:r>
                    <m:r>
                      <m:rPr>
                        <m:nor/>
                      </m:rPr>
                      <w:rPr>
                        <w:rFonts w:ascii="Book Antiqua" w:hAnsi="Book Antiqua" w:cs="Arial"/>
                        <w:sz w:val="16"/>
                        <w:szCs w:val="16"/>
                      </w:rPr>
                      <m:t xml:space="preserve"> ou "</m:t>
                    </m:r>
                    <m:r>
                      <m:rPr>
                        <m:sty m:val="p"/>
                      </m:rPr>
                      <w:rPr>
                        <w:rFonts w:ascii="Cambria Math" w:hAnsi="Book Antiqua" w:cs="Arial"/>
                        <w:sz w:val="16"/>
                        <w:szCs w:val="16"/>
                      </w:rPr>
                      <m:t>Tres courtes"</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echantillon</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8A4AEF" w:rsidRPr="00113477" w:rsidTr="00B761CF">
        <w:trPr>
          <w:trHeight w:hRule="exact" w:val="707"/>
        </w:trPr>
        <w:tc>
          <w:tcPr>
            <w:tcW w:w="3261" w:type="dxa"/>
            <w:tcBorders>
              <w:bottom w:val="single" w:sz="4" w:space="0" w:color="000000" w:themeColor="text1"/>
            </w:tcBorders>
            <w:vAlign w:val="center"/>
          </w:tcPr>
          <w:p w:rsidR="008A4AEF" w:rsidRPr="00B761CF" w:rsidRDefault="008A4AEF" w:rsidP="00B761CF">
            <w:pPr>
              <w:jc w:val="both"/>
              <w:rPr>
                <w:rFonts w:ascii="Book Antiqua" w:hAnsi="Book Antiqua" w:cs="Arial"/>
                <w:sz w:val="16"/>
                <w:szCs w:val="16"/>
              </w:rPr>
            </w:pPr>
            <w:r w:rsidRPr="00B761CF">
              <w:rPr>
                <w:rFonts w:ascii="Book Antiqua" w:hAnsi="Book Antiqua" w:cs="Arial"/>
                <w:sz w:val="16"/>
                <w:szCs w:val="16"/>
              </w:rPr>
              <w:t>Taux de satisfaction des entreprises sur l’adéquation entre leurs projets d’investissements et les produits bancaires</w:t>
            </w:r>
          </w:p>
        </w:tc>
        <w:tc>
          <w:tcPr>
            <w:tcW w:w="7088" w:type="dxa"/>
            <w:tcBorders>
              <w:bottom w:val="single" w:sz="4" w:space="0" w:color="000000" w:themeColor="text1"/>
            </w:tcBorders>
            <w:vAlign w:val="center"/>
          </w:tcPr>
          <w:p w:rsidR="008A4AEF" w:rsidRPr="00B761C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les produits  "Adaptes</m:t>
                    </m:r>
                    <m:r>
                      <m:rPr>
                        <m:nor/>
                      </m:rPr>
                      <w:rPr>
                        <w:rFonts w:ascii="Book Antiqua" w:hAnsi="Book Antiqua" w:cs="Arial"/>
                        <w:sz w:val="16"/>
                        <w:szCs w:val="16"/>
                      </w:rPr>
                      <m:t xml:space="preserve">" </m:t>
                    </m:r>
                    <m:r>
                      <m:rPr>
                        <m:sty m:val="p"/>
                      </m:rPr>
                      <w:rPr>
                        <w:rFonts w:ascii="Cambria Math" w:hAnsi="Book Antiqua" w:cs="Arial"/>
                        <w:sz w:val="16"/>
                        <w:szCs w:val="16"/>
                      </w:rPr>
                      <m:t>ou "Tres adaptes"</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echantillon</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r w:rsidR="008A4AEF" w:rsidRPr="00113477" w:rsidTr="00B761CF">
        <w:trPr>
          <w:trHeight w:hRule="exact" w:val="731"/>
        </w:trPr>
        <w:tc>
          <w:tcPr>
            <w:tcW w:w="3261" w:type="dxa"/>
            <w:tcBorders>
              <w:bottom w:val="single" w:sz="4" w:space="0" w:color="000000" w:themeColor="text1"/>
            </w:tcBorders>
            <w:vAlign w:val="center"/>
          </w:tcPr>
          <w:p w:rsidR="008A4AEF" w:rsidRPr="00B761CF" w:rsidRDefault="008A4AEF" w:rsidP="00B761CF">
            <w:pPr>
              <w:jc w:val="both"/>
              <w:rPr>
                <w:rFonts w:ascii="Book Antiqua" w:hAnsi="Book Antiqua" w:cs="Arial"/>
                <w:sz w:val="16"/>
                <w:szCs w:val="16"/>
              </w:rPr>
            </w:pPr>
            <w:r w:rsidRPr="00B761CF">
              <w:rPr>
                <w:rFonts w:ascii="Book Antiqua" w:hAnsi="Book Antiqua" w:cs="Arial"/>
                <w:sz w:val="16"/>
                <w:szCs w:val="16"/>
              </w:rPr>
              <w:t>Taux de satisfaction des entreprises sur l’adéquation entre leurs besoins en fonds de roulement et les produits bancaires</w:t>
            </w:r>
          </w:p>
        </w:tc>
        <w:tc>
          <w:tcPr>
            <w:tcW w:w="7088" w:type="dxa"/>
            <w:tcBorders>
              <w:bottom w:val="single" w:sz="4" w:space="0" w:color="000000" w:themeColor="text1"/>
            </w:tcBorders>
            <w:vAlign w:val="center"/>
          </w:tcPr>
          <w:p w:rsidR="008A4AEF" w:rsidRPr="00B761C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les produits  "Adaptes</m:t>
                    </m:r>
                    <m:r>
                      <m:rPr>
                        <m:nor/>
                      </m:rPr>
                      <w:rPr>
                        <w:rFonts w:ascii="Book Antiqua" w:hAnsi="Book Antiqua" w:cs="Arial"/>
                        <w:sz w:val="16"/>
                        <w:szCs w:val="16"/>
                      </w:rPr>
                      <m:t xml:space="preserve">" </m:t>
                    </m:r>
                    <m:r>
                      <m:rPr>
                        <m:sty m:val="p"/>
                      </m:rPr>
                      <w:rPr>
                        <w:rFonts w:ascii="Cambria Math" w:hAnsi="Book Antiqua" w:cs="Arial"/>
                        <w:sz w:val="16"/>
                        <w:szCs w:val="16"/>
                      </w:rPr>
                      <m:t>ou "Tres adaptes"</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echantillon</m:t>
                    </m:r>
                  </m:den>
                </m:f>
                <m:r>
                  <m:rPr>
                    <m:sty m:val="p"/>
                  </m:rPr>
                  <w:rPr>
                    <w:rFonts w:ascii="Cambria Math" w:hAnsi="Book Antiqua" w:cs="Arial"/>
                    <w:sz w:val="16"/>
                    <w:szCs w:val="16"/>
                  </w:rPr>
                  <m:t>×</m:t>
                </m:r>
                <m:r>
                  <m:rPr>
                    <m:sty m:val="p"/>
                  </m:rPr>
                  <w:rPr>
                    <w:rFonts w:ascii="Cambria Math" w:hAnsi="Book Antiqua" w:cs="Arial"/>
                    <w:sz w:val="16"/>
                    <w:szCs w:val="16"/>
                  </w:rPr>
                  <m:t>100</m:t>
                </m:r>
              </m:oMath>
            </m:oMathPara>
          </w:p>
        </w:tc>
      </w:tr>
    </w:tbl>
    <w:p w:rsidR="0089563F" w:rsidRPr="00113477" w:rsidRDefault="0089563F">
      <w:pPr>
        <w:rPr>
          <w:rFonts w:ascii="Book Antiqua" w:hAnsi="Book Antiqua"/>
          <w:sz w:val="20"/>
          <w:szCs w:val="20"/>
        </w:rPr>
      </w:pPr>
      <w:r w:rsidRPr="00113477">
        <w:rPr>
          <w:rFonts w:ascii="Book Antiqua" w:hAnsi="Book Antiqua"/>
          <w:sz w:val="20"/>
          <w:szCs w:val="20"/>
        </w:rPr>
        <w:br w:type="page"/>
      </w:r>
    </w:p>
    <w:p w:rsidR="006D3FD9" w:rsidRPr="00113477" w:rsidRDefault="006D3FD9" w:rsidP="006D3FD9">
      <w:pPr>
        <w:tabs>
          <w:tab w:val="left" w:pos="-720"/>
        </w:tabs>
        <w:suppressAutoHyphens/>
        <w:spacing w:line="312" w:lineRule="auto"/>
        <w:jc w:val="center"/>
        <w:rPr>
          <w:rFonts w:ascii="Book Antiqua" w:hAnsi="Book Antiqua" w:cs="Arial"/>
          <w:b/>
          <w:sz w:val="20"/>
          <w:szCs w:val="20"/>
        </w:rPr>
      </w:pPr>
      <w:r w:rsidRPr="00113477">
        <w:rPr>
          <w:rFonts w:ascii="Book Antiqua" w:hAnsi="Book Antiqua" w:cs="Arial"/>
          <w:b/>
          <w:sz w:val="20"/>
          <w:szCs w:val="20"/>
        </w:rPr>
        <w:lastRenderedPageBreak/>
        <w:t>Formules de calcul des principaux indicateurs de satisfaction (Suite)</w:t>
      </w:r>
    </w:p>
    <w:p w:rsidR="006D3FD9" w:rsidRPr="00113477" w:rsidRDefault="006D3FD9" w:rsidP="006D3FD9">
      <w:pPr>
        <w:tabs>
          <w:tab w:val="left" w:pos="-720"/>
        </w:tabs>
        <w:suppressAutoHyphens/>
        <w:spacing w:line="312" w:lineRule="auto"/>
        <w:jc w:val="center"/>
        <w:rPr>
          <w:rFonts w:ascii="Book Antiqua" w:hAnsi="Book Antiqua" w:cs="Arial"/>
          <w:b/>
          <w:sz w:val="20"/>
          <w:szCs w:val="20"/>
        </w:rPr>
      </w:pPr>
    </w:p>
    <w:tbl>
      <w:tblPr>
        <w:tblStyle w:val="Grilledutableau"/>
        <w:tblW w:w="10173" w:type="dxa"/>
        <w:tblLook w:val="04A0"/>
      </w:tblPr>
      <w:tblGrid>
        <w:gridCol w:w="3085"/>
        <w:gridCol w:w="7088"/>
      </w:tblGrid>
      <w:tr w:rsidR="004A3746" w:rsidRPr="00113477" w:rsidTr="00B761CF">
        <w:trPr>
          <w:trHeight w:hRule="exact" w:val="421"/>
        </w:trPr>
        <w:tc>
          <w:tcPr>
            <w:tcW w:w="10173" w:type="dxa"/>
            <w:gridSpan w:val="2"/>
            <w:tcBorders>
              <w:top w:val="single" w:sz="4" w:space="0" w:color="000000" w:themeColor="text1"/>
            </w:tcBorders>
            <w:vAlign w:val="center"/>
          </w:tcPr>
          <w:p w:rsidR="004A3746" w:rsidRPr="00B740FF" w:rsidRDefault="004A3746" w:rsidP="009E77D3">
            <w:pPr>
              <w:widowControl w:val="0"/>
              <w:spacing w:before="120" w:line="312" w:lineRule="auto"/>
              <w:jc w:val="center"/>
              <w:rPr>
                <w:rFonts w:ascii="Book Antiqua" w:hAnsi="Book Antiqua" w:cs="Arial"/>
                <w:sz w:val="16"/>
                <w:szCs w:val="16"/>
              </w:rPr>
            </w:pPr>
            <w:r w:rsidRPr="00B740FF">
              <w:rPr>
                <w:rFonts w:ascii="Book Antiqua" w:hAnsi="Book Antiqua" w:cs="Arial"/>
                <w:b/>
                <w:bCs/>
                <w:sz w:val="16"/>
                <w:szCs w:val="16"/>
              </w:rPr>
              <w:t>SATISFACTION SUR LES COÛTS</w:t>
            </w:r>
          </w:p>
        </w:tc>
      </w:tr>
      <w:tr w:rsidR="00A852FE" w:rsidRPr="00113477" w:rsidTr="00B761CF">
        <w:trPr>
          <w:trHeight w:hRule="exact" w:val="738"/>
        </w:trPr>
        <w:tc>
          <w:tcPr>
            <w:tcW w:w="3085" w:type="dxa"/>
            <w:vAlign w:val="center"/>
          </w:tcPr>
          <w:p w:rsidR="004A3746" w:rsidRPr="00B740FF" w:rsidRDefault="004A3746" w:rsidP="00B761CF">
            <w:pPr>
              <w:rPr>
                <w:rFonts w:ascii="Book Antiqua" w:hAnsi="Book Antiqua" w:cs="Arial"/>
                <w:sz w:val="16"/>
                <w:szCs w:val="16"/>
              </w:rPr>
            </w:pPr>
            <w:r w:rsidRPr="00B740FF">
              <w:rPr>
                <w:rFonts w:ascii="Book Antiqua" w:hAnsi="Book Antiqua" w:cs="Arial"/>
                <w:sz w:val="16"/>
                <w:szCs w:val="16"/>
              </w:rPr>
              <w:t>Pourcentage des entreprises ayant bénéficié d’un crédit</w:t>
            </w:r>
          </w:p>
        </w:tc>
        <w:tc>
          <w:tcPr>
            <w:tcW w:w="7088" w:type="dxa"/>
            <w:vAlign w:val="center"/>
          </w:tcPr>
          <w:p w:rsidR="004A3746"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 xml:space="preserve">entreprises ayant beneficie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un credit</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m:t>
                    </m:r>
                    <m:r>
                      <m:rPr>
                        <m:sty m:val="p"/>
                      </m:rPr>
                      <w:rPr>
                        <w:rFonts w:ascii="Cambria Math" w:hAnsi="Book Antiqua" w:cs="Cambria Math"/>
                        <w:sz w:val="16"/>
                        <w:szCs w:val="16"/>
                      </w:rPr>
                      <m:t>h</m:t>
                    </m:r>
                    <m:r>
                      <m:rPr>
                        <m:sty m:val="p"/>
                      </m:rPr>
                      <w:rPr>
                        <w:rFonts w:ascii="Cambria Math" w:hAnsi="Book Antiqua" w:cs="Arial"/>
                        <w:sz w:val="16"/>
                        <w:szCs w:val="16"/>
                      </w:rPr>
                      <m:t>antillon</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851"/>
        </w:trPr>
        <w:tc>
          <w:tcPr>
            <w:tcW w:w="3085" w:type="dxa"/>
            <w:vAlign w:val="center"/>
          </w:tcPr>
          <w:p w:rsidR="004A3746" w:rsidRPr="00B740FF" w:rsidRDefault="004A3746" w:rsidP="00B761CF">
            <w:pPr>
              <w:jc w:val="both"/>
              <w:rPr>
                <w:rFonts w:ascii="Book Antiqua" w:hAnsi="Book Antiqua" w:cs="Arial"/>
                <w:sz w:val="16"/>
                <w:szCs w:val="16"/>
              </w:rPr>
            </w:pPr>
            <w:r w:rsidRPr="00B740FF">
              <w:rPr>
                <w:rFonts w:ascii="Book Antiqua" w:hAnsi="Book Antiqua" w:cs="Arial"/>
                <w:sz w:val="16"/>
                <w:szCs w:val="16"/>
              </w:rPr>
              <w:t>Taux de satisfaction des entreprises bénéficiaires de crédit sur les différentes formes de garanties</w:t>
            </w:r>
          </w:p>
        </w:tc>
        <w:tc>
          <w:tcPr>
            <w:tcW w:w="7088" w:type="dxa"/>
            <w:vAlign w:val="center"/>
          </w:tcPr>
          <w:p w:rsidR="004A3746" w:rsidRPr="00B740FF" w:rsidRDefault="000D65F2" w:rsidP="00A5009A">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les garanties  "Acceptables</m:t>
                    </m:r>
                    <m:r>
                      <m:rPr>
                        <m:nor/>
                      </m:rPr>
                      <w:rPr>
                        <w:rFonts w:ascii="Book Antiqua" w:hAnsi="Book Antiqua" w:cs="Arial"/>
                        <w:sz w:val="16"/>
                        <w:szCs w:val="16"/>
                      </w:rPr>
                      <m:t>" ou "</m:t>
                    </m:r>
                    <m:r>
                      <m:rPr>
                        <m:sty m:val="p"/>
                      </m:rPr>
                      <w:rPr>
                        <w:rFonts w:ascii="Cambria Math" w:hAnsi="Book Antiqua" w:cs="Arial"/>
                        <w:sz w:val="16"/>
                        <w:szCs w:val="16"/>
                      </w:rPr>
                      <m:t>Tres Acceptables"</m:t>
                    </m:r>
                  </m:num>
                  <m:den>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 xml:space="preserve">entreprises ayant beneficie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un credit</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851"/>
        </w:trPr>
        <w:tc>
          <w:tcPr>
            <w:tcW w:w="3085" w:type="dxa"/>
            <w:vAlign w:val="center"/>
          </w:tcPr>
          <w:p w:rsidR="004A3746" w:rsidRPr="00B740FF" w:rsidRDefault="004A3746" w:rsidP="00B761CF">
            <w:pPr>
              <w:jc w:val="both"/>
              <w:rPr>
                <w:rFonts w:ascii="Book Antiqua" w:hAnsi="Book Antiqua" w:cs="Arial"/>
                <w:sz w:val="16"/>
                <w:szCs w:val="16"/>
              </w:rPr>
            </w:pPr>
            <w:r w:rsidRPr="00B740FF">
              <w:rPr>
                <w:rFonts w:ascii="Book Antiqua" w:hAnsi="Book Antiqua" w:cs="Arial"/>
                <w:sz w:val="16"/>
                <w:szCs w:val="16"/>
              </w:rPr>
              <w:t>Taux de satisfaction des entreprises sur les taux d’intérêt appliqués sur les crédits de fonctionnement</w:t>
            </w:r>
          </w:p>
        </w:tc>
        <w:tc>
          <w:tcPr>
            <w:tcW w:w="7088" w:type="dxa"/>
            <w:vAlign w:val="center"/>
          </w:tcPr>
          <w:p w:rsidR="004A3746"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les taux  "</m:t>
                    </m:r>
                    <m:r>
                      <m:rPr>
                        <m:nor/>
                      </m:rPr>
                      <w:rPr>
                        <w:rFonts w:ascii="Book Antiqua" w:hAnsi="Book Antiqua" w:cs="Arial"/>
                        <w:sz w:val="16"/>
                        <w:szCs w:val="16"/>
                      </w:rPr>
                      <m:t xml:space="preserve">Corrects", "Faibles" ou </m:t>
                    </m:r>
                    <m:r>
                      <m:rPr>
                        <m:sty m:val="p"/>
                      </m:rPr>
                      <w:rPr>
                        <w:rFonts w:ascii="Cambria Math" w:hAnsi="Book Antiqua" w:cs="Arial"/>
                        <w:sz w:val="16"/>
                        <w:szCs w:val="16"/>
                      </w:rPr>
                      <m:t>Tres Faibles"</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m:t>
                    </m:r>
                    <m:r>
                      <m:rPr>
                        <m:sty m:val="p"/>
                      </m:rPr>
                      <w:rPr>
                        <w:rFonts w:ascii="Cambria Math" w:hAnsi="Book Antiqua" w:cs="Cambria Math"/>
                        <w:sz w:val="16"/>
                        <w:szCs w:val="16"/>
                      </w:rPr>
                      <m:t>h</m:t>
                    </m:r>
                    <m:r>
                      <m:rPr>
                        <m:sty m:val="p"/>
                      </m:rPr>
                      <w:rPr>
                        <w:rFonts w:ascii="Cambria Math" w:hAnsi="Book Antiqua" w:cs="Arial"/>
                        <w:sz w:val="16"/>
                        <w:szCs w:val="16"/>
                      </w:rPr>
                      <m:t>antillon</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851"/>
        </w:trPr>
        <w:tc>
          <w:tcPr>
            <w:tcW w:w="3085" w:type="dxa"/>
            <w:vAlign w:val="center"/>
          </w:tcPr>
          <w:p w:rsidR="004A3746" w:rsidRPr="00B740FF" w:rsidRDefault="004A3746" w:rsidP="00B761CF">
            <w:pPr>
              <w:jc w:val="both"/>
              <w:rPr>
                <w:rFonts w:ascii="Book Antiqua" w:hAnsi="Book Antiqua" w:cs="Arial"/>
                <w:sz w:val="16"/>
                <w:szCs w:val="16"/>
              </w:rPr>
            </w:pPr>
            <w:r w:rsidRPr="00B740FF">
              <w:rPr>
                <w:rFonts w:ascii="Book Antiqua" w:hAnsi="Book Antiqua" w:cs="Arial"/>
                <w:sz w:val="16"/>
                <w:szCs w:val="16"/>
              </w:rPr>
              <w:t>Taux de satisfaction des entreprises sur les taux d’intérêt appliqués sur les crédits d’investissement</w:t>
            </w:r>
          </w:p>
        </w:tc>
        <w:tc>
          <w:tcPr>
            <w:tcW w:w="7088" w:type="dxa"/>
            <w:vAlign w:val="center"/>
          </w:tcPr>
          <w:p w:rsidR="004A3746"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les taux  "</m:t>
                    </m:r>
                    <m:r>
                      <m:rPr>
                        <m:nor/>
                      </m:rPr>
                      <w:rPr>
                        <w:rFonts w:ascii="Book Antiqua" w:hAnsi="Book Antiqua" w:cs="Arial"/>
                        <w:sz w:val="16"/>
                        <w:szCs w:val="16"/>
                      </w:rPr>
                      <m:t xml:space="preserve">Corrects", "Faibles" ou </m:t>
                    </m:r>
                    <m:r>
                      <m:rPr>
                        <m:sty m:val="p"/>
                      </m:rPr>
                      <w:rPr>
                        <w:rFonts w:ascii="Cambria Math" w:hAnsi="Book Antiqua" w:cs="Arial"/>
                        <w:sz w:val="16"/>
                        <w:szCs w:val="16"/>
                      </w:rPr>
                      <m:t>Tres Faibles"</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m:t>
                    </m:r>
                    <m:r>
                      <m:rPr>
                        <m:sty m:val="p"/>
                      </m:rPr>
                      <w:rPr>
                        <w:rFonts w:ascii="Cambria Math" w:hAnsi="Book Antiqua" w:cs="Cambria Math"/>
                        <w:sz w:val="16"/>
                        <w:szCs w:val="16"/>
                      </w:rPr>
                      <m:t>h</m:t>
                    </m:r>
                    <m:r>
                      <m:rPr>
                        <m:sty m:val="p"/>
                      </m:rPr>
                      <w:rPr>
                        <w:rFonts w:ascii="Cambria Math" w:hAnsi="Book Antiqua" w:cs="Arial"/>
                        <w:sz w:val="16"/>
                        <w:szCs w:val="16"/>
                      </w:rPr>
                      <m:t>antillon</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7E6E6D" w:rsidRPr="00113477" w:rsidTr="00B761CF">
        <w:trPr>
          <w:trHeight w:hRule="exact" w:val="851"/>
        </w:trPr>
        <w:tc>
          <w:tcPr>
            <w:tcW w:w="3085" w:type="dxa"/>
            <w:vAlign w:val="center"/>
          </w:tcPr>
          <w:p w:rsidR="007E6E6D" w:rsidRPr="00B740FF" w:rsidRDefault="007E6E6D" w:rsidP="00B761CF">
            <w:pPr>
              <w:jc w:val="both"/>
              <w:rPr>
                <w:rFonts w:ascii="Book Antiqua" w:hAnsi="Book Antiqua" w:cs="Arial"/>
                <w:sz w:val="16"/>
                <w:szCs w:val="16"/>
              </w:rPr>
            </w:pPr>
            <w:r w:rsidRPr="00B740FF">
              <w:rPr>
                <w:rFonts w:ascii="Book Antiqua" w:hAnsi="Book Antiqua" w:cs="Arial"/>
                <w:sz w:val="16"/>
                <w:szCs w:val="16"/>
              </w:rPr>
              <w:t>Taux de satisfaction des entreprises sur les taux d’intérêt créditeurs</w:t>
            </w:r>
          </w:p>
        </w:tc>
        <w:tc>
          <w:tcPr>
            <w:tcW w:w="7088" w:type="dxa"/>
            <w:vAlign w:val="center"/>
          </w:tcPr>
          <w:p w:rsidR="007E6E6D" w:rsidRPr="00B740FF" w:rsidRDefault="000D65F2" w:rsidP="005F14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les taux "Corrects"</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m:t>
                    </m:r>
                    <m:r>
                      <m:rPr>
                        <m:sty m:val="p"/>
                      </m:rPr>
                      <w:rPr>
                        <w:rFonts w:ascii="Cambria Math" w:hAnsi="Book Antiqua" w:cs="Cambria Math"/>
                        <w:sz w:val="16"/>
                        <w:szCs w:val="16"/>
                      </w:rPr>
                      <m:t>h</m:t>
                    </m:r>
                    <m:r>
                      <m:rPr>
                        <m:sty m:val="p"/>
                      </m:rPr>
                      <w:rPr>
                        <w:rFonts w:ascii="Cambria Math" w:hAnsi="Book Antiqua" w:cs="Arial"/>
                        <w:sz w:val="16"/>
                        <w:szCs w:val="16"/>
                      </w:rPr>
                      <m:t>antillon</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851"/>
        </w:trPr>
        <w:tc>
          <w:tcPr>
            <w:tcW w:w="3085" w:type="dxa"/>
            <w:vAlign w:val="center"/>
          </w:tcPr>
          <w:p w:rsidR="004A3746" w:rsidRPr="00B740FF" w:rsidRDefault="004A3746" w:rsidP="00B761CF">
            <w:pPr>
              <w:jc w:val="both"/>
              <w:rPr>
                <w:rFonts w:ascii="Book Antiqua" w:hAnsi="Book Antiqua" w:cs="Arial"/>
                <w:sz w:val="16"/>
                <w:szCs w:val="16"/>
              </w:rPr>
            </w:pPr>
            <w:r w:rsidRPr="00B740FF">
              <w:rPr>
                <w:rFonts w:ascii="Book Antiqua" w:hAnsi="Book Antiqua" w:cs="Arial"/>
                <w:sz w:val="16"/>
                <w:szCs w:val="16"/>
              </w:rPr>
              <w:t>Proportion d’entreprises ayant bénéficié d’une facilité de caisse</w:t>
            </w:r>
          </w:p>
        </w:tc>
        <w:tc>
          <w:tcPr>
            <w:tcW w:w="7088" w:type="dxa"/>
            <w:vAlign w:val="center"/>
          </w:tcPr>
          <w:p w:rsidR="004A3746"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 xml:space="preserve">entreprises ayant beneficie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une facilite de caisse</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m:t>
                    </m:r>
                    <m:r>
                      <m:rPr>
                        <m:sty m:val="p"/>
                      </m:rPr>
                      <w:rPr>
                        <w:rFonts w:ascii="Cambria Math" w:hAnsi="Book Antiqua" w:cs="Cambria Math"/>
                        <w:sz w:val="16"/>
                        <w:szCs w:val="16"/>
                      </w:rPr>
                      <m:t>h</m:t>
                    </m:r>
                    <m:r>
                      <m:rPr>
                        <m:sty m:val="p"/>
                      </m:rPr>
                      <w:rPr>
                        <w:rFonts w:ascii="Cambria Math" w:hAnsi="Book Antiqua" w:cs="Arial"/>
                        <w:sz w:val="16"/>
                        <w:szCs w:val="16"/>
                      </w:rPr>
                      <m:t>antillon</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851"/>
        </w:trPr>
        <w:tc>
          <w:tcPr>
            <w:tcW w:w="3085" w:type="dxa"/>
            <w:vAlign w:val="center"/>
          </w:tcPr>
          <w:p w:rsidR="004A3746" w:rsidRPr="00B740FF" w:rsidRDefault="004A3746" w:rsidP="00B761CF">
            <w:pPr>
              <w:jc w:val="both"/>
              <w:rPr>
                <w:rFonts w:ascii="Book Antiqua" w:hAnsi="Book Antiqua" w:cs="Arial"/>
                <w:sz w:val="16"/>
                <w:szCs w:val="16"/>
              </w:rPr>
            </w:pPr>
            <w:r w:rsidRPr="00B740FF">
              <w:rPr>
                <w:rFonts w:ascii="Book Antiqua" w:hAnsi="Book Antiqua" w:cs="Arial"/>
                <w:sz w:val="16"/>
                <w:szCs w:val="16"/>
              </w:rPr>
              <w:t>Taux de satisfaction des entreprises sur les frais appliqués sur les facilités de caisse</w:t>
            </w:r>
          </w:p>
        </w:tc>
        <w:tc>
          <w:tcPr>
            <w:tcW w:w="7088" w:type="dxa"/>
            <w:vAlign w:val="center"/>
          </w:tcPr>
          <w:p w:rsidR="004A3746"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les frais  "Raisonnables</m:t>
                    </m:r>
                    <m:r>
                      <m:rPr>
                        <m:nor/>
                      </m:rPr>
                      <w:rPr>
                        <w:rFonts w:ascii="Book Antiqua" w:hAnsi="Book Antiqua" w:cs="Arial"/>
                        <w:sz w:val="16"/>
                        <w:szCs w:val="16"/>
                      </w:rPr>
                      <m:t>" ou "</m:t>
                    </m:r>
                    <m:r>
                      <m:rPr>
                        <m:sty m:val="p"/>
                      </m:rPr>
                      <w:rPr>
                        <w:rFonts w:ascii="Cambria Math" w:hAnsi="Book Antiqua" w:cs="Arial"/>
                        <w:sz w:val="16"/>
                        <w:szCs w:val="16"/>
                      </w:rPr>
                      <m:t>Tres raisonnables"</m:t>
                    </m:r>
                  </m:num>
                  <m:den>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ayant b</m:t>
                    </m:r>
                    <m:r>
                      <m:rPr>
                        <m:sty m:val="p"/>
                      </m:rPr>
                      <w:rPr>
                        <w:rFonts w:ascii="Book Antiqua" w:hAnsi="Book Antiqua" w:cs="Arial"/>
                        <w:sz w:val="16"/>
                        <w:szCs w:val="16"/>
                      </w:rPr>
                      <m:t>é</m:t>
                    </m:r>
                    <m:r>
                      <m:rPr>
                        <m:sty m:val="p"/>
                      </m:rPr>
                      <w:rPr>
                        <w:rFonts w:ascii="Cambria Math" w:hAnsi="Book Antiqua" w:cs="Arial"/>
                        <w:sz w:val="16"/>
                        <w:szCs w:val="16"/>
                      </w:rPr>
                      <m:t>n</m:t>
                    </m:r>
                    <m:r>
                      <m:rPr>
                        <m:sty m:val="p"/>
                      </m:rPr>
                      <w:rPr>
                        <w:rFonts w:ascii="Book Antiqua" w:hAnsi="Book Antiqua" w:cs="Arial"/>
                        <w:sz w:val="16"/>
                        <w:szCs w:val="16"/>
                      </w:rPr>
                      <m:t>é</m:t>
                    </m:r>
                    <m:r>
                      <m:rPr>
                        <m:sty m:val="p"/>
                      </m:rPr>
                      <w:rPr>
                        <w:rFonts w:ascii="Cambria Math" w:hAnsi="Book Antiqua" w:cs="Arial"/>
                        <w:sz w:val="16"/>
                        <w:szCs w:val="16"/>
                      </w:rPr>
                      <m:t xml:space="preserve">ficie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une facilite de caisse</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851"/>
        </w:trPr>
        <w:tc>
          <w:tcPr>
            <w:tcW w:w="3085" w:type="dxa"/>
            <w:vAlign w:val="center"/>
          </w:tcPr>
          <w:p w:rsidR="004A3746" w:rsidRPr="00B740FF" w:rsidRDefault="004A3746" w:rsidP="00B761CF">
            <w:pPr>
              <w:jc w:val="both"/>
              <w:rPr>
                <w:rFonts w:ascii="Book Antiqua" w:hAnsi="Book Antiqua" w:cs="Arial"/>
                <w:sz w:val="16"/>
                <w:szCs w:val="16"/>
              </w:rPr>
            </w:pPr>
            <w:r w:rsidRPr="00B740FF">
              <w:rPr>
                <w:rFonts w:ascii="Book Antiqua" w:hAnsi="Book Antiqua" w:cs="Arial"/>
                <w:sz w:val="16"/>
                <w:szCs w:val="16"/>
              </w:rPr>
              <w:t>Taux de satisfaction des entreprises sur les frais de tenue de compte</w:t>
            </w:r>
          </w:p>
        </w:tc>
        <w:tc>
          <w:tcPr>
            <w:tcW w:w="7088" w:type="dxa"/>
            <w:vAlign w:val="center"/>
          </w:tcPr>
          <w:p w:rsidR="004A3746"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les frais  "Raisonnables</m:t>
                    </m:r>
                    <m:r>
                      <m:rPr>
                        <m:nor/>
                      </m:rPr>
                      <w:rPr>
                        <w:rFonts w:ascii="Book Antiqua" w:hAnsi="Book Antiqua" w:cs="Arial"/>
                        <w:sz w:val="16"/>
                        <w:szCs w:val="16"/>
                      </w:rPr>
                      <m:t>" ou "</m:t>
                    </m:r>
                    <m:r>
                      <m:rPr>
                        <m:sty m:val="p"/>
                      </m:rPr>
                      <w:rPr>
                        <w:rFonts w:ascii="Cambria Math" w:hAnsi="Book Antiqua" w:cs="Arial"/>
                        <w:sz w:val="16"/>
                        <w:szCs w:val="16"/>
                      </w:rPr>
                      <m:t>Tres raisonnables"</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m:t>
                    </m:r>
                    <m:r>
                      <m:rPr>
                        <m:sty m:val="p"/>
                      </m:rPr>
                      <w:rPr>
                        <w:rFonts w:ascii="Cambria Math" w:hAnsi="Book Antiqua" w:cs="Cambria Math"/>
                        <w:sz w:val="16"/>
                        <w:szCs w:val="16"/>
                      </w:rPr>
                      <m:t>h</m:t>
                    </m:r>
                    <m:r>
                      <m:rPr>
                        <m:sty m:val="p"/>
                      </m:rPr>
                      <w:rPr>
                        <w:rFonts w:ascii="Cambria Math" w:hAnsi="Book Antiqua" w:cs="Arial"/>
                        <w:sz w:val="16"/>
                        <w:szCs w:val="16"/>
                      </w:rPr>
                      <m:t>antillon</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848"/>
        </w:trPr>
        <w:tc>
          <w:tcPr>
            <w:tcW w:w="3085" w:type="dxa"/>
            <w:vAlign w:val="center"/>
          </w:tcPr>
          <w:p w:rsidR="004A3746" w:rsidRPr="00B740FF" w:rsidRDefault="004A3746" w:rsidP="00B761CF">
            <w:pPr>
              <w:jc w:val="both"/>
              <w:rPr>
                <w:rFonts w:ascii="Book Antiqua" w:hAnsi="Book Antiqua" w:cs="Arial"/>
                <w:sz w:val="16"/>
                <w:szCs w:val="16"/>
              </w:rPr>
            </w:pPr>
            <w:r w:rsidRPr="00B740FF">
              <w:rPr>
                <w:rFonts w:ascii="Book Antiqua" w:hAnsi="Book Antiqua" w:cs="Arial"/>
                <w:sz w:val="16"/>
                <w:szCs w:val="16"/>
              </w:rPr>
              <w:t>Pourcentage des entreprises qui utilisent les services de consultation à distance</w:t>
            </w:r>
          </w:p>
        </w:tc>
        <w:tc>
          <w:tcPr>
            <w:tcW w:w="7088" w:type="dxa"/>
            <w:vAlign w:val="center"/>
          </w:tcPr>
          <w:p w:rsidR="004A3746"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utilisent les services de consultation a distance</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m:t>
                    </m:r>
                    <m:r>
                      <m:rPr>
                        <m:sty m:val="p"/>
                      </m:rPr>
                      <w:rPr>
                        <w:rFonts w:ascii="Cambria Math" w:hAnsi="Book Antiqua" w:cs="Cambria Math"/>
                        <w:sz w:val="16"/>
                        <w:szCs w:val="16"/>
                      </w:rPr>
                      <m:t>h</m:t>
                    </m:r>
                    <m:r>
                      <m:rPr>
                        <m:sty m:val="p"/>
                      </m:rPr>
                      <w:rPr>
                        <w:rFonts w:ascii="Cambria Math" w:hAnsi="Book Antiqua" w:cs="Arial"/>
                        <w:sz w:val="16"/>
                        <w:szCs w:val="16"/>
                      </w:rPr>
                      <m:t>antillon</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822"/>
        </w:trPr>
        <w:tc>
          <w:tcPr>
            <w:tcW w:w="3085" w:type="dxa"/>
            <w:vAlign w:val="center"/>
          </w:tcPr>
          <w:p w:rsidR="004A3746" w:rsidRPr="00B740FF" w:rsidRDefault="004A3746" w:rsidP="00B761CF">
            <w:pPr>
              <w:jc w:val="both"/>
              <w:rPr>
                <w:rFonts w:ascii="Book Antiqua" w:hAnsi="Book Antiqua" w:cs="Arial"/>
                <w:sz w:val="16"/>
                <w:szCs w:val="16"/>
              </w:rPr>
            </w:pPr>
            <w:r w:rsidRPr="00B740FF">
              <w:rPr>
                <w:rFonts w:ascii="Book Antiqua" w:hAnsi="Book Antiqua" w:cs="Arial"/>
                <w:sz w:val="16"/>
                <w:szCs w:val="16"/>
              </w:rPr>
              <w:t>Taux de satisfaction des entreprises utilisatrices sur la qualité des services de consultation à distance</w:t>
            </w:r>
          </w:p>
        </w:tc>
        <w:tc>
          <w:tcPr>
            <w:tcW w:w="7088" w:type="dxa"/>
            <w:vAlign w:val="center"/>
          </w:tcPr>
          <w:p w:rsidR="004A3746"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la qualite  "Satisfaisante</m:t>
                    </m:r>
                    <m:r>
                      <m:rPr>
                        <m:nor/>
                      </m:rPr>
                      <w:rPr>
                        <w:rFonts w:ascii="Book Antiqua" w:hAnsi="Book Antiqua" w:cs="Arial"/>
                        <w:sz w:val="16"/>
                        <w:szCs w:val="16"/>
                      </w:rPr>
                      <m:t>" ou "</m:t>
                    </m:r>
                    <m:r>
                      <m:rPr>
                        <m:sty m:val="p"/>
                      </m:rPr>
                      <w:rPr>
                        <w:rFonts w:ascii="Cambria Math" w:hAnsi="Book Antiqua" w:cs="Arial"/>
                        <w:sz w:val="16"/>
                        <w:szCs w:val="16"/>
                      </w:rPr>
                      <m:t>Tres satisfaisante"</m:t>
                    </m:r>
                  </m:num>
                  <m:den>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utilisatrices des services de consultation a distance</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678"/>
        </w:trPr>
        <w:tc>
          <w:tcPr>
            <w:tcW w:w="3085" w:type="dxa"/>
            <w:vAlign w:val="center"/>
          </w:tcPr>
          <w:p w:rsidR="004A3746" w:rsidRPr="00B740FF" w:rsidRDefault="004A3746" w:rsidP="00B761CF">
            <w:pPr>
              <w:jc w:val="both"/>
              <w:rPr>
                <w:rFonts w:ascii="Book Antiqua" w:hAnsi="Book Antiqua" w:cs="Arial"/>
                <w:sz w:val="16"/>
                <w:szCs w:val="16"/>
              </w:rPr>
            </w:pPr>
            <w:r w:rsidRPr="00B740FF">
              <w:rPr>
                <w:rFonts w:ascii="Book Antiqua" w:hAnsi="Book Antiqua" w:cs="Arial"/>
                <w:sz w:val="16"/>
                <w:szCs w:val="16"/>
              </w:rPr>
              <w:t>Taux de satisfaction des entreprises utilisatrices sur le coût des services de consultation à distance</w:t>
            </w:r>
          </w:p>
        </w:tc>
        <w:tc>
          <w:tcPr>
            <w:tcW w:w="7088" w:type="dxa"/>
            <w:vAlign w:val="center"/>
          </w:tcPr>
          <w:p w:rsidR="004A3746"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les frais  "Raisonnables</m:t>
                    </m:r>
                    <m:r>
                      <m:rPr>
                        <m:nor/>
                      </m:rPr>
                      <w:rPr>
                        <w:rFonts w:ascii="Book Antiqua" w:hAnsi="Book Antiqua" w:cs="Arial"/>
                        <w:sz w:val="16"/>
                        <w:szCs w:val="16"/>
                      </w:rPr>
                      <m:t>" ou "</m:t>
                    </m:r>
                    <m:r>
                      <m:rPr>
                        <m:sty m:val="p"/>
                      </m:rPr>
                      <w:rPr>
                        <w:rFonts w:ascii="Cambria Math" w:hAnsi="Book Antiqua" w:cs="Arial"/>
                        <w:sz w:val="16"/>
                        <w:szCs w:val="16"/>
                      </w:rPr>
                      <m:t>Tres raisonnables"</m:t>
                    </m:r>
                  </m:num>
                  <m:den>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utilisatrices des services de consultation a distance</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F53385" w:rsidRPr="00113477" w:rsidTr="00B761CF">
        <w:trPr>
          <w:trHeight w:hRule="exact" w:val="414"/>
        </w:trPr>
        <w:tc>
          <w:tcPr>
            <w:tcW w:w="10173" w:type="dxa"/>
            <w:gridSpan w:val="2"/>
            <w:vAlign w:val="center"/>
          </w:tcPr>
          <w:p w:rsidR="00F53385" w:rsidRPr="00B740FF" w:rsidRDefault="00F53385" w:rsidP="00B761CF">
            <w:pPr>
              <w:widowControl w:val="0"/>
              <w:spacing w:before="120"/>
              <w:jc w:val="center"/>
              <w:rPr>
                <w:rFonts w:ascii="Book Antiqua" w:hAnsi="Book Antiqua" w:cs="Arial"/>
                <w:b/>
                <w:sz w:val="16"/>
                <w:szCs w:val="16"/>
              </w:rPr>
            </w:pPr>
            <w:r w:rsidRPr="00B740FF">
              <w:rPr>
                <w:rFonts w:ascii="Book Antiqua" w:hAnsi="Book Antiqua" w:cs="Arial"/>
                <w:b/>
                <w:bCs/>
                <w:sz w:val="16"/>
                <w:szCs w:val="16"/>
              </w:rPr>
              <w:t>SATISFACTION SUR L’ACCESSIBILITE</w:t>
            </w:r>
            <w:r w:rsidR="00093E88" w:rsidRPr="00B740FF">
              <w:rPr>
                <w:rFonts w:ascii="Book Antiqua" w:hAnsi="Book Antiqua" w:cs="Arial"/>
                <w:b/>
                <w:bCs/>
                <w:sz w:val="16"/>
                <w:szCs w:val="16"/>
              </w:rPr>
              <w:t>DES</w:t>
            </w:r>
            <w:r w:rsidR="0090065A" w:rsidRPr="00B740FF">
              <w:rPr>
                <w:rFonts w:ascii="Book Antiqua" w:hAnsi="Book Antiqua" w:cs="Arial"/>
                <w:b/>
                <w:bCs/>
                <w:sz w:val="16"/>
                <w:szCs w:val="16"/>
              </w:rPr>
              <w:t xml:space="preserve"> AGENCES BANCAIRES</w:t>
            </w:r>
          </w:p>
        </w:tc>
      </w:tr>
      <w:tr w:rsidR="00A852FE" w:rsidRPr="00113477" w:rsidTr="00B761CF">
        <w:trPr>
          <w:trHeight w:hRule="exact" w:val="682"/>
        </w:trPr>
        <w:tc>
          <w:tcPr>
            <w:tcW w:w="3085" w:type="dxa"/>
            <w:vAlign w:val="center"/>
          </w:tcPr>
          <w:p w:rsidR="004A3746" w:rsidRPr="00B740FF" w:rsidRDefault="004A3746" w:rsidP="00B761CF">
            <w:pPr>
              <w:jc w:val="both"/>
              <w:rPr>
                <w:rFonts w:ascii="Book Antiqua" w:hAnsi="Book Antiqua" w:cs="Arial"/>
                <w:sz w:val="16"/>
                <w:szCs w:val="16"/>
              </w:rPr>
            </w:pPr>
            <w:r w:rsidRPr="00B740FF">
              <w:rPr>
                <w:rFonts w:ascii="Book Antiqua" w:hAnsi="Book Antiqua" w:cs="Arial"/>
                <w:sz w:val="16"/>
                <w:szCs w:val="16"/>
              </w:rPr>
              <w:t xml:space="preserve">Taux de satisfaction des entreprises sur la qualité de l’accessibilité physique </w:t>
            </w:r>
            <w:r w:rsidR="00093E88" w:rsidRPr="00B740FF">
              <w:rPr>
                <w:rFonts w:ascii="Book Antiqua" w:hAnsi="Book Antiqua" w:cs="Arial"/>
                <w:sz w:val="16"/>
                <w:szCs w:val="16"/>
              </w:rPr>
              <w:t>des</w:t>
            </w:r>
            <w:r w:rsidRPr="00B740FF">
              <w:rPr>
                <w:rFonts w:ascii="Book Antiqua" w:hAnsi="Book Antiqua" w:cs="Arial"/>
                <w:sz w:val="16"/>
                <w:szCs w:val="16"/>
              </w:rPr>
              <w:t xml:space="preserve"> agences bancaires</w:t>
            </w:r>
          </w:p>
        </w:tc>
        <w:tc>
          <w:tcPr>
            <w:tcW w:w="7088" w:type="dxa"/>
            <w:vAlign w:val="center"/>
          </w:tcPr>
          <w:p w:rsidR="004A3746"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m:t>
                    </m:r>
                    <m:r>
                      <m:rPr>
                        <m:sty m:val="p"/>
                      </m:rPr>
                      <w:rPr>
                        <w:rFonts w:ascii="Book Antiqua" w:hAnsi="Book Antiqua" w:cs="Arial"/>
                        <w:sz w:val="16"/>
                        <w:szCs w:val="16"/>
                      </w:rPr>
                      <m:t>'</m:t>
                    </m:r>
                    <m:r>
                      <m:rPr>
                        <m:sty m:val="p"/>
                      </m:rPr>
                      <w:rPr>
                        <w:rFonts w:ascii="Cambria Math" w:hAnsi="Book Antiqua" w:cs="Arial"/>
                        <w:sz w:val="16"/>
                        <w:szCs w:val="16"/>
                      </w:rPr>
                      <m:t>acces  "Facile</m:t>
                    </m:r>
                    <m:r>
                      <m:rPr>
                        <m:nor/>
                      </m:rPr>
                      <w:rPr>
                        <w:rFonts w:ascii="Book Antiqua" w:hAnsi="Book Antiqua" w:cs="Arial"/>
                        <w:sz w:val="16"/>
                        <w:szCs w:val="16"/>
                      </w:rPr>
                      <m:t>" ou "</m:t>
                    </m:r>
                    <m:r>
                      <m:rPr>
                        <m:sty m:val="p"/>
                      </m:rPr>
                      <w:rPr>
                        <w:rFonts w:ascii="Cambria Math" w:hAnsi="Book Antiqua" w:cs="Arial"/>
                        <w:sz w:val="16"/>
                        <w:szCs w:val="16"/>
                      </w:rPr>
                      <m:t>Tres facile"</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m:t>
                    </m:r>
                    <m:r>
                      <m:rPr>
                        <m:sty m:val="p"/>
                      </m:rPr>
                      <w:rPr>
                        <w:rFonts w:ascii="Cambria Math" w:hAnsi="Book Antiqua" w:cs="Cambria Math"/>
                        <w:sz w:val="16"/>
                        <w:szCs w:val="16"/>
                      </w:rPr>
                      <m:t>h</m:t>
                    </m:r>
                    <m:r>
                      <m:rPr>
                        <m:sty m:val="p"/>
                      </m:rPr>
                      <w:rPr>
                        <w:rFonts w:ascii="Cambria Math" w:hAnsi="Book Antiqua" w:cs="Arial"/>
                        <w:sz w:val="16"/>
                        <w:szCs w:val="16"/>
                      </w:rPr>
                      <m:t>antillon</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A852FE" w:rsidRPr="00113477" w:rsidTr="00B761CF">
        <w:trPr>
          <w:trHeight w:hRule="exact" w:val="705"/>
        </w:trPr>
        <w:tc>
          <w:tcPr>
            <w:tcW w:w="3085" w:type="dxa"/>
            <w:vAlign w:val="center"/>
          </w:tcPr>
          <w:p w:rsidR="004A3746" w:rsidRPr="00B740FF" w:rsidRDefault="004A3746" w:rsidP="00B761CF">
            <w:pPr>
              <w:jc w:val="both"/>
              <w:rPr>
                <w:rFonts w:ascii="Book Antiqua" w:hAnsi="Book Antiqua" w:cs="Arial"/>
                <w:sz w:val="16"/>
                <w:szCs w:val="16"/>
              </w:rPr>
            </w:pPr>
            <w:r w:rsidRPr="00B740FF">
              <w:rPr>
                <w:rFonts w:ascii="Book Antiqua" w:hAnsi="Book Antiqua" w:cs="Arial"/>
                <w:sz w:val="16"/>
                <w:szCs w:val="16"/>
              </w:rPr>
              <w:t>Taux de satisfaction des entreprises sur les horaires de service des agences bancaires</w:t>
            </w:r>
          </w:p>
        </w:tc>
        <w:tc>
          <w:tcPr>
            <w:tcW w:w="7088" w:type="dxa"/>
            <w:vAlign w:val="center"/>
          </w:tcPr>
          <w:p w:rsidR="004A3746" w:rsidRPr="00B740FF" w:rsidRDefault="000D65F2" w:rsidP="003401E1">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 xml:space="preserve">entreprises qui jugent les </m:t>
                    </m:r>
                    <m:r>
                      <m:rPr>
                        <m:sty m:val="p"/>
                      </m:rPr>
                      <w:rPr>
                        <w:rFonts w:ascii="Cambria Math" w:hAnsi="Book Antiqua" w:cs="Cambria Math"/>
                        <w:sz w:val="16"/>
                        <w:szCs w:val="16"/>
                      </w:rPr>
                      <m:t>h</m:t>
                    </m:r>
                    <m:r>
                      <m:rPr>
                        <m:sty m:val="p"/>
                      </m:rPr>
                      <w:rPr>
                        <w:rFonts w:ascii="Cambria Math" w:hAnsi="Book Antiqua" w:cs="Arial"/>
                        <w:sz w:val="16"/>
                        <w:szCs w:val="16"/>
                      </w:rPr>
                      <m:t>oraires  "Adaptes</m:t>
                    </m:r>
                    <m:r>
                      <m:rPr>
                        <m:nor/>
                      </m:rPr>
                      <w:rPr>
                        <w:rFonts w:ascii="Book Antiqua" w:hAnsi="Book Antiqua" w:cs="Arial"/>
                        <w:sz w:val="16"/>
                        <w:szCs w:val="16"/>
                      </w:rPr>
                      <m:t>" ou "</m:t>
                    </m:r>
                    <m:r>
                      <m:rPr>
                        <m:sty m:val="p"/>
                      </m:rPr>
                      <w:rPr>
                        <w:rFonts w:ascii="Cambria Math" w:hAnsi="Book Antiqua" w:cs="Arial"/>
                        <w:sz w:val="16"/>
                        <w:szCs w:val="16"/>
                      </w:rPr>
                      <m:t>Tres adaptes"</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m:t>
                    </m:r>
                    <m:r>
                      <m:rPr>
                        <m:sty m:val="p"/>
                      </m:rPr>
                      <w:rPr>
                        <w:rFonts w:ascii="Cambria Math" w:hAnsi="Book Antiqua" w:cs="Cambria Math"/>
                        <w:sz w:val="16"/>
                        <w:szCs w:val="16"/>
                      </w:rPr>
                      <m:t>h</m:t>
                    </m:r>
                    <m:r>
                      <m:rPr>
                        <m:sty m:val="p"/>
                      </m:rPr>
                      <w:rPr>
                        <w:rFonts w:ascii="Cambria Math" w:hAnsi="Book Antiqua" w:cs="Arial"/>
                        <w:sz w:val="16"/>
                        <w:szCs w:val="16"/>
                      </w:rPr>
                      <m:t>antillon</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FC09C2" w:rsidRPr="00113477" w:rsidTr="00B761CF">
        <w:trPr>
          <w:trHeight w:hRule="exact" w:val="680"/>
        </w:trPr>
        <w:tc>
          <w:tcPr>
            <w:tcW w:w="3085" w:type="dxa"/>
            <w:vAlign w:val="center"/>
          </w:tcPr>
          <w:p w:rsidR="00FC09C2" w:rsidRPr="00B740FF" w:rsidRDefault="00FC09C2" w:rsidP="00B761CF">
            <w:pPr>
              <w:jc w:val="both"/>
              <w:rPr>
                <w:rFonts w:ascii="Book Antiqua" w:hAnsi="Book Antiqua" w:cs="Arial"/>
                <w:sz w:val="16"/>
                <w:szCs w:val="16"/>
              </w:rPr>
            </w:pPr>
            <w:r w:rsidRPr="00B740FF">
              <w:rPr>
                <w:rFonts w:ascii="Book Antiqua" w:hAnsi="Book Antiqua" w:cs="Arial"/>
                <w:sz w:val="16"/>
                <w:szCs w:val="16"/>
              </w:rPr>
              <w:t>Taux de satisfaction des entreprises sur la qualité de l’accès par téléphone aux agences bancaires</w:t>
            </w:r>
          </w:p>
        </w:tc>
        <w:tc>
          <w:tcPr>
            <w:tcW w:w="7088" w:type="dxa"/>
            <w:vAlign w:val="center"/>
          </w:tcPr>
          <w:p w:rsidR="00FC09C2"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m:t>
                    </m:r>
                    <m:r>
                      <m:rPr>
                        <m:sty m:val="p"/>
                      </m:rPr>
                      <w:rPr>
                        <w:rFonts w:ascii="Book Antiqua" w:hAnsi="Book Antiqua" w:cs="Arial"/>
                        <w:sz w:val="16"/>
                        <w:szCs w:val="16"/>
                      </w:rPr>
                      <m:t>'</m:t>
                    </m:r>
                    <m:r>
                      <m:rPr>
                        <m:sty m:val="p"/>
                      </m:rPr>
                      <w:rPr>
                        <w:rFonts w:ascii="Cambria Math" w:hAnsi="Book Antiqua" w:cs="Arial"/>
                        <w:sz w:val="16"/>
                        <w:szCs w:val="16"/>
                      </w:rPr>
                      <m:t>acces  "Facile</m:t>
                    </m:r>
                    <m:r>
                      <m:rPr>
                        <m:nor/>
                      </m:rPr>
                      <w:rPr>
                        <w:rFonts w:ascii="Book Antiqua" w:hAnsi="Book Antiqua" w:cs="Arial"/>
                        <w:sz w:val="16"/>
                        <w:szCs w:val="16"/>
                      </w:rPr>
                      <m:t>" ou "</m:t>
                    </m:r>
                    <m:r>
                      <m:rPr>
                        <m:sty m:val="p"/>
                      </m:rPr>
                      <w:rPr>
                        <w:rFonts w:ascii="Cambria Math" w:hAnsi="Book Antiqua" w:cs="Arial"/>
                        <w:sz w:val="16"/>
                        <w:szCs w:val="16"/>
                      </w:rPr>
                      <m:t>Tres facile"</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m:t>
                    </m:r>
                    <m:r>
                      <m:rPr>
                        <m:sty m:val="p"/>
                      </m:rPr>
                      <w:rPr>
                        <w:rFonts w:ascii="Cambria Math" w:hAnsi="Book Antiqua" w:cs="Cambria Math"/>
                        <w:sz w:val="16"/>
                        <w:szCs w:val="16"/>
                      </w:rPr>
                      <m:t>h</m:t>
                    </m:r>
                    <m:r>
                      <m:rPr>
                        <m:sty m:val="p"/>
                      </m:rPr>
                      <w:rPr>
                        <w:rFonts w:ascii="Cambria Math" w:hAnsi="Book Antiqua" w:cs="Arial"/>
                        <w:sz w:val="16"/>
                        <w:szCs w:val="16"/>
                      </w:rPr>
                      <m:t>antillon</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r w:rsidR="00FC09C2" w:rsidRPr="00113477" w:rsidTr="00B761CF">
        <w:trPr>
          <w:trHeight w:hRule="exact" w:val="678"/>
        </w:trPr>
        <w:tc>
          <w:tcPr>
            <w:tcW w:w="3085" w:type="dxa"/>
            <w:vAlign w:val="center"/>
          </w:tcPr>
          <w:p w:rsidR="00FC09C2" w:rsidRPr="00B740FF" w:rsidRDefault="00FC09C2" w:rsidP="00B761CF">
            <w:pPr>
              <w:jc w:val="both"/>
              <w:rPr>
                <w:rFonts w:ascii="Book Antiqua" w:hAnsi="Book Antiqua" w:cs="Arial"/>
                <w:sz w:val="16"/>
                <w:szCs w:val="16"/>
              </w:rPr>
            </w:pPr>
            <w:r w:rsidRPr="00B740FF">
              <w:rPr>
                <w:rFonts w:ascii="Book Antiqua" w:hAnsi="Book Antiqua" w:cs="Arial"/>
                <w:sz w:val="16"/>
                <w:szCs w:val="16"/>
              </w:rPr>
              <w:t>Taux de satisfaction des entreprises sur la qualité de l’accès par internet à leurs banques</w:t>
            </w:r>
          </w:p>
        </w:tc>
        <w:tc>
          <w:tcPr>
            <w:tcW w:w="7088" w:type="dxa"/>
            <w:vAlign w:val="center"/>
          </w:tcPr>
          <w:p w:rsidR="00FC09C2" w:rsidRPr="00B740FF" w:rsidRDefault="000D65F2" w:rsidP="000B0B0C">
            <w:pPr>
              <w:widowControl w:val="0"/>
              <w:spacing w:before="120" w:line="312" w:lineRule="auto"/>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Book Antiqua" w:hAnsi="Book Antiqua" w:cs="Arial"/>
                            <w:sz w:val="16"/>
                            <w:szCs w:val="16"/>
                          </w:rPr>
                          <m:t>'</m:t>
                        </m:r>
                      </m:sup>
                    </m:sSup>
                    <m:r>
                      <m:rPr>
                        <m:sty m:val="p"/>
                      </m:rPr>
                      <w:rPr>
                        <w:rFonts w:ascii="Cambria Math" w:hAnsi="Book Antiqua" w:cs="Arial"/>
                        <w:sz w:val="16"/>
                        <w:szCs w:val="16"/>
                      </w:rPr>
                      <m:t>entreprises qui jugent l</m:t>
                    </m:r>
                    <m:r>
                      <m:rPr>
                        <m:sty m:val="p"/>
                      </m:rPr>
                      <w:rPr>
                        <w:rFonts w:ascii="Book Antiqua" w:hAnsi="Book Antiqua" w:cs="Arial"/>
                        <w:sz w:val="16"/>
                        <w:szCs w:val="16"/>
                      </w:rPr>
                      <m:t>'</m:t>
                    </m:r>
                    <m:r>
                      <m:rPr>
                        <m:sty m:val="p"/>
                      </m:rPr>
                      <w:rPr>
                        <w:rFonts w:ascii="Cambria Math" w:hAnsi="Book Antiqua" w:cs="Arial"/>
                        <w:sz w:val="16"/>
                        <w:szCs w:val="16"/>
                      </w:rPr>
                      <m:t>acces  "Facile</m:t>
                    </m:r>
                    <m:r>
                      <m:rPr>
                        <m:nor/>
                      </m:rPr>
                      <w:rPr>
                        <w:rFonts w:ascii="Book Antiqua" w:hAnsi="Book Antiqua" w:cs="Arial"/>
                        <w:sz w:val="16"/>
                        <w:szCs w:val="16"/>
                      </w:rPr>
                      <m:t>" ou "</m:t>
                    </m:r>
                    <m:r>
                      <m:rPr>
                        <m:sty m:val="p"/>
                      </m:rPr>
                      <w:rPr>
                        <w:rFonts w:ascii="Cambria Math" w:hAnsi="Book Antiqua" w:cs="Arial"/>
                        <w:sz w:val="16"/>
                        <w:szCs w:val="16"/>
                      </w:rPr>
                      <m:t>Tres facile"</m:t>
                    </m:r>
                  </m:num>
                  <m:den>
                    <m:r>
                      <m:rPr>
                        <m:sty m:val="p"/>
                      </m:rPr>
                      <w:rPr>
                        <w:rFonts w:ascii="Cambria Math" w:hAnsi="Book Antiqua" w:cs="Arial"/>
                        <w:sz w:val="16"/>
                        <w:szCs w:val="16"/>
                      </w:rPr>
                      <m:t>Taille de l</m:t>
                    </m:r>
                    <m:r>
                      <m:rPr>
                        <m:sty m:val="p"/>
                      </m:rPr>
                      <w:rPr>
                        <w:rFonts w:ascii="Book Antiqua" w:hAnsi="Book Antiqua" w:cs="Arial"/>
                        <w:sz w:val="16"/>
                        <w:szCs w:val="16"/>
                      </w:rPr>
                      <m:t>'</m:t>
                    </m:r>
                    <m:r>
                      <m:rPr>
                        <m:sty m:val="p"/>
                      </m:rPr>
                      <w:rPr>
                        <w:rFonts w:ascii="Cambria Math" w:hAnsi="Book Antiqua" w:cs="Arial"/>
                        <w:sz w:val="16"/>
                        <w:szCs w:val="16"/>
                      </w:rPr>
                      <m:t>ec</m:t>
                    </m:r>
                    <m:r>
                      <m:rPr>
                        <m:sty m:val="p"/>
                      </m:rPr>
                      <w:rPr>
                        <w:rFonts w:ascii="Cambria Math" w:hAnsi="Book Antiqua" w:cs="Cambria Math"/>
                        <w:sz w:val="16"/>
                        <w:szCs w:val="16"/>
                      </w:rPr>
                      <m:t>h</m:t>
                    </m:r>
                    <m:r>
                      <m:rPr>
                        <m:sty m:val="p"/>
                      </m:rPr>
                      <w:rPr>
                        <w:rFonts w:ascii="Cambria Math" w:hAnsi="Book Antiqua" w:cs="Arial"/>
                        <w:sz w:val="16"/>
                        <w:szCs w:val="16"/>
                      </w:rPr>
                      <m:t>antillon</m:t>
                    </m:r>
                  </m:den>
                </m:f>
                <m:r>
                  <m:rPr>
                    <m:sty m:val="p"/>
                  </m:rPr>
                  <w:rPr>
                    <w:rFonts w:ascii="Book Antiqua" w:hAnsi="Book Antiqua" w:cs="Arial"/>
                    <w:sz w:val="16"/>
                    <w:szCs w:val="16"/>
                  </w:rPr>
                  <m:t>×</m:t>
                </m:r>
                <m:r>
                  <m:rPr>
                    <m:sty m:val="p"/>
                  </m:rPr>
                  <w:rPr>
                    <w:rFonts w:ascii="Cambria Math" w:hAnsi="Book Antiqua" w:cs="Arial"/>
                    <w:sz w:val="16"/>
                    <w:szCs w:val="16"/>
                  </w:rPr>
                  <m:t>100</m:t>
                </m:r>
              </m:oMath>
            </m:oMathPara>
          </w:p>
        </w:tc>
      </w:tr>
    </w:tbl>
    <w:p w:rsidR="00153608" w:rsidRPr="00113477" w:rsidRDefault="00153608">
      <w:pPr>
        <w:rPr>
          <w:rFonts w:ascii="Book Antiqua" w:hAnsi="Book Antiqua"/>
          <w:sz w:val="20"/>
          <w:szCs w:val="20"/>
        </w:rPr>
      </w:pPr>
      <w:r w:rsidRPr="00113477">
        <w:rPr>
          <w:rFonts w:ascii="Book Antiqua" w:hAnsi="Book Antiqua"/>
          <w:sz w:val="20"/>
          <w:szCs w:val="20"/>
        </w:rPr>
        <w:br w:type="page"/>
      </w:r>
    </w:p>
    <w:p w:rsidR="00081635" w:rsidRPr="00113477" w:rsidRDefault="00081635" w:rsidP="00081635">
      <w:pPr>
        <w:tabs>
          <w:tab w:val="left" w:pos="-720"/>
        </w:tabs>
        <w:suppressAutoHyphens/>
        <w:spacing w:line="312" w:lineRule="auto"/>
        <w:jc w:val="center"/>
        <w:rPr>
          <w:rFonts w:ascii="Book Antiqua" w:hAnsi="Book Antiqua" w:cs="Arial"/>
          <w:b/>
          <w:sz w:val="20"/>
          <w:szCs w:val="20"/>
        </w:rPr>
      </w:pPr>
      <w:r w:rsidRPr="00113477">
        <w:rPr>
          <w:rFonts w:ascii="Book Antiqua" w:hAnsi="Book Antiqua" w:cs="Arial"/>
          <w:b/>
          <w:sz w:val="20"/>
          <w:szCs w:val="20"/>
        </w:rPr>
        <w:lastRenderedPageBreak/>
        <w:t>Formules de calcul des principaux indicateurs de satisfaction (Fin)</w:t>
      </w:r>
    </w:p>
    <w:p w:rsidR="00324C8D" w:rsidRPr="00113477" w:rsidRDefault="00324C8D" w:rsidP="00081635">
      <w:pPr>
        <w:tabs>
          <w:tab w:val="left" w:pos="-720"/>
        </w:tabs>
        <w:suppressAutoHyphens/>
        <w:spacing w:line="312" w:lineRule="auto"/>
        <w:jc w:val="center"/>
        <w:rPr>
          <w:rFonts w:ascii="Book Antiqua" w:hAnsi="Book Antiqua" w:cs="Arial"/>
          <w:b/>
          <w:sz w:val="20"/>
          <w:szCs w:val="20"/>
        </w:rPr>
      </w:pPr>
    </w:p>
    <w:tbl>
      <w:tblPr>
        <w:tblStyle w:val="Grilledutableau"/>
        <w:tblW w:w="10173" w:type="dxa"/>
        <w:tblLook w:val="04A0"/>
      </w:tblPr>
      <w:tblGrid>
        <w:gridCol w:w="3085"/>
        <w:gridCol w:w="7088"/>
      </w:tblGrid>
      <w:tr w:rsidR="004A3746" w:rsidRPr="00113477" w:rsidTr="00B740FF">
        <w:trPr>
          <w:trHeight w:hRule="exact" w:val="426"/>
        </w:trPr>
        <w:tc>
          <w:tcPr>
            <w:tcW w:w="10173" w:type="dxa"/>
            <w:gridSpan w:val="2"/>
            <w:vAlign w:val="center"/>
          </w:tcPr>
          <w:p w:rsidR="004A3746" w:rsidRPr="00B740FF" w:rsidRDefault="004A3746" w:rsidP="00F53385">
            <w:pPr>
              <w:widowControl w:val="0"/>
              <w:spacing w:before="120" w:line="312" w:lineRule="auto"/>
              <w:jc w:val="center"/>
              <w:rPr>
                <w:rFonts w:ascii="Book Antiqua" w:hAnsi="Book Antiqua" w:cs="Arial"/>
                <w:sz w:val="16"/>
                <w:szCs w:val="16"/>
              </w:rPr>
            </w:pPr>
            <w:r w:rsidRPr="00B740FF">
              <w:rPr>
                <w:rFonts w:ascii="Book Antiqua" w:hAnsi="Book Antiqua" w:cs="Arial"/>
                <w:b/>
                <w:bCs/>
                <w:sz w:val="16"/>
                <w:szCs w:val="16"/>
              </w:rPr>
              <w:t>SATISFACTION SUR LE PERSONNEL DES AGENCES BANCAIRES</w:t>
            </w:r>
          </w:p>
        </w:tc>
      </w:tr>
      <w:tr w:rsidR="00E85859" w:rsidRPr="00113477" w:rsidTr="00B740FF">
        <w:trPr>
          <w:trHeight w:hRule="exact" w:val="851"/>
        </w:trPr>
        <w:tc>
          <w:tcPr>
            <w:tcW w:w="3085" w:type="dxa"/>
            <w:vAlign w:val="center"/>
          </w:tcPr>
          <w:p w:rsidR="00E85859" w:rsidRPr="00B740FF" w:rsidRDefault="00E85859" w:rsidP="00B740FF">
            <w:pPr>
              <w:jc w:val="both"/>
              <w:rPr>
                <w:rFonts w:ascii="Book Antiqua" w:hAnsi="Book Antiqua" w:cs="Arial"/>
                <w:sz w:val="16"/>
                <w:szCs w:val="16"/>
              </w:rPr>
            </w:pPr>
            <w:r w:rsidRPr="00B740FF">
              <w:rPr>
                <w:rFonts w:ascii="Book Antiqua" w:hAnsi="Book Antiqua" w:cs="Arial"/>
                <w:sz w:val="16"/>
                <w:szCs w:val="16"/>
              </w:rPr>
              <w:t>Taux de satisfaction des entreprises sur la qualité de la relation avec leur conseiller en clientèle</w:t>
            </w:r>
          </w:p>
        </w:tc>
        <w:tc>
          <w:tcPr>
            <w:tcW w:w="7088" w:type="dxa"/>
            <w:vAlign w:val="center"/>
          </w:tcPr>
          <w:p w:rsidR="00E85859"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qui jugent la qualite de la relation  "Bonne</m:t>
                    </m:r>
                    <m:r>
                      <m:rPr>
                        <m:nor/>
                      </m:rPr>
                      <w:rPr>
                        <w:rFonts w:ascii="Book Antiqua" w:hAnsi="Book Antiqua" w:cs="Arial"/>
                        <w:sz w:val="16"/>
                        <w:szCs w:val="16"/>
                      </w:rPr>
                      <m:t>" ou "</m:t>
                    </m:r>
                    <m:r>
                      <m:rPr>
                        <m:sty m:val="p"/>
                      </m:rPr>
                      <w:rPr>
                        <w:rFonts w:ascii="Cambria Math" w:hAnsi="Book Antiqua" w:cs="Arial"/>
                        <w:sz w:val="16"/>
                        <w:szCs w:val="16"/>
                      </w:rPr>
                      <m:t>Tres bonne"</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E85859" w:rsidRPr="00113477" w:rsidTr="00B740FF">
        <w:trPr>
          <w:trHeight w:hRule="exact" w:val="851"/>
        </w:trPr>
        <w:tc>
          <w:tcPr>
            <w:tcW w:w="3085" w:type="dxa"/>
            <w:vAlign w:val="center"/>
          </w:tcPr>
          <w:p w:rsidR="00E85859" w:rsidRPr="00B740FF" w:rsidRDefault="00E85859" w:rsidP="00B740FF">
            <w:pPr>
              <w:jc w:val="both"/>
              <w:rPr>
                <w:rFonts w:ascii="Book Antiqua" w:hAnsi="Book Antiqua" w:cs="Arial"/>
                <w:sz w:val="16"/>
                <w:szCs w:val="16"/>
              </w:rPr>
            </w:pPr>
            <w:r w:rsidRPr="00B740FF">
              <w:rPr>
                <w:rFonts w:ascii="Book Antiqua" w:hAnsi="Book Antiqua" w:cs="Arial"/>
                <w:sz w:val="16"/>
                <w:szCs w:val="16"/>
              </w:rPr>
              <w:t>Taux de satisfaction des entreprises sur la qualité de l’accueil du personnel de leur agence bancaire</w:t>
            </w:r>
          </w:p>
        </w:tc>
        <w:tc>
          <w:tcPr>
            <w:tcW w:w="7088" w:type="dxa"/>
            <w:vAlign w:val="center"/>
          </w:tcPr>
          <w:p w:rsidR="00E85859"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qui jugent le personnel  "Courtois</m:t>
                    </m:r>
                    <m:r>
                      <m:rPr>
                        <m:nor/>
                      </m:rPr>
                      <w:rPr>
                        <w:rFonts w:ascii="Book Antiqua" w:hAnsi="Book Antiqua" w:cs="Arial"/>
                        <w:sz w:val="16"/>
                        <w:szCs w:val="16"/>
                      </w:rPr>
                      <m:t>" ou "</m:t>
                    </m:r>
                    <m:r>
                      <m:rPr>
                        <m:sty m:val="p"/>
                      </m:rPr>
                      <w:rPr>
                        <w:rFonts w:ascii="Cambria Math" w:hAnsi="Book Antiqua" w:cs="Arial"/>
                        <w:sz w:val="16"/>
                        <w:szCs w:val="16"/>
                      </w:rPr>
                      <m:t>Tres courtois"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4A3746" w:rsidRPr="00113477" w:rsidTr="00B740FF">
        <w:trPr>
          <w:trHeight w:hRule="exact" w:val="851"/>
        </w:trPr>
        <w:tc>
          <w:tcPr>
            <w:tcW w:w="3085" w:type="dxa"/>
            <w:vAlign w:val="center"/>
          </w:tcPr>
          <w:p w:rsidR="004A3746" w:rsidRPr="00B740FF" w:rsidRDefault="004A3746" w:rsidP="00B740FF">
            <w:pPr>
              <w:jc w:val="both"/>
              <w:rPr>
                <w:rFonts w:ascii="Book Antiqua" w:hAnsi="Book Antiqua" w:cs="Arial"/>
                <w:sz w:val="16"/>
                <w:szCs w:val="16"/>
              </w:rPr>
            </w:pPr>
            <w:r w:rsidRPr="00B740FF">
              <w:rPr>
                <w:rFonts w:ascii="Book Antiqua" w:hAnsi="Book Antiqua" w:cs="Arial"/>
                <w:sz w:val="16"/>
                <w:szCs w:val="16"/>
              </w:rPr>
              <w:t>Pourcentage des entreprises ayant reçu des informations sur leurs obligations au moment de l’ouverture de leur compte.</w:t>
            </w:r>
          </w:p>
        </w:tc>
        <w:tc>
          <w:tcPr>
            <w:tcW w:w="7088" w:type="dxa"/>
            <w:vAlign w:val="center"/>
          </w:tcPr>
          <w:p w:rsidR="004A3746"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ayant recu les informations sur leurs obligations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4A3746" w:rsidRPr="00113477" w:rsidTr="00B740FF">
        <w:trPr>
          <w:trHeight w:hRule="exact" w:val="851"/>
        </w:trPr>
        <w:tc>
          <w:tcPr>
            <w:tcW w:w="3085" w:type="dxa"/>
            <w:vAlign w:val="center"/>
          </w:tcPr>
          <w:p w:rsidR="004A3746" w:rsidRPr="00B740FF" w:rsidRDefault="004A3746" w:rsidP="00B740FF">
            <w:pPr>
              <w:jc w:val="both"/>
              <w:rPr>
                <w:rFonts w:ascii="Book Antiqua" w:hAnsi="Book Antiqua" w:cs="Arial"/>
                <w:sz w:val="16"/>
                <w:szCs w:val="16"/>
              </w:rPr>
            </w:pPr>
            <w:r w:rsidRPr="00B740FF">
              <w:rPr>
                <w:rFonts w:ascii="Book Antiqua" w:hAnsi="Book Antiqua" w:cs="Arial"/>
                <w:sz w:val="16"/>
                <w:szCs w:val="16"/>
              </w:rPr>
              <w:t>Taux de satisfaction des entreprises sur la qualité de l’information fournie sur leurs obligations</w:t>
            </w:r>
          </w:p>
        </w:tc>
        <w:tc>
          <w:tcPr>
            <w:tcW w:w="7088" w:type="dxa"/>
            <w:vAlign w:val="center"/>
          </w:tcPr>
          <w:p w:rsidR="004A3746" w:rsidRPr="00B740FF" w:rsidRDefault="000D65F2" w:rsidP="00A74103">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qui jugent le personnel  "Courtois</m:t>
                    </m:r>
                    <m:r>
                      <m:rPr>
                        <m:nor/>
                      </m:rPr>
                      <w:rPr>
                        <w:rFonts w:ascii="Book Antiqua" w:hAnsi="Book Antiqua" w:cs="Arial"/>
                        <w:sz w:val="16"/>
                        <w:szCs w:val="16"/>
                      </w:rPr>
                      <m:t>" ou "</m:t>
                    </m:r>
                    <m:r>
                      <m:rPr>
                        <m:sty m:val="p"/>
                      </m:rPr>
                      <w:rPr>
                        <w:rFonts w:ascii="Cambria Math" w:hAnsi="Book Antiqua" w:cs="Arial"/>
                        <w:sz w:val="16"/>
                        <w:szCs w:val="16"/>
                      </w:rPr>
                      <m:t>Tres courtois"</m:t>
                    </m:r>
                  </m:num>
                  <m:den>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ayant recu les informations sur leurs obligations</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89563F" w:rsidRPr="00113477" w:rsidTr="00B740FF">
        <w:trPr>
          <w:trHeight w:hRule="exact" w:val="851"/>
        </w:trPr>
        <w:tc>
          <w:tcPr>
            <w:tcW w:w="3085" w:type="dxa"/>
            <w:vAlign w:val="center"/>
          </w:tcPr>
          <w:p w:rsidR="0089563F" w:rsidRPr="00B740FF" w:rsidRDefault="0089563F" w:rsidP="00B740FF">
            <w:pPr>
              <w:jc w:val="both"/>
              <w:rPr>
                <w:rFonts w:ascii="Book Antiqua" w:hAnsi="Book Antiqua" w:cs="Arial"/>
                <w:sz w:val="16"/>
                <w:szCs w:val="16"/>
              </w:rPr>
            </w:pPr>
            <w:r w:rsidRPr="00B740FF">
              <w:rPr>
                <w:rFonts w:ascii="Book Antiqua" w:hAnsi="Book Antiqua" w:cs="Arial"/>
                <w:sz w:val="16"/>
                <w:szCs w:val="16"/>
              </w:rPr>
              <w:t>Pourcentage d’entreprises ayant formulé des réclamations</w:t>
            </w:r>
          </w:p>
        </w:tc>
        <w:tc>
          <w:tcPr>
            <w:tcW w:w="7088" w:type="dxa"/>
            <w:vAlign w:val="center"/>
          </w:tcPr>
          <w:p w:rsidR="0089563F"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ayant formule des reclamations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4A3746" w:rsidRPr="00113477" w:rsidTr="00B740FF">
        <w:trPr>
          <w:trHeight w:hRule="exact" w:val="851"/>
        </w:trPr>
        <w:tc>
          <w:tcPr>
            <w:tcW w:w="3085" w:type="dxa"/>
            <w:vAlign w:val="center"/>
          </w:tcPr>
          <w:p w:rsidR="004A3746" w:rsidRPr="00B740FF" w:rsidRDefault="004A3746" w:rsidP="00B740FF">
            <w:pPr>
              <w:jc w:val="both"/>
              <w:rPr>
                <w:rFonts w:ascii="Book Antiqua" w:hAnsi="Book Antiqua" w:cs="Arial"/>
                <w:sz w:val="16"/>
                <w:szCs w:val="16"/>
              </w:rPr>
            </w:pPr>
            <w:r w:rsidRPr="00B740FF">
              <w:rPr>
                <w:rFonts w:ascii="Book Antiqua" w:hAnsi="Book Antiqua" w:cs="Arial"/>
                <w:sz w:val="16"/>
                <w:szCs w:val="16"/>
              </w:rPr>
              <w:t>Taux de satisfaction des entreprises sur la qualité du suivi de</w:t>
            </w:r>
            <w:r w:rsidR="005510BB" w:rsidRPr="00B740FF">
              <w:rPr>
                <w:rFonts w:ascii="Book Antiqua" w:hAnsi="Book Antiqua" w:cs="Arial"/>
                <w:sz w:val="16"/>
                <w:szCs w:val="16"/>
              </w:rPr>
              <w:t xml:space="preserve"> leur</w:t>
            </w:r>
            <w:r w:rsidRPr="00B740FF">
              <w:rPr>
                <w:rFonts w:ascii="Book Antiqua" w:hAnsi="Book Antiqua" w:cs="Arial"/>
                <w:sz w:val="16"/>
                <w:szCs w:val="16"/>
              </w:rPr>
              <w:t>s réclamations</w:t>
            </w:r>
          </w:p>
        </w:tc>
        <w:tc>
          <w:tcPr>
            <w:tcW w:w="7088" w:type="dxa"/>
            <w:vAlign w:val="center"/>
          </w:tcPr>
          <w:p w:rsidR="004A3746" w:rsidRPr="00B740FF" w:rsidRDefault="000D65F2" w:rsidP="000B0B0C">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qui jugent la qualite du suivi  "Bonne</m:t>
                    </m:r>
                    <m:r>
                      <m:rPr>
                        <m:nor/>
                      </m:rPr>
                      <w:rPr>
                        <w:rFonts w:ascii="Book Antiqua" w:hAnsi="Book Antiqua" w:cs="Arial"/>
                        <w:sz w:val="16"/>
                        <w:szCs w:val="16"/>
                      </w:rPr>
                      <m:t>" ou "</m:t>
                    </m:r>
                    <m:r>
                      <m:rPr>
                        <m:sty m:val="p"/>
                      </m:rPr>
                      <w:rPr>
                        <w:rFonts w:ascii="Cambria Math" w:hAnsi="Book Antiqua" w:cs="Arial"/>
                        <w:sz w:val="16"/>
                        <w:szCs w:val="16"/>
                      </w:rPr>
                      <m:t>Tres bonne"</m:t>
                    </m:r>
                  </m:num>
                  <m:den>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ayant formule des reclamations</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bl>
    <w:p w:rsidR="006558E7" w:rsidRPr="00113477" w:rsidRDefault="006558E7" w:rsidP="004A3746">
      <w:pPr>
        <w:spacing w:after="200" w:line="276" w:lineRule="auto"/>
        <w:rPr>
          <w:rFonts w:ascii="Book Antiqua" w:hAnsi="Book Antiqua" w:cs="Arial"/>
          <w:b/>
          <w:sz w:val="20"/>
          <w:szCs w:val="20"/>
        </w:rPr>
      </w:pPr>
    </w:p>
    <w:p w:rsidR="001B4FDB" w:rsidRPr="00113477" w:rsidRDefault="006558E7" w:rsidP="00CB29D1">
      <w:pPr>
        <w:spacing w:line="276" w:lineRule="auto"/>
        <w:ind w:left="357"/>
        <w:jc w:val="center"/>
        <w:outlineLvl w:val="1"/>
        <w:rPr>
          <w:rFonts w:ascii="Book Antiqua" w:hAnsi="Book Antiqua" w:cs="Arial"/>
          <w:b/>
          <w:sz w:val="20"/>
          <w:szCs w:val="20"/>
        </w:rPr>
      </w:pPr>
      <w:r w:rsidRPr="00113477">
        <w:rPr>
          <w:rFonts w:ascii="Book Antiqua" w:hAnsi="Book Antiqua" w:cs="Arial"/>
          <w:b/>
          <w:sz w:val="20"/>
          <w:szCs w:val="20"/>
        </w:rPr>
        <w:br w:type="page"/>
      </w:r>
      <w:bookmarkStart w:id="387" w:name="_Toc523322142"/>
      <w:r w:rsidR="00860FDA" w:rsidRPr="00A37A16">
        <w:rPr>
          <w:rFonts w:ascii="Book Antiqua" w:hAnsi="Book Antiqua" w:cs="Arial"/>
          <w:b/>
          <w:sz w:val="20"/>
          <w:szCs w:val="20"/>
          <w:u w:val="single"/>
        </w:rPr>
        <w:lastRenderedPageBreak/>
        <w:t>Annexe 2</w:t>
      </w:r>
      <w:r w:rsidR="001B4FDB" w:rsidRPr="00113477">
        <w:rPr>
          <w:rFonts w:ascii="Book Antiqua" w:hAnsi="Book Antiqua" w:cs="Arial"/>
          <w:b/>
          <w:sz w:val="20"/>
          <w:szCs w:val="20"/>
        </w:rPr>
        <w:t> : Formules de calcul des principaux indicateurs de satisfaction</w:t>
      </w:r>
      <w:bookmarkEnd w:id="387"/>
    </w:p>
    <w:p w:rsidR="006558E7" w:rsidRPr="00113477" w:rsidRDefault="001B4FDB" w:rsidP="00CB29D1">
      <w:pPr>
        <w:spacing w:line="276" w:lineRule="auto"/>
        <w:ind w:left="357"/>
        <w:jc w:val="center"/>
        <w:outlineLvl w:val="1"/>
        <w:rPr>
          <w:rFonts w:ascii="Book Antiqua" w:hAnsi="Book Antiqua" w:cs="Arial"/>
          <w:b/>
          <w:sz w:val="20"/>
          <w:szCs w:val="20"/>
        </w:rPr>
      </w:pPr>
      <w:bookmarkStart w:id="388" w:name="_Toc523322143"/>
      <w:proofErr w:type="gramStart"/>
      <w:r w:rsidRPr="00113477">
        <w:rPr>
          <w:rFonts w:ascii="Book Antiqua" w:hAnsi="Book Antiqua" w:cs="Arial"/>
          <w:b/>
          <w:sz w:val="20"/>
          <w:szCs w:val="20"/>
        </w:rPr>
        <w:t>du</w:t>
      </w:r>
      <w:proofErr w:type="gramEnd"/>
      <w:r w:rsidRPr="00113477">
        <w:rPr>
          <w:rFonts w:ascii="Book Antiqua" w:hAnsi="Book Antiqua" w:cs="Arial"/>
          <w:b/>
          <w:sz w:val="20"/>
          <w:szCs w:val="20"/>
        </w:rPr>
        <w:t xml:space="preserve"> Volet « </w:t>
      </w:r>
      <w:r w:rsidR="00C84262" w:rsidRPr="00113477">
        <w:rPr>
          <w:rFonts w:ascii="Book Antiqua" w:hAnsi="Book Antiqua" w:cs="Arial"/>
          <w:b/>
          <w:sz w:val="20"/>
          <w:szCs w:val="20"/>
        </w:rPr>
        <w:t>personnes physiques</w:t>
      </w:r>
      <w:r w:rsidRPr="00113477">
        <w:rPr>
          <w:rFonts w:ascii="Book Antiqua" w:hAnsi="Book Antiqua" w:cs="Arial"/>
          <w:b/>
          <w:sz w:val="20"/>
          <w:szCs w:val="20"/>
        </w:rPr>
        <w:t> »</w:t>
      </w:r>
      <w:bookmarkEnd w:id="388"/>
    </w:p>
    <w:p w:rsidR="006558E7" w:rsidRPr="00113477" w:rsidRDefault="006558E7" w:rsidP="006558E7">
      <w:pPr>
        <w:tabs>
          <w:tab w:val="left" w:pos="-720"/>
        </w:tabs>
        <w:suppressAutoHyphens/>
        <w:spacing w:line="312" w:lineRule="auto"/>
        <w:jc w:val="center"/>
        <w:outlineLvl w:val="0"/>
        <w:rPr>
          <w:rFonts w:ascii="Book Antiqua" w:hAnsi="Book Antiqua" w:cs="Arial"/>
          <w:b/>
          <w:sz w:val="20"/>
          <w:szCs w:val="20"/>
        </w:rPr>
      </w:pPr>
    </w:p>
    <w:tbl>
      <w:tblPr>
        <w:tblStyle w:val="Grilledutableau"/>
        <w:tblW w:w="10031" w:type="dxa"/>
        <w:tblLook w:val="04A0"/>
      </w:tblPr>
      <w:tblGrid>
        <w:gridCol w:w="3085"/>
        <w:gridCol w:w="6946"/>
      </w:tblGrid>
      <w:tr w:rsidR="006558E7" w:rsidRPr="00113477" w:rsidTr="00CB29D1">
        <w:trPr>
          <w:trHeight w:hRule="exact" w:val="344"/>
        </w:trPr>
        <w:tc>
          <w:tcPr>
            <w:tcW w:w="10031" w:type="dxa"/>
            <w:gridSpan w:val="2"/>
            <w:vAlign w:val="center"/>
          </w:tcPr>
          <w:p w:rsidR="006558E7" w:rsidRPr="00CB29D1" w:rsidRDefault="006558E7" w:rsidP="005A53E6">
            <w:pPr>
              <w:widowControl w:val="0"/>
              <w:spacing w:before="120" w:line="312" w:lineRule="auto"/>
              <w:jc w:val="center"/>
              <w:rPr>
                <w:rFonts w:ascii="Book Antiqua" w:hAnsi="Book Antiqua" w:cs="Arial"/>
                <w:sz w:val="16"/>
                <w:szCs w:val="16"/>
              </w:rPr>
            </w:pPr>
            <w:r w:rsidRPr="00CB29D1">
              <w:rPr>
                <w:rFonts w:ascii="Book Antiqua" w:hAnsi="Book Antiqua" w:cs="Arial"/>
                <w:b/>
                <w:bCs/>
                <w:sz w:val="16"/>
                <w:szCs w:val="16"/>
              </w:rPr>
              <w:t>SATISFACTION SUR L’OFFRE DE SERVICES</w:t>
            </w:r>
          </w:p>
        </w:tc>
      </w:tr>
      <w:tr w:rsidR="006558E7" w:rsidRPr="00113477" w:rsidTr="00CB29D1">
        <w:trPr>
          <w:trHeight w:hRule="exact" w:val="575"/>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Nombre moyen de comptes chèque ouverts par client</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comptes ouverts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oMath>
            </m:oMathPara>
          </w:p>
        </w:tc>
      </w:tr>
      <w:tr w:rsidR="006558E7" w:rsidRPr="00113477" w:rsidTr="00CB29D1">
        <w:trPr>
          <w:trHeight w:hRule="exact" w:val="638"/>
        </w:trPr>
        <w:tc>
          <w:tcPr>
            <w:tcW w:w="3085" w:type="dxa"/>
            <w:vAlign w:val="center"/>
          </w:tcPr>
          <w:p w:rsidR="006558E7" w:rsidRPr="00CB29D1" w:rsidRDefault="006558E7" w:rsidP="00CB29D1">
            <w:pPr>
              <w:jc w:val="both"/>
              <w:rPr>
                <w:rFonts w:ascii="Book Antiqua" w:hAnsi="Book Antiqua" w:cs="Arial"/>
                <w:bCs/>
                <w:sz w:val="16"/>
                <w:szCs w:val="16"/>
              </w:rPr>
            </w:pPr>
            <w:r w:rsidRPr="00CB29D1">
              <w:rPr>
                <w:rFonts w:ascii="Book Antiqua" w:hAnsi="Book Antiqua" w:cs="Arial"/>
                <w:sz w:val="16"/>
                <w:szCs w:val="16"/>
              </w:rPr>
              <w:t>Pourcentage de client ayant déjà changé de banque</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ayant eu a c</m:t>
                    </m:r>
                    <m:r>
                      <m:rPr>
                        <m:sty m:val="p"/>
                      </m:rPr>
                      <w:rPr>
                        <w:rFonts w:ascii="Cambria Math" w:hAnsi="Cambria Math" w:cs="Cambria Math"/>
                        <w:sz w:val="16"/>
                        <w:szCs w:val="16"/>
                      </w:rPr>
                      <m:t>h</m:t>
                    </m:r>
                    <m:r>
                      <m:rPr>
                        <m:sty m:val="p"/>
                      </m:rPr>
                      <w:rPr>
                        <w:rFonts w:ascii="Cambria Math" w:hAnsi="Book Antiqua" w:cs="Arial"/>
                        <w:sz w:val="16"/>
                        <w:szCs w:val="16"/>
                      </w:rPr>
                      <m:t>anger de banque au moins une fois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987"/>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Nombre moyen de changement de banque</w:t>
            </w:r>
          </w:p>
        </w:tc>
        <w:tc>
          <w:tcPr>
            <w:tcW w:w="6946" w:type="dxa"/>
            <w:vAlign w:val="center"/>
          </w:tcPr>
          <w:p w:rsidR="006558E7" w:rsidRPr="00CB29D1" w:rsidRDefault="000D65F2" w:rsidP="005A53E6">
            <w:pPr>
              <w:tabs>
                <w:tab w:val="left" w:pos="-720"/>
              </w:tabs>
              <w:suppressAutoHyphens/>
              <w:spacing w:line="312" w:lineRule="auto"/>
              <w:jc w:val="center"/>
              <w:rPr>
                <w:rFonts w:ascii="Book Antiqua" w:hAnsi="Book Antiqua" w:cs="Arial"/>
                <w:sz w:val="16"/>
                <w:szCs w:val="16"/>
              </w:rPr>
            </w:pPr>
            <m:oMathPara>
              <m:oMath>
                <m:f>
                  <m:fPr>
                    <m:ctrlPr>
                      <w:rPr>
                        <w:rFonts w:ascii="Cambria Math" w:hAnsi="Book Antiqua" w:cs="Arial"/>
                        <w:sz w:val="16"/>
                        <w:szCs w:val="16"/>
                      </w:rPr>
                    </m:ctrlPr>
                  </m:fPr>
                  <m:num>
                    <m:nary>
                      <m:naryPr>
                        <m:chr m:val="∑"/>
                        <m:limLoc m:val="undOvr"/>
                        <m:ctrlPr>
                          <w:rPr>
                            <w:rFonts w:ascii="Cambria Math" w:hAnsi="Book Antiqua" w:cs="Arial"/>
                            <w:sz w:val="16"/>
                            <w:szCs w:val="16"/>
                          </w:rPr>
                        </m:ctrlPr>
                      </m:naryPr>
                      <m:sub>
                        <m:r>
                          <m:rPr>
                            <m:sty m:val="p"/>
                          </m:rPr>
                          <w:rPr>
                            <w:rFonts w:ascii="Cambria Math" w:hAnsi="Cambria Math" w:cs="Arial"/>
                            <w:sz w:val="16"/>
                            <w:szCs w:val="16"/>
                          </w:rPr>
                          <m:t>i</m:t>
                        </m:r>
                        <m:r>
                          <m:rPr>
                            <m:sty m:val="p"/>
                          </m:rPr>
                          <w:rPr>
                            <w:rFonts w:ascii="Cambria Math" w:hAnsi="Book Antiqua" w:cs="Arial"/>
                            <w:sz w:val="16"/>
                            <w:szCs w:val="16"/>
                          </w:rPr>
                          <m:t>=1</m:t>
                        </m:r>
                      </m:sub>
                      <m:sup>
                        <m:r>
                          <m:rPr>
                            <m:sty m:val="p"/>
                          </m:rPr>
                          <w:rPr>
                            <w:rFonts w:ascii="Cambria Math" w:hAnsi="Cambria Math" w:cs="Arial"/>
                            <w:sz w:val="16"/>
                            <w:szCs w:val="16"/>
                          </w:rPr>
                          <m:t>k</m:t>
                        </m:r>
                      </m:sup>
                      <m:e>
                        <m:sSub>
                          <m:sSubPr>
                            <m:ctrlPr>
                              <w:rPr>
                                <w:rFonts w:ascii="Cambria Math" w:hAnsi="Book Antiqua" w:cs="Arial"/>
                                <w:sz w:val="16"/>
                                <w:szCs w:val="16"/>
                              </w:rPr>
                            </m:ctrlPr>
                          </m:sSubPr>
                          <m:e>
                            <m:r>
                              <m:rPr>
                                <m:sty m:val="p"/>
                              </m:rPr>
                              <w:rPr>
                                <w:rFonts w:ascii="Cambria Math" w:hAnsi="Cambria Math" w:cs="Arial"/>
                                <w:sz w:val="16"/>
                                <w:szCs w:val="16"/>
                              </w:rPr>
                              <m:t>x</m:t>
                            </m:r>
                          </m:e>
                          <m:sub>
                            <m:r>
                              <m:rPr>
                                <m:sty m:val="p"/>
                              </m:rPr>
                              <w:rPr>
                                <w:rFonts w:ascii="Cambria Math" w:hAnsi="Cambria Math" w:cs="Arial"/>
                                <w:sz w:val="16"/>
                                <w:szCs w:val="16"/>
                              </w:rPr>
                              <m:t>i</m:t>
                            </m:r>
                          </m:sub>
                        </m:sSub>
                        <m:sSub>
                          <m:sSubPr>
                            <m:ctrlPr>
                              <w:rPr>
                                <w:rFonts w:ascii="Cambria Math" w:hAnsi="Book Antiqua"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i</m:t>
                            </m:r>
                          </m:sub>
                        </m:sSub>
                      </m:e>
                    </m:nary>
                  </m:num>
                  <m:den>
                    <m:r>
                      <m:rPr>
                        <m:sty m:val="p"/>
                      </m:rPr>
                      <w:rPr>
                        <w:rFonts w:ascii="Cambria Math" w:hAnsi="Cambria Math" w:cs="Arial"/>
                        <w:sz w:val="16"/>
                        <w:szCs w:val="16"/>
                      </w:rPr>
                      <m:t>N</m:t>
                    </m:r>
                  </m:den>
                </m:f>
                <m:r>
                  <m:rPr>
                    <m:sty m:val="p"/>
                  </m:rPr>
                  <w:rPr>
                    <w:rFonts w:ascii="Cambria Math" w:hAnsi="Book Antiqua" w:cs="Arial"/>
                    <w:sz w:val="16"/>
                    <w:szCs w:val="16"/>
                  </w:rPr>
                  <m:t xml:space="preserve"> , </m:t>
                </m:r>
                <m:r>
                  <m:rPr>
                    <m:sty m:val="p"/>
                  </m:rPr>
                  <w:rPr>
                    <w:rFonts w:ascii="Cambria Math" w:hAnsi="Cambria Math" w:cs="Arial"/>
                    <w:sz w:val="16"/>
                    <w:szCs w:val="16"/>
                  </w:rPr>
                  <m:t>avec</m:t>
                </m:r>
                <m:r>
                  <m:rPr>
                    <m:sty m:val="p"/>
                  </m:rPr>
                  <w:rPr>
                    <w:rFonts w:ascii="Cambria Math" w:hAnsi="Book Antiqua" w:cs="Arial"/>
                    <w:sz w:val="16"/>
                    <w:szCs w:val="16"/>
                  </w:rPr>
                  <m:t xml:space="preserve"> </m:t>
                </m:r>
                <m:r>
                  <m:rPr>
                    <m:sty m:val="p"/>
                  </m:rPr>
                  <w:rPr>
                    <w:rFonts w:ascii="Cambria Math" w:hAnsi="Cambria Math" w:cs="Arial"/>
                    <w:sz w:val="16"/>
                    <w:szCs w:val="16"/>
                  </w:rPr>
                  <m:t>N</m:t>
                </m:r>
                <m:r>
                  <m:rPr>
                    <m:sty m:val="p"/>
                  </m:rPr>
                  <w:rPr>
                    <w:rFonts w:ascii="Cambria Math" w:hAnsi="Book Antiqua" w:cs="Arial"/>
                    <w:sz w:val="16"/>
                    <w:szCs w:val="16"/>
                  </w:rPr>
                  <m:t>=</m:t>
                </m:r>
                <m:r>
                  <m:rPr>
                    <m:sty m:val="p"/>
                  </m:rPr>
                  <w:rPr>
                    <w:rFonts w:ascii="Cambria Math" w:hAnsi="Cambria Math" w:cs="Arial"/>
                    <w:sz w:val="16"/>
                    <w:szCs w:val="16"/>
                  </w:rPr>
                  <m:t>Nombre</m:t>
                </m:r>
                <m:r>
                  <m:rPr>
                    <m:sty m:val="p"/>
                  </m:rPr>
                  <w:rPr>
                    <w:rFonts w:ascii="Cambria Math" w:hAnsi="Book Antiqua" w:cs="Arial"/>
                    <w:sz w:val="16"/>
                    <w:szCs w:val="16"/>
                  </w:rPr>
                  <m:t xml:space="preserve"> </m:t>
                </m:r>
                <m:r>
                  <m:rPr>
                    <m:sty m:val="p"/>
                  </m:rPr>
                  <w:rPr>
                    <w:rFonts w:ascii="Cambria Math" w:hAnsi="Cambria Math" w:cs="Arial"/>
                    <w:sz w:val="16"/>
                    <w:szCs w:val="16"/>
                  </w:rPr>
                  <m:t>de</m:t>
                </m:r>
                <m:r>
                  <m:rPr>
                    <m:sty m:val="p"/>
                  </m:rPr>
                  <w:rPr>
                    <w:rFonts w:ascii="Cambria Math" w:hAnsi="Book Antiqua" w:cs="Arial"/>
                    <w:sz w:val="16"/>
                    <w:szCs w:val="16"/>
                  </w:rPr>
                  <m:t xml:space="preserve"> </m:t>
                </m:r>
                <m:r>
                  <m:rPr>
                    <m:sty m:val="p"/>
                  </m:rPr>
                  <w:rPr>
                    <w:rFonts w:ascii="Cambria Math" w:hAnsi="Cambria Math" w:cs="Arial"/>
                    <w:sz w:val="16"/>
                    <w:szCs w:val="16"/>
                  </w:rPr>
                  <m:t>clients</m:t>
                </m:r>
                <m:r>
                  <m:rPr>
                    <m:sty m:val="p"/>
                  </m:rPr>
                  <w:rPr>
                    <w:rFonts w:ascii="Cambria Math" w:hAnsi="Book Antiqua" w:cs="Arial"/>
                    <w:sz w:val="16"/>
                    <w:szCs w:val="16"/>
                  </w:rPr>
                  <m:t xml:space="preserve"> </m:t>
                </m:r>
                <m:r>
                  <m:rPr>
                    <m:sty m:val="p"/>
                  </m:rPr>
                  <w:rPr>
                    <w:rFonts w:ascii="Cambria Math" w:hAnsi="Cambria Math" w:cs="Arial"/>
                    <w:sz w:val="16"/>
                    <w:szCs w:val="16"/>
                  </w:rPr>
                  <m:t>ayant</m:t>
                </m:r>
                <m:r>
                  <m:rPr>
                    <m:sty m:val="p"/>
                  </m:rPr>
                  <w:rPr>
                    <w:rFonts w:ascii="Cambria Math" w:hAnsi="Book Antiqua" w:cs="Arial"/>
                    <w:sz w:val="16"/>
                    <w:szCs w:val="16"/>
                  </w:rPr>
                  <m:t xml:space="preserve"> </m:t>
                </m:r>
                <m:r>
                  <m:rPr>
                    <m:sty m:val="p"/>
                  </m:rPr>
                  <w:rPr>
                    <w:rFonts w:ascii="Cambria Math" w:hAnsi="Cambria Math" w:cs="Arial"/>
                    <w:sz w:val="16"/>
                    <w:szCs w:val="16"/>
                  </w:rPr>
                  <m:t>change</m:t>
                </m:r>
                <m:r>
                  <m:rPr>
                    <m:sty m:val="p"/>
                  </m:rPr>
                  <w:rPr>
                    <w:rFonts w:ascii="Cambria Math" w:hAnsi="Book Antiqua" w:cs="Arial"/>
                    <w:sz w:val="16"/>
                    <w:szCs w:val="16"/>
                  </w:rPr>
                  <m:t xml:space="preserve"> </m:t>
                </m:r>
                <m:r>
                  <m:rPr>
                    <m:sty m:val="p"/>
                  </m:rPr>
                  <w:rPr>
                    <w:rFonts w:ascii="Cambria Math" w:hAnsi="Cambria Math" w:cs="Arial"/>
                    <w:sz w:val="16"/>
                    <w:szCs w:val="16"/>
                  </w:rPr>
                  <m:t>au</m:t>
                </m:r>
                <m:r>
                  <m:rPr>
                    <m:sty m:val="p"/>
                  </m:rPr>
                  <w:rPr>
                    <w:rFonts w:ascii="Cambria Math" w:hAnsi="Book Antiqua" w:cs="Arial"/>
                    <w:sz w:val="16"/>
                    <w:szCs w:val="16"/>
                  </w:rPr>
                  <m:t xml:space="preserve"> </m:t>
                </m:r>
                <m:r>
                  <m:rPr>
                    <m:sty m:val="p"/>
                  </m:rPr>
                  <w:rPr>
                    <w:rFonts w:ascii="Cambria Math" w:hAnsi="Cambria Math" w:cs="Arial"/>
                    <w:sz w:val="16"/>
                    <w:szCs w:val="16"/>
                  </w:rPr>
                  <m:t>moins</m:t>
                </m:r>
                <m:r>
                  <m:rPr>
                    <m:sty m:val="p"/>
                  </m:rPr>
                  <w:rPr>
                    <w:rFonts w:ascii="Cambria Math" w:hAnsi="Book Antiqua" w:cs="Arial"/>
                    <w:sz w:val="16"/>
                    <w:szCs w:val="16"/>
                  </w:rPr>
                  <m:t xml:space="preserve"> </m:t>
                </m:r>
                <m:r>
                  <m:rPr>
                    <m:sty m:val="p"/>
                  </m:rPr>
                  <w:rPr>
                    <w:rFonts w:ascii="Cambria Math" w:hAnsi="Cambria Math" w:cs="Arial"/>
                    <w:sz w:val="16"/>
                    <w:szCs w:val="16"/>
                  </w:rPr>
                  <m:t>une</m:t>
                </m:r>
                <m:r>
                  <m:rPr>
                    <m:sty m:val="p"/>
                  </m:rPr>
                  <w:rPr>
                    <w:rFonts w:ascii="Cambria Math" w:hAnsi="Book Antiqua" w:cs="Arial"/>
                    <w:sz w:val="16"/>
                    <w:szCs w:val="16"/>
                  </w:rPr>
                  <m:t xml:space="preserve"> </m:t>
                </m:r>
                <m:r>
                  <m:rPr>
                    <m:sty m:val="p"/>
                  </m:rPr>
                  <w:rPr>
                    <w:rFonts w:ascii="Cambria Math" w:hAnsi="Cambria Math" w:cs="Arial"/>
                    <w:sz w:val="16"/>
                    <w:szCs w:val="16"/>
                  </w:rPr>
                  <m:t>fois</m:t>
                </m:r>
                <m:r>
                  <m:rPr>
                    <m:sty m:val="p"/>
                  </m:rPr>
                  <w:rPr>
                    <w:rFonts w:ascii="Cambria Math" w:hAnsi="Book Antiqua" w:cs="Arial"/>
                    <w:sz w:val="16"/>
                    <w:szCs w:val="16"/>
                  </w:rPr>
                  <m:t xml:space="preserve"> </m:t>
                </m:r>
                <m:r>
                  <m:rPr>
                    <m:sty m:val="p"/>
                  </m:rPr>
                  <w:rPr>
                    <w:rFonts w:ascii="Cambria Math" w:hAnsi="Cambria Math" w:cs="Arial"/>
                    <w:sz w:val="16"/>
                    <w:szCs w:val="16"/>
                  </w:rPr>
                  <m:t>de</m:t>
                </m:r>
                <m:r>
                  <m:rPr>
                    <m:sty m:val="p"/>
                  </m:rPr>
                  <w:rPr>
                    <w:rFonts w:ascii="Cambria Math" w:hAnsi="Book Antiqua" w:cs="Arial"/>
                    <w:sz w:val="16"/>
                    <w:szCs w:val="16"/>
                  </w:rPr>
                  <m:t xml:space="preserve"> </m:t>
                </m:r>
                <m:r>
                  <m:rPr>
                    <m:sty m:val="p"/>
                  </m:rPr>
                  <w:rPr>
                    <w:rFonts w:ascii="Cambria Math" w:hAnsi="Cambria Math" w:cs="Arial"/>
                    <w:sz w:val="16"/>
                    <w:szCs w:val="16"/>
                  </w:rPr>
                  <m:t>banque</m:t>
                </m:r>
              </m:oMath>
            </m:oMathPara>
          </w:p>
          <w:p w:rsidR="006558E7" w:rsidRPr="00CB29D1" w:rsidRDefault="006558E7" w:rsidP="005A53E6">
            <w:pPr>
              <w:tabs>
                <w:tab w:val="left" w:pos="-720"/>
              </w:tabs>
              <w:suppressAutoHyphens/>
              <w:spacing w:line="312" w:lineRule="auto"/>
              <w:jc w:val="center"/>
              <w:outlineLvl w:val="0"/>
              <w:rPr>
                <w:rFonts w:ascii="Book Antiqua" w:hAnsi="Book Antiqua" w:cs="Arial"/>
                <w:sz w:val="16"/>
                <w:szCs w:val="16"/>
              </w:rPr>
            </w:pPr>
          </w:p>
          <w:p w:rsidR="006558E7" w:rsidRPr="00CB29D1" w:rsidRDefault="00CB29D1" w:rsidP="005A53E6">
            <w:pPr>
              <w:tabs>
                <w:tab w:val="left" w:pos="-720"/>
              </w:tabs>
              <w:suppressAutoHyphens/>
              <w:spacing w:line="312" w:lineRule="auto"/>
              <w:jc w:val="center"/>
              <w:rPr>
                <w:rFonts w:ascii="Book Antiqua" w:hAnsi="Book Antiqua" w:cs="Arial"/>
                <w:sz w:val="16"/>
                <w:szCs w:val="16"/>
              </w:rPr>
            </w:pPr>
            <m:oMathPara>
              <m:oMath>
                <m:r>
                  <m:rPr>
                    <m:sty m:val="p"/>
                  </m:rPr>
                  <w:rPr>
                    <w:rFonts w:ascii="Cambria Math" w:hAnsi="Book Antiqua" w:cs="Arial"/>
                    <w:sz w:val="16"/>
                    <w:szCs w:val="16"/>
                  </w:rPr>
                  <m:t xml:space="preserve"> </m:t>
                </m:r>
                <m:r>
                  <m:rPr>
                    <m:sty m:val="p"/>
                  </m:rPr>
                  <w:rPr>
                    <w:rFonts w:ascii="Cambria Math" w:hAnsi="Cambria Math" w:cs="Arial"/>
                    <w:sz w:val="16"/>
                    <w:szCs w:val="16"/>
                  </w:rPr>
                  <m:t>et</m:t>
                </m:r>
                <m:r>
                  <m:rPr>
                    <m:sty m:val="p"/>
                  </m:rPr>
                  <w:rPr>
                    <w:rFonts w:ascii="Cambria Math" w:hAnsi="Book Antiqua" w:cs="Arial"/>
                    <w:sz w:val="16"/>
                    <w:szCs w:val="16"/>
                  </w:rPr>
                  <m:t xml:space="preserve"> </m:t>
                </m:r>
                <m:sSub>
                  <m:sSubPr>
                    <m:ctrlPr>
                      <w:rPr>
                        <w:rFonts w:ascii="Cambria Math" w:hAnsi="Book Antiqua"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i</m:t>
                    </m:r>
                  </m:sub>
                </m:sSub>
                <m:r>
                  <m:rPr>
                    <m:sty m:val="p"/>
                  </m:rPr>
                  <w:rPr>
                    <w:rFonts w:ascii="Cambria Math" w:hAnsi="Book Antiqua" w:cs="Arial"/>
                    <w:sz w:val="16"/>
                    <w:szCs w:val="16"/>
                  </w:rPr>
                  <m:t>=</m:t>
                </m:r>
                <m:r>
                  <m:rPr>
                    <m:sty m:val="p"/>
                  </m:rPr>
                  <w:rPr>
                    <w:rFonts w:ascii="Cambria Math" w:hAnsi="Cambria Math" w:cs="Arial"/>
                    <w:sz w:val="16"/>
                    <w:szCs w:val="16"/>
                  </w:rPr>
                  <m:t>nombre</m:t>
                </m:r>
                <m:r>
                  <m:rPr>
                    <m:sty m:val="p"/>
                  </m:rPr>
                  <w:rPr>
                    <w:rFonts w:ascii="Cambria Math" w:hAnsi="Book Antiqua" w:cs="Arial"/>
                    <w:sz w:val="16"/>
                    <w:szCs w:val="16"/>
                  </w:rPr>
                  <m:t xml:space="preserve"> </m:t>
                </m:r>
                <m:r>
                  <m:rPr>
                    <m:sty m:val="p"/>
                  </m:rPr>
                  <w:rPr>
                    <w:rFonts w:ascii="Cambria Math" w:hAnsi="Cambria Math" w:cs="Arial"/>
                    <w:sz w:val="16"/>
                    <w:szCs w:val="16"/>
                  </w:rPr>
                  <m:t>de</m:t>
                </m:r>
                <m:r>
                  <m:rPr>
                    <m:sty m:val="p"/>
                  </m:rPr>
                  <w:rPr>
                    <w:rFonts w:ascii="Cambria Math" w:hAnsi="Book Antiqua" w:cs="Arial"/>
                    <w:sz w:val="16"/>
                    <w:szCs w:val="16"/>
                  </w:rPr>
                  <m:t xml:space="preserve"> </m:t>
                </m:r>
                <m:r>
                  <m:rPr>
                    <m:sty m:val="p"/>
                  </m:rPr>
                  <w:rPr>
                    <w:rFonts w:ascii="Cambria Math" w:hAnsi="Cambria Math" w:cs="Arial"/>
                    <w:sz w:val="16"/>
                    <w:szCs w:val="16"/>
                  </w:rPr>
                  <m:t>clients</m:t>
                </m:r>
                <m:r>
                  <m:rPr>
                    <m:sty m:val="p"/>
                  </m:rPr>
                  <w:rPr>
                    <w:rFonts w:ascii="Cambria Math" w:hAnsi="Book Antiqua" w:cs="Arial"/>
                    <w:sz w:val="16"/>
                    <w:szCs w:val="16"/>
                  </w:rPr>
                  <m:t xml:space="preserve"> </m:t>
                </m:r>
                <m:r>
                  <m:rPr>
                    <m:sty m:val="p"/>
                  </m:rPr>
                  <w:rPr>
                    <w:rFonts w:ascii="Cambria Math" w:hAnsi="Cambria Math" w:cs="Arial"/>
                    <w:sz w:val="16"/>
                    <w:szCs w:val="16"/>
                  </w:rPr>
                  <m:t>ayant</m:t>
                </m:r>
                <m:r>
                  <m:rPr>
                    <m:sty m:val="p"/>
                  </m:rPr>
                  <w:rPr>
                    <w:rFonts w:ascii="Cambria Math" w:hAnsi="Book Antiqua" w:cs="Arial"/>
                    <w:sz w:val="16"/>
                    <w:szCs w:val="16"/>
                  </w:rPr>
                  <m:t xml:space="preserve"> </m:t>
                </m:r>
                <m:r>
                  <m:rPr>
                    <m:sty m:val="p"/>
                  </m:rPr>
                  <w:rPr>
                    <w:rFonts w:ascii="Cambria Math" w:hAnsi="Cambria Math" w:cs="Arial"/>
                    <w:sz w:val="16"/>
                    <w:szCs w:val="16"/>
                  </w:rPr>
                  <m:t>de</m:t>
                </m:r>
                <m:r>
                  <m:rPr>
                    <m:sty m:val="p"/>
                  </m:rPr>
                  <w:rPr>
                    <w:rFonts w:ascii="Cambria Math" w:hAnsi="Book Antiqua" w:cs="Arial"/>
                    <w:sz w:val="16"/>
                    <w:szCs w:val="16"/>
                  </w:rPr>
                  <m:t xml:space="preserve"> </m:t>
                </m:r>
                <m:r>
                  <m:rPr>
                    <m:sty m:val="p"/>
                  </m:rPr>
                  <w:rPr>
                    <w:rFonts w:ascii="Cambria Math" w:hAnsi="Cambria Math" w:cs="Arial"/>
                    <w:sz w:val="16"/>
                    <w:szCs w:val="16"/>
                  </w:rPr>
                  <m:t>banque</m:t>
                </m:r>
                <m:r>
                  <m:rPr>
                    <m:sty m:val="p"/>
                  </m:rPr>
                  <w:rPr>
                    <w:rFonts w:ascii="Cambria Math" w:hAnsi="Book Antiqua" w:cs="Arial"/>
                    <w:sz w:val="16"/>
                    <w:szCs w:val="16"/>
                  </w:rPr>
                  <m:t xml:space="preserve"> </m:t>
                </m:r>
                <m:r>
                  <m:rPr>
                    <m:sty m:val="p"/>
                  </m:rPr>
                  <w:rPr>
                    <w:rFonts w:ascii="Cambria Math" w:hAnsi="Cambria Math" w:cs="Arial"/>
                    <w:sz w:val="16"/>
                    <w:szCs w:val="16"/>
                  </w:rPr>
                  <m:t>a</m:t>
                </m:r>
                <m:r>
                  <m:rPr>
                    <m:sty m:val="p"/>
                  </m:rPr>
                  <w:rPr>
                    <w:rFonts w:ascii="Cambria Math" w:hAnsi="Book Antiqua" w:cs="Arial"/>
                    <w:sz w:val="16"/>
                    <w:szCs w:val="16"/>
                  </w:rPr>
                  <m:t xml:space="preserve"> </m:t>
                </m:r>
                <m:sSub>
                  <m:sSubPr>
                    <m:ctrlPr>
                      <w:rPr>
                        <w:rFonts w:ascii="Cambria Math" w:hAnsi="Book Antiqua" w:cs="Arial"/>
                        <w:sz w:val="16"/>
                        <w:szCs w:val="16"/>
                      </w:rPr>
                    </m:ctrlPr>
                  </m:sSubPr>
                  <m:e>
                    <m:r>
                      <m:rPr>
                        <m:sty m:val="p"/>
                      </m:rPr>
                      <w:rPr>
                        <w:rFonts w:ascii="Cambria Math" w:hAnsi="Book Antiqua" w:cs="Arial"/>
                        <w:sz w:val="16"/>
                        <w:szCs w:val="16"/>
                      </w:rPr>
                      <m:t>"</m:t>
                    </m:r>
                    <m:r>
                      <m:rPr>
                        <m:sty m:val="p"/>
                      </m:rPr>
                      <w:rPr>
                        <w:rFonts w:ascii="Cambria Math" w:hAnsi="Cambria Math" w:cs="Arial"/>
                        <w:sz w:val="16"/>
                        <w:szCs w:val="16"/>
                      </w:rPr>
                      <m:t>x</m:t>
                    </m:r>
                  </m:e>
                  <m:sub>
                    <m:r>
                      <m:rPr>
                        <m:sty m:val="p"/>
                      </m:rPr>
                      <w:rPr>
                        <w:rFonts w:ascii="Cambria Math" w:hAnsi="Cambria Math" w:cs="Arial"/>
                        <w:sz w:val="16"/>
                        <w:szCs w:val="16"/>
                      </w:rPr>
                      <m:t>i</m:t>
                    </m:r>
                  </m:sub>
                </m:sSub>
                <m:r>
                  <m:rPr>
                    <m:sty m:val="p"/>
                  </m:rPr>
                  <w:rPr>
                    <w:rFonts w:ascii="Cambria Math" w:hAnsi="Book Antiqua" w:cs="Arial"/>
                    <w:sz w:val="16"/>
                    <w:szCs w:val="16"/>
                  </w:rPr>
                  <m:t xml:space="preserve">" </m:t>
                </m:r>
                <m:r>
                  <m:rPr>
                    <m:sty m:val="p"/>
                  </m:rPr>
                  <w:rPr>
                    <w:rFonts w:ascii="Cambria Math" w:hAnsi="Cambria Math" w:cs="Arial"/>
                    <w:sz w:val="16"/>
                    <w:szCs w:val="16"/>
                  </w:rPr>
                  <m:t>reprises</m:t>
                </m:r>
              </m:oMath>
            </m:oMathPara>
          </w:p>
        </w:tc>
      </w:tr>
      <w:tr w:rsidR="006558E7" w:rsidRPr="00113477" w:rsidTr="00CB29D1">
        <w:trPr>
          <w:trHeight w:hRule="exact" w:val="927"/>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Proportion des clients</w:t>
            </w:r>
            <w:r w:rsidR="00297144" w:rsidRPr="00CB29D1">
              <w:rPr>
                <w:rFonts w:ascii="Book Antiqua" w:hAnsi="Book Antiqua" w:cs="Arial"/>
                <w:sz w:val="16"/>
                <w:szCs w:val="16"/>
              </w:rPr>
              <w:t xml:space="preserve"> </w:t>
            </w:r>
            <w:r w:rsidRPr="00CB29D1">
              <w:rPr>
                <w:rFonts w:ascii="Book Antiqua" w:hAnsi="Book Antiqua" w:cs="Arial"/>
                <w:sz w:val="16"/>
                <w:szCs w:val="16"/>
              </w:rPr>
              <w:t>ayant</w:t>
            </w:r>
            <w:r w:rsidR="00297144" w:rsidRPr="00CB29D1">
              <w:rPr>
                <w:rFonts w:ascii="Book Antiqua" w:hAnsi="Book Antiqua" w:cs="Arial"/>
                <w:sz w:val="16"/>
                <w:szCs w:val="16"/>
              </w:rPr>
              <w:t xml:space="preserve"> </w:t>
            </w:r>
            <w:r w:rsidRPr="00CB29D1">
              <w:rPr>
                <w:rFonts w:ascii="Book Antiqua" w:hAnsi="Book Antiqua" w:cs="Arial"/>
                <w:sz w:val="16"/>
                <w:szCs w:val="16"/>
              </w:rPr>
              <w:t>jugé positive l’attitude des banques au moment du changement de domiciliation</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declientsquiontjugeleurbanque "Co</m:t>
                    </m:r>
                    <m:r>
                      <m:rPr>
                        <m:nor/>
                      </m:rPr>
                      <w:rPr>
                        <w:rFonts w:ascii="Book Antiqua" w:hAnsi="Book Antiqua" w:cs="Arial"/>
                        <w:sz w:val="16"/>
                        <w:szCs w:val="16"/>
                      </w:rPr>
                      <m:t>operative" ou "t</m:t>
                    </m:r>
                    <m:r>
                      <m:rPr>
                        <m:sty m:val="p"/>
                      </m:rPr>
                      <w:rPr>
                        <w:rFonts w:ascii="Cambria Math" w:hAnsi="Book Antiqua" w:cs="Arial"/>
                        <w:sz w:val="16"/>
                        <w:szCs w:val="16"/>
                      </w:rPr>
                      <m:t>res Cooperative"</m:t>
                    </m:r>
                  </m:num>
                  <m:den>
                    <m:r>
                      <m:rPr>
                        <m:sty m:val="p"/>
                      </m:rPr>
                      <w:rPr>
                        <w:rFonts w:ascii="Cambria Math" w:hAnsi="Book Antiqua" w:cs="Arial"/>
                        <w:sz w:val="16"/>
                        <w:szCs w:val="16"/>
                      </w:rPr>
                      <m:t>Nombre de clients ayant c</m:t>
                    </m:r>
                    <m:r>
                      <m:rPr>
                        <m:sty m:val="p"/>
                      </m:rPr>
                      <w:rPr>
                        <w:rFonts w:ascii="Cambria Math" w:hAnsi="Cambria Math" w:cs="Cambria Math"/>
                        <w:sz w:val="16"/>
                        <w:szCs w:val="16"/>
                      </w:rPr>
                      <m:t>h</m:t>
                    </m:r>
                    <m:r>
                      <m:rPr>
                        <m:sty m:val="p"/>
                      </m:rPr>
                      <w:rPr>
                        <w:rFonts w:ascii="Cambria Math" w:hAnsi="Book Antiqua" w:cs="Arial"/>
                        <w:sz w:val="16"/>
                        <w:szCs w:val="16"/>
                      </w:rPr>
                      <m:t>ange de banque</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648"/>
        </w:trPr>
        <w:tc>
          <w:tcPr>
            <w:tcW w:w="3085" w:type="dxa"/>
            <w:vAlign w:val="center"/>
          </w:tcPr>
          <w:p w:rsidR="006558E7" w:rsidRPr="00CB29D1" w:rsidRDefault="006558E7" w:rsidP="00CB29D1">
            <w:pPr>
              <w:rPr>
                <w:rFonts w:ascii="Book Antiqua" w:hAnsi="Book Antiqua" w:cs="Arial"/>
                <w:sz w:val="16"/>
                <w:szCs w:val="16"/>
              </w:rPr>
            </w:pPr>
            <w:r w:rsidRPr="00CB29D1">
              <w:rPr>
                <w:rFonts w:ascii="Book Antiqua" w:hAnsi="Book Antiqua" w:cs="Arial"/>
                <w:sz w:val="16"/>
                <w:szCs w:val="16"/>
              </w:rPr>
              <w:t>Pourcentage de clients ayant déjà eu un litige avec leur banque</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ayant eu un litige avec leur banque</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564"/>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Taux de satisfaction des clients sur le nombre des agences bancaires</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m:t>
                    </m:r>
                    <m:r>
                      <m:rPr>
                        <m:nor/>
                      </m:rPr>
                      <w:rPr>
                        <w:rFonts w:ascii="Book Antiqua" w:hAnsi="Book Antiqua" w:cs="Arial"/>
                        <w:sz w:val="16"/>
                        <w:szCs w:val="16"/>
                      </w:rPr>
                      <m:t xml:space="preserve">Satisfaits" </m:t>
                    </m:r>
                    <m:r>
                      <m:rPr>
                        <m:sty m:val="p"/>
                      </m:rPr>
                      <w:rPr>
                        <w:rFonts w:ascii="Cambria Math" w:hAnsi="Book Antiqua" w:cs="Arial"/>
                        <w:sz w:val="16"/>
                        <w:szCs w:val="16"/>
                      </w:rPr>
                      <m:t>ou "Tres satisfaits"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700"/>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Taux de satisfaction des clients sur le nombre de caisses fonctionnelles</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m:t>
                    </m:r>
                    <m:r>
                      <m:rPr>
                        <m:nor/>
                      </m:rPr>
                      <w:rPr>
                        <w:rFonts w:ascii="Book Antiqua" w:hAnsi="Book Antiqua" w:cs="Arial"/>
                        <w:sz w:val="16"/>
                        <w:szCs w:val="16"/>
                      </w:rPr>
                      <m:t xml:space="preserve">Satisfaits" </m:t>
                    </m:r>
                    <m:r>
                      <m:rPr>
                        <m:sty m:val="p"/>
                      </m:rPr>
                      <w:rPr>
                        <w:rFonts w:ascii="Cambria Math" w:hAnsi="Book Antiqua" w:cs="Arial"/>
                        <w:sz w:val="16"/>
                        <w:szCs w:val="16"/>
                      </w:rPr>
                      <m:t>ou "Tres satisfaits"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726"/>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Taux de satisfaction des clients</w:t>
            </w:r>
            <w:r w:rsidR="00297144" w:rsidRPr="00CB29D1">
              <w:rPr>
                <w:rFonts w:ascii="Book Antiqua" w:hAnsi="Book Antiqua" w:cs="Arial"/>
                <w:sz w:val="16"/>
                <w:szCs w:val="16"/>
              </w:rPr>
              <w:t xml:space="preserve"> </w:t>
            </w:r>
            <w:r w:rsidRPr="00CB29D1">
              <w:rPr>
                <w:rFonts w:ascii="Book Antiqua" w:hAnsi="Book Antiqua" w:cs="Arial"/>
                <w:sz w:val="16"/>
                <w:szCs w:val="16"/>
              </w:rPr>
              <w:t>sur la durée de traitement des opérations de caisse</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m:t>
                    </m:r>
                    <m:r>
                      <m:rPr>
                        <m:nor/>
                      </m:rPr>
                      <w:rPr>
                        <w:rFonts w:ascii="Book Antiqua" w:hAnsi="Book Antiqua" w:cs="Arial"/>
                        <w:sz w:val="16"/>
                        <w:szCs w:val="16"/>
                      </w:rPr>
                      <m:t xml:space="preserve">Satisfaits" </m:t>
                    </m:r>
                    <m:r>
                      <m:rPr>
                        <m:sty m:val="p"/>
                      </m:rPr>
                      <w:rPr>
                        <w:rFonts w:ascii="Cambria Math" w:hAnsi="Book Antiqua" w:cs="Arial"/>
                        <w:sz w:val="16"/>
                        <w:szCs w:val="16"/>
                      </w:rPr>
                      <m:t>ou "Tres satisfaits"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704"/>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Pourcentage des clients</w:t>
            </w:r>
            <w:r w:rsidR="00297144" w:rsidRPr="00CB29D1">
              <w:rPr>
                <w:rFonts w:ascii="Book Antiqua" w:hAnsi="Book Antiqua" w:cs="Arial"/>
                <w:sz w:val="16"/>
                <w:szCs w:val="16"/>
              </w:rPr>
              <w:t xml:space="preserve"> </w:t>
            </w:r>
            <w:r w:rsidRPr="00CB29D1">
              <w:rPr>
                <w:rFonts w:ascii="Book Antiqua" w:hAnsi="Book Antiqua" w:cs="Arial"/>
                <w:sz w:val="16"/>
                <w:szCs w:val="16"/>
              </w:rPr>
              <w:t>possédant une carte bancaire</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possedent une carte bancaire</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576"/>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Taux de satisfaction des clients sur le nombre de GAB</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 nombre de GAB "Suffisant</m:t>
                    </m:r>
                    <m:r>
                      <m:rPr>
                        <m:nor/>
                      </m:rPr>
                      <w:rPr>
                        <w:rFonts w:ascii="Book Antiqua" w:hAnsi="Book Antiqua" w:cs="Arial"/>
                        <w:sz w:val="16"/>
                        <w:szCs w:val="16"/>
                      </w:rPr>
                      <m:t xml:space="preserve">" </m:t>
                    </m:r>
                    <m:r>
                      <m:rPr>
                        <m:sty m:val="p"/>
                      </m:rPr>
                      <w:rPr>
                        <w:rFonts w:ascii="Cambria Math" w:hAnsi="Book Antiqua" w:cs="Arial"/>
                        <w:sz w:val="16"/>
                        <w:szCs w:val="16"/>
                      </w:rPr>
                      <m:t>ou "Tres Suffisant"</m:t>
                    </m:r>
                  </m:num>
                  <m:den>
                    <m:r>
                      <m:rPr>
                        <m:sty m:val="p"/>
                      </m:rPr>
                      <w:rPr>
                        <w:rFonts w:ascii="Cambria Math" w:hAnsi="Book Antiqua" w:cs="Arial"/>
                        <w:sz w:val="16"/>
                        <w:szCs w:val="16"/>
                      </w:rPr>
                      <m:t>Nombre de clients qui utilisent les services du GAB</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576"/>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Taux de satisfaction des clients sur la répartition géographique des GAB</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la repartition g</m:t>
                    </m:r>
                    <m:r>
                      <m:rPr>
                        <m:sty m:val="p"/>
                      </m:rPr>
                      <w:rPr>
                        <w:rFonts w:ascii="Cambria Math" w:hAnsi="Cambria Math" w:cs="Arial"/>
                        <w:sz w:val="16"/>
                        <w:szCs w:val="16"/>
                      </w:rPr>
                      <m:t>é</m:t>
                    </m:r>
                    <m:r>
                      <m:rPr>
                        <m:sty m:val="p"/>
                      </m:rPr>
                      <w:rPr>
                        <w:rFonts w:ascii="Cambria Math" w:hAnsi="Book Antiqua" w:cs="Arial"/>
                        <w:sz w:val="16"/>
                        <w:szCs w:val="16"/>
                      </w:rPr>
                      <m:t>ograp</m:t>
                    </m:r>
                    <m:r>
                      <m:rPr>
                        <m:sty m:val="p"/>
                      </m:rPr>
                      <w:rPr>
                        <w:rFonts w:ascii="Cambria Math" w:hAnsi="Cambria Math" w:cs="Cambria Math"/>
                        <w:sz w:val="16"/>
                        <w:szCs w:val="16"/>
                      </w:rPr>
                      <m:t>h</m:t>
                    </m:r>
                    <m:r>
                      <m:rPr>
                        <m:sty m:val="p"/>
                      </m:rPr>
                      <w:rPr>
                        <w:rFonts w:ascii="Cambria Math" w:hAnsi="Book Antiqua" w:cs="Arial"/>
                        <w:sz w:val="16"/>
                        <w:szCs w:val="16"/>
                      </w:rPr>
                      <m:t>ique "Bonne</m:t>
                    </m:r>
                    <m:r>
                      <m:rPr>
                        <m:nor/>
                      </m:rPr>
                      <w:rPr>
                        <w:rFonts w:ascii="Book Antiqua" w:hAnsi="Book Antiqua" w:cs="Arial"/>
                        <w:sz w:val="16"/>
                        <w:szCs w:val="16"/>
                      </w:rPr>
                      <m:t xml:space="preserve">" </m:t>
                    </m:r>
                    <m:r>
                      <m:rPr>
                        <m:sty m:val="p"/>
                      </m:rPr>
                      <w:rPr>
                        <w:rFonts w:ascii="Cambria Math" w:hAnsi="Book Antiqua" w:cs="Arial"/>
                        <w:sz w:val="16"/>
                        <w:szCs w:val="16"/>
                      </w:rPr>
                      <m:t>ou "Tres bonne"</m:t>
                    </m:r>
                  </m:num>
                  <m:den>
                    <m:r>
                      <m:rPr>
                        <m:sty m:val="p"/>
                      </m:rPr>
                      <w:rPr>
                        <w:rFonts w:ascii="Cambria Math" w:hAnsi="Book Antiqua" w:cs="Arial"/>
                        <w:sz w:val="16"/>
                        <w:szCs w:val="16"/>
                      </w:rPr>
                      <m:t>Nombre de clients qui utilisent les services du GAB</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576"/>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Taux de satisfaction des clients sur le fonctionnement des GAB</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estiment que les GAB ne tombent jamais en panne</m:t>
                    </m:r>
                  </m:num>
                  <m:den>
                    <m:r>
                      <m:rPr>
                        <m:sty m:val="p"/>
                      </m:rPr>
                      <w:rPr>
                        <w:rFonts w:ascii="Cambria Math" w:hAnsi="Book Antiqua" w:cs="Arial"/>
                        <w:sz w:val="16"/>
                        <w:szCs w:val="16"/>
                      </w:rPr>
                      <m:t>Nombre de clients qui utilisent les services du GAB</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576"/>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Taux de satisfaction des clients sur la sécurité des GAB</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les GAB "Securises</m:t>
                    </m:r>
                    <m:r>
                      <m:rPr>
                        <m:nor/>
                      </m:rPr>
                      <w:rPr>
                        <w:rFonts w:ascii="Book Antiqua" w:hAnsi="Book Antiqua" w:cs="Arial"/>
                        <w:sz w:val="16"/>
                        <w:szCs w:val="16"/>
                      </w:rPr>
                      <m:t xml:space="preserve">"  </m:t>
                    </m:r>
                    <m:r>
                      <m:rPr>
                        <m:sty m:val="p"/>
                      </m:rPr>
                      <w:rPr>
                        <w:rFonts w:ascii="Cambria Math" w:hAnsi="Book Antiqua" w:cs="Arial"/>
                        <w:sz w:val="16"/>
                        <w:szCs w:val="16"/>
                      </w:rPr>
                      <m:t>ou "Tres securises"</m:t>
                    </m:r>
                  </m:num>
                  <m:den>
                    <m:r>
                      <m:rPr>
                        <m:sty m:val="p"/>
                      </m:rPr>
                      <w:rPr>
                        <w:rFonts w:ascii="Cambria Math" w:hAnsi="Book Antiqua" w:cs="Arial"/>
                        <w:sz w:val="16"/>
                        <w:szCs w:val="16"/>
                      </w:rPr>
                      <m:t>Nombre de clients qui utilisent les services du GAB</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724"/>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Taux de satisfaction des clients sur le délai de renouvellement de la carte bancaire</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 delai "Court</m:t>
                    </m:r>
                    <m:r>
                      <m:rPr>
                        <m:nor/>
                      </m:rPr>
                      <w:rPr>
                        <w:rFonts w:ascii="Book Antiqua" w:hAnsi="Book Antiqua" w:cs="Arial"/>
                        <w:sz w:val="16"/>
                        <w:szCs w:val="16"/>
                      </w:rPr>
                      <m:t xml:space="preserve">" </m:t>
                    </m:r>
                    <m:r>
                      <m:rPr>
                        <m:sty m:val="p"/>
                      </m:rPr>
                      <w:rPr>
                        <w:rFonts w:ascii="Cambria Math" w:hAnsi="Book Antiqua" w:cs="Arial"/>
                        <w:sz w:val="16"/>
                        <w:szCs w:val="16"/>
                      </w:rPr>
                      <m:t>ou "Tres court"</m:t>
                    </m:r>
                  </m:num>
                  <m:den>
                    <m:r>
                      <m:rPr>
                        <m:sty m:val="p"/>
                      </m:rPr>
                      <w:rPr>
                        <w:rFonts w:ascii="Cambria Math" w:hAnsi="Book Antiqua" w:cs="Arial"/>
                        <w:sz w:val="16"/>
                        <w:szCs w:val="16"/>
                      </w:rPr>
                      <m:t>Nombre de clients qui utilisent les services du GAB</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704"/>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Pourcentage des clients</w:t>
            </w:r>
            <w:r w:rsidR="00297144" w:rsidRPr="00CB29D1">
              <w:rPr>
                <w:rFonts w:ascii="Book Antiqua" w:hAnsi="Book Antiqua" w:cs="Arial"/>
                <w:sz w:val="16"/>
                <w:szCs w:val="16"/>
              </w:rPr>
              <w:t xml:space="preserve"> </w:t>
            </w:r>
            <w:r w:rsidRPr="00CB29D1">
              <w:rPr>
                <w:rFonts w:ascii="Book Antiqua" w:hAnsi="Book Antiqua" w:cs="Arial"/>
                <w:sz w:val="16"/>
                <w:szCs w:val="16"/>
              </w:rPr>
              <w:t>qui utilisent les virements domestiques</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ayant deja effectue un virement domestique</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714"/>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Taux de satisfaction des clients sur la durée de traitement des virements domestiques</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la duree "Acceptable</m:t>
                    </m:r>
                    <m:r>
                      <m:rPr>
                        <m:nor/>
                      </m:rPr>
                      <w:rPr>
                        <w:rFonts w:ascii="Book Antiqua" w:hAnsi="Book Antiqua" w:cs="Arial"/>
                        <w:sz w:val="16"/>
                        <w:szCs w:val="16"/>
                      </w:rPr>
                      <m:t xml:space="preserve">" , "Courte" </m:t>
                    </m:r>
                    <m:r>
                      <m:rPr>
                        <m:sty m:val="p"/>
                      </m:rPr>
                      <w:rPr>
                        <w:rFonts w:ascii="Cambria Math" w:hAnsi="Book Antiqua" w:cs="Arial"/>
                        <w:sz w:val="16"/>
                        <w:szCs w:val="16"/>
                      </w:rPr>
                      <m:t>ou "Tres courte"</m:t>
                    </m:r>
                  </m:num>
                  <m:den>
                    <m:r>
                      <m:rPr>
                        <m:sty m:val="p"/>
                      </m:rPr>
                      <w:rPr>
                        <w:rFonts w:ascii="Cambria Math" w:hAnsi="Book Antiqua" w:cs="Arial"/>
                        <w:sz w:val="16"/>
                        <w:szCs w:val="16"/>
                      </w:rPr>
                      <m:t>Nombre de clients ayant deja effectue un virement domestique</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698"/>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Pourcentage des clients ayant émis des virements vers l’étranger</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ayant deja effectue un virement vers l</m:t>
                    </m:r>
                    <m:r>
                      <m:rPr>
                        <m:sty m:val="p"/>
                      </m:rPr>
                      <w:rPr>
                        <w:rFonts w:ascii="Cambria Math" w:hAnsi="Cambria Math" w:cs="Arial"/>
                        <w:sz w:val="16"/>
                        <w:szCs w:val="16"/>
                      </w:rPr>
                      <m:t>'</m:t>
                    </m:r>
                    <m:r>
                      <m:rPr>
                        <m:sty m:val="p"/>
                      </m:rPr>
                      <w:rPr>
                        <w:rFonts w:ascii="Cambria Math" w:hAnsi="Book Antiqua" w:cs="Arial"/>
                        <w:sz w:val="16"/>
                        <w:szCs w:val="16"/>
                      </w:rPr>
                      <m:t>etranger</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719"/>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Taux de satisfaction des clients sur la durée de traitement des virements vers l’étranger</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la duree "Acceptable</m:t>
                    </m:r>
                    <m:r>
                      <m:rPr>
                        <m:nor/>
                      </m:rPr>
                      <w:rPr>
                        <w:rFonts w:ascii="Book Antiqua" w:hAnsi="Book Antiqua" w:cs="Arial"/>
                        <w:sz w:val="16"/>
                        <w:szCs w:val="16"/>
                      </w:rPr>
                      <m:t xml:space="preserve">" , "Courte" </m:t>
                    </m:r>
                    <m:r>
                      <m:rPr>
                        <m:sty m:val="p"/>
                      </m:rPr>
                      <w:rPr>
                        <w:rFonts w:ascii="Cambria Math" w:hAnsi="Book Antiqua" w:cs="Arial"/>
                        <w:sz w:val="16"/>
                        <w:szCs w:val="16"/>
                      </w:rPr>
                      <m:t>ou "Tres courte"</m:t>
                    </m:r>
                  </m:num>
                  <m:den>
                    <m:r>
                      <m:rPr>
                        <m:sty m:val="p"/>
                      </m:rPr>
                      <w:rPr>
                        <w:rFonts w:ascii="Cambria Math" w:hAnsi="Book Antiqua" w:cs="Arial"/>
                        <w:sz w:val="16"/>
                        <w:szCs w:val="16"/>
                      </w:rPr>
                      <m:t>Nombre de clients ayant deja emis un virement vers l</m:t>
                    </m:r>
                    <m:r>
                      <m:rPr>
                        <m:sty m:val="p"/>
                      </m:rPr>
                      <w:rPr>
                        <w:rFonts w:ascii="Cambria Math" w:hAnsi="Cambria Math" w:cs="Arial"/>
                        <w:sz w:val="16"/>
                        <w:szCs w:val="16"/>
                      </w:rPr>
                      <m:t>'</m:t>
                    </m:r>
                    <m:r>
                      <m:rPr>
                        <m:sty m:val="p"/>
                      </m:rPr>
                      <w:rPr>
                        <w:rFonts w:ascii="Cambria Math" w:hAnsi="Book Antiqua" w:cs="Arial"/>
                        <w:sz w:val="16"/>
                        <w:szCs w:val="16"/>
                      </w:rPr>
                      <m:t>etranger</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572"/>
        </w:trPr>
        <w:tc>
          <w:tcPr>
            <w:tcW w:w="3085" w:type="dxa"/>
            <w:vAlign w:val="center"/>
          </w:tcPr>
          <w:p w:rsidR="006558E7" w:rsidRPr="00CB29D1" w:rsidRDefault="006558E7" w:rsidP="00CB29D1">
            <w:pPr>
              <w:jc w:val="both"/>
              <w:rPr>
                <w:rFonts w:ascii="Book Antiqua" w:hAnsi="Book Antiqua" w:cs="Arial"/>
                <w:sz w:val="16"/>
                <w:szCs w:val="16"/>
              </w:rPr>
            </w:pPr>
            <w:r w:rsidRPr="00CB29D1">
              <w:rPr>
                <w:rFonts w:ascii="Book Antiqua" w:hAnsi="Book Antiqua" w:cs="Arial"/>
                <w:sz w:val="16"/>
                <w:szCs w:val="16"/>
              </w:rPr>
              <w:t>Pourcentage des clients ayant reçu des virements de l’étranger</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ayant deja recu un virement de l</m:t>
                    </m:r>
                    <m:r>
                      <m:rPr>
                        <m:sty m:val="p"/>
                      </m:rPr>
                      <w:rPr>
                        <w:rFonts w:ascii="Cambria Math" w:hAnsi="Cambria Math" w:cs="Arial"/>
                        <w:sz w:val="16"/>
                        <w:szCs w:val="16"/>
                      </w:rPr>
                      <m:t>'</m:t>
                    </m:r>
                    <m:r>
                      <m:rPr>
                        <m:sty m:val="p"/>
                      </m:rPr>
                      <w:rPr>
                        <w:rFonts w:ascii="Cambria Math" w:hAnsi="Book Antiqua" w:cs="Arial"/>
                        <w:sz w:val="16"/>
                        <w:szCs w:val="16"/>
                      </w:rPr>
                      <m:t>etranger</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m:t>
                    </m:r>
                    <m:r>
                      <m:rPr>
                        <m:sty m:val="p"/>
                      </m:rPr>
                      <w:rPr>
                        <w:rFonts w:ascii="Cambria Math" w:hAnsi="Cambria Math" w:cs="Cambria Math"/>
                        <w:sz w:val="16"/>
                        <w:szCs w:val="16"/>
                      </w:rPr>
                      <m:t>h</m:t>
                    </m:r>
                    <m:r>
                      <m:rPr>
                        <m:sty m:val="p"/>
                      </m:rPr>
                      <w:rPr>
                        <w:rFonts w:ascii="Cambria Math" w:hAnsi="Book Antiqua" w:cs="Arial"/>
                        <w:sz w:val="16"/>
                        <w:szCs w:val="16"/>
                      </w:rPr>
                      <m:t>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bl>
    <w:p w:rsidR="006558E7" w:rsidRPr="00113477" w:rsidRDefault="006558E7" w:rsidP="00CB29D1">
      <w:pPr>
        <w:jc w:val="center"/>
        <w:rPr>
          <w:rFonts w:ascii="Book Antiqua" w:hAnsi="Book Antiqua" w:cs="Arial"/>
          <w:b/>
          <w:sz w:val="20"/>
          <w:szCs w:val="20"/>
        </w:rPr>
      </w:pPr>
      <w:r w:rsidRPr="00113477">
        <w:rPr>
          <w:rFonts w:ascii="Book Antiqua" w:hAnsi="Book Antiqua"/>
          <w:sz w:val="20"/>
          <w:szCs w:val="20"/>
        </w:rPr>
        <w:br w:type="page"/>
      </w:r>
      <w:r w:rsidRPr="00113477">
        <w:rPr>
          <w:rFonts w:ascii="Book Antiqua" w:hAnsi="Book Antiqua" w:cs="Arial"/>
          <w:b/>
          <w:sz w:val="20"/>
          <w:szCs w:val="20"/>
        </w:rPr>
        <w:lastRenderedPageBreak/>
        <w:t>Formules de calcul des principaux indicateurs de satisfaction (Suite)</w:t>
      </w:r>
    </w:p>
    <w:p w:rsidR="006558E7" w:rsidRPr="00113477" w:rsidRDefault="006558E7" w:rsidP="006558E7">
      <w:pPr>
        <w:rPr>
          <w:rFonts w:ascii="Book Antiqua" w:hAnsi="Book Antiqua"/>
          <w:sz w:val="20"/>
          <w:szCs w:val="20"/>
        </w:rPr>
      </w:pPr>
    </w:p>
    <w:tbl>
      <w:tblPr>
        <w:tblStyle w:val="Grilledutableau"/>
        <w:tblW w:w="10031" w:type="dxa"/>
        <w:tblLayout w:type="fixed"/>
        <w:tblLook w:val="04A0"/>
      </w:tblPr>
      <w:tblGrid>
        <w:gridCol w:w="3085"/>
        <w:gridCol w:w="6946"/>
      </w:tblGrid>
      <w:tr w:rsidR="006558E7" w:rsidRPr="00113477" w:rsidTr="00A37A16">
        <w:trPr>
          <w:trHeight w:hRule="exact" w:val="744"/>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sur la durée de traitement des virements de l’étranger</w:t>
            </w:r>
          </w:p>
        </w:tc>
        <w:tc>
          <w:tcPr>
            <w:tcW w:w="6946" w:type="dxa"/>
            <w:vAlign w:val="center"/>
          </w:tcPr>
          <w:p w:rsidR="006558E7" w:rsidRPr="00CB29D1" w:rsidRDefault="000D65F2" w:rsidP="005A53E6">
            <w:pPr>
              <w:spacing w:line="312" w:lineRule="auto"/>
              <w:jc w:val="center"/>
              <w:rPr>
                <w:rFonts w:ascii="Book Antiqua" w:hAnsi="Book Antiqua" w:cs="Arial"/>
                <w:i/>
                <w:sz w:val="16"/>
                <w:szCs w:val="16"/>
              </w:rPr>
            </w:pPr>
            <m:oMathPara>
              <m:oMathParaPr>
                <m:jc m:val="center"/>
              </m:oMathParaPr>
              <m:oMath>
                <m:f>
                  <m:fPr>
                    <m:ctrlPr>
                      <w:rPr>
                        <w:rFonts w:ascii="Cambria Math" w:hAnsi="Book Antiqua" w:cs="Arial"/>
                        <w:sz w:val="16"/>
                        <w:szCs w:val="16"/>
                      </w:rPr>
                    </m:ctrlPr>
                  </m:fPr>
                  <m:num>
                    <m:r>
                      <m:rPr>
                        <m:sty m:val="p"/>
                      </m:rPr>
                      <w:rPr>
                        <w:rFonts w:ascii="Cambria Math" w:hAnsi="Book Antiqua" w:cs="Arial"/>
                        <w:sz w:val="16"/>
                        <w:szCs w:val="16"/>
                      </w:rPr>
                      <m:t>Nombre de clients qui jugent la duree "Acceptable</m:t>
                    </m:r>
                    <m:r>
                      <m:rPr>
                        <m:nor/>
                      </m:rPr>
                      <w:rPr>
                        <w:rFonts w:ascii="Book Antiqua" w:hAnsi="Book Antiqua" w:cs="Arial"/>
                        <w:sz w:val="16"/>
                        <w:szCs w:val="16"/>
                      </w:rPr>
                      <m:t xml:space="preserve">" , "Courte" </m:t>
                    </m:r>
                    <m:r>
                      <m:rPr>
                        <m:sty m:val="p"/>
                      </m:rPr>
                      <w:rPr>
                        <w:rFonts w:ascii="Cambria Math" w:hAnsi="Book Antiqua" w:cs="Arial"/>
                        <w:sz w:val="16"/>
                        <w:szCs w:val="16"/>
                      </w:rPr>
                      <m:t>ou "Tres courte"</m:t>
                    </m:r>
                  </m:num>
                  <m:den>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ayant deja recu un virement de l</m:t>
                    </m:r>
                    <m:r>
                      <m:rPr>
                        <m:sty m:val="p"/>
                      </m:rPr>
                      <w:rPr>
                        <w:rFonts w:ascii="Cambria Math" w:hAnsi="Cambria Math" w:cs="Arial"/>
                        <w:sz w:val="16"/>
                        <w:szCs w:val="16"/>
                      </w:rPr>
                      <m:t>'</m:t>
                    </m:r>
                    <m:r>
                      <m:rPr>
                        <m:sty m:val="p"/>
                      </m:rPr>
                      <w:rPr>
                        <w:rFonts w:ascii="Cambria Math" w:hAnsi="Book Antiqua" w:cs="Arial"/>
                        <w:sz w:val="16"/>
                        <w:szCs w:val="16"/>
                      </w:rPr>
                      <m:t>etranger</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693"/>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Pourcentage des clients n’ayant jamais décelé une irrégularité dans leurs relevés de compte</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de clients </m:t>
                    </m:r>
                    <m:sSup>
                      <m:sSupPr>
                        <m:ctrlPr>
                          <w:rPr>
                            <w:rFonts w:ascii="Cambria Math" w:hAnsi="Book Antiqua" w:cs="Arial"/>
                            <w:sz w:val="16"/>
                            <w:szCs w:val="16"/>
                          </w:rPr>
                        </m:ctrlPr>
                      </m:sSupPr>
                      <m:e>
                        <m:r>
                          <m:rPr>
                            <m:sty m:val="p"/>
                          </m:rPr>
                          <w:rPr>
                            <w:rFonts w:ascii="Cambria Math" w:hAnsi="Book Antiqua" w:cs="Arial"/>
                            <w:sz w:val="16"/>
                            <w:szCs w:val="16"/>
                          </w:rPr>
                          <m:t>n</m:t>
                        </m:r>
                      </m:e>
                      <m:sup>
                        <m:r>
                          <m:rPr>
                            <m:sty m:val="p"/>
                          </m:rPr>
                          <w:rPr>
                            <w:rFonts w:ascii="Cambria Math" w:hAnsi="Cambria Math" w:cs="Arial"/>
                            <w:sz w:val="16"/>
                            <w:szCs w:val="16"/>
                          </w:rPr>
                          <m:t>'</m:t>
                        </m:r>
                      </m:sup>
                    </m:sSup>
                    <m:r>
                      <m:rPr>
                        <m:sty m:val="p"/>
                      </m:rPr>
                      <w:rPr>
                        <w:rFonts w:ascii="Cambria Math" w:hAnsi="Book Antiqua" w:cs="Arial"/>
                        <w:sz w:val="16"/>
                        <w:szCs w:val="16"/>
                      </w:rPr>
                      <m:t>ayant jamais decele une irregularite dans leurs releves</m:t>
                    </m:r>
                  </m:num>
                  <m:den>
                    <m:r>
                      <m:rPr>
                        <m:sty m:val="p"/>
                      </m:rPr>
                      <w:rPr>
                        <w:rFonts w:ascii="Cambria Math" w:hAnsi="Book Antiqua" w:cs="Arial"/>
                        <w:sz w:val="16"/>
                        <w:szCs w:val="16"/>
                      </w:rPr>
                      <m:t>Nombre de clients qui recoivent leurs releves bancaires</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714"/>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w:t>
            </w:r>
            <w:r w:rsidR="00297144" w:rsidRPr="00A37A16">
              <w:rPr>
                <w:rFonts w:ascii="Book Antiqua" w:hAnsi="Book Antiqua" w:cs="Arial"/>
                <w:sz w:val="16"/>
                <w:szCs w:val="16"/>
              </w:rPr>
              <w:t xml:space="preserve"> </w:t>
            </w:r>
            <w:r w:rsidRPr="00A37A16">
              <w:rPr>
                <w:rFonts w:ascii="Book Antiqua" w:hAnsi="Book Antiqua" w:cs="Arial"/>
                <w:sz w:val="16"/>
                <w:szCs w:val="16"/>
              </w:rPr>
              <w:t>sur les délais de renouvellement du chéquier</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ce delai "</m:t>
                    </m:r>
                    <m:r>
                      <m:rPr>
                        <m:nor/>
                      </m:rPr>
                      <w:rPr>
                        <w:rFonts w:ascii="Book Antiqua" w:hAnsi="Book Antiqua" w:cs="Arial"/>
                        <w:sz w:val="16"/>
                        <w:szCs w:val="16"/>
                      </w:rPr>
                      <m:t>Acceptable"</m:t>
                    </m:r>
                    <m:r>
                      <m:rPr>
                        <m:sty m:val="p"/>
                      </m:rPr>
                      <w:rPr>
                        <w:rFonts w:ascii="Cambria Math" w:hAnsi="Book Antiqua" w:cs="Arial"/>
                        <w:sz w:val="16"/>
                        <w:szCs w:val="16"/>
                      </w:rPr>
                      <m:t>,  "Court</m:t>
                    </m:r>
                    <m:r>
                      <m:rPr>
                        <m:nor/>
                      </m:rPr>
                      <w:rPr>
                        <w:rFonts w:ascii="Book Antiqua" w:hAnsi="Book Antiqua" w:cs="Arial"/>
                        <w:sz w:val="16"/>
                        <w:szCs w:val="16"/>
                      </w:rPr>
                      <m:t xml:space="preserve">" </m:t>
                    </m:r>
                    <m:r>
                      <m:rPr>
                        <m:sty m:val="p"/>
                      </m:rPr>
                      <w:rPr>
                        <w:rFonts w:ascii="Cambria Math" w:hAnsi="Book Antiqua" w:cs="Arial"/>
                        <w:sz w:val="16"/>
                        <w:szCs w:val="16"/>
                      </w:rPr>
                      <m:t>ou "Tres court"</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562"/>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sur les dates de valeur</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les dates de valeurs "</m:t>
                    </m:r>
                    <m:r>
                      <m:rPr>
                        <m:nor/>
                      </m:rPr>
                      <w:rPr>
                        <w:rFonts w:ascii="Book Antiqua" w:hAnsi="Book Antiqua" w:cs="Arial"/>
                        <w:sz w:val="16"/>
                        <w:szCs w:val="16"/>
                      </w:rPr>
                      <m:t xml:space="preserve">Acceptables", </m:t>
                    </m:r>
                    <m:r>
                      <m:rPr>
                        <m:sty m:val="p"/>
                      </m:rPr>
                      <w:rPr>
                        <w:rFonts w:ascii="Cambria Math" w:hAnsi="Book Antiqua" w:cs="Arial"/>
                        <w:sz w:val="16"/>
                        <w:szCs w:val="16"/>
                      </w:rPr>
                      <m:t>Courtes"</m:t>
                    </m:r>
                    <m:r>
                      <m:rPr>
                        <m:nor/>
                      </m:rPr>
                      <w:rPr>
                        <w:rFonts w:ascii="Book Antiqua" w:hAnsi="Book Antiqua" w:cs="Arial"/>
                        <w:sz w:val="16"/>
                        <w:szCs w:val="16"/>
                      </w:rPr>
                      <m:t xml:space="preserve"> ou "</m:t>
                    </m:r>
                    <m:r>
                      <m:rPr>
                        <m:sty m:val="p"/>
                      </m:rPr>
                      <w:rPr>
                        <w:rFonts w:ascii="Cambria Math" w:hAnsi="Book Antiqua" w:cs="Arial"/>
                        <w:sz w:val="16"/>
                        <w:szCs w:val="16"/>
                      </w:rPr>
                      <m:t>Tres courtes"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707"/>
        </w:trPr>
        <w:tc>
          <w:tcPr>
            <w:tcW w:w="3085" w:type="dxa"/>
            <w:tcBorders>
              <w:bottom w:val="single" w:sz="4" w:space="0" w:color="000000" w:themeColor="text1"/>
            </w:tcBorders>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sur l’adéquation entre les produits bancaires</w:t>
            </w:r>
            <w:r w:rsidR="00297144" w:rsidRPr="00A37A16">
              <w:rPr>
                <w:rFonts w:ascii="Book Antiqua" w:hAnsi="Book Antiqua" w:cs="Arial"/>
                <w:sz w:val="16"/>
                <w:szCs w:val="16"/>
              </w:rPr>
              <w:t xml:space="preserve"> </w:t>
            </w:r>
            <w:r w:rsidRPr="00A37A16">
              <w:rPr>
                <w:rFonts w:ascii="Book Antiqua" w:hAnsi="Book Antiqua" w:cs="Arial"/>
                <w:sz w:val="16"/>
                <w:szCs w:val="16"/>
              </w:rPr>
              <w:t>et</w:t>
            </w:r>
            <w:r w:rsidR="00297144" w:rsidRPr="00A37A16">
              <w:rPr>
                <w:rFonts w:ascii="Book Antiqua" w:hAnsi="Book Antiqua" w:cs="Arial"/>
                <w:sz w:val="16"/>
                <w:szCs w:val="16"/>
              </w:rPr>
              <w:t xml:space="preserve"> </w:t>
            </w:r>
            <w:r w:rsidRPr="00A37A16">
              <w:rPr>
                <w:rFonts w:ascii="Book Antiqua" w:hAnsi="Book Antiqua" w:cs="Arial"/>
                <w:sz w:val="16"/>
                <w:szCs w:val="16"/>
              </w:rPr>
              <w:t>leurs projets</w:t>
            </w:r>
          </w:p>
        </w:tc>
        <w:tc>
          <w:tcPr>
            <w:tcW w:w="6946" w:type="dxa"/>
            <w:tcBorders>
              <w:bottom w:val="single" w:sz="4" w:space="0" w:color="000000" w:themeColor="text1"/>
            </w:tcBorders>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les produits  "Adaptes</m:t>
                    </m:r>
                    <m:r>
                      <m:rPr>
                        <m:nor/>
                      </m:rPr>
                      <w:rPr>
                        <w:rFonts w:ascii="Book Antiqua" w:hAnsi="Book Antiqua" w:cs="Arial"/>
                        <w:sz w:val="16"/>
                        <w:szCs w:val="16"/>
                      </w:rPr>
                      <m:t xml:space="preserve">" </m:t>
                    </m:r>
                    <m:r>
                      <m:rPr>
                        <m:sty m:val="p"/>
                      </m:rPr>
                      <w:rPr>
                        <w:rFonts w:ascii="Cambria Math" w:hAnsi="Book Antiqua" w:cs="Arial"/>
                        <w:sz w:val="16"/>
                        <w:szCs w:val="16"/>
                      </w:rPr>
                      <m:t>ou "Tres adaptes"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731"/>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sur l’adéquation entre les produits bancaires</w:t>
            </w:r>
            <w:r w:rsidR="00297144" w:rsidRPr="00A37A16">
              <w:rPr>
                <w:rFonts w:ascii="Book Antiqua" w:hAnsi="Book Antiqua" w:cs="Arial"/>
                <w:sz w:val="16"/>
                <w:szCs w:val="16"/>
              </w:rPr>
              <w:t xml:space="preserve"> </w:t>
            </w:r>
            <w:r w:rsidRPr="00A37A16">
              <w:rPr>
                <w:rFonts w:ascii="Book Antiqua" w:hAnsi="Book Antiqua" w:cs="Arial"/>
                <w:sz w:val="16"/>
                <w:szCs w:val="16"/>
              </w:rPr>
              <w:t>et</w:t>
            </w:r>
            <w:r w:rsidR="00297144" w:rsidRPr="00A37A16">
              <w:rPr>
                <w:rFonts w:ascii="Book Antiqua" w:hAnsi="Book Antiqua" w:cs="Arial"/>
                <w:sz w:val="16"/>
                <w:szCs w:val="16"/>
              </w:rPr>
              <w:t xml:space="preserve"> </w:t>
            </w:r>
            <w:r w:rsidRPr="00A37A16">
              <w:rPr>
                <w:rFonts w:ascii="Book Antiqua" w:hAnsi="Book Antiqua" w:cs="Arial"/>
                <w:sz w:val="16"/>
                <w:szCs w:val="16"/>
              </w:rPr>
              <w:t>leurs</w:t>
            </w:r>
            <w:r w:rsidR="00297144" w:rsidRPr="00A37A16">
              <w:rPr>
                <w:rFonts w:ascii="Book Antiqua" w:hAnsi="Book Antiqua" w:cs="Arial"/>
                <w:sz w:val="16"/>
                <w:szCs w:val="16"/>
              </w:rPr>
              <w:t xml:space="preserve"> </w:t>
            </w:r>
            <w:r w:rsidRPr="00A37A16">
              <w:rPr>
                <w:rFonts w:ascii="Book Antiqua" w:hAnsi="Book Antiqua" w:cs="Arial"/>
                <w:sz w:val="16"/>
                <w:szCs w:val="16"/>
              </w:rPr>
              <w:t>revenus</w:t>
            </w:r>
          </w:p>
        </w:tc>
        <w:tc>
          <w:tcPr>
            <w:tcW w:w="6946" w:type="dxa"/>
            <w:vAlign w:val="center"/>
          </w:tcPr>
          <w:p w:rsidR="006558E7" w:rsidRPr="00CB29D1" w:rsidRDefault="000D65F2" w:rsidP="005A53E6">
            <w:pPr>
              <w:widowControl w:val="0"/>
              <w:spacing w:before="120" w:line="312" w:lineRule="auto"/>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les produits  "Adaptes</m:t>
                    </m:r>
                    <m:r>
                      <m:rPr>
                        <m:nor/>
                      </m:rPr>
                      <w:rPr>
                        <w:rFonts w:ascii="Book Antiqua" w:hAnsi="Book Antiqua" w:cs="Arial"/>
                        <w:sz w:val="16"/>
                        <w:szCs w:val="16"/>
                      </w:rPr>
                      <m:t xml:space="preserve">" </m:t>
                    </m:r>
                    <m:r>
                      <m:rPr>
                        <m:sty m:val="p"/>
                      </m:rPr>
                      <w:rPr>
                        <w:rFonts w:ascii="Cambria Math" w:hAnsi="Book Antiqua" w:cs="Arial"/>
                        <w:sz w:val="16"/>
                        <w:szCs w:val="16"/>
                      </w:rPr>
                      <m:t>ou "Tres adaptes"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B29D1">
        <w:trPr>
          <w:trHeight w:hRule="exact" w:val="421"/>
        </w:trPr>
        <w:tc>
          <w:tcPr>
            <w:tcW w:w="10031" w:type="dxa"/>
            <w:gridSpan w:val="2"/>
            <w:tcBorders>
              <w:top w:val="single" w:sz="4" w:space="0" w:color="000000" w:themeColor="text1"/>
            </w:tcBorders>
            <w:vAlign w:val="center"/>
          </w:tcPr>
          <w:p w:rsidR="006558E7" w:rsidRPr="00A37A16" w:rsidRDefault="006558E7" w:rsidP="00A37A16">
            <w:pPr>
              <w:widowControl w:val="0"/>
              <w:spacing w:before="120"/>
              <w:jc w:val="center"/>
              <w:rPr>
                <w:rFonts w:ascii="Book Antiqua" w:hAnsi="Book Antiqua" w:cs="Arial"/>
                <w:sz w:val="16"/>
                <w:szCs w:val="16"/>
              </w:rPr>
            </w:pPr>
            <w:r w:rsidRPr="00A37A16">
              <w:rPr>
                <w:rFonts w:ascii="Book Antiqua" w:hAnsi="Book Antiqua" w:cs="Arial"/>
                <w:b/>
                <w:bCs/>
                <w:sz w:val="16"/>
                <w:szCs w:val="16"/>
              </w:rPr>
              <w:t>SATISFACTION SUR LES COÛTS</w:t>
            </w:r>
          </w:p>
        </w:tc>
      </w:tr>
      <w:tr w:rsidR="006558E7" w:rsidRPr="00113477" w:rsidTr="00A37A16">
        <w:trPr>
          <w:trHeight w:hRule="exact" w:val="738"/>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sur le coût de la carte bancaire.</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 co</m:t>
                    </m:r>
                    <m:r>
                      <m:rPr>
                        <m:sty m:val="p"/>
                      </m:rPr>
                      <w:rPr>
                        <w:rFonts w:ascii="Cambria Math" w:hAnsi="Cambria Math" w:cs="Arial"/>
                        <w:sz w:val="16"/>
                        <w:szCs w:val="16"/>
                      </w:rPr>
                      <m:t>û</m:t>
                    </m:r>
                    <m:r>
                      <m:rPr>
                        <m:sty m:val="p"/>
                      </m:rPr>
                      <w:rPr>
                        <w:rFonts w:ascii="Cambria Math" w:hAnsi="Book Antiqua" w:cs="Arial"/>
                        <w:sz w:val="16"/>
                        <w:szCs w:val="16"/>
                      </w:rPr>
                      <m:t xml:space="preserve">t </m:t>
                    </m:r>
                    <m:r>
                      <m:rPr>
                        <m:nor/>
                      </m:rPr>
                      <w:rPr>
                        <w:rFonts w:ascii="Book Antiqua" w:hAnsi="Book Antiqua" w:cs="Arial"/>
                        <w:sz w:val="16"/>
                        <w:szCs w:val="16"/>
                      </w:rPr>
                      <m:t>"Raisonnable</m:t>
                    </m:r>
                    <m:r>
                      <m:rPr>
                        <m:sty m:val="p"/>
                      </m:rPr>
                      <w:rPr>
                        <w:rFonts w:ascii="Cambria Math" w:hAnsi="Book Antiqua" w:cs="Arial"/>
                        <w:sz w:val="16"/>
                        <w:szCs w:val="16"/>
                      </w:rPr>
                      <m:t>" ou "Tres raisonnable"</m:t>
                    </m:r>
                  </m:num>
                  <m:den>
                    <m:r>
                      <m:rPr>
                        <m:sty m:val="p"/>
                      </m:rPr>
                      <w:rPr>
                        <w:rFonts w:ascii="Cambria Math" w:hAnsi="Book Antiqua" w:cs="Arial"/>
                        <w:sz w:val="16"/>
                        <w:szCs w:val="16"/>
                      </w:rPr>
                      <m:t>Nombre de clients qui connaissent le co</m:t>
                    </m:r>
                    <m:r>
                      <m:rPr>
                        <m:sty m:val="p"/>
                      </m:rPr>
                      <w:rPr>
                        <w:rFonts w:ascii="Cambria Math" w:hAnsi="Cambria Math" w:cs="Arial"/>
                        <w:sz w:val="16"/>
                        <w:szCs w:val="16"/>
                      </w:rPr>
                      <m:t>û</m:t>
                    </m:r>
                    <m:r>
                      <m:rPr>
                        <m:sty m:val="p"/>
                      </m:rPr>
                      <w:rPr>
                        <w:rFonts w:ascii="Cambria Math" w:hAnsi="Book Antiqua" w:cs="Arial"/>
                        <w:sz w:val="16"/>
                        <w:szCs w:val="16"/>
                      </w:rPr>
                      <m:t>t de la carte bancaire</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A37A16">
        <w:trPr>
          <w:trHeight w:hRule="exact" w:val="738"/>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Pourcentage des clients ayant déjà utilisé les services des GAB hors du réseau de leur banque.</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lang w:val="en-US"/>
              </w:rPr>
            </w:pPr>
            <m:oMathPara>
              <m:oMath>
                <m:f>
                  <m:fPr>
                    <m:ctrlPr>
                      <w:rPr>
                        <w:rFonts w:ascii="Cambria Math" w:hAnsi="Book Antiqua" w:cs="Arial"/>
                        <w:sz w:val="16"/>
                        <w:szCs w:val="16"/>
                      </w:rPr>
                    </m:ctrlPr>
                  </m:fPr>
                  <m:num>
                    <m:r>
                      <m:rPr>
                        <m:sty m:val="p"/>
                      </m:rPr>
                      <w:rPr>
                        <w:rFonts w:ascii="Cambria Math" w:hAnsi="Book Antiqua" w:cs="Arial"/>
                        <w:sz w:val="16"/>
                        <w:szCs w:val="16"/>
                        <w:lang w:val="en-US"/>
                      </w:rPr>
                      <m:t>Nombre de clients ayant deja utilise des GAB hors du reseau de leur banque</m:t>
                    </m:r>
                  </m:num>
                  <m:den>
                    <m:r>
                      <m:rPr>
                        <m:sty m:val="p"/>
                      </m:rPr>
                      <w:rPr>
                        <w:rFonts w:ascii="Cambria Math" w:hAnsi="Book Antiqua" w:cs="Arial"/>
                        <w:sz w:val="16"/>
                        <w:szCs w:val="16"/>
                        <w:lang w:val="en-US"/>
                      </w:rPr>
                      <m:t xml:space="preserve">Nombre de clients qui disposent </m:t>
                    </m:r>
                    <m:sSup>
                      <m:sSupPr>
                        <m:ctrlPr>
                          <w:rPr>
                            <w:rFonts w:ascii="Cambria Math" w:hAnsi="Book Antiqua" w:cs="Arial"/>
                            <w:sz w:val="16"/>
                            <w:szCs w:val="16"/>
                          </w:rPr>
                        </m:ctrlPr>
                      </m:sSupPr>
                      <m:e>
                        <m:r>
                          <m:rPr>
                            <m:sty m:val="p"/>
                          </m:rPr>
                          <w:rPr>
                            <w:rFonts w:ascii="Cambria Math" w:hAnsi="Book Antiqua" w:cs="Arial"/>
                            <w:sz w:val="16"/>
                            <w:szCs w:val="16"/>
                            <w:lang w:val="en-US"/>
                          </w:rPr>
                          <m:t>d</m:t>
                        </m:r>
                      </m:e>
                      <m:sup>
                        <m:r>
                          <m:rPr>
                            <m:sty m:val="p"/>
                          </m:rPr>
                          <w:rPr>
                            <w:rFonts w:ascii="Cambria Math" w:hAnsi="Cambria Math" w:cs="Arial"/>
                            <w:sz w:val="16"/>
                            <w:szCs w:val="16"/>
                            <w:lang w:val="en-US"/>
                          </w:rPr>
                          <m:t>'</m:t>
                        </m:r>
                      </m:sup>
                    </m:sSup>
                    <m:r>
                      <m:rPr>
                        <m:sty m:val="p"/>
                      </m:rPr>
                      <w:rPr>
                        <w:rFonts w:ascii="Cambria Math" w:hAnsi="Book Antiqua" w:cs="Arial"/>
                        <w:sz w:val="16"/>
                        <w:szCs w:val="16"/>
                        <w:lang w:val="en-US"/>
                      </w:rPr>
                      <m:t>une carte bancaire</m:t>
                    </m:r>
                  </m:den>
                </m:f>
                <m:r>
                  <m:rPr>
                    <m:sty m:val="p"/>
                  </m:rPr>
                  <w:rPr>
                    <w:rFonts w:ascii="Cambria Math" w:hAnsi="Cambria Math" w:cs="Arial"/>
                    <w:sz w:val="16"/>
                    <w:szCs w:val="16"/>
                    <w:lang w:val="en-US"/>
                  </w:rPr>
                  <m:t>×</m:t>
                </m:r>
                <m:r>
                  <m:rPr>
                    <m:sty m:val="p"/>
                  </m:rPr>
                  <w:rPr>
                    <w:rFonts w:ascii="Cambria Math" w:hAnsi="Book Antiqua" w:cs="Arial"/>
                    <w:sz w:val="16"/>
                    <w:szCs w:val="16"/>
                    <w:lang w:val="en-US"/>
                  </w:rPr>
                  <m:t>100</m:t>
                </m:r>
              </m:oMath>
            </m:oMathPara>
          </w:p>
        </w:tc>
      </w:tr>
      <w:tr w:rsidR="006558E7" w:rsidRPr="00113477" w:rsidTr="00A37A16">
        <w:trPr>
          <w:trHeight w:hRule="exact" w:val="738"/>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sur le coût des opérations effectuées hors du réseau de GAB de leur banque.</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lang w:val="en-US"/>
              </w:rPr>
            </w:pPr>
            <m:oMathPara>
              <m:oMath>
                <m:f>
                  <m:fPr>
                    <m:ctrlPr>
                      <w:rPr>
                        <w:rFonts w:ascii="Cambria Math" w:hAnsi="Book Antiqua" w:cs="Arial"/>
                        <w:sz w:val="16"/>
                        <w:szCs w:val="16"/>
                      </w:rPr>
                    </m:ctrlPr>
                  </m:fPr>
                  <m:num>
                    <m:r>
                      <m:rPr>
                        <m:sty m:val="p"/>
                      </m:rPr>
                      <w:rPr>
                        <w:rFonts w:ascii="Cambria Math" w:hAnsi="Book Antiqua" w:cs="Arial"/>
                        <w:sz w:val="16"/>
                        <w:szCs w:val="16"/>
                        <w:lang w:val="en-US"/>
                      </w:rPr>
                      <m:t>Nombre de clients qui jugent le co</m:t>
                    </m:r>
                    <m:r>
                      <m:rPr>
                        <m:sty m:val="p"/>
                      </m:rPr>
                      <w:rPr>
                        <w:rFonts w:ascii="Cambria Math" w:hAnsi="Cambria Math" w:cs="Arial"/>
                        <w:sz w:val="16"/>
                        <w:szCs w:val="16"/>
                        <w:lang w:val="en-US"/>
                      </w:rPr>
                      <m:t>û</m:t>
                    </m:r>
                    <m:r>
                      <m:rPr>
                        <m:sty m:val="p"/>
                      </m:rPr>
                      <w:rPr>
                        <w:rFonts w:ascii="Cambria Math" w:hAnsi="Book Antiqua" w:cs="Arial"/>
                        <w:sz w:val="16"/>
                        <w:szCs w:val="16"/>
                        <w:lang w:val="en-US"/>
                      </w:rPr>
                      <m:t xml:space="preserve">t </m:t>
                    </m:r>
                    <m:r>
                      <m:rPr>
                        <m:nor/>
                      </m:rPr>
                      <w:rPr>
                        <w:rFonts w:ascii="Book Antiqua" w:hAnsi="Book Antiqua" w:cs="Arial"/>
                        <w:sz w:val="16"/>
                        <w:szCs w:val="16"/>
                        <w:lang w:val="en-US"/>
                      </w:rPr>
                      <m:t>"Correct</m:t>
                    </m:r>
                    <m:r>
                      <m:rPr>
                        <m:sty m:val="p"/>
                      </m:rPr>
                      <w:rPr>
                        <w:rFonts w:ascii="Cambria Math" w:hAnsi="Book Antiqua" w:cs="Arial"/>
                        <w:sz w:val="16"/>
                        <w:szCs w:val="16"/>
                        <w:lang w:val="en-US"/>
                      </w:rPr>
                      <m:t>", "Faible" ou "Tres faible"</m:t>
                    </m:r>
                  </m:num>
                  <m:den>
                    <m:r>
                      <m:rPr>
                        <m:sty m:val="p"/>
                      </m:rPr>
                      <w:rPr>
                        <w:rFonts w:ascii="Cambria Math" w:hAnsi="Book Antiqua" w:cs="Arial"/>
                        <w:sz w:val="16"/>
                        <w:szCs w:val="16"/>
                        <w:lang w:val="en-US"/>
                      </w:rPr>
                      <m:t>Nombre de clients ayant deja utilise des GAB hors du reseau de leur banque</m:t>
                    </m:r>
                  </m:den>
                </m:f>
                <m:r>
                  <m:rPr>
                    <m:sty m:val="p"/>
                  </m:rPr>
                  <w:rPr>
                    <w:rFonts w:ascii="Cambria Math" w:hAnsi="Cambria Math" w:cs="Arial"/>
                    <w:sz w:val="16"/>
                    <w:szCs w:val="16"/>
                    <w:lang w:val="en-US"/>
                  </w:rPr>
                  <m:t>×</m:t>
                </m:r>
                <m:r>
                  <m:rPr>
                    <m:sty m:val="p"/>
                  </m:rPr>
                  <w:rPr>
                    <w:rFonts w:ascii="Cambria Math" w:hAnsi="Book Antiqua" w:cs="Arial"/>
                    <w:sz w:val="16"/>
                    <w:szCs w:val="16"/>
                    <w:lang w:val="en-US"/>
                  </w:rPr>
                  <m:t>100</m:t>
                </m:r>
              </m:oMath>
            </m:oMathPara>
          </w:p>
        </w:tc>
      </w:tr>
      <w:tr w:rsidR="006558E7" w:rsidRPr="00113477" w:rsidTr="00A37A16">
        <w:trPr>
          <w:trHeight w:hRule="exact" w:val="738"/>
        </w:trPr>
        <w:tc>
          <w:tcPr>
            <w:tcW w:w="3085" w:type="dxa"/>
            <w:vAlign w:val="center"/>
          </w:tcPr>
          <w:p w:rsidR="006558E7" w:rsidRPr="00A37A16" w:rsidRDefault="006558E7" w:rsidP="00A37A16">
            <w:pPr>
              <w:rPr>
                <w:rFonts w:ascii="Book Antiqua" w:hAnsi="Book Antiqua" w:cs="Arial"/>
                <w:sz w:val="16"/>
                <w:szCs w:val="16"/>
              </w:rPr>
            </w:pPr>
            <w:r w:rsidRPr="00A37A16">
              <w:rPr>
                <w:rFonts w:ascii="Book Antiqua" w:hAnsi="Book Antiqua" w:cs="Arial"/>
                <w:sz w:val="16"/>
                <w:szCs w:val="16"/>
              </w:rPr>
              <w:t>Pourcentage des entreprises ayant bénéficié d’un prêt</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 xml:space="preserve">de clients ayant beneficie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un pret</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A37A16">
        <w:trPr>
          <w:trHeight w:hRule="exact" w:val="851"/>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bénéficiaires d’un prêt sur les différentes formes de garanties</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les garanties  "Acceptables</m:t>
                    </m:r>
                    <m:r>
                      <m:rPr>
                        <m:nor/>
                      </m:rPr>
                      <w:rPr>
                        <w:rFonts w:ascii="Book Antiqua" w:hAnsi="Book Antiqua" w:cs="Arial"/>
                        <w:sz w:val="16"/>
                        <w:szCs w:val="16"/>
                      </w:rPr>
                      <m:t>" ou "</m:t>
                    </m:r>
                    <m:r>
                      <m:rPr>
                        <m:sty m:val="p"/>
                      </m:rPr>
                      <w:rPr>
                        <w:rFonts w:ascii="Cambria Math" w:hAnsi="Book Antiqua" w:cs="Arial"/>
                        <w:sz w:val="16"/>
                        <w:szCs w:val="16"/>
                      </w:rPr>
                      <m:t>Tres Acceptables"</m:t>
                    </m:r>
                  </m:num>
                  <m:den>
                    <m:r>
                      <m:rPr>
                        <m:sty m:val="p"/>
                      </m:rPr>
                      <w:rPr>
                        <w:rFonts w:ascii="Cambria Math" w:hAnsi="Book Antiqua" w:cs="Arial"/>
                        <w:sz w:val="16"/>
                        <w:szCs w:val="16"/>
                      </w:rPr>
                      <m:t xml:space="preserve">Nombre de clients ayant beneficie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un pret</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A37A16">
        <w:trPr>
          <w:trHeight w:hRule="exact" w:val="851"/>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 xml:space="preserve">Taux de satisfaction des clients sur le délai </w:t>
            </w:r>
            <w:r w:rsidR="00233D87" w:rsidRPr="00A37A16">
              <w:rPr>
                <w:rFonts w:ascii="Book Antiqua" w:hAnsi="Book Antiqua" w:cs="Arial"/>
                <w:sz w:val="16"/>
                <w:szCs w:val="16"/>
              </w:rPr>
              <w:t>de traitement</w:t>
            </w:r>
            <w:r w:rsidRPr="00A37A16">
              <w:rPr>
                <w:rFonts w:ascii="Book Antiqua" w:hAnsi="Book Antiqua" w:cs="Arial"/>
                <w:sz w:val="16"/>
                <w:szCs w:val="16"/>
              </w:rPr>
              <w:t xml:space="preserve"> du dossier de demande de prêt.</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qui jugent le delai  "</m:t>
                    </m:r>
                    <m:r>
                      <m:rPr>
                        <m:nor/>
                      </m:rPr>
                      <w:rPr>
                        <w:rFonts w:ascii="Book Antiqua" w:hAnsi="Book Antiqua" w:cs="Arial"/>
                        <w:sz w:val="16"/>
                        <w:szCs w:val="16"/>
                      </w:rPr>
                      <m:t>Court" ou "</m:t>
                    </m:r>
                    <m:r>
                      <m:rPr>
                        <m:sty m:val="p"/>
                      </m:rPr>
                      <w:rPr>
                        <w:rFonts w:ascii="Cambria Math" w:hAnsi="Book Antiqua" w:cs="Arial"/>
                        <w:sz w:val="16"/>
                        <w:szCs w:val="16"/>
                      </w:rPr>
                      <m:t>Tres court"</m:t>
                    </m:r>
                  </m:num>
                  <m:den>
                    <m:r>
                      <m:rPr>
                        <m:sty m:val="p"/>
                      </m:rPr>
                      <w:rPr>
                        <w:rFonts w:ascii="Cambria Math" w:hAnsi="Book Antiqua" w:cs="Arial"/>
                        <w:sz w:val="16"/>
                        <w:szCs w:val="16"/>
                      </w:rPr>
                      <m:t>Nombre de clients ayant beneficie d</m:t>
                    </m:r>
                    <m:r>
                      <m:rPr>
                        <m:sty m:val="p"/>
                      </m:rPr>
                      <w:rPr>
                        <w:rFonts w:ascii="Cambria Math" w:hAnsi="Cambria Math" w:cs="Arial"/>
                        <w:sz w:val="16"/>
                        <w:szCs w:val="16"/>
                      </w:rPr>
                      <m:t>'</m:t>
                    </m:r>
                    <m:r>
                      <m:rPr>
                        <m:sty m:val="p"/>
                      </m:rPr>
                      <w:rPr>
                        <w:rFonts w:ascii="Cambria Math" w:hAnsi="Book Antiqua" w:cs="Arial"/>
                        <w:sz w:val="16"/>
                        <w:szCs w:val="16"/>
                      </w:rPr>
                      <m:t>un pret</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A37A16">
        <w:trPr>
          <w:trHeight w:hRule="exact" w:val="696"/>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sur le coût du prêt</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 co</m:t>
                    </m:r>
                    <m:r>
                      <m:rPr>
                        <m:sty m:val="p"/>
                      </m:rPr>
                      <w:rPr>
                        <w:rFonts w:ascii="Cambria Math" w:hAnsi="Cambria Math" w:cs="Arial"/>
                        <w:sz w:val="16"/>
                        <w:szCs w:val="16"/>
                      </w:rPr>
                      <m:t>û</m:t>
                    </m:r>
                    <m:r>
                      <m:rPr>
                        <m:sty m:val="p"/>
                      </m:rPr>
                      <w:rPr>
                        <w:rFonts w:ascii="Cambria Math" w:hAnsi="Book Antiqua" w:cs="Arial"/>
                        <w:sz w:val="16"/>
                        <w:szCs w:val="16"/>
                      </w:rPr>
                      <m:t>t  "Raisonnable</m:t>
                    </m:r>
                    <m:r>
                      <m:rPr>
                        <m:nor/>
                      </m:rPr>
                      <w:rPr>
                        <w:rFonts w:ascii="Book Antiqua" w:hAnsi="Book Antiqua" w:cs="Arial"/>
                        <w:sz w:val="16"/>
                        <w:szCs w:val="16"/>
                      </w:rPr>
                      <m:t>", ou "</m:t>
                    </m:r>
                    <m:r>
                      <m:rPr>
                        <m:sty m:val="p"/>
                      </m:rPr>
                      <w:rPr>
                        <w:rFonts w:ascii="Cambria Math" w:hAnsi="Book Antiqua" w:cs="Arial"/>
                        <w:sz w:val="16"/>
                        <w:szCs w:val="16"/>
                      </w:rPr>
                      <m:t>Tres raisonnable"</m:t>
                    </m:r>
                  </m:num>
                  <m:den>
                    <m:r>
                      <m:rPr>
                        <m:sty m:val="p"/>
                      </m:rPr>
                      <w:rPr>
                        <w:rFonts w:ascii="Cambria Math" w:hAnsi="Book Antiqua" w:cs="Arial"/>
                        <w:sz w:val="16"/>
                        <w:szCs w:val="16"/>
                      </w:rPr>
                      <m:t>Nombre de clients ayant beneficie d</m:t>
                    </m:r>
                    <m:r>
                      <m:rPr>
                        <m:sty m:val="p"/>
                      </m:rPr>
                      <w:rPr>
                        <w:rFonts w:ascii="Cambria Math" w:hAnsi="Cambria Math" w:cs="Arial"/>
                        <w:sz w:val="16"/>
                        <w:szCs w:val="16"/>
                      </w:rPr>
                      <m:t>'</m:t>
                    </m:r>
                    <m:r>
                      <m:rPr>
                        <m:sty m:val="p"/>
                      </m:rPr>
                      <w:rPr>
                        <w:rFonts w:ascii="Cambria Math" w:hAnsi="Book Antiqua" w:cs="Arial"/>
                        <w:sz w:val="16"/>
                        <w:szCs w:val="16"/>
                      </w:rPr>
                      <m:t>un pret</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A37A16">
        <w:trPr>
          <w:trHeight w:hRule="exact" w:val="851"/>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entreprises sur les taux d’intérêt créditeurs</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 xml:space="preserve">Nombre </m:t>
                    </m:r>
                    <m:sSup>
                      <m:sSupPr>
                        <m:ctrlPr>
                          <w:rPr>
                            <w:rFonts w:ascii="Cambria Math" w:hAnsi="Book Antiqua" w:cs="Arial"/>
                            <w:sz w:val="16"/>
                            <w:szCs w:val="16"/>
                          </w:rPr>
                        </m:ctrlPr>
                      </m:sSupPr>
                      <m:e>
                        <m:r>
                          <m:rPr>
                            <m:sty m:val="p"/>
                          </m:rPr>
                          <w:rPr>
                            <w:rFonts w:ascii="Cambria Math" w:hAnsi="Book Antiqua" w:cs="Arial"/>
                            <w:sz w:val="16"/>
                            <w:szCs w:val="16"/>
                          </w:rPr>
                          <m:t>d</m:t>
                        </m:r>
                      </m:e>
                      <m:sup>
                        <m:r>
                          <m:rPr>
                            <m:sty m:val="p"/>
                          </m:rPr>
                          <w:rPr>
                            <w:rFonts w:ascii="Cambria Math" w:hAnsi="Cambria Math" w:cs="Arial"/>
                            <w:sz w:val="16"/>
                            <w:szCs w:val="16"/>
                          </w:rPr>
                          <m:t>'</m:t>
                        </m:r>
                      </m:sup>
                    </m:sSup>
                    <m:r>
                      <m:rPr>
                        <m:sty m:val="p"/>
                      </m:rPr>
                      <w:rPr>
                        <w:rFonts w:ascii="Cambria Math" w:hAnsi="Book Antiqua" w:cs="Arial"/>
                        <w:sz w:val="16"/>
                        <w:szCs w:val="16"/>
                      </w:rPr>
                      <m:t>entreprises qui jugent les taux "Corrects"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A37A16">
        <w:trPr>
          <w:trHeight w:hRule="exact" w:val="851"/>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sur les frais de tenue de compte</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les frais  "Raisonnables</m:t>
                    </m:r>
                    <m:r>
                      <m:rPr>
                        <m:nor/>
                      </m:rPr>
                      <w:rPr>
                        <w:rFonts w:ascii="Book Antiqua" w:hAnsi="Book Antiqua" w:cs="Arial"/>
                        <w:sz w:val="16"/>
                        <w:szCs w:val="16"/>
                      </w:rPr>
                      <m:t>" ou "</m:t>
                    </m:r>
                    <m:r>
                      <m:rPr>
                        <m:sty m:val="p"/>
                      </m:rPr>
                      <w:rPr>
                        <w:rFonts w:ascii="Cambria Math" w:hAnsi="Book Antiqua" w:cs="Arial"/>
                        <w:sz w:val="16"/>
                        <w:szCs w:val="16"/>
                      </w:rPr>
                      <m:t>Tres raisonnables"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A37A16">
        <w:trPr>
          <w:trHeight w:hRule="exact" w:val="682"/>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Pourcentage des clients utilisateurs des services de consultation à distance</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utilisent les services de consultation a distance</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bl>
    <w:p w:rsidR="006558E7" w:rsidRPr="00113477" w:rsidRDefault="006558E7" w:rsidP="006558E7">
      <w:pPr>
        <w:rPr>
          <w:rFonts w:ascii="Book Antiqua" w:hAnsi="Book Antiqua"/>
          <w:sz w:val="20"/>
          <w:szCs w:val="20"/>
        </w:rPr>
      </w:pPr>
      <w:r w:rsidRPr="00113477">
        <w:rPr>
          <w:rFonts w:ascii="Book Antiqua" w:hAnsi="Book Antiqua"/>
          <w:sz w:val="20"/>
          <w:szCs w:val="20"/>
        </w:rPr>
        <w:br w:type="page"/>
      </w:r>
    </w:p>
    <w:p w:rsidR="006558E7" w:rsidRDefault="006558E7" w:rsidP="006558E7">
      <w:pPr>
        <w:tabs>
          <w:tab w:val="left" w:pos="-720"/>
        </w:tabs>
        <w:suppressAutoHyphens/>
        <w:spacing w:line="312" w:lineRule="auto"/>
        <w:jc w:val="center"/>
        <w:rPr>
          <w:rFonts w:ascii="Book Antiqua" w:hAnsi="Book Antiqua" w:cs="Arial"/>
          <w:b/>
          <w:sz w:val="20"/>
          <w:szCs w:val="20"/>
        </w:rPr>
      </w:pPr>
      <w:r w:rsidRPr="00113477">
        <w:rPr>
          <w:rFonts w:ascii="Book Antiqua" w:hAnsi="Book Antiqua" w:cs="Arial"/>
          <w:b/>
          <w:sz w:val="20"/>
          <w:szCs w:val="20"/>
        </w:rPr>
        <w:lastRenderedPageBreak/>
        <w:t>Formules de calcul des principaux indicateurs de satisfaction (Fin)</w:t>
      </w:r>
    </w:p>
    <w:p w:rsidR="00A37A16" w:rsidRPr="00113477" w:rsidRDefault="00A37A16" w:rsidP="006558E7">
      <w:pPr>
        <w:tabs>
          <w:tab w:val="left" w:pos="-720"/>
        </w:tabs>
        <w:suppressAutoHyphens/>
        <w:spacing w:line="312" w:lineRule="auto"/>
        <w:jc w:val="center"/>
        <w:rPr>
          <w:rFonts w:ascii="Book Antiqua" w:hAnsi="Book Antiqua" w:cs="Arial"/>
          <w:b/>
          <w:sz w:val="20"/>
          <w:szCs w:val="20"/>
        </w:rPr>
      </w:pPr>
    </w:p>
    <w:tbl>
      <w:tblPr>
        <w:tblStyle w:val="Grilledutableau"/>
        <w:tblW w:w="10031" w:type="dxa"/>
        <w:tblLook w:val="04A0"/>
      </w:tblPr>
      <w:tblGrid>
        <w:gridCol w:w="3085"/>
        <w:gridCol w:w="6946"/>
      </w:tblGrid>
      <w:tr w:rsidR="006558E7" w:rsidRPr="00113477" w:rsidTr="00CA7C2C">
        <w:trPr>
          <w:trHeight w:hRule="exact" w:val="822"/>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utilisateurs sur la qualité des services de consultation à distance</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la qualite  "Satisfaisante</m:t>
                    </m:r>
                    <m:r>
                      <m:rPr>
                        <m:nor/>
                      </m:rPr>
                      <w:rPr>
                        <w:rFonts w:ascii="Book Antiqua" w:hAnsi="Book Antiqua" w:cs="Arial"/>
                        <w:sz w:val="16"/>
                        <w:szCs w:val="16"/>
                      </w:rPr>
                      <m:t>" ou "</m:t>
                    </m:r>
                    <m:r>
                      <m:rPr>
                        <m:sty m:val="p"/>
                      </m:rPr>
                      <w:rPr>
                        <w:rFonts w:ascii="Cambria Math" w:hAnsi="Book Antiqua" w:cs="Arial"/>
                        <w:sz w:val="16"/>
                        <w:szCs w:val="16"/>
                      </w:rPr>
                      <m:t>Tres satisfaisante"</m:t>
                    </m:r>
                  </m:num>
                  <m:den>
                    <m:r>
                      <m:rPr>
                        <m:sty m:val="p"/>
                      </m:rPr>
                      <w:rPr>
                        <w:rFonts w:ascii="Cambria Math" w:hAnsi="Book Antiqua" w:cs="Arial"/>
                        <w:sz w:val="16"/>
                        <w:szCs w:val="16"/>
                      </w:rPr>
                      <m:t>Nombre de clients utilisateurs des services de consultation a distance</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A7C2C">
        <w:trPr>
          <w:trHeight w:hRule="exact" w:val="678"/>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utilisateurs sur le coût des services de consultation à distance</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les frais  "Raisonnables</m:t>
                    </m:r>
                    <m:r>
                      <m:rPr>
                        <m:nor/>
                      </m:rPr>
                      <w:rPr>
                        <w:rFonts w:ascii="Book Antiqua" w:hAnsi="Book Antiqua" w:cs="Arial"/>
                        <w:sz w:val="16"/>
                        <w:szCs w:val="16"/>
                      </w:rPr>
                      <m:t>" ou "</m:t>
                    </m:r>
                    <m:r>
                      <m:rPr>
                        <m:sty m:val="p"/>
                      </m:rPr>
                      <w:rPr>
                        <w:rFonts w:ascii="Cambria Math" w:hAnsi="Book Antiqua" w:cs="Arial"/>
                        <w:sz w:val="16"/>
                        <w:szCs w:val="16"/>
                      </w:rPr>
                      <m:t>Tres raisonnables"</m:t>
                    </m:r>
                  </m:num>
                  <m:den>
                    <m:r>
                      <m:rPr>
                        <m:sty m:val="p"/>
                      </m:rPr>
                      <w:rPr>
                        <w:rFonts w:ascii="Cambria Math" w:hAnsi="Book Antiqua" w:cs="Arial"/>
                        <w:sz w:val="16"/>
                        <w:szCs w:val="16"/>
                      </w:rPr>
                      <m:t>Nombre de clients utilisateurs des services de consultation a distance</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A7C2C">
        <w:trPr>
          <w:trHeight w:hRule="exact" w:val="414"/>
        </w:trPr>
        <w:tc>
          <w:tcPr>
            <w:tcW w:w="10031" w:type="dxa"/>
            <w:gridSpan w:val="2"/>
            <w:vAlign w:val="center"/>
          </w:tcPr>
          <w:p w:rsidR="006558E7" w:rsidRPr="00A37A16" w:rsidRDefault="006558E7" w:rsidP="00A37A16">
            <w:pPr>
              <w:widowControl w:val="0"/>
              <w:spacing w:before="120"/>
              <w:jc w:val="center"/>
              <w:rPr>
                <w:rFonts w:ascii="Book Antiqua" w:hAnsi="Book Antiqua" w:cs="Arial"/>
                <w:b/>
                <w:sz w:val="16"/>
                <w:szCs w:val="16"/>
              </w:rPr>
            </w:pPr>
            <w:r w:rsidRPr="00A37A16">
              <w:rPr>
                <w:rFonts w:ascii="Book Antiqua" w:hAnsi="Book Antiqua" w:cs="Arial"/>
                <w:b/>
                <w:bCs/>
                <w:sz w:val="16"/>
                <w:szCs w:val="16"/>
              </w:rPr>
              <w:t>SATISFACTION SUR L’ACCESSIBILITE</w:t>
            </w:r>
            <w:r w:rsidR="003307F1" w:rsidRPr="00A37A16">
              <w:rPr>
                <w:rFonts w:ascii="Book Antiqua" w:hAnsi="Book Antiqua" w:cs="Arial"/>
                <w:b/>
                <w:bCs/>
                <w:sz w:val="16"/>
                <w:szCs w:val="16"/>
              </w:rPr>
              <w:t>DES</w:t>
            </w:r>
            <w:r w:rsidRPr="00A37A16">
              <w:rPr>
                <w:rFonts w:ascii="Book Antiqua" w:hAnsi="Book Antiqua" w:cs="Arial"/>
                <w:b/>
                <w:bCs/>
                <w:sz w:val="16"/>
                <w:szCs w:val="16"/>
              </w:rPr>
              <w:t xml:space="preserve"> AGENCES BANCAIRES</w:t>
            </w:r>
          </w:p>
        </w:tc>
      </w:tr>
      <w:tr w:rsidR="006558E7" w:rsidRPr="00113477" w:rsidTr="00CA7C2C">
        <w:trPr>
          <w:trHeight w:hRule="exact" w:val="682"/>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w:t>
            </w:r>
            <w:r w:rsidR="00297144" w:rsidRPr="00A37A16">
              <w:rPr>
                <w:rFonts w:ascii="Book Antiqua" w:hAnsi="Book Antiqua" w:cs="Arial"/>
                <w:sz w:val="16"/>
                <w:szCs w:val="16"/>
              </w:rPr>
              <w:t xml:space="preserve"> </w:t>
            </w:r>
            <w:r w:rsidRPr="00A37A16">
              <w:rPr>
                <w:rFonts w:ascii="Book Antiqua" w:hAnsi="Book Antiqua" w:cs="Arial"/>
                <w:sz w:val="16"/>
                <w:szCs w:val="16"/>
              </w:rPr>
              <w:t xml:space="preserve">sur la qualité de l’accessibilité physique </w:t>
            </w:r>
            <w:r w:rsidR="003307F1" w:rsidRPr="00A37A16">
              <w:rPr>
                <w:rFonts w:ascii="Book Antiqua" w:hAnsi="Book Antiqua" w:cs="Arial"/>
                <w:sz w:val="16"/>
                <w:szCs w:val="16"/>
              </w:rPr>
              <w:t>des</w:t>
            </w:r>
            <w:r w:rsidRPr="00A37A16">
              <w:rPr>
                <w:rFonts w:ascii="Book Antiqua" w:hAnsi="Book Antiqua" w:cs="Arial"/>
                <w:sz w:val="16"/>
                <w:szCs w:val="16"/>
              </w:rPr>
              <w:t xml:space="preserve"> agences bancaires</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m:t>
                    </m:r>
                    <m:r>
                      <m:rPr>
                        <m:sty m:val="p"/>
                      </m:rPr>
                      <w:rPr>
                        <w:rFonts w:ascii="Cambria Math" w:hAnsi="Cambria Math" w:cs="Arial"/>
                        <w:sz w:val="16"/>
                        <w:szCs w:val="16"/>
                      </w:rPr>
                      <m:t>'</m:t>
                    </m:r>
                    <m:r>
                      <m:rPr>
                        <m:sty m:val="p"/>
                      </m:rPr>
                      <w:rPr>
                        <w:rFonts w:ascii="Cambria Math" w:hAnsi="Book Antiqua" w:cs="Arial"/>
                        <w:sz w:val="16"/>
                        <w:szCs w:val="16"/>
                      </w:rPr>
                      <m:t>acces  "Facile</m:t>
                    </m:r>
                    <m:r>
                      <m:rPr>
                        <m:nor/>
                      </m:rPr>
                      <w:rPr>
                        <w:rFonts w:ascii="Book Antiqua" w:hAnsi="Book Antiqua" w:cs="Arial"/>
                        <w:sz w:val="16"/>
                        <w:szCs w:val="16"/>
                      </w:rPr>
                      <m:t>" ou "</m:t>
                    </m:r>
                    <m:r>
                      <m:rPr>
                        <m:sty m:val="p"/>
                      </m:rPr>
                      <w:rPr>
                        <w:rFonts w:ascii="Cambria Math" w:hAnsi="Book Antiqua" w:cs="Arial"/>
                        <w:sz w:val="16"/>
                        <w:szCs w:val="16"/>
                      </w:rPr>
                      <m:t>Tres facile"</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A7C2C">
        <w:trPr>
          <w:trHeight w:hRule="exact" w:val="705"/>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sur les horaires de service des agences bancaires</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les horaires  "Adaptes</m:t>
                    </m:r>
                    <m:r>
                      <m:rPr>
                        <m:nor/>
                      </m:rPr>
                      <w:rPr>
                        <w:rFonts w:ascii="Book Antiqua" w:hAnsi="Book Antiqua" w:cs="Arial"/>
                        <w:sz w:val="16"/>
                        <w:szCs w:val="16"/>
                      </w:rPr>
                      <m:t>" ou "</m:t>
                    </m:r>
                    <m:r>
                      <m:rPr>
                        <m:sty m:val="p"/>
                      </m:rPr>
                      <w:rPr>
                        <w:rFonts w:ascii="Cambria Math" w:hAnsi="Book Antiqua" w:cs="Arial"/>
                        <w:sz w:val="16"/>
                        <w:szCs w:val="16"/>
                      </w:rPr>
                      <m:t>Tres adaptes"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A7C2C">
        <w:trPr>
          <w:trHeight w:hRule="exact" w:val="680"/>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w:t>
            </w:r>
            <w:r w:rsidR="005F5EA5" w:rsidRPr="00A37A16">
              <w:rPr>
                <w:rFonts w:ascii="Book Antiqua" w:hAnsi="Book Antiqua" w:cs="Arial"/>
                <w:sz w:val="16"/>
                <w:szCs w:val="16"/>
              </w:rPr>
              <w:t xml:space="preserve"> </w:t>
            </w:r>
            <w:r w:rsidRPr="00A37A16">
              <w:rPr>
                <w:rFonts w:ascii="Book Antiqua" w:hAnsi="Book Antiqua" w:cs="Arial"/>
                <w:sz w:val="16"/>
                <w:szCs w:val="16"/>
              </w:rPr>
              <w:t>sur la qualité de l’accès par téléphone aux agences bancaires</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clients qui jugent l</m:t>
                    </m:r>
                    <m:r>
                      <m:rPr>
                        <m:sty m:val="p"/>
                      </m:rPr>
                      <w:rPr>
                        <w:rFonts w:ascii="Cambria Math" w:hAnsi="Cambria Math" w:cs="Arial"/>
                        <w:sz w:val="16"/>
                        <w:szCs w:val="16"/>
                      </w:rPr>
                      <m:t>'</m:t>
                    </m:r>
                    <m:r>
                      <m:rPr>
                        <m:sty m:val="p"/>
                      </m:rPr>
                      <w:rPr>
                        <w:rFonts w:ascii="Cambria Math" w:hAnsi="Book Antiqua" w:cs="Arial"/>
                        <w:sz w:val="16"/>
                        <w:szCs w:val="16"/>
                      </w:rPr>
                      <m:t>acces  "Facile</m:t>
                    </m:r>
                    <m:r>
                      <m:rPr>
                        <m:nor/>
                      </m:rPr>
                      <w:rPr>
                        <w:rFonts w:ascii="Book Antiqua" w:hAnsi="Book Antiqua" w:cs="Arial"/>
                        <w:sz w:val="16"/>
                        <w:szCs w:val="16"/>
                      </w:rPr>
                      <m:t>" ou "</m:t>
                    </m:r>
                    <m:r>
                      <m:rPr>
                        <m:sty m:val="p"/>
                      </m:rPr>
                      <w:rPr>
                        <w:rFonts w:ascii="Cambria Math" w:hAnsi="Book Antiqua" w:cs="Arial"/>
                        <w:sz w:val="16"/>
                        <w:szCs w:val="16"/>
                      </w:rPr>
                      <m:t>Tres facile"</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A7C2C">
        <w:trPr>
          <w:trHeight w:hRule="exact" w:val="678"/>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w:t>
            </w:r>
            <w:r w:rsidR="005F5EA5" w:rsidRPr="00A37A16">
              <w:rPr>
                <w:rFonts w:ascii="Book Antiqua" w:hAnsi="Book Antiqua" w:cs="Arial"/>
                <w:sz w:val="16"/>
                <w:szCs w:val="16"/>
              </w:rPr>
              <w:t xml:space="preserve"> </w:t>
            </w:r>
            <w:r w:rsidRPr="00A37A16">
              <w:rPr>
                <w:rFonts w:ascii="Book Antiqua" w:hAnsi="Book Antiqua" w:cs="Arial"/>
                <w:sz w:val="16"/>
                <w:szCs w:val="16"/>
              </w:rPr>
              <w:t>sur la qualité de l’accès par internet à leurs banques</w:t>
            </w:r>
          </w:p>
        </w:tc>
        <w:tc>
          <w:tcPr>
            <w:tcW w:w="6946" w:type="dxa"/>
            <w:vAlign w:val="center"/>
          </w:tcPr>
          <w:p w:rsidR="006558E7" w:rsidRPr="00A37A16" w:rsidRDefault="000D65F2" w:rsidP="00A37A16">
            <w:pPr>
              <w:widowControl w:val="0"/>
              <w:spacing w:before="120"/>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clients qui jugent l</m:t>
                    </m:r>
                    <m:r>
                      <m:rPr>
                        <m:sty m:val="p"/>
                      </m:rPr>
                      <w:rPr>
                        <w:rFonts w:ascii="Cambria Math" w:hAnsi="Cambria Math" w:cs="Arial"/>
                        <w:sz w:val="16"/>
                        <w:szCs w:val="16"/>
                      </w:rPr>
                      <m:t>'</m:t>
                    </m:r>
                    <m:r>
                      <m:rPr>
                        <m:sty m:val="p"/>
                      </m:rPr>
                      <w:rPr>
                        <w:rFonts w:ascii="Cambria Math" w:hAnsi="Book Antiqua" w:cs="Arial"/>
                        <w:sz w:val="16"/>
                        <w:szCs w:val="16"/>
                      </w:rPr>
                      <m:t>acces  "Facile</m:t>
                    </m:r>
                    <m:r>
                      <m:rPr>
                        <m:nor/>
                      </m:rPr>
                      <w:rPr>
                        <w:rFonts w:ascii="Book Antiqua" w:hAnsi="Book Antiqua" w:cs="Arial"/>
                        <w:sz w:val="16"/>
                        <w:szCs w:val="16"/>
                      </w:rPr>
                      <m:t>" ou "</m:t>
                    </m:r>
                    <m:r>
                      <m:rPr>
                        <m:sty m:val="p"/>
                      </m:rPr>
                      <w:rPr>
                        <w:rFonts w:ascii="Cambria Math" w:hAnsi="Book Antiqua" w:cs="Arial"/>
                        <w:sz w:val="16"/>
                        <w:szCs w:val="16"/>
                      </w:rPr>
                      <m:t>Tres facile"</m:t>
                    </m:r>
                  </m:num>
                  <m:den>
                    <m:r>
                      <m:rPr>
                        <m:sty m:val="p"/>
                      </m:rPr>
                      <w:rPr>
                        <w:rFonts w:ascii="Cambria Math" w:hAnsi="Book Antiqua" w:cs="Arial"/>
                        <w:sz w:val="16"/>
                        <w:szCs w:val="16"/>
                      </w:rPr>
                      <m:t xml:space="preserve">Nombre clients qui utilisent </m:t>
                    </m:r>
                    <m:sSup>
                      <m:sSupPr>
                        <m:ctrlPr>
                          <w:rPr>
                            <w:rFonts w:ascii="Cambria Math" w:hAnsi="Book Antiqua" w:cs="Arial"/>
                            <w:sz w:val="16"/>
                            <w:szCs w:val="16"/>
                          </w:rPr>
                        </m:ctrlPr>
                      </m:sSupPr>
                      <m:e>
                        <m:r>
                          <m:rPr>
                            <m:sty m:val="p"/>
                          </m:rPr>
                          <w:rPr>
                            <w:rFonts w:ascii="Cambria Math" w:hAnsi="Book Antiqua" w:cs="Arial"/>
                            <w:sz w:val="16"/>
                            <w:szCs w:val="16"/>
                          </w:rPr>
                          <m:t>l</m:t>
                        </m:r>
                      </m:e>
                      <m:sup>
                        <m:r>
                          <m:rPr>
                            <m:sty m:val="p"/>
                          </m:rPr>
                          <w:rPr>
                            <w:rFonts w:ascii="Cambria Math" w:hAnsi="Cambria Math" w:cs="Arial"/>
                            <w:sz w:val="16"/>
                            <w:szCs w:val="16"/>
                          </w:rPr>
                          <m:t>'</m:t>
                        </m:r>
                      </m:sup>
                    </m:sSup>
                    <m:r>
                      <m:rPr>
                        <m:sty m:val="p"/>
                      </m:rPr>
                      <w:rPr>
                        <w:rFonts w:ascii="Cambria Math" w:hAnsi="Book Antiqua" w:cs="Arial"/>
                        <w:sz w:val="16"/>
                        <w:szCs w:val="16"/>
                      </w:rPr>
                      <m:t>internet pour acceder a leur banque</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A7C2C">
        <w:trPr>
          <w:trHeight w:hRule="exact" w:val="426"/>
        </w:trPr>
        <w:tc>
          <w:tcPr>
            <w:tcW w:w="10031" w:type="dxa"/>
            <w:gridSpan w:val="2"/>
            <w:vAlign w:val="center"/>
          </w:tcPr>
          <w:p w:rsidR="006558E7" w:rsidRPr="00A37A16" w:rsidRDefault="006558E7" w:rsidP="00A37A16">
            <w:pPr>
              <w:widowControl w:val="0"/>
              <w:spacing w:before="120"/>
              <w:jc w:val="center"/>
              <w:rPr>
                <w:rFonts w:ascii="Book Antiqua" w:hAnsi="Book Antiqua" w:cs="Arial"/>
                <w:sz w:val="16"/>
                <w:szCs w:val="16"/>
              </w:rPr>
            </w:pPr>
            <w:r w:rsidRPr="00A37A16">
              <w:rPr>
                <w:rFonts w:ascii="Book Antiqua" w:hAnsi="Book Antiqua" w:cs="Arial"/>
                <w:b/>
                <w:bCs/>
                <w:sz w:val="16"/>
                <w:szCs w:val="16"/>
              </w:rPr>
              <w:t>SATISFACTION SUR LE PERSONNEL DES AGENCES BANCAIRES</w:t>
            </w:r>
          </w:p>
        </w:tc>
      </w:tr>
      <w:tr w:rsidR="006558E7" w:rsidRPr="00113477" w:rsidTr="00CA7C2C">
        <w:trPr>
          <w:trHeight w:hRule="exact" w:val="851"/>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qui sur la qualité de la relation avec leur conseiller en clientèle</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la qualite de la relation  "Bonne</m:t>
                    </m:r>
                    <m:r>
                      <m:rPr>
                        <m:nor/>
                      </m:rPr>
                      <w:rPr>
                        <w:rFonts w:ascii="Book Antiqua" w:hAnsi="Book Antiqua" w:cs="Arial"/>
                        <w:sz w:val="16"/>
                        <w:szCs w:val="16"/>
                      </w:rPr>
                      <m:t>" ou "</m:t>
                    </m:r>
                    <m:r>
                      <m:rPr>
                        <m:sty m:val="p"/>
                      </m:rPr>
                      <w:rPr>
                        <w:rFonts w:ascii="Cambria Math" w:hAnsi="Book Antiqua" w:cs="Arial"/>
                        <w:sz w:val="16"/>
                        <w:szCs w:val="16"/>
                      </w:rPr>
                      <m:t>Tres bonne"</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A7C2C">
        <w:trPr>
          <w:trHeight w:hRule="exact" w:val="851"/>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sur la qualité de l’accueil du personnel de leur agence bancaire</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 personnel  "Courtois</m:t>
                    </m:r>
                    <m:r>
                      <m:rPr>
                        <m:nor/>
                      </m:rPr>
                      <w:rPr>
                        <w:rFonts w:ascii="Book Antiqua" w:hAnsi="Book Antiqua" w:cs="Arial"/>
                        <w:sz w:val="16"/>
                        <w:szCs w:val="16"/>
                      </w:rPr>
                      <m:t>" ou "</m:t>
                    </m:r>
                    <m:r>
                      <m:rPr>
                        <m:sty m:val="p"/>
                      </m:rPr>
                      <w:rPr>
                        <w:rFonts w:ascii="Cambria Math" w:hAnsi="Book Antiqua" w:cs="Arial"/>
                        <w:sz w:val="16"/>
                        <w:szCs w:val="16"/>
                      </w:rPr>
                      <m:t>Tres courtois"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A7C2C">
        <w:trPr>
          <w:trHeight w:hRule="exact" w:val="851"/>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Pourcentage des clients ayant reçu des informations sur leurs obligations au moment de l’ouverture de leur compte.</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ayant recu les informations sur leurs obligations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A7C2C">
        <w:trPr>
          <w:trHeight w:hRule="exact" w:val="851"/>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sur la qualité de l’information fournie sur leurs obligations</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le personnel  "Courtois</m:t>
                    </m:r>
                    <m:r>
                      <m:rPr>
                        <m:nor/>
                      </m:rPr>
                      <w:rPr>
                        <w:rFonts w:ascii="Book Antiqua" w:hAnsi="Book Antiqua" w:cs="Arial"/>
                        <w:sz w:val="16"/>
                        <w:szCs w:val="16"/>
                      </w:rPr>
                      <m:t>" ou "</m:t>
                    </m:r>
                    <m:r>
                      <m:rPr>
                        <m:sty m:val="p"/>
                      </m:rPr>
                      <w:rPr>
                        <w:rFonts w:ascii="Cambria Math" w:hAnsi="Book Antiqua" w:cs="Arial"/>
                        <w:sz w:val="16"/>
                        <w:szCs w:val="16"/>
                      </w:rPr>
                      <m:t>Tres courtois"</m:t>
                    </m:r>
                  </m:num>
                  <m:den>
                    <m:r>
                      <m:rPr>
                        <m:sty m:val="p"/>
                      </m:rPr>
                      <w:rPr>
                        <w:rFonts w:ascii="Cambria Math" w:hAnsi="Book Antiqua" w:cs="Arial"/>
                        <w:sz w:val="16"/>
                        <w:szCs w:val="16"/>
                      </w:rPr>
                      <m:t>Nombre de clients ayant recu les informations sur leurs obligations</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A7C2C">
        <w:trPr>
          <w:trHeight w:hRule="exact" w:val="851"/>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Pourcentage de clients ayant formulé des réclamations</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ayant formule des reclamations</m:t>
                    </m:r>
                  </m:num>
                  <m:den>
                    <m:r>
                      <m:rPr>
                        <m:sty m:val="p"/>
                      </m:rPr>
                      <w:rPr>
                        <w:rFonts w:ascii="Cambria Math" w:hAnsi="Book Antiqua" w:cs="Arial"/>
                        <w:sz w:val="16"/>
                        <w:szCs w:val="16"/>
                      </w:rPr>
                      <m:t>Taille de l</m:t>
                    </m:r>
                    <m:r>
                      <m:rPr>
                        <m:sty m:val="p"/>
                      </m:rPr>
                      <w:rPr>
                        <w:rFonts w:ascii="Cambria Math" w:hAnsi="Cambria Math" w:cs="Arial"/>
                        <w:sz w:val="16"/>
                        <w:szCs w:val="16"/>
                      </w:rPr>
                      <m:t>'</m:t>
                    </m:r>
                    <m:r>
                      <m:rPr>
                        <m:sty m:val="p"/>
                      </m:rPr>
                      <w:rPr>
                        <w:rFonts w:ascii="Cambria Math" w:hAnsi="Book Antiqua" w:cs="Arial"/>
                        <w:sz w:val="16"/>
                        <w:szCs w:val="16"/>
                      </w:rPr>
                      <m:t>echantillon</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r w:rsidR="006558E7" w:rsidRPr="00113477" w:rsidTr="00CA7C2C">
        <w:trPr>
          <w:trHeight w:hRule="exact" w:val="851"/>
        </w:trPr>
        <w:tc>
          <w:tcPr>
            <w:tcW w:w="3085" w:type="dxa"/>
            <w:vAlign w:val="center"/>
          </w:tcPr>
          <w:p w:rsidR="006558E7" w:rsidRPr="00A37A16" w:rsidRDefault="006558E7" w:rsidP="00A37A16">
            <w:pPr>
              <w:jc w:val="both"/>
              <w:rPr>
                <w:rFonts w:ascii="Book Antiqua" w:hAnsi="Book Antiqua" w:cs="Arial"/>
                <w:sz w:val="16"/>
                <w:szCs w:val="16"/>
              </w:rPr>
            </w:pPr>
            <w:r w:rsidRPr="00A37A16">
              <w:rPr>
                <w:rFonts w:ascii="Book Antiqua" w:hAnsi="Book Antiqua" w:cs="Arial"/>
                <w:sz w:val="16"/>
                <w:szCs w:val="16"/>
              </w:rPr>
              <w:t>Taux de satisfaction des clients sur la qualité du suivi de leurs réclamations</w:t>
            </w:r>
          </w:p>
        </w:tc>
        <w:tc>
          <w:tcPr>
            <w:tcW w:w="6946" w:type="dxa"/>
            <w:vAlign w:val="center"/>
          </w:tcPr>
          <w:p w:rsidR="006558E7" w:rsidRPr="00A37A16" w:rsidRDefault="000D65F2" w:rsidP="00A37A16">
            <w:pPr>
              <w:widowControl w:val="0"/>
              <w:spacing w:before="120"/>
              <w:jc w:val="center"/>
              <w:rPr>
                <w:rFonts w:ascii="Book Antiqua" w:hAnsi="Book Antiqua" w:cs="Arial"/>
                <w:sz w:val="16"/>
                <w:szCs w:val="16"/>
              </w:rPr>
            </w:pPr>
            <m:oMathPara>
              <m:oMath>
                <m:f>
                  <m:fPr>
                    <m:ctrlPr>
                      <w:rPr>
                        <w:rFonts w:ascii="Cambria Math" w:hAnsi="Book Antiqua" w:cs="Arial"/>
                        <w:sz w:val="16"/>
                        <w:szCs w:val="16"/>
                      </w:rPr>
                    </m:ctrlPr>
                  </m:fPr>
                  <m:num>
                    <m:r>
                      <m:rPr>
                        <m:sty m:val="p"/>
                      </m:rPr>
                      <w:rPr>
                        <w:rFonts w:ascii="Cambria Math" w:hAnsi="Book Antiqua" w:cs="Arial"/>
                        <w:sz w:val="16"/>
                        <w:szCs w:val="16"/>
                      </w:rPr>
                      <m:t>Nombre de clients qui jugent la qualite du suivi  "Bonne</m:t>
                    </m:r>
                    <m:r>
                      <m:rPr>
                        <m:nor/>
                      </m:rPr>
                      <w:rPr>
                        <w:rFonts w:ascii="Book Antiqua" w:hAnsi="Book Antiqua" w:cs="Arial"/>
                        <w:sz w:val="16"/>
                        <w:szCs w:val="16"/>
                      </w:rPr>
                      <m:t>" ou "</m:t>
                    </m:r>
                    <m:r>
                      <m:rPr>
                        <m:sty m:val="p"/>
                      </m:rPr>
                      <w:rPr>
                        <w:rFonts w:ascii="Cambria Math" w:hAnsi="Book Antiqua" w:cs="Arial"/>
                        <w:sz w:val="16"/>
                        <w:szCs w:val="16"/>
                      </w:rPr>
                      <m:t>Tres bonne"</m:t>
                    </m:r>
                  </m:num>
                  <m:den>
                    <m:r>
                      <m:rPr>
                        <m:sty m:val="p"/>
                      </m:rPr>
                      <w:rPr>
                        <w:rFonts w:ascii="Cambria Math" w:hAnsi="Book Antiqua" w:cs="Arial"/>
                        <w:sz w:val="16"/>
                        <w:szCs w:val="16"/>
                      </w:rPr>
                      <m:t>Nombre de clients ayant formule des reclamations</m:t>
                    </m:r>
                  </m:den>
                </m:f>
                <m:r>
                  <m:rPr>
                    <m:sty m:val="p"/>
                  </m:rPr>
                  <w:rPr>
                    <w:rFonts w:ascii="Cambria Math" w:hAnsi="Cambria Math" w:cs="Arial"/>
                    <w:sz w:val="16"/>
                    <w:szCs w:val="16"/>
                  </w:rPr>
                  <m:t>×</m:t>
                </m:r>
                <m:r>
                  <m:rPr>
                    <m:sty m:val="p"/>
                  </m:rPr>
                  <w:rPr>
                    <w:rFonts w:ascii="Cambria Math" w:hAnsi="Book Antiqua" w:cs="Arial"/>
                    <w:sz w:val="16"/>
                    <w:szCs w:val="16"/>
                  </w:rPr>
                  <m:t>100</m:t>
                </m:r>
              </m:oMath>
            </m:oMathPara>
          </w:p>
        </w:tc>
      </w:tr>
    </w:tbl>
    <w:p w:rsidR="00EB6824" w:rsidRPr="00113477" w:rsidRDefault="00EB6824" w:rsidP="004A3746">
      <w:pPr>
        <w:spacing w:after="200" w:line="276" w:lineRule="auto"/>
        <w:rPr>
          <w:rFonts w:ascii="Book Antiqua" w:hAnsi="Book Antiqua" w:cs="Arial"/>
          <w:b/>
          <w:sz w:val="20"/>
          <w:szCs w:val="20"/>
        </w:rPr>
      </w:pPr>
    </w:p>
    <w:p w:rsidR="00D442E6" w:rsidRPr="00113477" w:rsidRDefault="00886ADE" w:rsidP="00D442E6">
      <w:pPr>
        <w:pStyle w:val="Titre1"/>
        <w:numPr>
          <w:ilvl w:val="0"/>
          <w:numId w:val="0"/>
        </w:numPr>
        <w:rPr>
          <w:rFonts w:cs="Arial"/>
          <w:b w:val="0"/>
          <w:sz w:val="20"/>
          <w:szCs w:val="20"/>
        </w:rPr>
      </w:pPr>
      <w:r w:rsidRPr="00113477">
        <w:rPr>
          <w:rFonts w:cs="Arial"/>
          <w:b w:val="0"/>
          <w:sz w:val="20"/>
          <w:szCs w:val="20"/>
        </w:rPr>
        <w:br w:type="page"/>
      </w:r>
    </w:p>
    <w:p w:rsidR="00886ADE" w:rsidRPr="00113477" w:rsidRDefault="00886ADE" w:rsidP="00A37A16">
      <w:pPr>
        <w:pStyle w:val="Titre1"/>
        <w:numPr>
          <w:ilvl w:val="0"/>
          <w:numId w:val="0"/>
        </w:numPr>
        <w:jc w:val="center"/>
        <w:rPr>
          <w:rFonts w:cs="Arial"/>
          <w:sz w:val="20"/>
          <w:szCs w:val="20"/>
        </w:rPr>
      </w:pPr>
      <w:bookmarkStart w:id="389" w:name="_Toc523322144"/>
      <w:r w:rsidRPr="00A37A16">
        <w:rPr>
          <w:rFonts w:cs="Arial"/>
          <w:sz w:val="20"/>
          <w:szCs w:val="20"/>
          <w:u w:val="single"/>
        </w:rPr>
        <w:lastRenderedPageBreak/>
        <w:t xml:space="preserve">Annexe </w:t>
      </w:r>
      <w:r w:rsidR="00D76382" w:rsidRPr="00A37A16">
        <w:rPr>
          <w:rFonts w:cs="Arial"/>
          <w:sz w:val="20"/>
          <w:szCs w:val="20"/>
          <w:u w:val="single"/>
        </w:rPr>
        <w:t>3</w:t>
      </w:r>
      <w:r w:rsidR="00D76382" w:rsidRPr="00113477">
        <w:rPr>
          <w:rFonts w:cs="Arial"/>
          <w:sz w:val="20"/>
          <w:szCs w:val="20"/>
        </w:rPr>
        <w:t xml:space="preserve"> </w:t>
      </w:r>
      <w:r w:rsidRPr="00113477">
        <w:rPr>
          <w:rFonts w:cs="Arial"/>
          <w:sz w:val="20"/>
          <w:szCs w:val="20"/>
        </w:rPr>
        <w:t>: Questionnaire du volet « Personnes physiques »</w:t>
      </w:r>
      <w:bookmarkEnd w:id="389"/>
    </w:p>
    <w:p w:rsidR="00D442E6" w:rsidRPr="00113477" w:rsidRDefault="00D442E6" w:rsidP="00D442E6">
      <w:pPr>
        <w:rPr>
          <w:rFonts w:ascii="Book Antiqua" w:hAnsi="Book Antiqua"/>
          <w:sz w:val="20"/>
          <w:szCs w:val="20"/>
        </w:rPr>
      </w:pPr>
    </w:p>
    <w:p w:rsidR="00886ADE" w:rsidRPr="00113477" w:rsidRDefault="00886ADE" w:rsidP="004272B8">
      <w:pPr>
        <w:numPr>
          <w:ilvl w:val="0"/>
          <w:numId w:val="60"/>
        </w:numPr>
        <w:contextualSpacing/>
        <w:rPr>
          <w:rFonts w:ascii="Book Antiqua" w:hAnsi="Book Antiqua"/>
          <w:b/>
          <w:bCs/>
          <w:sz w:val="20"/>
          <w:szCs w:val="20"/>
        </w:rPr>
      </w:pPr>
      <w:r w:rsidRPr="00113477">
        <w:rPr>
          <w:rFonts w:ascii="Book Antiqua" w:hAnsi="Book Antiqua"/>
          <w:b/>
          <w:bCs/>
          <w:sz w:val="20"/>
          <w:szCs w:val="20"/>
        </w:rPr>
        <w:t>IDENTIFICATION DU CLIENT</w:t>
      </w:r>
    </w:p>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Prénom</w:t>
      </w:r>
      <w:r w:rsidRPr="00113477">
        <w:rPr>
          <w:rFonts w:ascii="Book Antiqua" w:hAnsi="Book Antiqua" w:cs="Arial"/>
          <w:sz w:val="20"/>
          <w:szCs w:val="20"/>
        </w:rPr>
        <w:t xml:space="preserve">(s) </w:t>
      </w:r>
      <w:r w:rsidRPr="00113477">
        <w:rPr>
          <w:rFonts w:ascii="Book Antiqua" w:hAnsi="Book Antiqua"/>
          <w:sz w:val="20"/>
          <w:szCs w:val="20"/>
        </w:rPr>
        <w:t>et NOM : …</w:t>
      </w:r>
      <w:r w:rsidR="00A37A16">
        <w:rPr>
          <w:rFonts w:ascii="Book Antiqua" w:hAnsi="Book Antiqua"/>
          <w:sz w:val="20"/>
          <w:szCs w:val="20"/>
        </w:rPr>
        <w:t>……………..</w:t>
      </w:r>
      <w:r w:rsidRPr="00113477">
        <w:rPr>
          <w:rFonts w:ascii="Book Antiqua" w:hAnsi="Book Antiqua"/>
          <w:sz w:val="20"/>
          <w:szCs w:val="20"/>
        </w:rPr>
        <w:t>.……..……………..….……..…………………………………………….</w:t>
      </w:r>
    </w:p>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Région :</w:t>
      </w:r>
      <w:r w:rsidR="00A37A16" w:rsidRPr="00113477">
        <w:rPr>
          <w:rFonts w:ascii="Book Antiqua" w:hAnsi="Book Antiqua"/>
          <w:sz w:val="20"/>
          <w:szCs w:val="20"/>
        </w:rPr>
        <w:t xml:space="preserve"> </w:t>
      </w:r>
      <w:r w:rsidRPr="00113477">
        <w:rPr>
          <w:rFonts w:ascii="Book Antiqua" w:hAnsi="Book Antiqua"/>
          <w:sz w:val="20"/>
          <w:szCs w:val="20"/>
        </w:rPr>
        <w:t>|__|__|</w:t>
      </w:r>
    </w:p>
    <w:tbl>
      <w:tblPr>
        <w:tblW w:w="5000" w:type="pct"/>
        <w:jc w:val="center"/>
        <w:tblLook w:val="01E0"/>
      </w:tblPr>
      <w:tblGrid>
        <w:gridCol w:w="1788"/>
        <w:gridCol w:w="1764"/>
        <w:gridCol w:w="1936"/>
        <w:gridCol w:w="2156"/>
        <w:gridCol w:w="2154"/>
      </w:tblGrid>
      <w:tr w:rsidR="00886ADE" w:rsidRPr="00113477" w:rsidTr="00886ADE">
        <w:trPr>
          <w:jc w:val="center"/>
        </w:trPr>
        <w:tc>
          <w:tcPr>
            <w:tcW w:w="91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01= Dakar</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02= Diourbel</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 xml:space="preserve">03= </w:t>
            </w:r>
            <w:proofErr w:type="spellStart"/>
            <w:r w:rsidRPr="00113477">
              <w:rPr>
                <w:rFonts w:ascii="Book Antiqua" w:hAnsi="Book Antiqua"/>
                <w:i/>
                <w:sz w:val="20"/>
                <w:szCs w:val="20"/>
              </w:rPr>
              <w:t>Fatick</w:t>
            </w:r>
            <w:proofErr w:type="spellEnd"/>
          </w:p>
        </w:tc>
        <w:tc>
          <w:tcPr>
            <w:tcW w:w="90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 xml:space="preserve">04= </w:t>
            </w:r>
            <w:proofErr w:type="spellStart"/>
            <w:r w:rsidRPr="00113477">
              <w:rPr>
                <w:rFonts w:ascii="Book Antiqua" w:hAnsi="Book Antiqua"/>
                <w:i/>
                <w:sz w:val="20"/>
                <w:szCs w:val="20"/>
              </w:rPr>
              <w:t>Kaffrine</w:t>
            </w:r>
            <w:proofErr w:type="spellEnd"/>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05= Kaolack</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06= Kolda</w:t>
            </w:r>
          </w:p>
        </w:tc>
        <w:tc>
          <w:tcPr>
            <w:tcW w:w="98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 xml:space="preserve">07=Kédougou </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08=Louga</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09= Matam</w:t>
            </w:r>
          </w:p>
        </w:tc>
        <w:tc>
          <w:tcPr>
            <w:tcW w:w="110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10= Saint Louis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 xml:space="preserve">11= </w:t>
            </w:r>
            <w:proofErr w:type="spellStart"/>
            <w:r w:rsidRPr="00113477">
              <w:rPr>
                <w:rFonts w:ascii="Book Antiqua" w:hAnsi="Book Antiqua"/>
                <w:i/>
                <w:sz w:val="20"/>
                <w:szCs w:val="20"/>
              </w:rPr>
              <w:t>Sédhiou</w:t>
            </w:r>
            <w:proofErr w:type="spellEnd"/>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12= Tambacounda</w:t>
            </w:r>
          </w:p>
        </w:tc>
        <w:tc>
          <w:tcPr>
            <w:tcW w:w="109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13= Thiès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14=Ziguinchor</w:t>
            </w:r>
          </w:p>
        </w:tc>
      </w:tr>
    </w:tbl>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Adresse : ……...…………………….……..………</w:t>
      </w:r>
      <w:r w:rsidR="00A37A16">
        <w:rPr>
          <w:rFonts w:ascii="Book Antiqua" w:hAnsi="Book Antiqua"/>
          <w:sz w:val="20"/>
          <w:szCs w:val="20"/>
        </w:rPr>
        <w:t>…………………………………………………………..…</w:t>
      </w:r>
    </w:p>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Téléphone :</w:t>
      </w:r>
      <w:r w:rsidR="00A37A16" w:rsidRPr="00113477">
        <w:rPr>
          <w:rFonts w:ascii="Book Antiqua" w:hAnsi="Book Antiqua"/>
          <w:sz w:val="20"/>
          <w:szCs w:val="20"/>
        </w:rPr>
        <w:t xml:space="preserve"> </w:t>
      </w:r>
      <w:r w:rsidRPr="00113477">
        <w:rPr>
          <w:rFonts w:ascii="Book Antiqua" w:hAnsi="Book Antiqua"/>
          <w:sz w:val="20"/>
          <w:szCs w:val="20"/>
        </w:rPr>
        <w:t>|__|__|__|__|__|__|__|__|__|</w:t>
      </w:r>
    </w:p>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 xml:space="preserve">Email : </w:t>
      </w:r>
      <w:proofErr w:type="gramStart"/>
      <w:r w:rsidRPr="00113477">
        <w:rPr>
          <w:rFonts w:ascii="Book Antiqua" w:hAnsi="Book Antiqua"/>
          <w:sz w:val="20"/>
          <w:szCs w:val="20"/>
        </w:rPr>
        <w:t>……………….……..…………………….….……</w:t>
      </w:r>
      <w:r w:rsidR="00A37A16">
        <w:rPr>
          <w:rFonts w:ascii="Book Antiqua" w:hAnsi="Book Antiqua"/>
          <w:sz w:val="20"/>
          <w:szCs w:val="20"/>
        </w:rPr>
        <w:t>…</w:t>
      </w:r>
      <w:proofErr w:type="gramEnd"/>
      <w:r w:rsidR="00A37A16">
        <w:rPr>
          <w:rFonts w:ascii="Book Antiqua" w:hAnsi="Book Antiqua"/>
          <w:sz w:val="20"/>
          <w:szCs w:val="20"/>
        </w:rPr>
        <w:t>@………..…………………………………………</w:t>
      </w:r>
    </w:p>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proofErr w:type="gramStart"/>
      <w:r w:rsidRPr="00113477">
        <w:rPr>
          <w:rFonts w:ascii="Book Antiqua" w:hAnsi="Book Antiqua"/>
          <w:sz w:val="20"/>
          <w:szCs w:val="20"/>
        </w:rPr>
        <w:t>Genre  :</w:t>
      </w:r>
      <w:proofErr w:type="gramEnd"/>
      <w:r w:rsidRPr="00113477">
        <w:rPr>
          <w:rFonts w:ascii="Book Antiqua" w:hAnsi="Book Antiqua"/>
          <w:sz w:val="20"/>
          <w:szCs w:val="20"/>
        </w:rPr>
        <w:t xml:space="preserve"> |__|</w:t>
      </w:r>
      <w:r w:rsidR="00A37A16">
        <w:rPr>
          <w:rFonts w:ascii="Book Antiqua" w:hAnsi="Book Antiqua"/>
          <w:sz w:val="20"/>
          <w:szCs w:val="20"/>
        </w:rPr>
        <w:t xml:space="preserve">                         </w:t>
      </w:r>
      <w:r w:rsidR="00A37A16" w:rsidRPr="00113477">
        <w:rPr>
          <w:rFonts w:ascii="Book Antiqua" w:hAnsi="Book Antiqua"/>
          <w:sz w:val="20"/>
          <w:szCs w:val="20"/>
        </w:rPr>
        <w:t>|__|</w:t>
      </w:r>
    </w:p>
    <w:tbl>
      <w:tblPr>
        <w:tblW w:w="2415" w:type="pct"/>
        <w:tblInd w:w="804" w:type="dxa"/>
        <w:tblLook w:val="01E0"/>
      </w:tblPr>
      <w:tblGrid>
        <w:gridCol w:w="1838"/>
        <w:gridCol w:w="2894"/>
      </w:tblGrid>
      <w:tr w:rsidR="00886ADE" w:rsidRPr="00113477" w:rsidTr="00886ADE">
        <w:tc>
          <w:tcPr>
            <w:tcW w:w="194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Homme</w:t>
            </w:r>
          </w:p>
        </w:tc>
        <w:tc>
          <w:tcPr>
            <w:tcW w:w="305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2=Femme</w:t>
            </w:r>
          </w:p>
        </w:tc>
      </w:tr>
    </w:tbl>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 xml:space="preserve">Classe d’âge : </w:t>
      </w:r>
      <w:r w:rsidR="00A37A16" w:rsidRPr="00113477">
        <w:rPr>
          <w:rFonts w:ascii="Book Antiqua" w:hAnsi="Book Antiqua"/>
          <w:sz w:val="20"/>
          <w:szCs w:val="20"/>
        </w:rPr>
        <w:t>|__|</w:t>
      </w:r>
      <w:r w:rsidR="00A37A16">
        <w:rPr>
          <w:rFonts w:ascii="Book Antiqua" w:hAnsi="Book Antiqua"/>
          <w:sz w:val="20"/>
          <w:szCs w:val="20"/>
        </w:rPr>
        <w:t xml:space="preserve">  </w:t>
      </w:r>
    </w:p>
    <w:tbl>
      <w:tblPr>
        <w:tblW w:w="0" w:type="auto"/>
        <w:jc w:val="center"/>
        <w:tblLook w:val="01E0"/>
      </w:tblPr>
      <w:tblGrid>
        <w:gridCol w:w="2519"/>
        <w:gridCol w:w="2492"/>
        <w:gridCol w:w="2492"/>
      </w:tblGrid>
      <w:tr w:rsidR="00886ADE" w:rsidRPr="00113477" w:rsidTr="00886ADE">
        <w:trPr>
          <w:jc w:val="center"/>
        </w:trPr>
        <w:tc>
          <w:tcPr>
            <w:tcW w:w="2519"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18-24 ans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25-34 ans</w:t>
            </w:r>
          </w:p>
        </w:tc>
        <w:tc>
          <w:tcPr>
            <w:tcW w:w="2492"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35-44 ans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4=45-54 ans</w:t>
            </w:r>
          </w:p>
        </w:tc>
        <w:tc>
          <w:tcPr>
            <w:tcW w:w="2492"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55-64 ans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6= 65 ans ou plus</w:t>
            </w:r>
          </w:p>
        </w:tc>
      </w:tr>
    </w:tbl>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 xml:space="preserve">Situation matrimoniale : </w:t>
      </w:r>
    </w:p>
    <w:tbl>
      <w:tblPr>
        <w:tblW w:w="0" w:type="auto"/>
        <w:tblInd w:w="880" w:type="dxa"/>
        <w:tblLook w:val="01E0"/>
      </w:tblPr>
      <w:tblGrid>
        <w:gridCol w:w="2274"/>
        <w:gridCol w:w="2262"/>
        <w:gridCol w:w="2192"/>
        <w:gridCol w:w="2190"/>
      </w:tblGrid>
      <w:tr w:rsidR="00886ADE" w:rsidRPr="00113477" w:rsidTr="00886ADE">
        <w:tc>
          <w:tcPr>
            <w:tcW w:w="2417"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Marié</w:t>
            </w:r>
          </w:p>
        </w:tc>
        <w:tc>
          <w:tcPr>
            <w:tcW w:w="2368"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 xml:space="preserve">2= Célibataire </w:t>
            </w:r>
          </w:p>
        </w:tc>
        <w:tc>
          <w:tcPr>
            <w:tcW w:w="2313"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Divorcé</w:t>
            </w:r>
          </w:p>
        </w:tc>
        <w:tc>
          <w:tcPr>
            <w:tcW w:w="2313"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4=Veuf</w:t>
            </w:r>
          </w:p>
        </w:tc>
      </w:tr>
    </w:tbl>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A37A16">
      <w:pPr>
        <w:numPr>
          <w:ilvl w:val="0"/>
          <w:numId w:val="61"/>
        </w:numPr>
        <w:contextualSpacing/>
        <w:rPr>
          <w:rFonts w:ascii="Book Antiqua" w:hAnsi="Book Antiqua"/>
          <w:sz w:val="20"/>
          <w:szCs w:val="20"/>
        </w:rPr>
      </w:pPr>
      <w:r w:rsidRPr="00113477">
        <w:rPr>
          <w:rFonts w:ascii="Book Antiqua" w:hAnsi="Book Antiqua"/>
          <w:sz w:val="20"/>
          <w:szCs w:val="20"/>
        </w:rPr>
        <w:t xml:space="preserve">Niveau d’instruction : </w:t>
      </w:r>
    </w:p>
    <w:tbl>
      <w:tblPr>
        <w:tblW w:w="0" w:type="auto"/>
        <w:jc w:val="center"/>
        <w:tblLook w:val="01E0"/>
      </w:tblPr>
      <w:tblGrid>
        <w:gridCol w:w="1418"/>
        <w:gridCol w:w="1559"/>
        <w:gridCol w:w="1843"/>
        <w:gridCol w:w="2126"/>
        <w:gridCol w:w="2268"/>
      </w:tblGrid>
      <w:tr w:rsidR="00886ADE" w:rsidRPr="00113477" w:rsidTr="00886ADE">
        <w:trPr>
          <w:jc w:val="center"/>
        </w:trPr>
        <w:tc>
          <w:tcPr>
            <w:tcW w:w="1418"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Aucun</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Primaire</w:t>
            </w:r>
          </w:p>
        </w:tc>
        <w:tc>
          <w:tcPr>
            <w:tcW w:w="1559"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Secondaire</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4=Bac+2/Bac+3</w:t>
            </w:r>
          </w:p>
        </w:tc>
        <w:tc>
          <w:tcPr>
            <w:tcW w:w="1843"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5=Bac+4 ou plus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6=Primaire en Arabe</w:t>
            </w:r>
          </w:p>
        </w:tc>
        <w:tc>
          <w:tcPr>
            <w:tcW w:w="2126"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7= Secondaire en Arabe</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8= Bac+2/ Bac+3 en Arabe</w:t>
            </w:r>
          </w:p>
        </w:tc>
        <w:tc>
          <w:tcPr>
            <w:tcW w:w="2268"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9= Bac+4 ou plus en Arabe</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10= Enseignement coranique</w:t>
            </w:r>
          </w:p>
        </w:tc>
      </w:tr>
    </w:tbl>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Fonction : |__|__|</w:t>
      </w:r>
    </w:p>
    <w:tbl>
      <w:tblPr>
        <w:tblW w:w="5541" w:type="pct"/>
        <w:tblLook w:val="01E0"/>
      </w:tblPr>
      <w:tblGrid>
        <w:gridCol w:w="2091"/>
        <w:gridCol w:w="2126"/>
        <w:gridCol w:w="1844"/>
        <w:gridCol w:w="2126"/>
        <w:gridCol w:w="2671"/>
      </w:tblGrid>
      <w:tr w:rsidR="004279A3" w:rsidRPr="00113477" w:rsidTr="004279A3">
        <w:tc>
          <w:tcPr>
            <w:tcW w:w="96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01= Directeur Général</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02= Directeur</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03= Chef de Division</w:t>
            </w:r>
          </w:p>
        </w:tc>
        <w:tc>
          <w:tcPr>
            <w:tcW w:w="97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04=Chef de bureau</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5=Employé</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06=Profession libérale</w:t>
            </w:r>
          </w:p>
        </w:tc>
        <w:tc>
          <w:tcPr>
            <w:tcW w:w="84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07= Artisan</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08=Etudiant</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09= Retraité</w:t>
            </w:r>
          </w:p>
        </w:tc>
        <w:tc>
          <w:tcPr>
            <w:tcW w:w="97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10=Commerçant</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11= Agriculteur</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12= Corps habillé</w:t>
            </w:r>
          </w:p>
        </w:tc>
        <w:tc>
          <w:tcPr>
            <w:tcW w:w="123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13= Pêcheur</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15= Eleveur</w:t>
            </w:r>
          </w:p>
          <w:p w:rsidR="00886ADE" w:rsidRPr="00113477" w:rsidRDefault="00F361A9" w:rsidP="004279A3">
            <w:pPr>
              <w:ind w:hanging="390"/>
              <w:contextualSpacing/>
              <w:rPr>
                <w:rFonts w:ascii="Book Antiqua" w:hAnsi="Book Antiqua"/>
                <w:i/>
                <w:sz w:val="20"/>
                <w:szCs w:val="20"/>
              </w:rPr>
            </w:pPr>
            <w:r>
              <w:rPr>
                <w:rFonts w:ascii="Book Antiqua" w:hAnsi="Book Antiqua"/>
                <w:i/>
                <w:sz w:val="20"/>
                <w:szCs w:val="20"/>
              </w:rPr>
              <w:t xml:space="preserve">16  </w:t>
            </w:r>
            <w:r w:rsidR="00886ADE" w:rsidRPr="00113477">
              <w:rPr>
                <w:rFonts w:ascii="Book Antiqua" w:hAnsi="Book Antiqua"/>
                <w:i/>
                <w:sz w:val="20"/>
                <w:szCs w:val="20"/>
              </w:rPr>
              <w:t>Autre (Préciser)…………</w:t>
            </w:r>
          </w:p>
        </w:tc>
      </w:tr>
    </w:tbl>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Secteur d’activités : |__</w:t>
      </w:r>
      <w:r w:rsidR="00F361A9">
        <w:rPr>
          <w:rFonts w:ascii="Book Antiqua" w:hAnsi="Book Antiqua"/>
          <w:sz w:val="20"/>
          <w:szCs w:val="20"/>
        </w:rPr>
        <w:t xml:space="preserve"> </w:t>
      </w:r>
      <w:r w:rsidRPr="00113477">
        <w:rPr>
          <w:rFonts w:ascii="Book Antiqua" w:hAnsi="Book Antiqua"/>
          <w:sz w:val="20"/>
          <w:szCs w:val="20"/>
        </w:rPr>
        <w:t>|</w:t>
      </w:r>
    </w:p>
    <w:tbl>
      <w:tblPr>
        <w:tblW w:w="4635" w:type="pct"/>
        <w:jc w:val="center"/>
        <w:tblLook w:val="01E0"/>
      </w:tblPr>
      <w:tblGrid>
        <w:gridCol w:w="1515"/>
        <w:gridCol w:w="1375"/>
        <w:gridCol w:w="1377"/>
        <w:gridCol w:w="1651"/>
        <w:gridCol w:w="3165"/>
      </w:tblGrid>
      <w:tr w:rsidR="00886ADE" w:rsidRPr="00113477" w:rsidTr="00886ADE">
        <w:trPr>
          <w:jc w:val="center"/>
        </w:trPr>
        <w:tc>
          <w:tcPr>
            <w:tcW w:w="83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Industrie</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Commerce</w:t>
            </w:r>
          </w:p>
        </w:tc>
        <w:tc>
          <w:tcPr>
            <w:tcW w:w="75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BTP</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4=Services</w:t>
            </w:r>
          </w:p>
        </w:tc>
        <w:tc>
          <w:tcPr>
            <w:tcW w:w="75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Agriculture</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6= Artisanat</w:t>
            </w:r>
          </w:p>
        </w:tc>
        <w:tc>
          <w:tcPr>
            <w:tcW w:w="90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7= Enseignement</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8=Pêche</w:t>
            </w:r>
          </w:p>
        </w:tc>
        <w:tc>
          <w:tcPr>
            <w:tcW w:w="174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9= Administration (autre que enseignement)</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10=Autre (Préciser)……………..……..</w:t>
            </w:r>
          </w:p>
        </w:tc>
      </w:tr>
    </w:tbl>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Quelle est la nature de votre activité ? : |__|</w:t>
      </w:r>
    </w:p>
    <w:tbl>
      <w:tblPr>
        <w:tblW w:w="0" w:type="auto"/>
        <w:jc w:val="center"/>
        <w:tblLook w:val="01E0"/>
      </w:tblPr>
      <w:tblGrid>
        <w:gridCol w:w="1586"/>
        <w:gridCol w:w="1249"/>
        <w:gridCol w:w="1504"/>
      </w:tblGrid>
      <w:tr w:rsidR="00886ADE" w:rsidRPr="00113477" w:rsidTr="00F361A9">
        <w:trPr>
          <w:jc w:val="center"/>
        </w:trPr>
        <w:tc>
          <w:tcPr>
            <w:tcW w:w="1586"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Formel</w:t>
            </w:r>
          </w:p>
        </w:tc>
        <w:tc>
          <w:tcPr>
            <w:tcW w:w="1249"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Informel</w:t>
            </w:r>
          </w:p>
        </w:tc>
        <w:tc>
          <w:tcPr>
            <w:tcW w:w="1504"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3=Sans objet</w:t>
            </w:r>
          </w:p>
        </w:tc>
      </w:tr>
    </w:tbl>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Quel est votre revenu mensuel moyen ? |__|</w:t>
      </w:r>
    </w:p>
    <w:tbl>
      <w:tblPr>
        <w:tblStyle w:val="Grilledutableau"/>
        <w:tblW w:w="0" w:type="auto"/>
        <w:tblInd w:w="426" w:type="dxa"/>
        <w:tblLook w:val="04A0"/>
      </w:tblPr>
      <w:tblGrid>
        <w:gridCol w:w="2306"/>
        <w:gridCol w:w="2295"/>
        <w:gridCol w:w="2169"/>
        <w:gridCol w:w="2410"/>
      </w:tblGrid>
      <w:tr w:rsidR="00886ADE" w:rsidRPr="00113477" w:rsidTr="00F361A9">
        <w:trPr>
          <w:trHeight w:val="340"/>
        </w:trPr>
        <w:tc>
          <w:tcPr>
            <w:tcW w:w="2306" w:type="dxa"/>
            <w:tcBorders>
              <w:top w:val="nil"/>
              <w:left w:val="nil"/>
              <w:bottom w:val="nil"/>
              <w:right w:val="nil"/>
            </w:tcBorders>
            <w:vAlign w:val="center"/>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50 000 ou Moins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 2</w:t>
            </w:r>
            <w:proofErr w:type="gramStart"/>
            <w:r w:rsidRPr="00113477">
              <w:rPr>
                <w:rFonts w:ascii="Book Antiqua" w:hAnsi="Book Antiqua"/>
                <w:i/>
                <w:sz w:val="20"/>
                <w:szCs w:val="20"/>
              </w:rPr>
              <w:t>= ]50</w:t>
            </w:r>
            <w:proofErr w:type="gramEnd"/>
            <w:r w:rsidRPr="00113477">
              <w:rPr>
                <w:rFonts w:ascii="Book Antiqua" w:hAnsi="Book Antiqua"/>
                <w:i/>
                <w:sz w:val="20"/>
                <w:szCs w:val="20"/>
              </w:rPr>
              <w:t> 000 ; 100 000]</w:t>
            </w:r>
          </w:p>
        </w:tc>
        <w:tc>
          <w:tcPr>
            <w:tcW w:w="2295" w:type="dxa"/>
            <w:tcBorders>
              <w:top w:val="nil"/>
              <w:left w:val="nil"/>
              <w:bottom w:val="nil"/>
              <w:right w:val="nil"/>
            </w:tcBorders>
            <w:vAlign w:val="center"/>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w:t>
            </w:r>
            <w:proofErr w:type="gramStart"/>
            <w:r w:rsidRPr="00113477">
              <w:rPr>
                <w:rFonts w:ascii="Book Antiqua" w:hAnsi="Book Antiqua"/>
                <w:i/>
                <w:sz w:val="20"/>
                <w:szCs w:val="20"/>
              </w:rPr>
              <w:t>]100</w:t>
            </w:r>
            <w:proofErr w:type="gramEnd"/>
            <w:r w:rsidRPr="00113477">
              <w:rPr>
                <w:rFonts w:ascii="Book Antiqua" w:hAnsi="Book Antiqua"/>
                <w:i/>
                <w:sz w:val="20"/>
                <w:szCs w:val="20"/>
              </w:rPr>
              <w:t> 000 ; 200 000]</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w:t>
            </w:r>
            <w:proofErr w:type="gramStart"/>
            <w:r w:rsidRPr="00113477">
              <w:rPr>
                <w:rFonts w:ascii="Book Antiqua" w:hAnsi="Book Antiqua"/>
                <w:i/>
                <w:sz w:val="20"/>
                <w:szCs w:val="20"/>
              </w:rPr>
              <w:t>]200</w:t>
            </w:r>
            <w:proofErr w:type="gramEnd"/>
            <w:r w:rsidRPr="00113477">
              <w:rPr>
                <w:rFonts w:ascii="Book Antiqua" w:hAnsi="Book Antiqua"/>
                <w:i/>
                <w:sz w:val="20"/>
                <w:szCs w:val="20"/>
              </w:rPr>
              <w:t> 000 ; 300 000]</w:t>
            </w:r>
          </w:p>
        </w:tc>
        <w:tc>
          <w:tcPr>
            <w:tcW w:w="2169" w:type="dxa"/>
            <w:tcBorders>
              <w:top w:val="nil"/>
              <w:left w:val="nil"/>
              <w:bottom w:val="nil"/>
              <w:right w:val="nil"/>
            </w:tcBorders>
            <w:vAlign w:val="center"/>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w:t>
            </w:r>
            <w:proofErr w:type="gramStart"/>
            <w:r w:rsidRPr="00113477">
              <w:rPr>
                <w:rFonts w:ascii="Book Antiqua" w:hAnsi="Book Antiqua"/>
                <w:i/>
                <w:sz w:val="20"/>
                <w:szCs w:val="20"/>
              </w:rPr>
              <w:t>]300</w:t>
            </w:r>
            <w:proofErr w:type="gramEnd"/>
            <w:r w:rsidRPr="00113477">
              <w:rPr>
                <w:rFonts w:ascii="Book Antiqua" w:hAnsi="Book Antiqua"/>
                <w:i/>
                <w:sz w:val="20"/>
                <w:szCs w:val="20"/>
              </w:rPr>
              <w:t> 000 ; 500 000]</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6=</w:t>
            </w:r>
            <w:proofErr w:type="gramStart"/>
            <w:r w:rsidRPr="00113477">
              <w:rPr>
                <w:rFonts w:ascii="Book Antiqua" w:hAnsi="Book Antiqua"/>
                <w:i/>
                <w:sz w:val="20"/>
                <w:szCs w:val="20"/>
              </w:rPr>
              <w:t>]500</w:t>
            </w:r>
            <w:proofErr w:type="gramEnd"/>
            <w:r w:rsidRPr="00113477">
              <w:rPr>
                <w:rFonts w:ascii="Book Antiqua" w:hAnsi="Book Antiqua"/>
                <w:i/>
                <w:sz w:val="20"/>
                <w:szCs w:val="20"/>
              </w:rPr>
              <w:t> 000 ; 1 million]</w:t>
            </w:r>
          </w:p>
        </w:tc>
        <w:tc>
          <w:tcPr>
            <w:tcW w:w="2410" w:type="dxa"/>
            <w:tcBorders>
              <w:top w:val="nil"/>
              <w:left w:val="nil"/>
              <w:bottom w:val="nil"/>
              <w:right w:val="nil"/>
            </w:tcBorders>
            <w:vAlign w:val="center"/>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7=</w:t>
            </w:r>
            <w:proofErr w:type="gramStart"/>
            <w:r w:rsidRPr="00113477">
              <w:rPr>
                <w:rFonts w:ascii="Book Antiqua" w:hAnsi="Book Antiqua"/>
                <w:i/>
                <w:sz w:val="20"/>
                <w:szCs w:val="20"/>
              </w:rPr>
              <w:t>]1</w:t>
            </w:r>
            <w:proofErr w:type="gramEnd"/>
            <w:r w:rsidRPr="00113477">
              <w:rPr>
                <w:rFonts w:ascii="Book Antiqua" w:hAnsi="Book Antiqua"/>
                <w:i/>
                <w:sz w:val="20"/>
                <w:szCs w:val="20"/>
              </w:rPr>
              <w:t xml:space="preserve"> million ; 1,5 million]</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8=Plus de 1,5 million</w:t>
            </w:r>
          </w:p>
        </w:tc>
      </w:tr>
    </w:tbl>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Veuillez préciser les banques où vous avez ouvert un compte (entourer les réponses) :</w:t>
      </w:r>
    </w:p>
    <w:tbl>
      <w:tblPr>
        <w:tblW w:w="10002" w:type="dxa"/>
        <w:jc w:val="center"/>
        <w:tblLook w:val="01E0"/>
      </w:tblPr>
      <w:tblGrid>
        <w:gridCol w:w="1426"/>
        <w:gridCol w:w="1378"/>
        <w:gridCol w:w="1309"/>
        <w:gridCol w:w="1222"/>
        <w:gridCol w:w="1682"/>
        <w:gridCol w:w="1596"/>
        <w:gridCol w:w="1389"/>
      </w:tblGrid>
      <w:tr w:rsidR="00886ADE" w:rsidRPr="00113477" w:rsidTr="00F361A9">
        <w:trPr>
          <w:jc w:val="center"/>
        </w:trPr>
        <w:tc>
          <w:tcPr>
            <w:tcW w:w="1426"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01= BA</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02= BHS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03= BICIS</w:t>
            </w:r>
          </w:p>
        </w:tc>
        <w:tc>
          <w:tcPr>
            <w:tcW w:w="1378"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04= BIMAO</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05= BIS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06=BNDE</w:t>
            </w:r>
          </w:p>
        </w:tc>
        <w:tc>
          <w:tcPr>
            <w:tcW w:w="1309"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07= BOA</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08= BRM</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09= BSIC</w:t>
            </w:r>
          </w:p>
        </w:tc>
        <w:tc>
          <w:tcPr>
            <w:tcW w:w="1222"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10= CBAO</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11= CDS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12= CI</w:t>
            </w:r>
          </w:p>
        </w:tc>
        <w:tc>
          <w:tcPr>
            <w:tcW w:w="1682"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13=CITIBANK</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14= CNCAS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15= DIAMOND</w:t>
            </w:r>
          </w:p>
        </w:tc>
        <w:tc>
          <w:tcPr>
            <w:tcW w:w="1596" w:type="dxa"/>
          </w:tcPr>
          <w:p w:rsidR="00886ADE" w:rsidRPr="00113477" w:rsidRDefault="00886ADE" w:rsidP="00886ADE">
            <w:pPr>
              <w:contextualSpacing/>
              <w:rPr>
                <w:rFonts w:ascii="Book Antiqua" w:hAnsi="Book Antiqua"/>
                <w:i/>
                <w:sz w:val="20"/>
                <w:szCs w:val="20"/>
                <w:lang w:val="en-US"/>
              </w:rPr>
            </w:pPr>
            <w:r w:rsidRPr="00113477">
              <w:rPr>
                <w:rFonts w:ascii="Book Antiqua" w:hAnsi="Book Antiqua"/>
                <w:i/>
                <w:sz w:val="20"/>
                <w:szCs w:val="20"/>
              </w:rPr>
              <w:t xml:space="preserve">16= </w:t>
            </w:r>
            <w:r w:rsidRPr="00113477">
              <w:rPr>
                <w:rFonts w:ascii="Book Antiqua" w:hAnsi="Book Antiqua"/>
                <w:i/>
                <w:sz w:val="20"/>
                <w:szCs w:val="20"/>
                <w:lang w:val="en-US"/>
              </w:rPr>
              <w:t>ECOBANK</w:t>
            </w:r>
          </w:p>
          <w:p w:rsidR="00886ADE" w:rsidRPr="00113477" w:rsidRDefault="00886ADE" w:rsidP="00886ADE">
            <w:pPr>
              <w:contextualSpacing/>
              <w:rPr>
                <w:rFonts w:ascii="Book Antiqua" w:hAnsi="Book Antiqua"/>
                <w:i/>
                <w:sz w:val="20"/>
                <w:szCs w:val="20"/>
                <w:lang w:val="en-US"/>
              </w:rPr>
            </w:pPr>
            <w:r w:rsidRPr="00113477">
              <w:rPr>
                <w:rFonts w:ascii="Book Antiqua" w:hAnsi="Book Antiqua"/>
                <w:i/>
                <w:sz w:val="20"/>
                <w:szCs w:val="20"/>
                <w:lang w:val="en-US"/>
              </w:rPr>
              <w:t xml:space="preserve">17= ORABANK </w:t>
            </w:r>
          </w:p>
          <w:p w:rsidR="00886ADE" w:rsidRDefault="00886ADE" w:rsidP="00886ADE">
            <w:pPr>
              <w:contextualSpacing/>
              <w:rPr>
                <w:rFonts w:ascii="Book Antiqua" w:hAnsi="Book Antiqua"/>
                <w:i/>
                <w:sz w:val="20"/>
                <w:szCs w:val="20"/>
                <w:lang w:val="en-US"/>
              </w:rPr>
            </w:pPr>
            <w:r w:rsidRPr="00113477">
              <w:rPr>
                <w:rFonts w:ascii="Book Antiqua" w:hAnsi="Book Antiqua"/>
                <w:i/>
                <w:sz w:val="20"/>
                <w:szCs w:val="20"/>
                <w:lang w:val="en-US"/>
              </w:rPr>
              <w:t>18= ICB</w:t>
            </w:r>
          </w:p>
          <w:p w:rsidR="00F361A9" w:rsidRPr="00113477" w:rsidRDefault="00F361A9" w:rsidP="00886ADE">
            <w:pPr>
              <w:contextualSpacing/>
              <w:rPr>
                <w:rFonts w:ascii="Book Antiqua" w:hAnsi="Book Antiqua"/>
                <w:i/>
                <w:sz w:val="20"/>
                <w:szCs w:val="20"/>
                <w:lang w:val="en-US"/>
              </w:rPr>
            </w:pPr>
          </w:p>
        </w:tc>
        <w:tc>
          <w:tcPr>
            <w:tcW w:w="1389" w:type="dxa"/>
          </w:tcPr>
          <w:p w:rsidR="00886ADE" w:rsidRPr="00113477" w:rsidRDefault="00886ADE" w:rsidP="00886ADE">
            <w:pPr>
              <w:contextualSpacing/>
              <w:rPr>
                <w:rFonts w:ascii="Book Antiqua" w:hAnsi="Book Antiqua"/>
                <w:i/>
                <w:sz w:val="20"/>
                <w:szCs w:val="20"/>
                <w:lang w:val="en-US"/>
              </w:rPr>
            </w:pPr>
            <w:r w:rsidRPr="00113477">
              <w:rPr>
                <w:rFonts w:ascii="Book Antiqua" w:hAnsi="Book Antiqua"/>
                <w:i/>
                <w:sz w:val="20"/>
                <w:szCs w:val="20"/>
                <w:lang w:val="en-US"/>
              </w:rPr>
              <w:t>19= SGBS</w:t>
            </w:r>
          </w:p>
          <w:p w:rsidR="00886ADE" w:rsidRPr="00113477" w:rsidRDefault="00886ADE" w:rsidP="00886ADE">
            <w:pPr>
              <w:contextualSpacing/>
              <w:rPr>
                <w:rFonts w:ascii="Book Antiqua" w:hAnsi="Book Antiqua"/>
                <w:i/>
                <w:sz w:val="20"/>
                <w:szCs w:val="20"/>
                <w:lang w:val="en-US"/>
              </w:rPr>
            </w:pPr>
            <w:r w:rsidRPr="00113477">
              <w:rPr>
                <w:rFonts w:ascii="Book Antiqua" w:hAnsi="Book Antiqua"/>
                <w:i/>
                <w:sz w:val="20"/>
                <w:szCs w:val="20"/>
                <w:lang w:val="en-US"/>
              </w:rPr>
              <w:t>20= UBA</w:t>
            </w:r>
          </w:p>
        </w:tc>
      </w:tr>
    </w:tbl>
    <w:p w:rsidR="004279A3" w:rsidRDefault="004279A3" w:rsidP="00886ADE">
      <w:pPr>
        <w:autoSpaceDE w:val="0"/>
        <w:autoSpaceDN w:val="0"/>
        <w:adjustRightInd w:val="0"/>
        <w:contextualSpacing/>
        <w:rPr>
          <w:rFonts w:ascii="Book Antiqua" w:hAnsi="Book Antiqua"/>
          <w:sz w:val="20"/>
          <w:szCs w:val="20"/>
          <w:highlight w:val="green"/>
          <w:lang w:val="en-US"/>
        </w:rPr>
      </w:pPr>
    </w:p>
    <w:p w:rsidR="00886ADE" w:rsidRPr="00113477" w:rsidRDefault="004279A3" w:rsidP="004279A3">
      <w:pPr>
        <w:spacing w:after="200" w:line="276" w:lineRule="auto"/>
        <w:rPr>
          <w:rFonts w:ascii="Book Antiqua" w:hAnsi="Book Antiqua"/>
          <w:sz w:val="20"/>
          <w:szCs w:val="20"/>
          <w:highlight w:val="green"/>
          <w:lang w:val="en-US"/>
        </w:rPr>
      </w:pPr>
      <w:r>
        <w:rPr>
          <w:rFonts w:ascii="Book Antiqua" w:hAnsi="Book Antiqua"/>
          <w:sz w:val="20"/>
          <w:szCs w:val="20"/>
          <w:highlight w:val="green"/>
          <w:lang w:val="en-US"/>
        </w:rPr>
        <w:br w:type="page"/>
      </w: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lastRenderedPageBreak/>
        <w:t>Dans quelle banque votre compte chèque  principal est-il domicilié ?</w:t>
      </w:r>
      <w:r w:rsidR="00F361A9">
        <w:rPr>
          <w:rFonts w:ascii="Book Antiqua" w:hAnsi="Book Antiqua"/>
          <w:sz w:val="20"/>
          <w:szCs w:val="20"/>
        </w:rPr>
        <w:t xml:space="preserve"> </w:t>
      </w:r>
      <w:proofErr w:type="gramStart"/>
      <w:r w:rsidRPr="00113477">
        <w:rPr>
          <w:rFonts w:ascii="Book Antiqua" w:hAnsi="Book Antiqua"/>
          <w:sz w:val="20"/>
          <w:szCs w:val="20"/>
        </w:rPr>
        <w:t>|</w:t>
      </w:r>
      <w:proofErr w:type="gramEnd"/>
      <w:r w:rsidRPr="00113477">
        <w:rPr>
          <w:rFonts w:ascii="Book Antiqua" w:hAnsi="Book Antiqua"/>
          <w:sz w:val="20"/>
          <w:szCs w:val="20"/>
        </w:rPr>
        <w:t>__|__|</w:t>
      </w:r>
    </w:p>
    <w:tbl>
      <w:tblPr>
        <w:tblW w:w="0" w:type="auto"/>
        <w:jc w:val="center"/>
        <w:tblLook w:val="01E0"/>
      </w:tblPr>
      <w:tblGrid>
        <w:gridCol w:w="1426"/>
        <w:gridCol w:w="1378"/>
        <w:gridCol w:w="1309"/>
        <w:gridCol w:w="1222"/>
        <w:gridCol w:w="1682"/>
        <w:gridCol w:w="1392"/>
        <w:gridCol w:w="1389"/>
      </w:tblGrid>
      <w:tr w:rsidR="00886ADE" w:rsidRPr="00113477" w:rsidTr="00886ADE">
        <w:trPr>
          <w:jc w:val="center"/>
        </w:trPr>
        <w:tc>
          <w:tcPr>
            <w:tcW w:w="1491"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01= BA</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02= BHS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03= BICIS</w:t>
            </w:r>
          </w:p>
        </w:tc>
        <w:tc>
          <w:tcPr>
            <w:tcW w:w="1405"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04= BIMAO</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05= BIS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06=BNDE</w:t>
            </w:r>
          </w:p>
        </w:tc>
        <w:tc>
          <w:tcPr>
            <w:tcW w:w="1369"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07= BOA</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08= BRM</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09= BSIC</w:t>
            </w:r>
          </w:p>
        </w:tc>
        <w:tc>
          <w:tcPr>
            <w:tcW w:w="1264"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10= CBAO</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11= CDS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12= CI</w:t>
            </w:r>
          </w:p>
        </w:tc>
        <w:tc>
          <w:tcPr>
            <w:tcW w:w="1701"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13=CITIBANK</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14= CNCAS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15= DIAMOND</w:t>
            </w:r>
          </w:p>
        </w:tc>
        <w:tc>
          <w:tcPr>
            <w:tcW w:w="1409" w:type="dxa"/>
          </w:tcPr>
          <w:p w:rsidR="00886ADE" w:rsidRPr="00113477" w:rsidRDefault="00886ADE" w:rsidP="00886ADE">
            <w:pPr>
              <w:contextualSpacing/>
              <w:rPr>
                <w:rFonts w:ascii="Book Antiqua" w:hAnsi="Book Antiqua"/>
                <w:i/>
                <w:sz w:val="20"/>
                <w:szCs w:val="20"/>
                <w:lang w:val="en-US"/>
              </w:rPr>
            </w:pPr>
            <w:r w:rsidRPr="00113477">
              <w:rPr>
                <w:rFonts w:ascii="Book Antiqua" w:hAnsi="Book Antiqua"/>
                <w:i/>
                <w:sz w:val="20"/>
                <w:szCs w:val="20"/>
              </w:rPr>
              <w:t xml:space="preserve">16= </w:t>
            </w:r>
            <w:r w:rsidRPr="00113477">
              <w:rPr>
                <w:rFonts w:ascii="Book Antiqua" w:hAnsi="Book Antiqua"/>
                <w:i/>
                <w:sz w:val="20"/>
                <w:szCs w:val="20"/>
                <w:lang w:val="en-US"/>
              </w:rPr>
              <w:t>ECOBANK</w:t>
            </w:r>
          </w:p>
          <w:p w:rsidR="00886ADE" w:rsidRPr="00113477" w:rsidRDefault="00886ADE" w:rsidP="00886ADE">
            <w:pPr>
              <w:contextualSpacing/>
              <w:rPr>
                <w:rFonts w:ascii="Book Antiqua" w:hAnsi="Book Antiqua"/>
                <w:i/>
                <w:sz w:val="20"/>
                <w:szCs w:val="20"/>
                <w:lang w:val="en-US"/>
              </w:rPr>
            </w:pPr>
            <w:r w:rsidRPr="00113477">
              <w:rPr>
                <w:rFonts w:ascii="Book Antiqua" w:hAnsi="Book Antiqua"/>
                <w:i/>
                <w:sz w:val="20"/>
                <w:szCs w:val="20"/>
                <w:lang w:val="en-US"/>
              </w:rPr>
              <w:t xml:space="preserve">17= ORABANK </w:t>
            </w:r>
          </w:p>
          <w:p w:rsidR="00886ADE" w:rsidRPr="00113477" w:rsidRDefault="00886ADE" w:rsidP="00886ADE">
            <w:pPr>
              <w:contextualSpacing/>
              <w:rPr>
                <w:rFonts w:ascii="Book Antiqua" w:hAnsi="Book Antiqua"/>
                <w:i/>
                <w:sz w:val="20"/>
                <w:szCs w:val="20"/>
                <w:lang w:val="en-US"/>
              </w:rPr>
            </w:pPr>
            <w:r w:rsidRPr="00113477">
              <w:rPr>
                <w:rFonts w:ascii="Book Antiqua" w:hAnsi="Book Antiqua"/>
                <w:i/>
                <w:sz w:val="20"/>
                <w:szCs w:val="20"/>
                <w:lang w:val="en-US"/>
              </w:rPr>
              <w:t>18= ICB</w:t>
            </w:r>
          </w:p>
        </w:tc>
        <w:tc>
          <w:tcPr>
            <w:tcW w:w="1453" w:type="dxa"/>
          </w:tcPr>
          <w:p w:rsidR="00886ADE" w:rsidRPr="00113477" w:rsidRDefault="00886ADE" w:rsidP="00886ADE">
            <w:pPr>
              <w:contextualSpacing/>
              <w:rPr>
                <w:rFonts w:ascii="Book Antiqua" w:hAnsi="Book Antiqua"/>
                <w:i/>
                <w:sz w:val="20"/>
                <w:szCs w:val="20"/>
                <w:lang w:val="en-US"/>
              </w:rPr>
            </w:pPr>
            <w:r w:rsidRPr="00113477">
              <w:rPr>
                <w:rFonts w:ascii="Book Antiqua" w:hAnsi="Book Antiqua"/>
                <w:i/>
                <w:sz w:val="20"/>
                <w:szCs w:val="20"/>
                <w:lang w:val="en-US"/>
              </w:rPr>
              <w:t>19= SGBS</w:t>
            </w:r>
          </w:p>
          <w:p w:rsidR="00886ADE" w:rsidRPr="00113477" w:rsidRDefault="00886ADE" w:rsidP="00886ADE">
            <w:pPr>
              <w:contextualSpacing/>
              <w:rPr>
                <w:rFonts w:ascii="Book Antiqua" w:hAnsi="Book Antiqua"/>
                <w:i/>
                <w:sz w:val="20"/>
                <w:szCs w:val="20"/>
                <w:lang w:val="en-US"/>
              </w:rPr>
            </w:pPr>
            <w:r w:rsidRPr="00113477">
              <w:rPr>
                <w:rFonts w:ascii="Book Antiqua" w:hAnsi="Book Antiqua"/>
                <w:i/>
                <w:sz w:val="20"/>
                <w:szCs w:val="20"/>
                <w:lang w:val="en-US"/>
              </w:rPr>
              <w:t>20= UBA</w:t>
            </w:r>
          </w:p>
        </w:tc>
      </w:tr>
    </w:tbl>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Depuis combien de temps êtes-vous client de cette banque ? |__|</w:t>
      </w:r>
    </w:p>
    <w:tbl>
      <w:tblPr>
        <w:tblW w:w="4609" w:type="pct"/>
        <w:tblInd w:w="804" w:type="dxa"/>
        <w:tblLook w:val="01E0"/>
      </w:tblPr>
      <w:tblGrid>
        <w:gridCol w:w="2036"/>
        <w:gridCol w:w="2296"/>
        <w:gridCol w:w="2294"/>
        <w:gridCol w:w="2406"/>
      </w:tblGrid>
      <w:tr w:rsidR="00886ADE" w:rsidRPr="00113477" w:rsidTr="00886ADE">
        <w:tc>
          <w:tcPr>
            <w:tcW w:w="112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moins d’un an</w:t>
            </w:r>
          </w:p>
        </w:tc>
        <w:tc>
          <w:tcPr>
            <w:tcW w:w="127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 xml:space="preserve">2= entre 1 et 5 ans </w:t>
            </w:r>
          </w:p>
        </w:tc>
        <w:tc>
          <w:tcPr>
            <w:tcW w:w="127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3=Entre 6 et 10 ans</w:t>
            </w:r>
          </w:p>
        </w:tc>
        <w:tc>
          <w:tcPr>
            <w:tcW w:w="133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4=plus de 10 ans</w:t>
            </w:r>
          </w:p>
        </w:tc>
      </w:tr>
    </w:tbl>
    <w:p w:rsidR="00886ADE" w:rsidRPr="00113477" w:rsidRDefault="00886ADE" w:rsidP="00886ADE">
      <w:pPr>
        <w:autoSpaceDE w:val="0"/>
        <w:autoSpaceDN w:val="0"/>
        <w:adjustRightInd w:val="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Vous disposez de quel type de compte d’épargne ?</w:t>
      </w:r>
      <w:r w:rsidR="00F361A9" w:rsidRPr="00113477">
        <w:rPr>
          <w:rFonts w:ascii="Book Antiqua" w:hAnsi="Book Antiqua"/>
          <w:sz w:val="20"/>
          <w:szCs w:val="20"/>
        </w:rPr>
        <w:t xml:space="preserve"> </w:t>
      </w:r>
      <w:proofErr w:type="gramStart"/>
      <w:r w:rsidRPr="00113477">
        <w:rPr>
          <w:rFonts w:ascii="Book Antiqua" w:hAnsi="Book Antiqua"/>
          <w:sz w:val="20"/>
          <w:szCs w:val="20"/>
        </w:rPr>
        <w:t>|</w:t>
      </w:r>
      <w:proofErr w:type="gramEnd"/>
      <w:r w:rsidRPr="00113477">
        <w:rPr>
          <w:rFonts w:ascii="Book Antiqua" w:hAnsi="Book Antiqua"/>
          <w:sz w:val="20"/>
          <w:szCs w:val="20"/>
        </w:rPr>
        <w:t>__|</w:t>
      </w:r>
    </w:p>
    <w:tbl>
      <w:tblPr>
        <w:tblW w:w="5449" w:type="pct"/>
        <w:jc w:val="center"/>
        <w:tblLook w:val="01E0"/>
      </w:tblPr>
      <w:tblGrid>
        <w:gridCol w:w="1671"/>
        <w:gridCol w:w="1246"/>
        <w:gridCol w:w="888"/>
        <w:gridCol w:w="1002"/>
        <w:gridCol w:w="2567"/>
        <w:gridCol w:w="3304"/>
      </w:tblGrid>
      <w:tr w:rsidR="00886ADE" w:rsidRPr="00113477" w:rsidTr="00F361A9">
        <w:trPr>
          <w:jc w:val="center"/>
        </w:trPr>
        <w:tc>
          <w:tcPr>
            <w:tcW w:w="78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épargne à vue</w:t>
            </w:r>
          </w:p>
        </w:tc>
        <w:tc>
          <w:tcPr>
            <w:tcW w:w="58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DAT</w:t>
            </w:r>
          </w:p>
        </w:tc>
        <w:tc>
          <w:tcPr>
            <w:tcW w:w="41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PEL</w:t>
            </w:r>
          </w:p>
        </w:tc>
        <w:tc>
          <w:tcPr>
            <w:tcW w:w="46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PEP</w:t>
            </w:r>
          </w:p>
        </w:tc>
        <w:tc>
          <w:tcPr>
            <w:tcW w:w="120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 xml:space="preserve">5= Pas de compte d’épargne </w:t>
            </w:r>
          </w:p>
        </w:tc>
        <w:tc>
          <w:tcPr>
            <w:tcW w:w="154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6= Autre (Préciser)…………….</w:t>
            </w:r>
          </w:p>
        </w:tc>
      </w:tr>
    </w:tbl>
    <w:p w:rsidR="00886ADE" w:rsidRDefault="00886ADE" w:rsidP="00886ADE">
      <w:pPr>
        <w:contextualSpacing/>
        <w:rPr>
          <w:rFonts w:ascii="Book Antiqua" w:hAnsi="Book Antiqua"/>
          <w:b/>
          <w:bCs/>
          <w:sz w:val="20"/>
          <w:szCs w:val="20"/>
        </w:rPr>
      </w:pPr>
    </w:p>
    <w:p w:rsidR="004279A3" w:rsidRPr="00113477" w:rsidRDefault="004279A3" w:rsidP="00886ADE">
      <w:pPr>
        <w:contextualSpacing/>
        <w:rPr>
          <w:rFonts w:ascii="Book Antiqua" w:hAnsi="Book Antiqua"/>
          <w:b/>
          <w:bCs/>
          <w:sz w:val="20"/>
          <w:szCs w:val="20"/>
        </w:rPr>
      </w:pPr>
    </w:p>
    <w:p w:rsidR="00886ADE" w:rsidRPr="00113477" w:rsidRDefault="00886ADE" w:rsidP="004272B8">
      <w:pPr>
        <w:numPr>
          <w:ilvl w:val="0"/>
          <w:numId w:val="60"/>
        </w:numPr>
        <w:contextualSpacing/>
        <w:rPr>
          <w:rFonts w:ascii="Book Antiqua" w:hAnsi="Book Antiqua"/>
          <w:b/>
          <w:bCs/>
          <w:sz w:val="20"/>
          <w:szCs w:val="20"/>
        </w:rPr>
      </w:pPr>
      <w:r w:rsidRPr="00113477">
        <w:rPr>
          <w:rFonts w:ascii="Book Antiqua" w:hAnsi="Book Antiqua"/>
          <w:b/>
          <w:bCs/>
          <w:sz w:val="20"/>
          <w:szCs w:val="20"/>
        </w:rPr>
        <w:t>SATISFACTION SUR L’OFFRE DE SERVICES</w:t>
      </w: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Avez-vous déjà eu à changer de banque ? |__|</w:t>
      </w:r>
    </w:p>
    <w:tbl>
      <w:tblPr>
        <w:tblW w:w="3090" w:type="pct"/>
        <w:jc w:val="center"/>
        <w:tblLook w:val="01E0"/>
      </w:tblPr>
      <w:tblGrid>
        <w:gridCol w:w="1548"/>
        <w:gridCol w:w="1480"/>
        <w:gridCol w:w="1927"/>
        <w:gridCol w:w="1100"/>
      </w:tblGrid>
      <w:tr w:rsidR="00886ADE" w:rsidRPr="00113477" w:rsidTr="00886ADE">
        <w:trPr>
          <w:jc w:val="center"/>
        </w:trPr>
        <w:tc>
          <w:tcPr>
            <w:tcW w:w="127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 1 fois</w:t>
            </w:r>
          </w:p>
        </w:tc>
        <w:tc>
          <w:tcPr>
            <w:tcW w:w="122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2=Oui, 2 fois</w:t>
            </w:r>
          </w:p>
        </w:tc>
        <w:tc>
          <w:tcPr>
            <w:tcW w:w="159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Oui, Plus de 2 fois</w:t>
            </w:r>
          </w:p>
        </w:tc>
        <w:tc>
          <w:tcPr>
            <w:tcW w:w="90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Non</w:t>
            </w:r>
          </w:p>
        </w:tc>
      </w:tr>
    </w:tbl>
    <w:p w:rsidR="00886ADE" w:rsidRPr="00113477" w:rsidRDefault="00886ADE" w:rsidP="00886ADE">
      <w:pPr>
        <w:spacing w:before="120"/>
        <w:ind w:left="720"/>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veuillez préciser :</w:t>
      </w: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En quelle(s) année(s).</w:t>
      </w:r>
    </w:p>
    <w:tbl>
      <w:tblPr>
        <w:tblW w:w="3793" w:type="pct"/>
        <w:jc w:val="center"/>
        <w:tblLook w:val="01E0"/>
      </w:tblPr>
      <w:tblGrid>
        <w:gridCol w:w="1108"/>
        <w:gridCol w:w="1040"/>
        <w:gridCol w:w="1041"/>
        <w:gridCol w:w="1041"/>
        <w:gridCol w:w="1041"/>
        <w:gridCol w:w="2162"/>
      </w:tblGrid>
      <w:tr w:rsidR="00886ADE" w:rsidRPr="00113477" w:rsidTr="00886ADE">
        <w:trPr>
          <w:jc w:val="center"/>
        </w:trPr>
        <w:tc>
          <w:tcPr>
            <w:tcW w:w="74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2015</w:t>
            </w:r>
          </w:p>
        </w:tc>
        <w:tc>
          <w:tcPr>
            <w:tcW w:w="70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2014</w:t>
            </w:r>
          </w:p>
        </w:tc>
        <w:tc>
          <w:tcPr>
            <w:tcW w:w="70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2013</w:t>
            </w:r>
          </w:p>
        </w:tc>
        <w:tc>
          <w:tcPr>
            <w:tcW w:w="70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2012</w:t>
            </w:r>
          </w:p>
        </w:tc>
        <w:tc>
          <w:tcPr>
            <w:tcW w:w="70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5=2011</w:t>
            </w:r>
          </w:p>
        </w:tc>
        <w:tc>
          <w:tcPr>
            <w:tcW w:w="145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6=2010 ou Avant</w:t>
            </w:r>
          </w:p>
        </w:tc>
      </w:tr>
    </w:tbl>
    <w:p w:rsidR="00886ADE" w:rsidRDefault="00886ADE" w:rsidP="004279A3">
      <w:pPr>
        <w:numPr>
          <w:ilvl w:val="1"/>
          <w:numId w:val="61"/>
        </w:numPr>
        <w:spacing w:before="120"/>
        <w:ind w:left="788" w:hanging="431"/>
        <w:rPr>
          <w:rFonts w:ascii="Book Antiqua" w:hAnsi="Book Antiqua"/>
          <w:sz w:val="20"/>
          <w:szCs w:val="20"/>
        </w:rPr>
      </w:pPr>
      <w:r w:rsidRPr="00113477">
        <w:rPr>
          <w:rFonts w:ascii="Book Antiqua" w:hAnsi="Book Antiqua"/>
          <w:sz w:val="20"/>
          <w:szCs w:val="20"/>
        </w:rPr>
        <w:t>Pour quelle(s) raison(s) ? (</w:t>
      </w:r>
      <w:r w:rsidRPr="00113477">
        <w:rPr>
          <w:rFonts w:ascii="Book Antiqua" w:hAnsi="Book Antiqua"/>
          <w:i/>
          <w:sz w:val="20"/>
          <w:szCs w:val="20"/>
        </w:rPr>
        <w:t>encerclez la ou les réponses</w:t>
      </w:r>
      <w:r w:rsidRPr="00113477">
        <w:rPr>
          <w:rFonts w:ascii="Book Antiqua" w:hAnsi="Book Antiqua"/>
          <w:sz w:val="20"/>
          <w:szCs w:val="20"/>
        </w:rPr>
        <w:t>)</w:t>
      </w:r>
    </w:p>
    <w:p w:rsidR="00A20548" w:rsidRPr="00113477" w:rsidRDefault="00A20548" w:rsidP="00A20548">
      <w:pPr>
        <w:ind w:left="792"/>
        <w:contextualSpacing/>
        <w:rPr>
          <w:rFonts w:ascii="Book Antiqua" w:hAnsi="Book Antiqua"/>
          <w:sz w:val="20"/>
          <w:szCs w:val="20"/>
        </w:rPr>
      </w:pPr>
    </w:p>
    <w:tbl>
      <w:tblPr>
        <w:tblW w:w="5486" w:type="pct"/>
        <w:tblInd w:w="-426" w:type="dxa"/>
        <w:tblLayout w:type="fixed"/>
        <w:tblLook w:val="01E0"/>
      </w:tblPr>
      <w:tblGrid>
        <w:gridCol w:w="2341"/>
        <w:gridCol w:w="3154"/>
        <w:gridCol w:w="2535"/>
        <w:gridCol w:w="2720"/>
      </w:tblGrid>
      <w:tr w:rsidR="00886ADE" w:rsidRPr="00113477" w:rsidTr="00A20548">
        <w:tc>
          <w:tcPr>
            <w:tcW w:w="108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Qualité de l’accueil</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Inadaptation des produits</w:t>
            </w:r>
          </w:p>
        </w:tc>
        <w:tc>
          <w:tcPr>
            <w:tcW w:w="146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Non-conformité des produits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Difficultés d’obtention du crédit</w:t>
            </w:r>
          </w:p>
        </w:tc>
        <w:tc>
          <w:tcPr>
            <w:tcW w:w="117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Litige</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6= Réclamation non satisfaite</w:t>
            </w:r>
          </w:p>
        </w:tc>
        <w:tc>
          <w:tcPr>
            <w:tcW w:w="126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7=Rachat de crédit</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8=Coût élevé des services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9=Autre (Préciser)……….............…….</w:t>
            </w:r>
          </w:p>
        </w:tc>
      </w:tr>
    </w:tbl>
    <w:p w:rsidR="00886ADE" w:rsidRPr="00113477" w:rsidRDefault="00886ADE" w:rsidP="004272B8">
      <w:pPr>
        <w:numPr>
          <w:ilvl w:val="1"/>
          <w:numId w:val="61"/>
        </w:numPr>
        <w:ind w:left="788" w:hanging="431"/>
        <w:contextualSpacing/>
        <w:rPr>
          <w:rFonts w:ascii="Book Antiqua" w:hAnsi="Book Antiqua"/>
          <w:sz w:val="20"/>
          <w:szCs w:val="20"/>
        </w:rPr>
      </w:pPr>
      <w:r w:rsidRPr="00113477">
        <w:rPr>
          <w:rFonts w:ascii="Book Antiqua" w:hAnsi="Book Antiqua"/>
          <w:sz w:val="20"/>
          <w:szCs w:val="20"/>
        </w:rPr>
        <w:t>Comment jugez-vous l’attitude de votre banque initiale face à</w:t>
      </w:r>
      <w:r w:rsidR="009614F1" w:rsidRPr="00113477">
        <w:rPr>
          <w:rFonts w:ascii="Book Antiqua" w:hAnsi="Book Antiqua"/>
          <w:sz w:val="20"/>
          <w:szCs w:val="20"/>
        </w:rPr>
        <w:t xml:space="preserve"> </w:t>
      </w:r>
      <w:r w:rsidR="00A20548">
        <w:rPr>
          <w:rFonts w:ascii="Book Antiqua" w:hAnsi="Book Antiqua"/>
          <w:sz w:val="20"/>
          <w:szCs w:val="20"/>
        </w:rPr>
        <w:t>votre volonté de la quitter ?</w:t>
      </w:r>
      <w:r w:rsidRPr="00113477">
        <w:rPr>
          <w:rFonts w:ascii="Book Antiqua" w:hAnsi="Book Antiqua"/>
          <w:sz w:val="20"/>
          <w:szCs w:val="20"/>
        </w:rPr>
        <w:t>|__|</w:t>
      </w:r>
    </w:p>
    <w:tbl>
      <w:tblPr>
        <w:tblW w:w="4222" w:type="pct"/>
        <w:tblInd w:w="959" w:type="dxa"/>
        <w:tblLook w:val="01E0"/>
      </w:tblPr>
      <w:tblGrid>
        <w:gridCol w:w="1824"/>
        <w:gridCol w:w="1514"/>
        <w:gridCol w:w="2048"/>
        <w:gridCol w:w="2887"/>
      </w:tblGrid>
      <w:tr w:rsidR="00886ADE" w:rsidRPr="00113477" w:rsidTr="004279A3">
        <w:tc>
          <w:tcPr>
            <w:tcW w:w="110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coopérative</w:t>
            </w:r>
          </w:p>
        </w:tc>
        <w:tc>
          <w:tcPr>
            <w:tcW w:w="91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coopérative</w:t>
            </w:r>
          </w:p>
        </w:tc>
        <w:tc>
          <w:tcPr>
            <w:tcW w:w="123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 xml:space="preserve">3=Pas coopérative </w:t>
            </w:r>
          </w:p>
        </w:tc>
        <w:tc>
          <w:tcPr>
            <w:tcW w:w="174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Pas du tout coopérative</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ind w:left="357" w:hanging="357"/>
        <w:contextualSpacing/>
        <w:rPr>
          <w:rFonts w:ascii="Book Antiqua" w:hAnsi="Book Antiqua"/>
          <w:sz w:val="20"/>
          <w:szCs w:val="20"/>
        </w:rPr>
      </w:pPr>
      <w:r w:rsidRPr="00113477">
        <w:rPr>
          <w:rFonts w:ascii="Book Antiqua" w:hAnsi="Book Antiqua"/>
          <w:sz w:val="20"/>
          <w:szCs w:val="20"/>
        </w:rPr>
        <w:t>Avez-vous déjà eu un litige avec votre banque ?|__|</w:t>
      </w:r>
    </w:p>
    <w:tbl>
      <w:tblPr>
        <w:tblW w:w="3090" w:type="pct"/>
        <w:tblLook w:val="01E0"/>
      </w:tblPr>
      <w:tblGrid>
        <w:gridCol w:w="1548"/>
        <w:gridCol w:w="1480"/>
        <w:gridCol w:w="1927"/>
        <w:gridCol w:w="1100"/>
      </w:tblGrid>
      <w:tr w:rsidR="00886ADE" w:rsidRPr="00113477" w:rsidTr="00886ADE">
        <w:tc>
          <w:tcPr>
            <w:tcW w:w="127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 1 fois</w:t>
            </w:r>
          </w:p>
        </w:tc>
        <w:tc>
          <w:tcPr>
            <w:tcW w:w="122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2=Oui, 2 fois</w:t>
            </w:r>
          </w:p>
        </w:tc>
        <w:tc>
          <w:tcPr>
            <w:tcW w:w="159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Oui, Plus de 2 fois</w:t>
            </w:r>
          </w:p>
        </w:tc>
        <w:tc>
          <w:tcPr>
            <w:tcW w:w="90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Non</w:t>
            </w:r>
          </w:p>
        </w:tc>
      </w:tr>
    </w:tbl>
    <w:p w:rsidR="00886ADE" w:rsidRPr="00113477" w:rsidRDefault="00886ADE" w:rsidP="00886ADE">
      <w:pPr>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veuillez préciser :</w:t>
      </w: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En quelle(s) année(s).</w:t>
      </w:r>
    </w:p>
    <w:tbl>
      <w:tblPr>
        <w:tblW w:w="3793" w:type="pct"/>
        <w:jc w:val="center"/>
        <w:tblLook w:val="01E0"/>
      </w:tblPr>
      <w:tblGrid>
        <w:gridCol w:w="1108"/>
        <w:gridCol w:w="1040"/>
        <w:gridCol w:w="1041"/>
        <w:gridCol w:w="1041"/>
        <w:gridCol w:w="1041"/>
        <w:gridCol w:w="2162"/>
      </w:tblGrid>
      <w:tr w:rsidR="00886ADE" w:rsidRPr="00113477" w:rsidTr="00886ADE">
        <w:trPr>
          <w:jc w:val="center"/>
        </w:trPr>
        <w:tc>
          <w:tcPr>
            <w:tcW w:w="74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2015</w:t>
            </w:r>
          </w:p>
        </w:tc>
        <w:tc>
          <w:tcPr>
            <w:tcW w:w="70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2014</w:t>
            </w:r>
          </w:p>
        </w:tc>
        <w:tc>
          <w:tcPr>
            <w:tcW w:w="70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2013</w:t>
            </w:r>
          </w:p>
        </w:tc>
        <w:tc>
          <w:tcPr>
            <w:tcW w:w="70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2012</w:t>
            </w:r>
          </w:p>
        </w:tc>
        <w:tc>
          <w:tcPr>
            <w:tcW w:w="70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5=2011</w:t>
            </w:r>
          </w:p>
        </w:tc>
        <w:tc>
          <w:tcPr>
            <w:tcW w:w="145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6=2010 ou Avant</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Le(s)objet(s) de ce(s) litige(s).</w:t>
      </w:r>
    </w:p>
    <w:tbl>
      <w:tblPr>
        <w:tblW w:w="4660" w:type="pct"/>
        <w:tblInd w:w="477" w:type="dxa"/>
        <w:tblLook w:val="01E0"/>
      </w:tblPr>
      <w:tblGrid>
        <w:gridCol w:w="3600"/>
        <w:gridCol w:w="2429"/>
        <w:gridCol w:w="3103"/>
      </w:tblGrid>
      <w:tr w:rsidR="00886ADE" w:rsidRPr="00113477" w:rsidTr="00A20548">
        <w:tc>
          <w:tcPr>
            <w:tcW w:w="197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Interprétation divergente du contrat</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Non conformité des produits</w:t>
            </w:r>
          </w:p>
        </w:tc>
        <w:tc>
          <w:tcPr>
            <w:tcW w:w="133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Coût des services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Déficit d’information</w:t>
            </w:r>
          </w:p>
        </w:tc>
        <w:tc>
          <w:tcPr>
            <w:tcW w:w="169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5=Prélèvement indu</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6=Autre (Préciser)………................</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Quelle est votre perception sur le nombre d’agences de votre banque ? |__|</w:t>
      </w:r>
    </w:p>
    <w:tbl>
      <w:tblPr>
        <w:tblW w:w="4144" w:type="pct"/>
        <w:jc w:val="center"/>
        <w:tblLook w:val="01E0"/>
      </w:tblPr>
      <w:tblGrid>
        <w:gridCol w:w="1790"/>
        <w:gridCol w:w="1376"/>
        <w:gridCol w:w="2340"/>
        <w:gridCol w:w="2615"/>
      </w:tblGrid>
      <w:tr w:rsidR="00886ADE" w:rsidRPr="00113477" w:rsidTr="00886ADE">
        <w:trPr>
          <w:jc w:val="center"/>
        </w:trPr>
        <w:tc>
          <w:tcPr>
            <w:tcW w:w="110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suffisant</w:t>
            </w:r>
          </w:p>
        </w:tc>
        <w:tc>
          <w:tcPr>
            <w:tcW w:w="84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Suffisant</w:t>
            </w:r>
          </w:p>
        </w:tc>
        <w:tc>
          <w:tcPr>
            <w:tcW w:w="144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3=Non suffisant</w:t>
            </w:r>
          </w:p>
        </w:tc>
        <w:tc>
          <w:tcPr>
            <w:tcW w:w="161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Pas du tout suffisant</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Que pensez-vous de la répartition géographique des agences de votre banque ? |__|</w:t>
      </w:r>
    </w:p>
    <w:tbl>
      <w:tblPr>
        <w:tblW w:w="3254" w:type="pct"/>
        <w:tblInd w:w="804" w:type="dxa"/>
        <w:tblLook w:val="01E0"/>
      </w:tblPr>
      <w:tblGrid>
        <w:gridCol w:w="1423"/>
        <w:gridCol w:w="1378"/>
        <w:gridCol w:w="1788"/>
        <w:gridCol w:w="1788"/>
      </w:tblGrid>
      <w:tr w:rsidR="00886ADE" w:rsidRPr="00113477" w:rsidTr="00886ADE">
        <w:tc>
          <w:tcPr>
            <w:tcW w:w="111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bonne</w:t>
            </w:r>
          </w:p>
        </w:tc>
        <w:tc>
          <w:tcPr>
            <w:tcW w:w="108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bonne</w:t>
            </w:r>
          </w:p>
        </w:tc>
        <w:tc>
          <w:tcPr>
            <w:tcW w:w="140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5=Mauvaise</w:t>
            </w:r>
          </w:p>
        </w:tc>
        <w:tc>
          <w:tcPr>
            <w:tcW w:w="140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mauvaise</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Utilisez-vous les services du GAB de votre banque ? |__|</w:t>
      </w:r>
    </w:p>
    <w:tbl>
      <w:tblPr>
        <w:tblW w:w="2388" w:type="pct"/>
        <w:jc w:val="center"/>
        <w:tblLook w:val="01E0"/>
      </w:tblPr>
      <w:tblGrid>
        <w:gridCol w:w="1286"/>
        <w:gridCol w:w="1192"/>
        <w:gridCol w:w="2202"/>
      </w:tblGrid>
      <w:tr w:rsidR="00886ADE" w:rsidRPr="00113477" w:rsidTr="00886ADE">
        <w:trPr>
          <w:jc w:val="center"/>
        </w:trPr>
        <w:tc>
          <w:tcPr>
            <w:tcW w:w="137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127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2=Non</w:t>
            </w:r>
          </w:p>
        </w:tc>
        <w:tc>
          <w:tcPr>
            <w:tcW w:w="235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3=Pas de carte bancaire</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886ADE">
      <w:pPr>
        <w:ind w:left="360"/>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Quelle est votre perception sur le nombre de GAB de votre banque </w:t>
      </w:r>
      <w:proofErr w:type="gramStart"/>
      <w:r w:rsidRPr="00113477">
        <w:rPr>
          <w:rFonts w:ascii="Book Antiqua" w:hAnsi="Book Antiqua"/>
          <w:sz w:val="20"/>
          <w:szCs w:val="20"/>
        </w:rPr>
        <w:t>?.</w:t>
      </w:r>
      <w:proofErr w:type="gramEnd"/>
      <w:r w:rsidRPr="00113477">
        <w:rPr>
          <w:rFonts w:ascii="Book Antiqua" w:hAnsi="Book Antiqua"/>
          <w:sz w:val="20"/>
          <w:szCs w:val="20"/>
        </w:rPr>
        <w:t>|__|</w:t>
      </w:r>
    </w:p>
    <w:tbl>
      <w:tblPr>
        <w:tblW w:w="3722" w:type="pct"/>
        <w:jc w:val="center"/>
        <w:tblLook w:val="01E0"/>
      </w:tblPr>
      <w:tblGrid>
        <w:gridCol w:w="1651"/>
        <w:gridCol w:w="1514"/>
        <w:gridCol w:w="1653"/>
        <w:gridCol w:w="2476"/>
      </w:tblGrid>
      <w:tr w:rsidR="00886ADE" w:rsidRPr="00113477" w:rsidTr="00886ADE">
        <w:trPr>
          <w:jc w:val="center"/>
        </w:trPr>
        <w:tc>
          <w:tcPr>
            <w:tcW w:w="113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suffisant</w:t>
            </w:r>
          </w:p>
        </w:tc>
        <w:tc>
          <w:tcPr>
            <w:tcW w:w="103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Suffisant</w:t>
            </w:r>
          </w:p>
        </w:tc>
        <w:tc>
          <w:tcPr>
            <w:tcW w:w="113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3=Non suffisant</w:t>
            </w:r>
          </w:p>
        </w:tc>
        <w:tc>
          <w:tcPr>
            <w:tcW w:w="169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Pas du tout suffisant</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Que pensez-vous de leur répartition géographique ? |__|</w:t>
      </w:r>
    </w:p>
    <w:tbl>
      <w:tblPr>
        <w:tblW w:w="3254" w:type="pct"/>
        <w:jc w:val="center"/>
        <w:tblLook w:val="01E0"/>
      </w:tblPr>
      <w:tblGrid>
        <w:gridCol w:w="1423"/>
        <w:gridCol w:w="1378"/>
        <w:gridCol w:w="1788"/>
        <w:gridCol w:w="1788"/>
      </w:tblGrid>
      <w:tr w:rsidR="00886ADE" w:rsidRPr="00113477" w:rsidTr="00886ADE">
        <w:trPr>
          <w:jc w:val="center"/>
        </w:trPr>
        <w:tc>
          <w:tcPr>
            <w:tcW w:w="111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bonne</w:t>
            </w:r>
          </w:p>
        </w:tc>
        <w:tc>
          <w:tcPr>
            <w:tcW w:w="108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bonne</w:t>
            </w:r>
          </w:p>
        </w:tc>
        <w:tc>
          <w:tcPr>
            <w:tcW w:w="140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5=Mauvaise</w:t>
            </w:r>
          </w:p>
        </w:tc>
        <w:tc>
          <w:tcPr>
            <w:tcW w:w="140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mauvaise</w:t>
            </w:r>
          </w:p>
        </w:tc>
      </w:tr>
    </w:tbl>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lastRenderedPageBreak/>
        <w:t>Que pensez-vous du fonctionnement des GAB de votre banque ? |__|</w:t>
      </w:r>
    </w:p>
    <w:tbl>
      <w:tblPr>
        <w:tblW w:w="4312" w:type="pct"/>
        <w:jc w:val="center"/>
        <w:tblLook w:val="01E0"/>
      </w:tblPr>
      <w:tblGrid>
        <w:gridCol w:w="2532"/>
        <w:gridCol w:w="1927"/>
        <w:gridCol w:w="2063"/>
        <w:gridCol w:w="1928"/>
      </w:tblGrid>
      <w:tr w:rsidR="00886ADE" w:rsidRPr="00113477" w:rsidTr="004279A3">
        <w:trPr>
          <w:jc w:val="center"/>
        </w:trPr>
        <w:tc>
          <w:tcPr>
            <w:tcW w:w="149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souvent en panne</w:t>
            </w:r>
          </w:p>
        </w:tc>
        <w:tc>
          <w:tcPr>
            <w:tcW w:w="114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2=Souvent en panne</w:t>
            </w:r>
          </w:p>
        </w:tc>
        <w:tc>
          <w:tcPr>
            <w:tcW w:w="122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3=Rarement en panne</w:t>
            </w:r>
          </w:p>
        </w:tc>
        <w:tc>
          <w:tcPr>
            <w:tcW w:w="114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Jamais en panne</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Que pensez-vous de la sécurité des GAB de votre banque ? |__|</w:t>
      </w:r>
    </w:p>
    <w:tbl>
      <w:tblPr>
        <w:tblW w:w="3913" w:type="pct"/>
        <w:tblInd w:w="804" w:type="dxa"/>
        <w:tblLook w:val="01E0"/>
      </w:tblPr>
      <w:tblGrid>
        <w:gridCol w:w="1838"/>
        <w:gridCol w:w="1515"/>
        <w:gridCol w:w="1926"/>
        <w:gridCol w:w="2389"/>
      </w:tblGrid>
      <w:tr w:rsidR="00886ADE" w:rsidRPr="00113477" w:rsidTr="004279A3">
        <w:tc>
          <w:tcPr>
            <w:tcW w:w="119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sécurisé</w:t>
            </w:r>
          </w:p>
        </w:tc>
        <w:tc>
          <w:tcPr>
            <w:tcW w:w="98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Sécurisé</w:t>
            </w:r>
          </w:p>
        </w:tc>
        <w:tc>
          <w:tcPr>
            <w:tcW w:w="125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3=Pas sécurisé</w:t>
            </w:r>
          </w:p>
        </w:tc>
        <w:tc>
          <w:tcPr>
            <w:tcW w:w="155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Pas du tout sécurisé</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Que pensez-vous du délai de renouvellement de votre carte bancaire ? |__|</w:t>
      </w:r>
    </w:p>
    <w:tbl>
      <w:tblPr>
        <w:tblW w:w="4474" w:type="pct"/>
        <w:jc w:val="center"/>
        <w:tblLook w:val="01E0"/>
      </w:tblPr>
      <w:tblGrid>
        <w:gridCol w:w="1284"/>
        <w:gridCol w:w="971"/>
        <w:gridCol w:w="1092"/>
        <w:gridCol w:w="1471"/>
        <w:gridCol w:w="3949"/>
      </w:tblGrid>
      <w:tr w:rsidR="00886ADE" w:rsidRPr="00113477" w:rsidTr="00AC0CC8">
        <w:trPr>
          <w:jc w:val="center"/>
        </w:trPr>
        <w:tc>
          <w:tcPr>
            <w:tcW w:w="73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long</w:t>
            </w:r>
          </w:p>
        </w:tc>
        <w:tc>
          <w:tcPr>
            <w:tcW w:w="55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Long</w:t>
            </w:r>
          </w:p>
        </w:tc>
        <w:tc>
          <w:tcPr>
            <w:tcW w:w="62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Correct</w:t>
            </w:r>
          </w:p>
        </w:tc>
        <w:tc>
          <w:tcPr>
            <w:tcW w:w="83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Correct</w:t>
            </w:r>
          </w:p>
        </w:tc>
        <w:tc>
          <w:tcPr>
            <w:tcW w:w="225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Sans objet (Je n’ai jamais renouvelé ma carte)</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Que pensez-vous du nombre de caisses fonctionnelles de votre agence ? |__|</w:t>
      </w:r>
    </w:p>
    <w:tbl>
      <w:tblPr>
        <w:tblW w:w="3722" w:type="pct"/>
        <w:jc w:val="center"/>
        <w:tblLook w:val="01E0"/>
      </w:tblPr>
      <w:tblGrid>
        <w:gridCol w:w="1651"/>
        <w:gridCol w:w="1514"/>
        <w:gridCol w:w="1653"/>
        <w:gridCol w:w="2476"/>
      </w:tblGrid>
      <w:tr w:rsidR="00886ADE" w:rsidRPr="00113477" w:rsidTr="00886ADE">
        <w:trPr>
          <w:jc w:val="center"/>
        </w:trPr>
        <w:tc>
          <w:tcPr>
            <w:tcW w:w="113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suffisant</w:t>
            </w:r>
          </w:p>
        </w:tc>
        <w:tc>
          <w:tcPr>
            <w:tcW w:w="103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Suffisant</w:t>
            </w:r>
          </w:p>
        </w:tc>
        <w:tc>
          <w:tcPr>
            <w:tcW w:w="113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3=Non suffisant</w:t>
            </w:r>
          </w:p>
        </w:tc>
        <w:tc>
          <w:tcPr>
            <w:tcW w:w="169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Pas du tout suffisant</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Comment appréciez-vous la rapidité des opérations de caisse dans votre banque ? |__|</w:t>
      </w:r>
    </w:p>
    <w:tbl>
      <w:tblPr>
        <w:tblW w:w="3933" w:type="pct"/>
        <w:jc w:val="center"/>
        <w:tblLook w:val="01E0"/>
      </w:tblPr>
      <w:tblGrid>
        <w:gridCol w:w="1790"/>
        <w:gridCol w:w="1378"/>
        <w:gridCol w:w="1649"/>
        <w:gridCol w:w="2890"/>
      </w:tblGrid>
      <w:tr w:rsidR="00886ADE" w:rsidRPr="00113477" w:rsidTr="00886ADE">
        <w:trPr>
          <w:jc w:val="center"/>
        </w:trPr>
        <w:tc>
          <w:tcPr>
            <w:tcW w:w="116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satisfait</w:t>
            </w:r>
          </w:p>
        </w:tc>
        <w:tc>
          <w:tcPr>
            <w:tcW w:w="89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Satisfait</w:t>
            </w:r>
          </w:p>
        </w:tc>
        <w:tc>
          <w:tcPr>
            <w:tcW w:w="107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Pas satisfait</w:t>
            </w:r>
          </w:p>
        </w:tc>
        <w:tc>
          <w:tcPr>
            <w:tcW w:w="187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Pas du tout satisfait</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 xml:space="preserve">Avez-vous effectué au cours des </w:t>
      </w:r>
      <w:r w:rsidRPr="00113477">
        <w:rPr>
          <w:rFonts w:ascii="Book Antiqua" w:hAnsi="Book Antiqua"/>
          <w:b/>
          <w:sz w:val="20"/>
          <w:szCs w:val="20"/>
        </w:rPr>
        <w:t xml:space="preserve">trois dernières années </w:t>
      </w:r>
      <w:r w:rsidRPr="00113477">
        <w:rPr>
          <w:rFonts w:ascii="Book Antiqua" w:hAnsi="Book Antiqua"/>
          <w:sz w:val="20"/>
          <w:szCs w:val="20"/>
        </w:rPr>
        <w:t>des opérations de virements vers un autre compte local ? |__|</w:t>
      </w:r>
    </w:p>
    <w:tbl>
      <w:tblPr>
        <w:tblW w:w="3041" w:type="pct"/>
        <w:tblInd w:w="804" w:type="dxa"/>
        <w:tblLook w:val="01E0"/>
      </w:tblPr>
      <w:tblGrid>
        <w:gridCol w:w="2887"/>
        <w:gridCol w:w="3072"/>
      </w:tblGrid>
      <w:tr w:rsidR="00886ADE" w:rsidRPr="00113477" w:rsidTr="00886ADE">
        <w:tc>
          <w:tcPr>
            <w:tcW w:w="242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257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Non</w:t>
            </w:r>
          </w:p>
        </w:tc>
      </w:tr>
    </w:tbl>
    <w:p w:rsidR="00886ADE" w:rsidRPr="00113477" w:rsidRDefault="00886ADE" w:rsidP="004279A3">
      <w:pPr>
        <w:numPr>
          <w:ilvl w:val="1"/>
          <w:numId w:val="61"/>
        </w:numPr>
        <w:spacing w:before="120"/>
        <w:ind w:left="788" w:hanging="431"/>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que pensez-vous de la durée de traitement des ordres de virement ? |__|</w:t>
      </w:r>
    </w:p>
    <w:tbl>
      <w:tblPr>
        <w:tblW w:w="2552" w:type="pct"/>
        <w:jc w:val="center"/>
        <w:tblLook w:val="01E0"/>
      </w:tblPr>
      <w:tblGrid>
        <w:gridCol w:w="1286"/>
        <w:gridCol w:w="970"/>
        <w:gridCol w:w="1093"/>
        <w:gridCol w:w="1652"/>
      </w:tblGrid>
      <w:tr w:rsidR="00886ADE" w:rsidRPr="00113477" w:rsidTr="00886ADE">
        <w:trPr>
          <w:jc w:val="center"/>
        </w:trPr>
        <w:tc>
          <w:tcPr>
            <w:tcW w:w="128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longue</w:t>
            </w:r>
          </w:p>
        </w:tc>
        <w:tc>
          <w:tcPr>
            <w:tcW w:w="97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Longue</w:t>
            </w:r>
          </w:p>
        </w:tc>
        <w:tc>
          <w:tcPr>
            <w:tcW w:w="109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Correcte</w:t>
            </w:r>
          </w:p>
        </w:tc>
        <w:tc>
          <w:tcPr>
            <w:tcW w:w="165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Correcte</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 xml:space="preserve">Avez-vous effectué au cours des </w:t>
      </w:r>
      <w:r w:rsidRPr="00113477">
        <w:rPr>
          <w:rFonts w:ascii="Book Antiqua" w:hAnsi="Book Antiqua"/>
          <w:b/>
          <w:sz w:val="20"/>
          <w:szCs w:val="20"/>
        </w:rPr>
        <w:t xml:space="preserve">trois dernières années </w:t>
      </w:r>
      <w:r w:rsidRPr="00113477">
        <w:rPr>
          <w:rFonts w:ascii="Book Antiqua" w:hAnsi="Book Antiqua"/>
          <w:sz w:val="20"/>
          <w:szCs w:val="20"/>
        </w:rPr>
        <w:t>des opérations de virements vers l’étranger ? |__|</w:t>
      </w:r>
    </w:p>
    <w:tbl>
      <w:tblPr>
        <w:tblW w:w="3041" w:type="pct"/>
        <w:tblInd w:w="804" w:type="dxa"/>
        <w:tblLook w:val="01E0"/>
      </w:tblPr>
      <w:tblGrid>
        <w:gridCol w:w="2887"/>
        <w:gridCol w:w="3072"/>
      </w:tblGrid>
      <w:tr w:rsidR="00886ADE" w:rsidRPr="00113477" w:rsidTr="00886ADE">
        <w:tc>
          <w:tcPr>
            <w:tcW w:w="242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257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Non</w:t>
            </w:r>
          </w:p>
        </w:tc>
      </w:tr>
    </w:tbl>
    <w:p w:rsidR="00886ADE" w:rsidRPr="00113477" w:rsidRDefault="00886ADE" w:rsidP="004279A3">
      <w:pPr>
        <w:numPr>
          <w:ilvl w:val="1"/>
          <w:numId w:val="61"/>
        </w:numPr>
        <w:spacing w:before="120"/>
        <w:ind w:left="788" w:hanging="431"/>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que pensez-vous de la durée de traitement de virements ? |__|</w:t>
      </w:r>
    </w:p>
    <w:tbl>
      <w:tblPr>
        <w:tblW w:w="2552" w:type="pct"/>
        <w:jc w:val="center"/>
        <w:tblLook w:val="01E0"/>
      </w:tblPr>
      <w:tblGrid>
        <w:gridCol w:w="1286"/>
        <w:gridCol w:w="970"/>
        <w:gridCol w:w="1093"/>
        <w:gridCol w:w="1652"/>
      </w:tblGrid>
      <w:tr w:rsidR="00886ADE" w:rsidRPr="00113477" w:rsidTr="00886ADE">
        <w:trPr>
          <w:jc w:val="center"/>
        </w:trPr>
        <w:tc>
          <w:tcPr>
            <w:tcW w:w="128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longue</w:t>
            </w:r>
          </w:p>
        </w:tc>
        <w:tc>
          <w:tcPr>
            <w:tcW w:w="97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Longue</w:t>
            </w:r>
          </w:p>
        </w:tc>
        <w:tc>
          <w:tcPr>
            <w:tcW w:w="109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Correcte</w:t>
            </w:r>
          </w:p>
        </w:tc>
        <w:tc>
          <w:tcPr>
            <w:tcW w:w="165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Correcte</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Avez-vous déjà reçu des virements en provenance de l’étranger ? |__|</w:t>
      </w:r>
    </w:p>
    <w:tbl>
      <w:tblPr>
        <w:tblW w:w="3041" w:type="pct"/>
        <w:tblInd w:w="804" w:type="dxa"/>
        <w:tblLook w:val="01E0"/>
      </w:tblPr>
      <w:tblGrid>
        <w:gridCol w:w="2887"/>
        <w:gridCol w:w="3072"/>
      </w:tblGrid>
      <w:tr w:rsidR="00886ADE" w:rsidRPr="00113477" w:rsidTr="00886ADE">
        <w:tc>
          <w:tcPr>
            <w:tcW w:w="242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257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Non</w:t>
            </w:r>
          </w:p>
        </w:tc>
      </w:tr>
    </w:tbl>
    <w:p w:rsidR="00886ADE" w:rsidRPr="00113477" w:rsidRDefault="00886ADE" w:rsidP="004279A3">
      <w:pPr>
        <w:numPr>
          <w:ilvl w:val="1"/>
          <w:numId w:val="61"/>
        </w:numPr>
        <w:spacing w:before="120"/>
        <w:ind w:left="788" w:hanging="431"/>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que pensez-vous de la durée d</w:t>
      </w:r>
      <w:r w:rsidR="00AC0CC8">
        <w:rPr>
          <w:rFonts w:ascii="Book Antiqua" w:hAnsi="Book Antiqua"/>
          <w:sz w:val="20"/>
          <w:szCs w:val="20"/>
        </w:rPr>
        <w:t>e traitement de ces virements ?</w:t>
      </w:r>
      <w:r w:rsidR="00AC0CC8" w:rsidRPr="00113477">
        <w:rPr>
          <w:rFonts w:ascii="Book Antiqua" w:hAnsi="Book Antiqua"/>
          <w:sz w:val="20"/>
          <w:szCs w:val="20"/>
        </w:rPr>
        <w:t xml:space="preserve"> </w:t>
      </w:r>
      <w:r w:rsidRPr="00113477">
        <w:rPr>
          <w:rFonts w:ascii="Book Antiqua" w:hAnsi="Book Antiqua"/>
          <w:sz w:val="20"/>
          <w:szCs w:val="20"/>
        </w:rPr>
        <w:t>|__|</w:t>
      </w:r>
    </w:p>
    <w:tbl>
      <w:tblPr>
        <w:tblW w:w="2552" w:type="pct"/>
        <w:jc w:val="center"/>
        <w:tblLook w:val="01E0"/>
      </w:tblPr>
      <w:tblGrid>
        <w:gridCol w:w="1285"/>
        <w:gridCol w:w="971"/>
        <w:gridCol w:w="1093"/>
        <w:gridCol w:w="1652"/>
      </w:tblGrid>
      <w:tr w:rsidR="00886ADE" w:rsidRPr="00113477" w:rsidTr="00886ADE">
        <w:trPr>
          <w:jc w:val="center"/>
        </w:trPr>
        <w:tc>
          <w:tcPr>
            <w:tcW w:w="128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longue</w:t>
            </w:r>
          </w:p>
        </w:tc>
        <w:tc>
          <w:tcPr>
            <w:tcW w:w="97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Longue</w:t>
            </w:r>
          </w:p>
        </w:tc>
        <w:tc>
          <w:tcPr>
            <w:tcW w:w="109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Correcte</w:t>
            </w:r>
          </w:p>
        </w:tc>
        <w:tc>
          <w:tcPr>
            <w:tcW w:w="165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Correcte</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Disposez-vous d’un chéquier ? |__|</w:t>
      </w:r>
    </w:p>
    <w:tbl>
      <w:tblPr>
        <w:tblW w:w="1313" w:type="pct"/>
        <w:jc w:val="center"/>
        <w:tblLook w:val="01E0"/>
      </w:tblPr>
      <w:tblGrid>
        <w:gridCol w:w="1495"/>
        <w:gridCol w:w="1078"/>
      </w:tblGrid>
      <w:tr w:rsidR="00886ADE" w:rsidRPr="00113477" w:rsidTr="00886ADE">
        <w:trPr>
          <w:jc w:val="center"/>
        </w:trPr>
        <w:tc>
          <w:tcPr>
            <w:tcW w:w="290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209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Non</w:t>
            </w:r>
          </w:p>
        </w:tc>
      </w:tr>
    </w:tbl>
    <w:p w:rsidR="00886ADE" w:rsidRPr="00113477" w:rsidRDefault="00886ADE" w:rsidP="004272B8">
      <w:pPr>
        <w:numPr>
          <w:ilvl w:val="1"/>
          <w:numId w:val="61"/>
        </w:numPr>
        <w:contextualSpacing/>
        <w:jc w:val="both"/>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que pensez-vous du délai de traitement de son renouvellement ? |__|</w:t>
      </w:r>
    </w:p>
    <w:tbl>
      <w:tblPr>
        <w:tblW w:w="4574" w:type="pct"/>
        <w:jc w:val="center"/>
        <w:tblLook w:val="01E0"/>
      </w:tblPr>
      <w:tblGrid>
        <w:gridCol w:w="1285"/>
        <w:gridCol w:w="970"/>
        <w:gridCol w:w="1093"/>
        <w:gridCol w:w="1653"/>
        <w:gridCol w:w="3962"/>
      </w:tblGrid>
      <w:tr w:rsidR="00886ADE" w:rsidRPr="00113477" w:rsidTr="00AC0CC8">
        <w:trPr>
          <w:jc w:val="center"/>
        </w:trPr>
        <w:tc>
          <w:tcPr>
            <w:tcW w:w="71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long</w:t>
            </w:r>
          </w:p>
        </w:tc>
        <w:tc>
          <w:tcPr>
            <w:tcW w:w="54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Long</w:t>
            </w:r>
          </w:p>
        </w:tc>
        <w:tc>
          <w:tcPr>
            <w:tcW w:w="61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Correct</w:t>
            </w:r>
          </w:p>
        </w:tc>
        <w:tc>
          <w:tcPr>
            <w:tcW w:w="92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Correct</w:t>
            </w:r>
          </w:p>
        </w:tc>
        <w:tc>
          <w:tcPr>
            <w:tcW w:w="221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Sans objet (Je ne l’ai jamais renouvelé)</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Avec quelle périodicité recevez-vous vos relevés de compte ? |__|</w:t>
      </w:r>
    </w:p>
    <w:tbl>
      <w:tblPr>
        <w:tblW w:w="4538" w:type="pct"/>
        <w:jc w:val="right"/>
        <w:tblLook w:val="01E0"/>
      </w:tblPr>
      <w:tblGrid>
        <w:gridCol w:w="1483"/>
        <w:gridCol w:w="1752"/>
        <w:gridCol w:w="1437"/>
        <w:gridCol w:w="1259"/>
        <w:gridCol w:w="1345"/>
        <w:gridCol w:w="1617"/>
      </w:tblGrid>
      <w:tr w:rsidR="00886ADE" w:rsidRPr="00113477" w:rsidTr="00886ADE">
        <w:trPr>
          <w:jc w:val="right"/>
        </w:trPr>
        <w:tc>
          <w:tcPr>
            <w:tcW w:w="83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Mensuelle</w:t>
            </w:r>
          </w:p>
        </w:tc>
        <w:tc>
          <w:tcPr>
            <w:tcW w:w="98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Tous les 2 mois</w:t>
            </w:r>
          </w:p>
        </w:tc>
        <w:tc>
          <w:tcPr>
            <w:tcW w:w="80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Trimestrielle</w:t>
            </w:r>
          </w:p>
        </w:tc>
        <w:tc>
          <w:tcPr>
            <w:tcW w:w="70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Annuelle</w:t>
            </w:r>
          </w:p>
        </w:tc>
        <w:tc>
          <w:tcPr>
            <w:tcW w:w="75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Irrégulière</w:t>
            </w:r>
          </w:p>
        </w:tc>
        <w:tc>
          <w:tcPr>
            <w:tcW w:w="91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6= Jamais reçus</w:t>
            </w:r>
          </w:p>
        </w:tc>
      </w:tr>
    </w:tbl>
    <w:p w:rsidR="00886ADE" w:rsidRPr="00113477" w:rsidRDefault="00886ADE" w:rsidP="00886ADE">
      <w:pPr>
        <w:contextualSpacing/>
        <w:rPr>
          <w:rFonts w:ascii="Book Antiqua" w:hAnsi="Book Antiqua"/>
          <w:sz w:val="20"/>
          <w:szCs w:val="20"/>
        </w:rPr>
      </w:pPr>
    </w:p>
    <w:p w:rsidR="00886ADE" w:rsidRPr="00113477" w:rsidRDefault="00886ADE" w:rsidP="00886ADE">
      <w:pPr>
        <w:contextualSpacing/>
        <w:rPr>
          <w:rFonts w:ascii="Book Antiqua" w:hAnsi="Book Antiqua"/>
          <w:sz w:val="20"/>
          <w:szCs w:val="20"/>
        </w:rPr>
      </w:pPr>
      <w:r w:rsidRPr="00113477">
        <w:rPr>
          <w:rFonts w:ascii="Book Antiqua" w:hAnsi="Book Antiqua"/>
          <w:sz w:val="20"/>
          <w:szCs w:val="20"/>
        </w:rPr>
        <w:t xml:space="preserve">Si réponse </w:t>
      </w:r>
      <w:r w:rsidRPr="00113477">
        <w:rPr>
          <w:rFonts w:ascii="Book Antiqua" w:hAnsi="Book Antiqua"/>
          <w:b/>
          <w:sz w:val="20"/>
          <w:szCs w:val="20"/>
        </w:rPr>
        <w:t>différente de 6</w:t>
      </w:r>
      <w:r w:rsidRPr="00113477">
        <w:rPr>
          <w:rFonts w:ascii="Book Antiqua" w:hAnsi="Book Antiqua"/>
          <w:sz w:val="20"/>
          <w:szCs w:val="20"/>
        </w:rPr>
        <w:t> :</w:t>
      </w:r>
    </w:p>
    <w:p w:rsidR="00886ADE" w:rsidRPr="00113477" w:rsidRDefault="00886ADE" w:rsidP="004272B8">
      <w:pPr>
        <w:numPr>
          <w:ilvl w:val="1"/>
          <w:numId w:val="61"/>
        </w:numPr>
        <w:contextualSpacing/>
        <w:jc w:val="both"/>
        <w:rPr>
          <w:rFonts w:ascii="Book Antiqua" w:hAnsi="Book Antiqua"/>
          <w:sz w:val="20"/>
          <w:szCs w:val="20"/>
        </w:rPr>
      </w:pPr>
      <w:r w:rsidRPr="00113477">
        <w:rPr>
          <w:rFonts w:ascii="Book Antiqua" w:hAnsi="Book Antiqua"/>
          <w:sz w:val="20"/>
          <w:szCs w:val="20"/>
        </w:rPr>
        <w:t>Par quel canal recevez-vous vos relevés de compte ? |__|</w:t>
      </w:r>
    </w:p>
    <w:tbl>
      <w:tblPr>
        <w:tblW w:w="3117" w:type="pct"/>
        <w:jc w:val="center"/>
        <w:tblLook w:val="01E0"/>
      </w:tblPr>
      <w:tblGrid>
        <w:gridCol w:w="1482"/>
        <w:gridCol w:w="1752"/>
        <w:gridCol w:w="1437"/>
        <w:gridCol w:w="1437"/>
      </w:tblGrid>
      <w:tr w:rsidR="00886ADE" w:rsidRPr="00113477" w:rsidTr="00886ADE">
        <w:trPr>
          <w:jc w:val="center"/>
        </w:trPr>
        <w:tc>
          <w:tcPr>
            <w:tcW w:w="121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Mail</w:t>
            </w:r>
          </w:p>
        </w:tc>
        <w:tc>
          <w:tcPr>
            <w:tcW w:w="143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Poste</w:t>
            </w:r>
          </w:p>
        </w:tc>
        <w:tc>
          <w:tcPr>
            <w:tcW w:w="117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SMS</w:t>
            </w:r>
          </w:p>
        </w:tc>
        <w:tc>
          <w:tcPr>
            <w:tcW w:w="1176" w:type="pct"/>
          </w:tcPr>
          <w:p w:rsidR="00886ADE" w:rsidRPr="00113477" w:rsidRDefault="00886ADE" w:rsidP="00886ADE">
            <w:pPr>
              <w:contextualSpacing/>
              <w:rPr>
                <w:rFonts w:ascii="Book Antiqua" w:hAnsi="Book Antiqua"/>
                <w:i/>
                <w:sz w:val="20"/>
                <w:szCs w:val="20"/>
              </w:rPr>
            </w:pP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1"/>
          <w:numId w:val="61"/>
        </w:numPr>
        <w:contextualSpacing/>
        <w:jc w:val="both"/>
        <w:rPr>
          <w:rFonts w:ascii="Book Antiqua" w:hAnsi="Book Antiqua"/>
          <w:sz w:val="20"/>
          <w:szCs w:val="20"/>
        </w:rPr>
      </w:pPr>
      <w:r w:rsidRPr="00113477">
        <w:rPr>
          <w:rFonts w:ascii="Book Antiqua" w:hAnsi="Book Antiqua"/>
          <w:sz w:val="20"/>
          <w:szCs w:val="20"/>
        </w:rPr>
        <w:t xml:space="preserve">Avez-vous décelé au cours des </w:t>
      </w:r>
      <w:r w:rsidRPr="00113477">
        <w:rPr>
          <w:rFonts w:ascii="Book Antiqua" w:hAnsi="Book Antiqua"/>
          <w:b/>
          <w:sz w:val="20"/>
          <w:szCs w:val="20"/>
        </w:rPr>
        <w:t>trois dernières années</w:t>
      </w:r>
      <w:r w:rsidRPr="00113477">
        <w:rPr>
          <w:rFonts w:ascii="Book Antiqua" w:hAnsi="Book Antiqua"/>
          <w:sz w:val="20"/>
          <w:szCs w:val="20"/>
        </w:rPr>
        <w:t xml:space="preserve"> des irrégularités dans vos relevés ? |__|</w:t>
      </w:r>
    </w:p>
    <w:tbl>
      <w:tblPr>
        <w:tblW w:w="3722" w:type="pct"/>
        <w:jc w:val="center"/>
        <w:tblLook w:val="01E0"/>
      </w:tblPr>
      <w:tblGrid>
        <w:gridCol w:w="1513"/>
        <w:gridCol w:w="1376"/>
        <w:gridCol w:w="1376"/>
        <w:gridCol w:w="1239"/>
        <w:gridCol w:w="1790"/>
      </w:tblGrid>
      <w:tr w:rsidR="00886ADE" w:rsidRPr="00113477" w:rsidTr="00886ADE">
        <w:trPr>
          <w:jc w:val="center"/>
        </w:trPr>
        <w:tc>
          <w:tcPr>
            <w:tcW w:w="103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souvent</w:t>
            </w:r>
          </w:p>
        </w:tc>
        <w:tc>
          <w:tcPr>
            <w:tcW w:w="94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Souvent</w:t>
            </w:r>
          </w:p>
        </w:tc>
        <w:tc>
          <w:tcPr>
            <w:tcW w:w="94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Rarement</w:t>
            </w:r>
          </w:p>
        </w:tc>
        <w:tc>
          <w:tcPr>
            <w:tcW w:w="84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Jamais</w:t>
            </w:r>
          </w:p>
        </w:tc>
        <w:tc>
          <w:tcPr>
            <w:tcW w:w="122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Sans objet</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Par rapport à vos revenus, que pensez-vous des produits que votre banque vous propose ? |__|</w:t>
      </w:r>
    </w:p>
    <w:tbl>
      <w:tblPr>
        <w:tblW w:w="4283" w:type="pct"/>
        <w:jc w:val="center"/>
        <w:tblLook w:val="01E0"/>
      </w:tblPr>
      <w:tblGrid>
        <w:gridCol w:w="1561"/>
        <w:gridCol w:w="1376"/>
        <w:gridCol w:w="1788"/>
        <w:gridCol w:w="2154"/>
        <w:gridCol w:w="1514"/>
      </w:tblGrid>
      <w:tr w:rsidR="00886ADE" w:rsidRPr="00113477" w:rsidTr="004279A3">
        <w:trPr>
          <w:jc w:val="center"/>
        </w:trPr>
        <w:tc>
          <w:tcPr>
            <w:tcW w:w="93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adaptés</w:t>
            </w:r>
          </w:p>
        </w:tc>
        <w:tc>
          <w:tcPr>
            <w:tcW w:w="82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Adaptés</w:t>
            </w:r>
          </w:p>
        </w:tc>
        <w:tc>
          <w:tcPr>
            <w:tcW w:w="106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Non adaptés</w:t>
            </w:r>
          </w:p>
        </w:tc>
        <w:tc>
          <w:tcPr>
            <w:tcW w:w="128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Pas du tout adaptés</w:t>
            </w:r>
          </w:p>
        </w:tc>
        <w:tc>
          <w:tcPr>
            <w:tcW w:w="902" w:type="pct"/>
          </w:tcPr>
          <w:p w:rsidR="00886ADE" w:rsidRDefault="00886ADE" w:rsidP="00886ADE">
            <w:pPr>
              <w:contextualSpacing/>
              <w:rPr>
                <w:rFonts w:ascii="Book Antiqua" w:hAnsi="Book Antiqua"/>
                <w:i/>
                <w:sz w:val="20"/>
                <w:szCs w:val="20"/>
              </w:rPr>
            </w:pPr>
            <w:r w:rsidRPr="00113477">
              <w:rPr>
                <w:rFonts w:ascii="Book Antiqua" w:hAnsi="Book Antiqua"/>
                <w:i/>
                <w:sz w:val="20"/>
                <w:szCs w:val="20"/>
              </w:rPr>
              <w:t>5= Sans objet</w:t>
            </w:r>
          </w:p>
          <w:p w:rsidR="004279A3" w:rsidRPr="00113477" w:rsidRDefault="004279A3" w:rsidP="00886ADE">
            <w:pPr>
              <w:contextualSpacing/>
              <w:rPr>
                <w:rFonts w:ascii="Book Antiqua" w:hAnsi="Book Antiqua"/>
                <w:i/>
                <w:sz w:val="20"/>
                <w:szCs w:val="20"/>
              </w:rPr>
            </w:pPr>
          </w:p>
        </w:tc>
      </w:tr>
    </w:tbl>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lastRenderedPageBreak/>
        <w:t>Par rapport à vos projets, que pensez-vous des produits que votre banque vous propose ? |__|</w:t>
      </w:r>
    </w:p>
    <w:tbl>
      <w:tblPr>
        <w:tblW w:w="4096" w:type="pct"/>
        <w:jc w:val="center"/>
        <w:tblLook w:val="01E0"/>
      </w:tblPr>
      <w:tblGrid>
        <w:gridCol w:w="1561"/>
        <w:gridCol w:w="1376"/>
        <w:gridCol w:w="1788"/>
        <w:gridCol w:w="1788"/>
        <w:gridCol w:w="1514"/>
      </w:tblGrid>
      <w:tr w:rsidR="00886ADE" w:rsidRPr="00113477" w:rsidTr="00886ADE">
        <w:trPr>
          <w:jc w:val="center"/>
        </w:trPr>
        <w:tc>
          <w:tcPr>
            <w:tcW w:w="97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adaptés</w:t>
            </w:r>
          </w:p>
        </w:tc>
        <w:tc>
          <w:tcPr>
            <w:tcW w:w="85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Adaptés</w:t>
            </w:r>
          </w:p>
        </w:tc>
        <w:tc>
          <w:tcPr>
            <w:tcW w:w="111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Non adaptés</w:t>
            </w:r>
          </w:p>
        </w:tc>
        <w:tc>
          <w:tcPr>
            <w:tcW w:w="111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Pas du tout adaptés</w:t>
            </w:r>
          </w:p>
        </w:tc>
        <w:tc>
          <w:tcPr>
            <w:tcW w:w="94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Sans objet</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Quelle est votre appréciation sur les dates de valeur appliquées par votre banque ? |__|</w:t>
      </w:r>
    </w:p>
    <w:tbl>
      <w:tblPr>
        <w:tblW w:w="3933" w:type="pct"/>
        <w:jc w:val="center"/>
        <w:tblLook w:val="01E0"/>
      </w:tblPr>
      <w:tblGrid>
        <w:gridCol w:w="1790"/>
        <w:gridCol w:w="1378"/>
        <w:gridCol w:w="1649"/>
        <w:gridCol w:w="2890"/>
      </w:tblGrid>
      <w:tr w:rsidR="00886ADE" w:rsidRPr="00113477" w:rsidTr="00886ADE">
        <w:trPr>
          <w:jc w:val="center"/>
        </w:trPr>
        <w:tc>
          <w:tcPr>
            <w:tcW w:w="116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satisfait</w:t>
            </w:r>
          </w:p>
        </w:tc>
        <w:tc>
          <w:tcPr>
            <w:tcW w:w="89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Satisfait</w:t>
            </w:r>
          </w:p>
        </w:tc>
        <w:tc>
          <w:tcPr>
            <w:tcW w:w="107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Pas satisfait</w:t>
            </w:r>
          </w:p>
        </w:tc>
        <w:tc>
          <w:tcPr>
            <w:tcW w:w="187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Pas du tout satisfait</w:t>
            </w:r>
          </w:p>
        </w:tc>
      </w:tr>
    </w:tbl>
    <w:p w:rsidR="00886ADE" w:rsidRPr="00113477" w:rsidRDefault="00886ADE" w:rsidP="00886ADE">
      <w:pPr>
        <w:contextualSpacing/>
        <w:rPr>
          <w:rFonts w:ascii="Book Antiqua" w:hAnsi="Book Antiqua"/>
          <w:b/>
          <w:bCs/>
          <w:sz w:val="20"/>
          <w:szCs w:val="20"/>
        </w:rPr>
      </w:pPr>
    </w:p>
    <w:p w:rsidR="00013377" w:rsidRPr="00113477" w:rsidRDefault="00013377" w:rsidP="00327797">
      <w:pPr>
        <w:spacing w:after="200" w:line="276" w:lineRule="auto"/>
        <w:rPr>
          <w:rFonts w:ascii="Book Antiqua" w:hAnsi="Book Antiqua"/>
          <w:b/>
          <w:bCs/>
          <w:sz w:val="20"/>
          <w:szCs w:val="20"/>
        </w:rPr>
      </w:pPr>
    </w:p>
    <w:p w:rsidR="00886ADE" w:rsidRPr="00113477" w:rsidRDefault="00886ADE" w:rsidP="004272B8">
      <w:pPr>
        <w:numPr>
          <w:ilvl w:val="0"/>
          <w:numId w:val="60"/>
        </w:numPr>
        <w:contextualSpacing/>
        <w:rPr>
          <w:rFonts w:ascii="Book Antiqua" w:hAnsi="Book Antiqua"/>
          <w:b/>
          <w:bCs/>
          <w:sz w:val="20"/>
          <w:szCs w:val="20"/>
        </w:rPr>
      </w:pPr>
      <w:r w:rsidRPr="00113477">
        <w:rPr>
          <w:rFonts w:ascii="Book Antiqua" w:hAnsi="Book Antiqua"/>
          <w:b/>
          <w:bCs/>
          <w:sz w:val="20"/>
          <w:szCs w:val="20"/>
        </w:rPr>
        <w:t>SATISFACTION SUR LES COÛTS</w:t>
      </w: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Quelle est votre opinion sur la politique d'information concernant les tarifs de votre banque ? |__|</w:t>
      </w:r>
    </w:p>
    <w:tbl>
      <w:tblPr>
        <w:tblW w:w="3254" w:type="pct"/>
        <w:jc w:val="center"/>
        <w:tblLook w:val="01E0"/>
      </w:tblPr>
      <w:tblGrid>
        <w:gridCol w:w="1423"/>
        <w:gridCol w:w="1378"/>
        <w:gridCol w:w="1788"/>
        <w:gridCol w:w="1788"/>
      </w:tblGrid>
      <w:tr w:rsidR="00886ADE" w:rsidRPr="00113477" w:rsidTr="00886ADE">
        <w:trPr>
          <w:jc w:val="center"/>
        </w:trPr>
        <w:tc>
          <w:tcPr>
            <w:tcW w:w="111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bonne</w:t>
            </w:r>
          </w:p>
        </w:tc>
        <w:tc>
          <w:tcPr>
            <w:tcW w:w="108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bonne</w:t>
            </w:r>
          </w:p>
        </w:tc>
        <w:tc>
          <w:tcPr>
            <w:tcW w:w="140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5=Mauvaise</w:t>
            </w:r>
          </w:p>
        </w:tc>
        <w:tc>
          <w:tcPr>
            <w:tcW w:w="140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mauvaise</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Depuis le 1</w:t>
      </w:r>
      <w:r w:rsidRPr="00113477">
        <w:rPr>
          <w:rFonts w:ascii="Book Antiqua" w:hAnsi="Book Antiqua"/>
          <w:sz w:val="20"/>
          <w:szCs w:val="20"/>
          <w:vertAlign w:val="superscript"/>
        </w:rPr>
        <w:t>er</w:t>
      </w:r>
      <w:r w:rsidRPr="00113477">
        <w:rPr>
          <w:rFonts w:ascii="Book Antiqua" w:hAnsi="Book Antiqua"/>
          <w:sz w:val="20"/>
          <w:szCs w:val="20"/>
        </w:rPr>
        <w:t>octobre 2014, avez-vous noté sur vos relevés de compte la gratuité de certains services ? |__|</w:t>
      </w:r>
    </w:p>
    <w:tbl>
      <w:tblPr>
        <w:tblW w:w="1919" w:type="pct"/>
        <w:tblInd w:w="804" w:type="dxa"/>
        <w:tblLook w:val="01E0"/>
      </w:tblPr>
      <w:tblGrid>
        <w:gridCol w:w="1836"/>
        <w:gridCol w:w="1924"/>
      </w:tblGrid>
      <w:tr w:rsidR="00886ADE" w:rsidRPr="00113477" w:rsidTr="00886ADE">
        <w:tc>
          <w:tcPr>
            <w:tcW w:w="244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255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Non</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Êtes-vous au courant que 19 services sont offerts à titre gratuit depuis</w:t>
      </w:r>
      <w:r w:rsidR="00013377" w:rsidRPr="00113477">
        <w:rPr>
          <w:rFonts w:ascii="Book Antiqua" w:hAnsi="Book Antiqua"/>
          <w:sz w:val="20"/>
          <w:szCs w:val="20"/>
        </w:rPr>
        <w:t xml:space="preserve"> </w:t>
      </w:r>
      <w:r w:rsidRPr="00113477">
        <w:rPr>
          <w:rFonts w:ascii="Book Antiqua" w:hAnsi="Book Antiqua"/>
          <w:sz w:val="20"/>
          <w:szCs w:val="20"/>
        </w:rPr>
        <w:t>le 1</w:t>
      </w:r>
      <w:r w:rsidRPr="00113477">
        <w:rPr>
          <w:rFonts w:ascii="Book Antiqua" w:hAnsi="Book Antiqua"/>
          <w:sz w:val="20"/>
          <w:szCs w:val="20"/>
          <w:vertAlign w:val="superscript"/>
        </w:rPr>
        <w:t>er</w:t>
      </w:r>
      <w:r w:rsidRPr="00113477">
        <w:rPr>
          <w:rFonts w:ascii="Book Antiqua" w:hAnsi="Book Antiqua"/>
          <w:sz w:val="20"/>
          <w:szCs w:val="20"/>
        </w:rPr>
        <w:t>octobre 2014 ? |__|</w:t>
      </w:r>
    </w:p>
    <w:tbl>
      <w:tblPr>
        <w:tblW w:w="1919" w:type="pct"/>
        <w:tblInd w:w="804" w:type="dxa"/>
        <w:tblLook w:val="01E0"/>
      </w:tblPr>
      <w:tblGrid>
        <w:gridCol w:w="1836"/>
        <w:gridCol w:w="1924"/>
      </w:tblGrid>
      <w:tr w:rsidR="00886ADE" w:rsidRPr="00113477" w:rsidTr="00886ADE">
        <w:tc>
          <w:tcPr>
            <w:tcW w:w="244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255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Non</w:t>
            </w:r>
          </w:p>
        </w:tc>
      </w:tr>
    </w:tbl>
    <w:p w:rsidR="00886ADE" w:rsidRPr="00113477" w:rsidRDefault="00886ADE" w:rsidP="00886ADE">
      <w:pPr>
        <w:ind w:left="357"/>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lesquels </w:t>
      </w:r>
      <w:r w:rsidRPr="00113477">
        <w:rPr>
          <w:rFonts w:ascii="Book Antiqua" w:hAnsi="Book Antiqua"/>
          <w:i/>
          <w:sz w:val="20"/>
          <w:szCs w:val="20"/>
        </w:rPr>
        <w:t>?</w:t>
      </w:r>
      <w:r w:rsidRPr="00113477">
        <w:rPr>
          <w:rFonts w:ascii="Book Antiqua" w:hAnsi="Book Antiqua"/>
          <w:sz w:val="20"/>
          <w:szCs w:val="20"/>
        </w:rPr>
        <w:t>….…..........................………..….............….…..........................………..….............….….......................</w:t>
      </w: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Connaissez-vous le coût annuel de votre carte bancaire ? |__|</w:t>
      </w:r>
    </w:p>
    <w:tbl>
      <w:tblPr>
        <w:tblW w:w="4609" w:type="pct"/>
        <w:tblInd w:w="804" w:type="dxa"/>
        <w:tblLook w:val="01E0"/>
      </w:tblPr>
      <w:tblGrid>
        <w:gridCol w:w="1767"/>
        <w:gridCol w:w="1889"/>
        <w:gridCol w:w="5376"/>
      </w:tblGrid>
      <w:tr w:rsidR="00886ADE" w:rsidRPr="00113477" w:rsidTr="00886ADE">
        <w:tc>
          <w:tcPr>
            <w:tcW w:w="97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104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2=Non</w:t>
            </w:r>
          </w:p>
        </w:tc>
        <w:tc>
          <w:tcPr>
            <w:tcW w:w="297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3=Pas de carte bancaire</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qu’en pensez-vous ? |__|</w:t>
      </w:r>
    </w:p>
    <w:tbl>
      <w:tblPr>
        <w:tblW w:w="2973" w:type="pct"/>
        <w:jc w:val="center"/>
        <w:tblLook w:val="01E0"/>
      </w:tblPr>
      <w:tblGrid>
        <w:gridCol w:w="1422"/>
        <w:gridCol w:w="1098"/>
        <w:gridCol w:w="1516"/>
        <w:gridCol w:w="1790"/>
      </w:tblGrid>
      <w:tr w:rsidR="00886ADE" w:rsidRPr="00113477" w:rsidTr="00886ADE">
        <w:trPr>
          <w:jc w:val="center"/>
        </w:trPr>
        <w:tc>
          <w:tcPr>
            <w:tcW w:w="122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élevé</w:t>
            </w:r>
          </w:p>
        </w:tc>
        <w:tc>
          <w:tcPr>
            <w:tcW w:w="94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Elevé</w:t>
            </w:r>
          </w:p>
        </w:tc>
        <w:tc>
          <w:tcPr>
            <w:tcW w:w="130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Raisonnable</w:t>
            </w:r>
          </w:p>
        </w:tc>
        <w:tc>
          <w:tcPr>
            <w:tcW w:w="153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Raisonnable</w:t>
            </w:r>
          </w:p>
        </w:tc>
      </w:tr>
    </w:tbl>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Avez-vous déjà effectué des transactions dans des GAB autres que ceux de votre banque ? |__|</w:t>
      </w:r>
    </w:p>
    <w:tbl>
      <w:tblPr>
        <w:tblW w:w="2830" w:type="pct"/>
        <w:tblInd w:w="804" w:type="dxa"/>
        <w:tblLook w:val="01E0"/>
      </w:tblPr>
      <w:tblGrid>
        <w:gridCol w:w="1768"/>
        <w:gridCol w:w="1889"/>
        <w:gridCol w:w="1889"/>
      </w:tblGrid>
      <w:tr w:rsidR="00886ADE" w:rsidRPr="00113477" w:rsidTr="00886ADE">
        <w:tc>
          <w:tcPr>
            <w:tcW w:w="159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170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2=Non</w:t>
            </w:r>
          </w:p>
        </w:tc>
        <w:tc>
          <w:tcPr>
            <w:tcW w:w="170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Pas de carte</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que pensez-vous du coût de ces transactions ? |__|</w:t>
      </w:r>
    </w:p>
    <w:tbl>
      <w:tblPr>
        <w:tblW w:w="3886" w:type="pct"/>
        <w:jc w:val="center"/>
        <w:tblLook w:val="01E0"/>
      </w:tblPr>
      <w:tblGrid>
        <w:gridCol w:w="1422"/>
        <w:gridCol w:w="1098"/>
        <w:gridCol w:w="1515"/>
        <w:gridCol w:w="1790"/>
        <w:gridCol w:w="1790"/>
      </w:tblGrid>
      <w:tr w:rsidR="00886ADE" w:rsidRPr="00113477" w:rsidTr="00886ADE">
        <w:trPr>
          <w:jc w:val="center"/>
        </w:trPr>
        <w:tc>
          <w:tcPr>
            <w:tcW w:w="93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élevé</w:t>
            </w:r>
          </w:p>
        </w:tc>
        <w:tc>
          <w:tcPr>
            <w:tcW w:w="72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Elevé</w:t>
            </w:r>
          </w:p>
        </w:tc>
        <w:tc>
          <w:tcPr>
            <w:tcW w:w="99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Raisonnable</w:t>
            </w:r>
          </w:p>
        </w:tc>
        <w:tc>
          <w:tcPr>
            <w:tcW w:w="117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Raisonnable</w:t>
            </w:r>
          </w:p>
        </w:tc>
        <w:tc>
          <w:tcPr>
            <w:tcW w:w="117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5=Ne connaît pas le coût</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commerçant</w:t>
      </w:r>
      <w:r w:rsidRPr="00113477">
        <w:rPr>
          <w:rFonts w:ascii="Book Antiqua" w:hAnsi="Book Antiqua"/>
          <w:sz w:val="20"/>
          <w:szCs w:val="20"/>
        </w:rPr>
        <w:t>, disposez-vous d’un Terminal de Paiement Electronique (TPE) ? |__|</w:t>
      </w:r>
    </w:p>
    <w:tbl>
      <w:tblPr>
        <w:tblW w:w="1866" w:type="pct"/>
        <w:tblInd w:w="804" w:type="dxa"/>
        <w:tblLook w:val="01E0"/>
      </w:tblPr>
      <w:tblGrid>
        <w:gridCol w:w="1767"/>
        <w:gridCol w:w="1890"/>
      </w:tblGrid>
      <w:tr w:rsidR="00886ADE" w:rsidRPr="00113477" w:rsidTr="00886ADE">
        <w:tc>
          <w:tcPr>
            <w:tcW w:w="241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258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2=Non</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non</w:t>
      </w:r>
      <w:r w:rsidRPr="00113477">
        <w:rPr>
          <w:rFonts w:ascii="Book Antiqua" w:hAnsi="Book Antiqua"/>
          <w:sz w:val="20"/>
          <w:szCs w:val="20"/>
        </w:rPr>
        <w:t>, pour quelle(s) raison(s) ?</w:t>
      </w:r>
    </w:p>
    <w:tbl>
      <w:tblPr>
        <w:tblW w:w="4026" w:type="pct"/>
        <w:tblInd w:w="804" w:type="dxa"/>
        <w:tblLook w:val="01E0"/>
      </w:tblPr>
      <w:tblGrid>
        <w:gridCol w:w="2063"/>
        <w:gridCol w:w="5826"/>
      </w:tblGrid>
      <w:tr w:rsidR="00886ADE" w:rsidRPr="00113477" w:rsidTr="00886ADE">
        <w:tc>
          <w:tcPr>
            <w:tcW w:w="151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Frais élevés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Je n’ai pas confiance</w:t>
            </w:r>
          </w:p>
        </w:tc>
        <w:tc>
          <w:tcPr>
            <w:tcW w:w="348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3=Mes clients ne l’utiliseront pas</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4=Autre (préciser)……………………………………………………………….</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que pensez-vous des frais y afférents ? |__|</w:t>
      </w:r>
    </w:p>
    <w:tbl>
      <w:tblPr>
        <w:tblW w:w="3325" w:type="pct"/>
        <w:jc w:val="center"/>
        <w:tblLook w:val="01E0"/>
      </w:tblPr>
      <w:tblGrid>
        <w:gridCol w:w="1972"/>
        <w:gridCol w:w="1745"/>
        <w:gridCol w:w="1285"/>
        <w:gridCol w:w="1514"/>
      </w:tblGrid>
      <w:tr w:rsidR="00886ADE" w:rsidRPr="00113477" w:rsidTr="00886ADE">
        <w:trPr>
          <w:jc w:val="center"/>
        </w:trPr>
        <w:tc>
          <w:tcPr>
            <w:tcW w:w="151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raisonnables</w:t>
            </w:r>
          </w:p>
        </w:tc>
        <w:tc>
          <w:tcPr>
            <w:tcW w:w="133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Raisonnables</w:t>
            </w:r>
          </w:p>
        </w:tc>
        <w:tc>
          <w:tcPr>
            <w:tcW w:w="98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C</w:t>
            </w:r>
            <w:r w:rsidRPr="00113477">
              <w:rPr>
                <w:rFonts w:ascii="Book Antiqua" w:hAnsi="Book Antiqua"/>
                <w:i/>
                <w:sz w:val="20"/>
                <w:szCs w:val="20"/>
              </w:rPr>
              <w:t>hers</w:t>
            </w:r>
          </w:p>
        </w:tc>
        <w:tc>
          <w:tcPr>
            <w:tcW w:w="116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4=Très chers</w:t>
            </w:r>
          </w:p>
        </w:tc>
      </w:tr>
    </w:tbl>
    <w:p w:rsidR="00886ADE" w:rsidRPr="00113477" w:rsidRDefault="00886ADE" w:rsidP="00886ADE">
      <w:pPr>
        <w:contextualSpacing/>
        <w:rPr>
          <w:rFonts w:ascii="Book Antiqua" w:hAnsi="Book Antiqua"/>
          <w:sz w:val="20"/>
          <w:szCs w:val="20"/>
        </w:rPr>
      </w:pPr>
      <w:r w:rsidRPr="00113477">
        <w:rPr>
          <w:rFonts w:ascii="Book Antiqua" w:hAnsi="Book Antiqua"/>
          <w:sz w:val="20"/>
          <w:szCs w:val="20"/>
        </w:rPr>
        <w:t>.</w:t>
      </w: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 xml:space="preserve">Avez-vous bénéficié d’un prêt au cours des </w:t>
      </w:r>
      <w:r w:rsidRPr="00113477">
        <w:rPr>
          <w:rFonts w:ascii="Book Antiqua" w:hAnsi="Book Antiqua"/>
          <w:b/>
          <w:sz w:val="20"/>
          <w:szCs w:val="20"/>
        </w:rPr>
        <w:t>trois dernières années</w:t>
      </w:r>
      <w:r w:rsidRPr="00113477">
        <w:rPr>
          <w:rFonts w:ascii="Book Antiqua" w:hAnsi="Book Antiqua"/>
          <w:sz w:val="20"/>
          <w:szCs w:val="20"/>
        </w:rPr>
        <w:t> ?</w:t>
      </w:r>
      <w:r w:rsidR="00327797" w:rsidRPr="00113477">
        <w:rPr>
          <w:rFonts w:ascii="Book Antiqua" w:hAnsi="Book Antiqua"/>
          <w:sz w:val="20"/>
          <w:szCs w:val="20"/>
        </w:rPr>
        <w:t xml:space="preserve"> </w:t>
      </w:r>
      <w:r w:rsidRPr="00113477">
        <w:rPr>
          <w:rFonts w:ascii="Book Antiqua" w:hAnsi="Book Antiqua"/>
          <w:sz w:val="20"/>
          <w:szCs w:val="20"/>
        </w:rPr>
        <w:t>|__|</w:t>
      </w:r>
    </w:p>
    <w:tbl>
      <w:tblPr>
        <w:tblW w:w="3512" w:type="pct"/>
        <w:jc w:val="center"/>
        <w:tblLook w:val="01E0"/>
      </w:tblPr>
      <w:tblGrid>
        <w:gridCol w:w="1238"/>
        <w:gridCol w:w="2478"/>
        <w:gridCol w:w="3166"/>
      </w:tblGrid>
      <w:tr w:rsidR="00886ADE" w:rsidRPr="00113477" w:rsidTr="00886ADE">
        <w:trPr>
          <w:jc w:val="center"/>
        </w:trPr>
        <w:tc>
          <w:tcPr>
            <w:tcW w:w="90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180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Non, Demande refusée</w:t>
            </w:r>
          </w:p>
        </w:tc>
        <w:tc>
          <w:tcPr>
            <w:tcW w:w="230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Non, Jamais introduit de demande</w:t>
            </w:r>
          </w:p>
        </w:tc>
      </w:tr>
    </w:tbl>
    <w:p w:rsidR="00886ADE" w:rsidRPr="00113477" w:rsidRDefault="00886ADE" w:rsidP="00886ADE">
      <w:pPr>
        <w:ind w:left="360"/>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w:t>
      </w: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 xml:space="preserve">De quelle nature est votre </w:t>
      </w:r>
      <w:r w:rsidRPr="00113477">
        <w:rPr>
          <w:rFonts w:ascii="Book Antiqua" w:hAnsi="Book Antiqua"/>
          <w:b/>
          <w:sz w:val="20"/>
          <w:szCs w:val="20"/>
        </w:rPr>
        <w:t>dernier prêt</w:t>
      </w:r>
      <w:r w:rsidRPr="00113477">
        <w:rPr>
          <w:rFonts w:ascii="Book Antiqua" w:hAnsi="Book Antiqua"/>
          <w:sz w:val="20"/>
          <w:szCs w:val="20"/>
        </w:rPr>
        <w:t> ?</w:t>
      </w:r>
      <w:r w:rsidR="00327797" w:rsidRPr="00113477">
        <w:rPr>
          <w:rFonts w:ascii="Book Antiqua" w:hAnsi="Book Antiqua"/>
          <w:sz w:val="20"/>
          <w:szCs w:val="20"/>
        </w:rPr>
        <w:t xml:space="preserve"> </w:t>
      </w:r>
      <w:r w:rsidRPr="00113477">
        <w:rPr>
          <w:rFonts w:ascii="Book Antiqua" w:hAnsi="Book Antiqua"/>
          <w:sz w:val="20"/>
          <w:szCs w:val="20"/>
        </w:rPr>
        <w:t>|__|</w:t>
      </w:r>
    </w:p>
    <w:tbl>
      <w:tblPr>
        <w:tblW w:w="4285" w:type="pct"/>
        <w:tblInd w:w="567" w:type="dxa"/>
        <w:tblLook w:val="01E0"/>
      </w:tblPr>
      <w:tblGrid>
        <w:gridCol w:w="1239"/>
        <w:gridCol w:w="3087"/>
        <w:gridCol w:w="1458"/>
        <w:gridCol w:w="2613"/>
      </w:tblGrid>
      <w:tr w:rsidR="00886ADE" w:rsidRPr="00113477" w:rsidTr="00886ADE">
        <w:tc>
          <w:tcPr>
            <w:tcW w:w="73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Immobilier</w:t>
            </w:r>
          </w:p>
        </w:tc>
        <w:tc>
          <w:tcPr>
            <w:tcW w:w="183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Consommation (autre que Equipement)</w:t>
            </w:r>
          </w:p>
        </w:tc>
        <w:tc>
          <w:tcPr>
            <w:tcW w:w="86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Equipement</w:t>
            </w:r>
          </w:p>
        </w:tc>
        <w:tc>
          <w:tcPr>
            <w:tcW w:w="155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4=Autre (Préciser)…………………..</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1"/>
          <w:numId w:val="61"/>
        </w:numPr>
        <w:ind w:left="788" w:hanging="431"/>
        <w:contextualSpacing/>
        <w:jc w:val="both"/>
        <w:rPr>
          <w:rFonts w:ascii="Book Antiqua" w:hAnsi="Book Antiqua"/>
          <w:sz w:val="20"/>
          <w:szCs w:val="20"/>
        </w:rPr>
      </w:pPr>
      <w:r w:rsidRPr="00113477">
        <w:rPr>
          <w:rFonts w:ascii="Book Antiqua" w:hAnsi="Book Antiqua"/>
          <w:sz w:val="20"/>
          <w:szCs w:val="20"/>
        </w:rPr>
        <w:t>votre banque vous a-t-elle interrogé sur vos autres engagements avant de vous accorder ce prêt ?</w:t>
      </w:r>
      <w:r w:rsidR="00327797" w:rsidRPr="00113477">
        <w:rPr>
          <w:rFonts w:ascii="Book Antiqua" w:hAnsi="Book Antiqua"/>
          <w:sz w:val="20"/>
          <w:szCs w:val="20"/>
        </w:rPr>
        <w:t xml:space="preserve"> </w:t>
      </w:r>
      <w:r w:rsidRPr="00113477">
        <w:rPr>
          <w:rFonts w:ascii="Book Antiqua" w:hAnsi="Book Antiqua"/>
          <w:sz w:val="20"/>
          <w:szCs w:val="20"/>
        </w:rPr>
        <w:t>|__|</w:t>
      </w:r>
    </w:p>
    <w:tbl>
      <w:tblPr>
        <w:tblW w:w="2971" w:type="pct"/>
        <w:tblInd w:w="804" w:type="dxa"/>
        <w:tblLook w:val="01E0"/>
      </w:tblPr>
      <w:tblGrid>
        <w:gridCol w:w="4195"/>
        <w:gridCol w:w="1627"/>
      </w:tblGrid>
      <w:tr w:rsidR="00886ADE" w:rsidRPr="00113477" w:rsidTr="00886ADE">
        <w:tc>
          <w:tcPr>
            <w:tcW w:w="360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139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Non</w:t>
            </w:r>
          </w:p>
        </w:tc>
      </w:tr>
    </w:tbl>
    <w:p w:rsidR="00886ADE" w:rsidRPr="00113477" w:rsidRDefault="00886ADE" w:rsidP="00886ADE">
      <w:pPr>
        <w:contextualSpacing/>
        <w:rPr>
          <w:rFonts w:ascii="Book Antiqua" w:hAnsi="Book Antiqua"/>
          <w:sz w:val="20"/>
          <w:szCs w:val="20"/>
        </w:rPr>
      </w:pPr>
    </w:p>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1"/>
          <w:numId w:val="61"/>
        </w:numPr>
        <w:contextualSpacing/>
        <w:jc w:val="both"/>
        <w:rPr>
          <w:rFonts w:ascii="Book Antiqua" w:hAnsi="Book Antiqua"/>
          <w:sz w:val="20"/>
          <w:szCs w:val="20"/>
        </w:rPr>
      </w:pPr>
      <w:r w:rsidRPr="00113477">
        <w:rPr>
          <w:rFonts w:ascii="Book Antiqua" w:hAnsi="Book Antiqua"/>
          <w:sz w:val="20"/>
          <w:szCs w:val="20"/>
        </w:rPr>
        <w:lastRenderedPageBreak/>
        <w:t>Avant la signature de votre convention de prêt, comment avez-vous été informé du TEG appliqué ?</w:t>
      </w:r>
      <w:r w:rsidR="00327797" w:rsidRPr="00113477">
        <w:rPr>
          <w:rFonts w:ascii="Book Antiqua" w:hAnsi="Book Antiqua"/>
          <w:sz w:val="20"/>
          <w:szCs w:val="20"/>
        </w:rPr>
        <w:t xml:space="preserve"> </w:t>
      </w:r>
      <w:r w:rsidRPr="00113477">
        <w:rPr>
          <w:rFonts w:ascii="Book Antiqua" w:hAnsi="Book Antiqua"/>
          <w:sz w:val="20"/>
          <w:szCs w:val="20"/>
        </w:rPr>
        <w:t>|__|</w:t>
      </w:r>
    </w:p>
    <w:tbl>
      <w:tblPr>
        <w:tblW w:w="4602" w:type="pct"/>
        <w:tblInd w:w="804" w:type="dxa"/>
        <w:tblLook w:val="01E0"/>
      </w:tblPr>
      <w:tblGrid>
        <w:gridCol w:w="1835"/>
        <w:gridCol w:w="1926"/>
        <w:gridCol w:w="5257"/>
      </w:tblGrid>
      <w:tr w:rsidR="00886ADE" w:rsidRPr="00113477" w:rsidTr="00886ADE">
        <w:tc>
          <w:tcPr>
            <w:tcW w:w="101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Par écrit</w:t>
            </w:r>
          </w:p>
        </w:tc>
        <w:tc>
          <w:tcPr>
            <w:tcW w:w="106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Oralement.</w:t>
            </w:r>
          </w:p>
        </w:tc>
        <w:tc>
          <w:tcPr>
            <w:tcW w:w="291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3=Pas informé</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Quelles sont les garanties exigées par la banque ?</w:t>
      </w:r>
      <w:r w:rsidRPr="00113477">
        <w:rPr>
          <w:rFonts w:ascii="Book Antiqua" w:hAnsi="Book Antiqua"/>
          <w:i/>
          <w:sz w:val="20"/>
          <w:szCs w:val="20"/>
        </w:rPr>
        <w:t xml:space="preserve"> (Encerclez la ou les réponses)</w:t>
      </w:r>
    </w:p>
    <w:tbl>
      <w:tblPr>
        <w:tblW w:w="5046" w:type="pct"/>
        <w:jc w:val="center"/>
        <w:tblInd w:w="579" w:type="dxa"/>
        <w:tblLook w:val="01E0"/>
      </w:tblPr>
      <w:tblGrid>
        <w:gridCol w:w="1378"/>
        <w:gridCol w:w="2132"/>
        <w:gridCol w:w="2684"/>
        <w:gridCol w:w="1240"/>
        <w:gridCol w:w="2454"/>
      </w:tblGrid>
      <w:tr w:rsidR="00886ADE" w:rsidRPr="00113477" w:rsidTr="004279A3">
        <w:trPr>
          <w:jc w:val="center"/>
        </w:trPr>
        <w:tc>
          <w:tcPr>
            <w:tcW w:w="69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 xml:space="preserve">1= Hypothèque </w:t>
            </w:r>
          </w:p>
        </w:tc>
        <w:tc>
          <w:tcPr>
            <w:tcW w:w="107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Domiciliation des revenus</w:t>
            </w:r>
          </w:p>
        </w:tc>
        <w:tc>
          <w:tcPr>
            <w:tcW w:w="135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3=Nantissement fonds de commerce</w:t>
            </w:r>
          </w:p>
        </w:tc>
        <w:tc>
          <w:tcPr>
            <w:tcW w:w="62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Caution</w:t>
            </w:r>
          </w:p>
        </w:tc>
        <w:tc>
          <w:tcPr>
            <w:tcW w:w="124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Autre (Précisez)……….</w:t>
            </w:r>
          </w:p>
        </w:tc>
      </w:tr>
    </w:tbl>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Quelle est votre appréciation sur les différentes garanties exigées par la banque ?</w:t>
      </w:r>
      <w:r w:rsidR="00327797" w:rsidRPr="00113477">
        <w:rPr>
          <w:rFonts w:ascii="Book Antiqua" w:hAnsi="Book Antiqua"/>
          <w:sz w:val="20"/>
          <w:szCs w:val="20"/>
        </w:rPr>
        <w:t xml:space="preserve"> </w:t>
      </w:r>
      <w:r w:rsidRPr="00113477">
        <w:rPr>
          <w:rFonts w:ascii="Book Antiqua" w:hAnsi="Book Antiqua"/>
          <w:sz w:val="20"/>
          <w:szCs w:val="20"/>
        </w:rPr>
        <w:t>|__|</w:t>
      </w:r>
    </w:p>
    <w:tbl>
      <w:tblPr>
        <w:tblW w:w="3886" w:type="pct"/>
        <w:jc w:val="center"/>
        <w:tblLook w:val="01E0"/>
      </w:tblPr>
      <w:tblGrid>
        <w:gridCol w:w="1973"/>
        <w:gridCol w:w="1515"/>
        <w:gridCol w:w="1788"/>
        <w:gridCol w:w="2339"/>
      </w:tblGrid>
      <w:tr w:rsidR="00886ADE" w:rsidRPr="00113477" w:rsidTr="00886ADE">
        <w:trPr>
          <w:jc w:val="center"/>
        </w:trPr>
        <w:tc>
          <w:tcPr>
            <w:tcW w:w="129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Trop contraignantes</w:t>
            </w:r>
          </w:p>
        </w:tc>
        <w:tc>
          <w:tcPr>
            <w:tcW w:w="99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Contraignantes</w:t>
            </w:r>
          </w:p>
        </w:tc>
        <w:tc>
          <w:tcPr>
            <w:tcW w:w="117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Pas contraignantes</w:t>
            </w:r>
          </w:p>
        </w:tc>
        <w:tc>
          <w:tcPr>
            <w:tcW w:w="153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Pas du tout contraignantes</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Quel a été le délai de traitement de la demande de prêt ? |__|</w:t>
      </w:r>
    </w:p>
    <w:tbl>
      <w:tblPr>
        <w:tblW w:w="4378" w:type="pct"/>
        <w:tblInd w:w="804" w:type="dxa"/>
        <w:tblLook w:val="01E0"/>
      </w:tblPr>
      <w:tblGrid>
        <w:gridCol w:w="1700"/>
        <w:gridCol w:w="1649"/>
        <w:gridCol w:w="1790"/>
        <w:gridCol w:w="1793"/>
        <w:gridCol w:w="1647"/>
      </w:tblGrid>
      <w:tr w:rsidR="00886ADE" w:rsidRPr="00113477" w:rsidTr="00886ADE">
        <w:tc>
          <w:tcPr>
            <w:tcW w:w="99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moins de 3 jours</w:t>
            </w:r>
          </w:p>
        </w:tc>
        <w:tc>
          <w:tcPr>
            <w:tcW w:w="96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entre 3 et 7 jours</w:t>
            </w:r>
          </w:p>
        </w:tc>
        <w:tc>
          <w:tcPr>
            <w:tcW w:w="104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entre 8 et 15 jours</w:t>
            </w:r>
          </w:p>
        </w:tc>
        <w:tc>
          <w:tcPr>
            <w:tcW w:w="104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entre 16 et 30 jours</w:t>
            </w:r>
          </w:p>
        </w:tc>
        <w:tc>
          <w:tcPr>
            <w:tcW w:w="96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Plus de 30 jours</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Comm</w:t>
      </w:r>
      <w:r w:rsidR="00327797">
        <w:rPr>
          <w:rFonts w:ascii="Book Antiqua" w:hAnsi="Book Antiqua"/>
          <w:sz w:val="20"/>
          <w:szCs w:val="20"/>
        </w:rPr>
        <w:t>ent appréciez-vous ce délai ?</w:t>
      </w:r>
      <w:r w:rsidR="00327797" w:rsidRPr="00113477">
        <w:rPr>
          <w:rFonts w:ascii="Book Antiqua" w:hAnsi="Book Antiqua"/>
          <w:sz w:val="20"/>
          <w:szCs w:val="20"/>
        </w:rPr>
        <w:t xml:space="preserve"> </w:t>
      </w:r>
      <w:r w:rsidRPr="00113477">
        <w:rPr>
          <w:rFonts w:ascii="Book Antiqua" w:hAnsi="Book Antiqua"/>
          <w:sz w:val="20"/>
          <w:szCs w:val="20"/>
        </w:rPr>
        <w:t>|__|</w:t>
      </w:r>
    </w:p>
    <w:tbl>
      <w:tblPr>
        <w:tblW w:w="0" w:type="auto"/>
        <w:jc w:val="center"/>
        <w:tblLook w:val="01E0"/>
      </w:tblPr>
      <w:tblGrid>
        <w:gridCol w:w="1843"/>
        <w:gridCol w:w="1701"/>
        <w:gridCol w:w="1260"/>
        <w:gridCol w:w="1338"/>
      </w:tblGrid>
      <w:tr w:rsidR="00886ADE" w:rsidRPr="00113477" w:rsidTr="00886ADE">
        <w:trPr>
          <w:jc w:val="center"/>
        </w:trPr>
        <w:tc>
          <w:tcPr>
            <w:tcW w:w="1843"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raisonnables</w:t>
            </w:r>
          </w:p>
        </w:tc>
        <w:tc>
          <w:tcPr>
            <w:tcW w:w="1701"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Raisonnables</w:t>
            </w:r>
          </w:p>
        </w:tc>
        <w:tc>
          <w:tcPr>
            <w:tcW w:w="1260"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Long</w:t>
            </w:r>
          </w:p>
        </w:tc>
        <w:tc>
          <w:tcPr>
            <w:tcW w:w="0" w:type="auto"/>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Trop Long</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0"/>
          <w:numId w:val="61"/>
        </w:numPr>
        <w:contextualSpacing/>
        <w:jc w:val="both"/>
        <w:rPr>
          <w:rFonts w:ascii="Book Antiqua" w:hAnsi="Book Antiqua"/>
          <w:sz w:val="20"/>
          <w:szCs w:val="20"/>
        </w:rPr>
      </w:pPr>
      <w:r w:rsidRPr="00113477">
        <w:rPr>
          <w:rFonts w:ascii="Book Antiqua" w:hAnsi="Book Antiqua"/>
          <w:sz w:val="20"/>
          <w:szCs w:val="20"/>
        </w:rPr>
        <w:t>Que pensez-vous des frais appliqués par votre banque sur les découverts ? |__|</w:t>
      </w:r>
    </w:p>
    <w:tbl>
      <w:tblPr>
        <w:tblW w:w="0" w:type="auto"/>
        <w:jc w:val="center"/>
        <w:tblLook w:val="01E0"/>
      </w:tblPr>
      <w:tblGrid>
        <w:gridCol w:w="1714"/>
        <w:gridCol w:w="1560"/>
        <w:gridCol w:w="992"/>
        <w:gridCol w:w="1276"/>
        <w:gridCol w:w="1701"/>
        <w:gridCol w:w="1417"/>
      </w:tblGrid>
      <w:tr w:rsidR="00886ADE" w:rsidRPr="00113477" w:rsidTr="00886ADE">
        <w:trPr>
          <w:jc w:val="center"/>
        </w:trPr>
        <w:tc>
          <w:tcPr>
            <w:tcW w:w="1714"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raisonnables</w:t>
            </w:r>
          </w:p>
        </w:tc>
        <w:tc>
          <w:tcPr>
            <w:tcW w:w="1560"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Raisonnables</w:t>
            </w:r>
          </w:p>
        </w:tc>
        <w:tc>
          <w:tcPr>
            <w:tcW w:w="992"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Elevés</w:t>
            </w:r>
          </w:p>
        </w:tc>
        <w:tc>
          <w:tcPr>
            <w:tcW w:w="1276"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élevés</w:t>
            </w:r>
          </w:p>
        </w:tc>
        <w:tc>
          <w:tcPr>
            <w:tcW w:w="1701"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Pas de découvert</w:t>
            </w:r>
          </w:p>
        </w:tc>
        <w:tc>
          <w:tcPr>
            <w:tcW w:w="1417"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6= Ne connaît pas</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contextualSpacing/>
        <w:jc w:val="both"/>
        <w:rPr>
          <w:rFonts w:ascii="Book Antiqua" w:hAnsi="Book Antiqua"/>
          <w:sz w:val="20"/>
          <w:szCs w:val="20"/>
        </w:rPr>
      </w:pPr>
      <w:r w:rsidRPr="00113477">
        <w:rPr>
          <w:rFonts w:ascii="Book Antiqua" w:hAnsi="Book Antiqua"/>
          <w:sz w:val="20"/>
          <w:szCs w:val="20"/>
        </w:rPr>
        <w:t>Vous est-il arrivé de demander des dépassements ponctuels à votre banque ? |__|</w:t>
      </w:r>
    </w:p>
    <w:tbl>
      <w:tblPr>
        <w:tblW w:w="0" w:type="auto"/>
        <w:jc w:val="center"/>
        <w:tblLook w:val="01E0"/>
      </w:tblPr>
      <w:tblGrid>
        <w:gridCol w:w="1714"/>
        <w:gridCol w:w="1560"/>
      </w:tblGrid>
      <w:tr w:rsidR="00886ADE" w:rsidRPr="00113477" w:rsidTr="00886ADE">
        <w:trPr>
          <w:jc w:val="center"/>
        </w:trPr>
        <w:tc>
          <w:tcPr>
            <w:tcW w:w="1714"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1560"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Non</w:t>
            </w:r>
          </w:p>
        </w:tc>
      </w:tr>
    </w:tbl>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Si oui, comment appréciez-vous le délai de</w:t>
      </w:r>
      <w:r w:rsidR="00327797">
        <w:rPr>
          <w:rFonts w:ascii="Book Antiqua" w:hAnsi="Book Antiqua"/>
          <w:sz w:val="20"/>
          <w:szCs w:val="20"/>
        </w:rPr>
        <w:t xml:space="preserve"> traitement de cette demande ?</w:t>
      </w:r>
      <w:r w:rsidR="00327797" w:rsidRPr="00113477">
        <w:rPr>
          <w:rFonts w:ascii="Book Antiqua" w:hAnsi="Book Antiqua"/>
          <w:sz w:val="20"/>
          <w:szCs w:val="20"/>
        </w:rPr>
        <w:t xml:space="preserve"> </w:t>
      </w:r>
      <w:r w:rsidRPr="00113477">
        <w:rPr>
          <w:rFonts w:ascii="Book Antiqua" w:hAnsi="Book Antiqua"/>
          <w:sz w:val="20"/>
          <w:szCs w:val="20"/>
        </w:rPr>
        <w:t>|__|</w:t>
      </w:r>
    </w:p>
    <w:tbl>
      <w:tblPr>
        <w:tblW w:w="0" w:type="auto"/>
        <w:jc w:val="center"/>
        <w:tblLook w:val="01E0"/>
      </w:tblPr>
      <w:tblGrid>
        <w:gridCol w:w="1560"/>
        <w:gridCol w:w="1417"/>
        <w:gridCol w:w="1371"/>
        <w:gridCol w:w="1875"/>
        <w:gridCol w:w="1906"/>
      </w:tblGrid>
      <w:tr w:rsidR="00886ADE" w:rsidRPr="00113477" w:rsidTr="00886ADE">
        <w:trPr>
          <w:jc w:val="center"/>
        </w:trPr>
        <w:tc>
          <w:tcPr>
            <w:tcW w:w="1560"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Trop long</w:t>
            </w:r>
          </w:p>
        </w:tc>
        <w:tc>
          <w:tcPr>
            <w:tcW w:w="1417"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Long</w:t>
            </w:r>
          </w:p>
        </w:tc>
        <w:tc>
          <w:tcPr>
            <w:tcW w:w="1371"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Raisonnable</w:t>
            </w:r>
          </w:p>
        </w:tc>
        <w:tc>
          <w:tcPr>
            <w:tcW w:w="0" w:type="auto"/>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Raisonnable</w:t>
            </w:r>
          </w:p>
        </w:tc>
        <w:tc>
          <w:tcPr>
            <w:tcW w:w="1906"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Pas du tout traité</w:t>
            </w:r>
          </w:p>
        </w:tc>
      </w:tr>
    </w:tbl>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Comment appréciez-vo</w:t>
      </w:r>
      <w:r w:rsidR="00327797">
        <w:rPr>
          <w:rFonts w:ascii="Book Antiqua" w:hAnsi="Book Antiqua"/>
          <w:sz w:val="20"/>
          <w:szCs w:val="20"/>
        </w:rPr>
        <w:t>us le coût de ce dépassement ?</w:t>
      </w:r>
      <w:r w:rsidR="00327797" w:rsidRPr="00113477">
        <w:rPr>
          <w:rFonts w:ascii="Book Antiqua" w:hAnsi="Book Antiqua"/>
          <w:sz w:val="20"/>
          <w:szCs w:val="20"/>
        </w:rPr>
        <w:t xml:space="preserve"> </w:t>
      </w:r>
      <w:r w:rsidRPr="00113477">
        <w:rPr>
          <w:rFonts w:ascii="Book Antiqua" w:hAnsi="Book Antiqua"/>
          <w:sz w:val="20"/>
          <w:szCs w:val="20"/>
        </w:rPr>
        <w:t>|__|</w:t>
      </w:r>
    </w:p>
    <w:tbl>
      <w:tblPr>
        <w:tblW w:w="0" w:type="auto"/>
        <w:jc w:val="center"/>
        <w:tblLook w:val="01E0"/>
      </w:tblPr>
      <w:tblGrid>
        <w:gridCol w:w="1714"/>
        <w:gridCol w:w="1560"/>
        <w:gridCol w:w="992"/>
        <w:gridCol w:w="1546"/>
        <w:gridCol w:w="2268"/>
      </w:tblGrid>
      <w:tr w:rsidR="00886ADE" w:rsidRPr="00113477" w:rsidTr="00886ADE">
        <w:trPr>
          <w:jc w:val="center"/>
        </w:trPr>
        <w:tc>
          <w:tcPr>
            <w:tcW w:w="1714"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raisonnables</w:t>
            </w:r>
          </w:p>
        </w:tc>
        <w:tc>
          <w:tcPr>
            <w:tcW w:w="1560"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Raisonnables</w:t>
            </w:r>
          </w:p>
        </w:tc>
        <w:tc>
          <w:tcPr>
            <w:tcW w:w="992"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Elevés</w:t>
            </w:r>
          </w:p>
        </w:tc>
        <w:tc>
          <w:tcPr>
            <w:tcW w:w="1546"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élevés</w:t>
            </w:r>
          </w:p>
        </w:tc>
        <w:tc>
          <w:tcPr>
            <w:tcW w:w="2268"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Dépassement non accordé</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contextualSpacing/>
        <w:jc w:val="both"/>
        <w:rPr>
          <w:rFonts w:ascii="Book Antiqua" w:hAnsi="Book Antiqua"/>
          <w:sz w:val="20"/>
          <w:szCs w:val="20"/>
        </w:rPr>
      </w:pPr>
      <w:r w:rsidRPr="00113477">
        <w:rPr>
          <w:rFonts w:ascii="Book Antiqua" w:hAnsi="Book Antiqua"/>
          <w:sz w:val="20"/>
          <w:szCs w:val="20"/>
        </w:rPr>
        <w:t>Quelle est votre appréciation sur les taux d’intérêt ? |__|</w:t>
      </w:r>
    </w:p>
    <w:tbl>
      <w:tblPr>
        <w:tblW w:w="0" w:type="auto"/>
        <w:jc w:val="center"/>
        <w:tblLook w:val="01E0"/>
      </w:tblPr>
      <w:tblGrid>
        <w:gridCol w:w="1843"/>
        <w:gridCol w:w="1559"/>
        <w:gridCol w:w="1276"/>
        <w:gridCol w:w="1697"/>
        <w:gridCol w:w="1308"/>
      </w:tblGrid>
      <w:tr w:rsidR="00886ADE" w:rsidRPr="00113477" w:rsidTr="00886ADE">
        <w:trPr>
          <w:jc w:val="center"/>
        </w:trPr>
        <w:tc>
          <w:tcPr>
            <w:tcW w:w="1843"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raisonnables</w:t>
            </w:r>
          </w:p>
        </w:tc>
        <w:tc>
          <w:tcPr>
            <w:tcW w:w="1559"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Raisonnables</w:t>
            </w:r>
          </w:p>
        </w:tc>
        <w:tc>
          <w:tcPr>
            <w:tcW w:w="1276"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Elevés</w:t>
            </w:r>
          </w:p>
        </w:tc>
        <w:tc>
          <w:tcPr>
            <w:tcW w:w="1697"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élevés</w:t>
            </w:r>
          </w:p>
        </w:tc>
        <w:tc>
          <w:tcPr>
            <w:tcW w:w="0" w:type="auto"/>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Sans objet</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contextualSpacing/>
        <w:jc w:val="both"/>
        <w:rPr>
          <w:rFonts w:ascii="Book Antiqua" w:hAnsi="Book Antiqua"/>
          <w:sz w:val="20"/>
          <w:szCs w:val="20"/>
        </w:rPr>
      </w:pPr>
      <w:r w:rsidRPr="00113477">
        <w:rPr>
          <w:rFonts w:ascii="Book Antiqua" w:hAnsi="Book Antiqua"/>
          <w:sz w:val="20"/>
          <w:szCs w:val="20"/>
        </w:rPr>
        <w:t>Que pensez-vous des frais de tenue de compte appliqués par votre banque ? |__|</w:t>
      </w:r>
    </w:p>
    <w:tbl>
      <w:tblPr>
        <w:tblW w:w="0" w:type="auto"/>
        <w:jc w:val="center"/>
        <w:tblLook w:val="01E0"/>
      </w:tblPr>
      <w:tblGrid>
        <w:gridCol w:w="1843"/>
        <w:gridCol w:w="1559"/>
        <w:gridCol w:w="1276"/>
        <w:gridCol w:w="1697"/>
      </w:tblGrid>
      <w:tr w:rsidR="00886ADE" w:rsidRPr="00113477" w:rsidTr="00886ADE">
        <w:trPr>
          <w:jc w:val="center"/>
        </w:trPr>
        <w:tc>
          <w:tcPr>
            <w:tcW w:w="1843"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raisonnables</w:t>
            </w:r>
          </w:p>
        </w:tc>
        <w:tc>
          <w:tcPr>
            <w:tcW w:w="1559"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Raisonnables</w:t>
            </w:r>
          </w:p>
        </w:tc>
        <w:tc>
          <w:tcPr>
            <w:tcW w:w="1276"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Elevés</w:t>
            </w:r>
          </w:p>
        </w:tc>
        <w:tc>
          <w:tcPr>
            <w:tcW w:w="1697"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élevés</w:t>
            </w:r>
          </w:p>
        </w:tc>
      </w:tr>
    </w:tbl>
    <w:p w:rsidR="00886ADE" w:rsidRPr="00113477" w:rsidRDefault="00886ADE" w:rsidP="00886ADE">
      <w:pPr>
        <w:contextualSpacing/>
        <w:rPr>
          <w:rFonts w:ascii="Book Antiqua" w:hAnsi="Book Antiqua"/>
          <w:sz w:val="20"/>
          <w:szCs w:val="20"/>
        </w:rPr>
      </w:pPr>
    </w:p>
    <w:p w:rsidR="00886ADE" w:rsidRPr="00113477" w:rsidRDefault="00886ADE" w:rsidP="00327797">
      <w:pPr>
        <w:numPr>
          <w:ilvl w:val="0"/>
          <w:numId w:val="61"/>
        </w:numPr>
        <w:contextualSpacing/>
        <w:rPr>
          <w:rFonts w:ascii="Book Antiqua" w:hAnsi="Book Antiqua"/>
          <w:sz w:val="20"/>
          <w:szCs w:val="20"/>
        </w:rPr>
      </w:pPr>
      <w:r w:rsidRPr="00113477">
        <w:rPr>
          <w:rFonts w:ascii="Book Antiqua" w:hAnsi="Book Antiqua"/>
          <w:sz w:val="20"/>
          <w:szCs w:val="20"/>
        </w:rPr>
        <w:t>Utilisez-vous les services de consultation à distance de votre compte</w:t>
      </w:r>
      <w:r w:rsidR="00327797">
        <w:rPr>
          <w:rFonts w:ascii="Book Antiqua" w:hAnsi="Book Antiqua"/>
          <w:sz w:val="20"/>
          <w:szCs w:val="20"/>
        </w:rPr>
        <w:t xml:space="preserve"> </w:t>
      </w:r>
      <w:r w:rsidRPr="00113477">
        <w:rPr>
          <w:rFonts w:ascii="Book Antiqua" w:hAnsi="Book Antiqua"/>
          <w:i/>
          <w:sz w:val="20"/>
          <w:szCs w:val="20"/>
        </w:rPr>
        <w:t>(réception de relevés de compte, consultation du compte, opérations de virement, etc.)</w:t>
      </w:r>
      <w:r w:rsidR="00327797">
        <w:rPr>
          <w:rFonts w:ascii="Book Antiqua" w:hAnsi="Book Antiqua"/>
          <w:sz w:val="20"/>
          <w:szCs w:val="20"/>
        </w:rPr>
        <w:t> ?</w:t>
      </w:r>
      <w:r w:rsidRPr="00113477">
        <w:rPr>
          <w:rFonts w:ascii="Book Antiqua" w:hAnsi="Book Antiqua"/>
          <w:sz w:val="20"/>
          <w:szCs w:val="20"/>
        </w:rPr>
        <w:t>|__|</w:t>
      </w:r>
    </w:p>
    <w:tbl>
      <w:tblPr>
        <w:tblW w:w="2971" w:type="pct"/>
        <w:tblInd w:w="804" w:type="dxa"/>
        <w:tblLook w:val="01E0"/>
      </w:tblPr>
      <w:tblGrid>
        <w:gridCol w:w="2613"/>
        <w:gridCol w:w="3209"/>
      </w:tblGrid>
      <w:tr w:rsidR="00886ADE" w:rsidRPr="00113477" w:rsidTr="00886ADE">
        <w:tc>
          <w:tcPr>
            <w:tcW w:w="224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275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Non</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886ADE">
      <w:pPr>
        <w:ind w:left="360"/>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w:t>
      </w:r>
    </w:p>
    <w:p w:rsidR="00886ADE" w:rsidRPr="00113477" w:rsidRDefault="00886ADE" w:rsidP="004272B8">
      <w:pPr>
        <w:numPr>
          <w:ilvl w:val="1"/>
          <w:numId w:val="61"/>
        </w:numPr>
        <w:contextualSpacing/>
        <w:jc w:val="both"/>
        <w:rPr>
          <w:rFonts w:ascii="Book Antiqua" w:hAnsi="Book Antiqua"/>
          <w:sz w:val="20"/>
          <w:szCs w:val="20"/>
        </w:rPr>
      </w:pPr>
      <w:r w:rsidRPr="00113477">
        <w:rPr>
          <w:rFonts w:ascii="Book Antiqua" w:hAnsi="Book Antiqua"/>
          <w:sz w:val="20"/>
          <w:szCs w:val="20"/>
        </w:rPr>
        <w:t>Quelle est votre opinion sur la qualité de ce service ? |__|</w:t>
      </w:r>
    </w:p>
    <w:p w:rsidR="00886ADE" w:rsidRPr="00113477" w:rsidRDefault="00886ADE" w:rsidP="00886ADE">
      <w:pPr>
        <w:ind w:left="360"/>
        <w:contextualSpacing/>
        <w:rPr>
          <w:rFonts w:ascii="Book Antiqua" w:hAnsi="Book Antiqua"/>
          <w:sz w:val="20"/>
          <w:szCs w:val="20"/>
        </w:rPr>
      </w:pPr>
    </w:p>
    <w:tbl>
      <w:tblPr>
        <w:tblW w:w="3933" w:type="pct"/>
        <w:jc w:val="center"/>
        <w:tblLook w:val="01E0"/>
      </w:tblPr>
      <w:tblGrid>
        <w:gridCol w:w="1790"/>
        <w:gridCol w:w="1378"/>
        <w:gridCol w:w="1649"/>
        <w:gridCol w:w="2890"/>
      </w:tblGrid>
      <w:tr w:rsidR="00886ADE" w:rsidRPr="00113477" w:rsidTr="00886ADE">
        <w:trPr>
          <w:jc w:val="center"/>
        </w:trPr>
        <w:tc>
          <w:tcPr>
            <w:tcW w:w="116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satisfait</w:t>
            </w:r>
          </w:p>
        </w:tc>
        <w:tc>
          <w:tcPr>
            <w:tcW w:w="89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Satisfait</w:t>
            </w:r>
          </w:p>
        </w:tc>
        <w:tc>
          <w:tcPr>
            <w:tcW w:w="107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Pas satisfait</w:t>
            </w:r>
          </w:p>
        </w:tc>
        <w:tc>
          <w:tcPr>
            <w:tcW w:w="187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Pas du tout satisfait</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1"/>
          <w:numId w:val="61"/>
        </w:numPr>
        <w:contextualSpacing/>
        <w:jc w:val="both"/>
        <w:rPr>
          <w:rFonts w:ascii="Book Antiqua" w:hAnsi="Book Antiqua"/>
          <w:sz w:val="20"/>
          <w:szCs w:val="20"/>
        </w:rPr>
      </w:pPr>
      <w:r w:rsidRPr="00113477">
        <w:rPr>
          <w:rFonts w:ascii="Book Antiqua" w:hAnsi="Book Antiqua"/>
          <w:sz w:val="20"/>
          <w:szCs w:val="20"/>
        </w:rPr>
        <w:t>Que pensez-vous du coût de ce service ? |__|</w:t>
      </w:r>
    </w:p>
    <w:tbl>
      <w:tblPr>
        <w:tblW w:w="3082" w:type="pct"/>
        <w:tblInd w:w="1580" w:type="dxa"/>
        <w:tblLook w:val="01E0"/>
      </w:tblPr>
      <w:tblGrid>
        <w:gridCol w:w="1908"/>
        <w:gridCol w:w="1377"/>
        <w:gridCol w:w="1377"/>
        <w:gridCol w:w="1377"/>
      </w:tblGrid>
      <w:tr w:rsidR="00886ADE" w:rsidRPr="00113477" w:rsidTr="00886ADE">
        <w:tc>
          <w:tcPr>
            <w:tcW w:w="157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raisonnable</w:t>
            </w:r>
          </w:p>
        </w:tc>
        <w:tc>
          <w:tcPr>
            <w:tcW w:w="114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Raisonnable</w:t>
            </w:r>
          </w:p>
        </w:tc>
        <w:tc>
          <w:tcPr>
            <w:tcW w:w="114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Cher</w:t>
            </w:r>
          </w:p>
        </w:tc>
        <w:tc>
          <w:tcPr>
            <w:tcW w:w="114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cher</w:t>
            </w:r>
          </w:p>
        </w:tc>
      </w:tr>
    </w:tbl>
    <w:p w:rsidR="004279A3" w:rsidRDefault="004279A3" w:rsidP="00886ADE">
      <w:pPr>
        <w:ind w:left="180"/>
        <w:contextualSpacing/>
        <w:rPr>
          <w:rFonts w:ascii="Book Antiqua" w:hAnsi="Book Antiqua"/>
          <w:b/>
          <w:bCs/>
          <w:sz w:val="20"/>
          <w:szCs w:val="20"/>
        </w:rPr>
      </w:pPr>
    </w:p>
    <w:p w:rsidR="00886ADE" w:rsidRPr="00113477" w:rsidRDefault="004279A3" w:rsidP="004279A3">
      <w:pPr>
        <w:spacing w:after="200" w:line="276" w:lineRule="auto"/>
        <w:rPr>
          <w:rFonts w:ascii="Book Antiqua" w:hAnsi="Book Antiqua"/>
          <w:b/>
          <w:bCs/>
          <w:sz w:val="20"/>
          <w:szCs w:val="20"/>
        </w:rPr>
      </w:pPr>
      <w:r>
        <w:rPr>
          <w:rFonts w:ascii="Book Antiqua" w:hAnsi="Book Antiqua"/>
          <w:b/>
          <w:bCs/>
          <w:sz w:val="20"/>
          <w:szCs w:val="20"/>
        </w:rPr>
        <w:br w:type="page"/>
      </w:r>
    </w:p>
    <w:p w:rsidR="00886ADE" w:rsidRPr="00113477" w:rsidRDefault="00886ADE" w:rsidP="004272B8">
      <w:pPr>
        <w:numPr>
          <w:ilvl w:val="0"/>
          <w:numId w:val="60"/>
        </w:numPr>
        <w:contextualSpacing/>
        <w:rPr>
          <w:rFonts w:ascii="Book Antiqua" w:hAnsi="Book Antiqua"/>
          <w:b/>
          <w:bCs/>
          <w:sz w:val="20"/>
          <w:szCs w:val="20"/>
        </w:rPr>
      </w:pPr>
      <w:r w:rsidRPr="00113477">
        <w:rPr>
          <w:rFonts w:ascii="Book Antiqua" w:hAnsi="Book Antiqua"/>
          <w:b/>
          <w:bCs/>
          <w:sz w:val="20"/>
          <w:szCs w:val="20"/>
        </w:rPr>
        <w:lastRenderedPageBreak/>
        <w:t>SATISFACTION SUR LE PERSONNEL</w:t>
      </w:r>
    </w:p>
    <w:p w:rsidR="00886ADE" w:rsidRPr="00113477" w:rsidRDefault="00886ADE" w:rsidP="00886ADE">
      <w:pPr>
        <w:ind w:left="180"/>
        <w:contextualSpacing/>
        <w:rPr>
          <w:rFonts w:ascii="Book Antiqua" w:hAnsi="Book Antiqua"/>
          <w:b/>
          <w:bCs/>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Quelle est votre opinion sur l’initiative de votre conseiller à vous contacter ? |__|</w:t>
      </w:r>
    </w:p>
    <w:tbl>
      <w:tblPr>
        <w:tblW w:w="3933" w:type="pct"/>
        <w:jc w:val="center"/>
        <w:tblLook w:val="01E0"/>
      </w:tblPr>
      <w:tblGrid>
        <w:gridCol w:w="1790"/>
        <w:gridCol w:w="1378"/>
        <w:gridCol w:w="1649"/>
        <w:gridCol w:w="2890"/>
      </w:tblGrid>
      <w:tr w:rsidR="00886ADE" w:rsidRPr="00113477" w:rsidTr="00886ADE">
        <w:trPr>
          <w:jc w:val="center"/>
        </w:trPr>
        <w:tc>
          <w:tcPr>
            <w:tcW w:w="1161"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satisfait</w:t>
            </w:r>
          </w:p>
        </w:tc>
        <w:tc>
          <w:tcPr>
            <w:tcW w:w="89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Satisfait</w:t>
            </w:r>
          </w:p>
        </w:tc>
        <w:tc>
          <w:tcPr>
            <w:tcW w:w="107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Pas satisfait</w:t>
            </w:r>
          </w:p>
        </w:tc>
        <w:tc>
          <w:tcPr>
            <w:tcW w:w="187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Pas du tout satisfait</w:t>
            </w:r>
          </w:p>
        </w:tc>
      </w:tr>
    </w:tbl>
    <w:p w:rsidR="00886ADE" w:rsidRPr="00113477" w:rsidRDefault="00886ADE" w:rsidP="00886ADE">
      <w:pPr>
        <w:ind w:left="180"/>
        <w:contextualSpacing/>
        <w:rPr>
          <w:rFonts w:ascii="Book Antiqua" w:hAnsi="Book Antiqua"/>
          <w:b/>
          <w:bCs/>
          <w:sz w:val="20"/>
          <w:szCs w:val="20"/>
        </w:rPr>
      </w:pPr>
    </w:p>
    <w:p w:rsidR="00886ADE" w:rsidRPr="00113477" w:rsidRDefault="00886ADE" w:rsidP="004272B8">
      <w:pPr>
        <w:numPr>
          <w:ilvl w:val="0"/>
          <w:numId w:val="61"/>
        </w:numPr>
        <w:contextualSpacing/>
        <w:rPr>
          <w:rFonts w:ascii="Book Antiqua" w:hAnsi="Book Antiqua"/>
          <w:sz w:val="20"/>
          <w:szCs w:val="20"/>
        </w:rPr>
      </w:pPr>
      <w:r w:rsidRPr="00113477">
        <w:rPr>
          <w:rFonts w:ascii="Book Antiqua" w:hAnsi="Book Antiqua"/>
          <w:sz w:val="20"/>
          <w:szCs w:val="20"/>
        </w:rPr>
        <w:t>Quelle est votre opinion sur la capacité d’écoute et la qualité des conseils de votre conseiller ? |__|</w:t>
      </w:r>
    </w:p>
    <w:tbl>
      <w:tblPr>
        <w:tblW w:w="4495" w:type="pct"/>
        <w:jc w:val="center"/>
        <w:tblLook w:val="01E0"/>
      </w:tblPr>
      <w:tblGrid>
        <w:gridCol w:w="1514"/>
        <w:gridCol w:w="1237"/>
        <w:gridCol w:w="1378"/>
        <w:gridCol w:w="2065"/>
        <w:gridCol w:w="2614"/>
      </w:tblGrid>
      <w:tr w:rsidR="00886ADE" w:rsidRPr="00113477" w:rsidTr="00886ADE">
        <w:trPr>
          <w:jc w:val="center"/>
        </w:trPr>
        <w:tc>
          <w:tcPr>
            <w:tcW w:w="860"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satisfait</w:t>
            </w:r>
          </w:p>
        </w:tc>
        <w:tc>
          <w:tcPr>
            <w:tcW w:w="70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Satisfait</w:t>
            </w:r>
          </w:p>
        </w:tc>
        <w:tc>
          <w:tcPr>
            <w:tcW w:w="78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Pas satisfait</w:t>
            </w:r>
          </w:p>
        </w:tc>
        <w:tc>
          <w:tcPr>
            <w:tcW w:w="117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Pas du tout satisfait</w:t>
            </w:r>
          </w:p>
        </w:tc>
        <w:tc>
          <w:tcPr>
            <w:tcW w:w="148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Jamais rencontré mon conseiller</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0"/>
          <w:numId w:val="61"/>
        </w:numPr>
        <w:ind w:right="10"/>
        <w:contextualSpacing/>
        <w:rPr>
          <w:rFonts w:ascii="Book Antiqua" w:hAnsi="Book Antiqua"/>
          <w:sz w:val="20"/>
          <w:szCs w:val="20"/>
        </w:rPr>
      </w:pPr>
      <w:r w:rsidRPr="00113477">
        <w:rPr>
          <w:rFonts w:ascii="Book Antiqua" w:hAnsi="Book Antiqua"/>
          <w:sz w:val="20"/>
          <w:szCs w:val="20"/>
        </w:rPr>
        <w:t>Comment qualifiez-vous le personnel de votre agence ? |__|</w:t>
      </w:r>
    </w:p>
    <w:tbl>
      <w:tblPr>
        <w:tblW w:w="3679" w:type="pct"/>
        <w:jc w:val="center"/>
        <w:tblLook w:val="01E0"/>
      </w:tblPr>
      <w:tblGrid>
        <w:gridCol w:w="1554"/>
        <w:gridCol w:w="1334"/>
        <w:gridCol w:w="1707"/>
        <w:gridCol w:w="2614"/>
      </w:tblGrid>
      <w:tr w:rsidR="00886ADE" w:rsidRPr="00113477" w:rsidTr="00327797">
        <w:trPr>
          <w:jc w:val="center"/>
        </w:trPr>
        <w:tc>
          <w:tcPr>
            <w:tcW w:w="107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courtois</w:t>
            </w:r>
          </w:p>
        </w:tc>
        <w:tc>
          <w:tcPr>
            <w:tcW w:w="92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Courtois</w:t>
            </w:r>
          </w:p>
        </w:tc>
        <w:tc>
          <w:tcPr>
            <w:tcW w:w="118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D</w:t>
            </w:r>
            <w:r w:rsidRPr="00113477">
              <w:rPr>
                <w:rFonts w:ascii="Book Antiqua" w:hAnsi="Book Antiqua"/>
                <w:i/>
                <w:sz w:val="20"/>
                <w:szCs w:val="20"/>
              </w:rPr>
              <w:t>iscourtois</w:t>
            </w:r>
          </w:p>
        </w:tc>
        <w:tc>
          <w:tcPr>
            <w:tcW w:w="181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4=Très discourtois</w:t>
            </w:r>
          </w:p>
        </w:tc>
      </w:tr>
    </w:tbl>
    <w:p w:rsidR="00886ADE" w:rsidRPr="00113477" w:rsidRDefault="00886ADE" w:rsidP="00327797">
      <w:pPr>
        <w:spacing w:after="200" w:line="276" w:lineRule="auto"/>
        <w:rPr>
          <w:rFonts w:ascii="Book Antiqua" w:hAnsi="Book Antiqua"/>
          <w:sz w:val="20"/>
          <w:szCs w:val="20"/>
        </w:rPr>
      </w:pPr>
    </w:p>
    <w:p w:rsidR="00886ADE" w:rsidRPr="00113477" w:rsidRDefault="00886ADE" w:rsidP="004272B8">
      <w:pPr>
        <w:numPr>
          <w:ilvl w:val="0"/>
          <w:numId w:val="61"/>
        </w:numPr>
        <w:ind w:right="10"/>
        <w:contextualSpacing/>
        <w:jc w:val="both"/>
        <w:rPr>
          <w:rFonts w:ascii="Book Antiqua" w:hAnsi="Book Antiqua"/>
          <w:sz w:val="20"/>
          <w:szCs w:val="20"/>
        </w:rPr>
      </w:pPr>
      <w:r w:rsidRPr="00113477">
        <w:rPr>
          <w:rFonts w:ascii="Book Antiqua" w:hAnsi="Book Antiqua"/>
          <w:sz w:val="20"/>
          <w:szCs w:val="20"/>
        </w:rPr>
        <w:t>Que pensez-vous de l’aptitude du personnel de votre agence à apporter des réponses satisfaisantes à vos questions ? |__|</w:t>
      </w:r>
    </w:p>
    <w:tbl>
      <w:tblPr>
        <w:tblW w:w="0" w:type="auto"/>
        <w:jc w:val="center"/>
        <w:tblLook w:val="01E0"/>
      </w:tblPr>
      <w:tblGrid>
        <w:gridCol w:w="1418"/>
        <w:gridCol w:w="1134"/>
        <w:gridCol w:w="1490"/>
        <w:gridCol w:w="1649"/>
      </w:tblGrid>
      <w:tr w:rsidR="00886ADE" w:rsidRPr="00113477" w:rsidTr="00886ADE">
        <w:trPr>
          <w:jc w:val="center"/>
        </w:trPr>
        <w:tc>
          <w:tcPr>
            <w:tcW w:w="1418"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bonne</w:t>
            </w:r>
          </w:p>
        </w:tc>
        <w:tc>
          <w:tcPr>
            <w:tcW w:w="1134"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Bonne</w:t>
            </w:r>
          </w:p>
        </w:tc>
        <w:tc>
          <w:tcPr>
            <w:tcW w:w="1490"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Mauvaise</w:t>
            </w:r>
          </w:p>
        </w:tc>
        <w:tc>
          <w:tcPr>
            <w:tcW w:w="0" w:type="auto"/>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Très mauvaise</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0"/>
          <w:numId w:val="61"/>
        </w:numPr>
        <w:spacing w:after="120"/>
        <w:contextualSpacing/>
        <w:jc w:val="both"/>
        <w:rPr>
          <w:rFonts w:ascii="Book Antiqua" w:hAnsi="Book Antiqua"/>
          <w:sz w:val="20"/>
          <w:szCs w:val="20"/>
        </w:rPr>
      </w:pPr>
      <w:r w:rsidRPr="00113477">
        <w:rPr>
          <w:rFonts w:ascii="Book Antiqua" w:hAnsi="Book Antiqua"/>
          <w:sz w:val="20"/>
          <w:szCs w:val="20"/>
        </w:rPr>
        <w:t>Pensez-vous que votre compte est géré au mieux de vos intérêts ?</w:t>
      </w:r>
      <w:r w:rsidR="00327797" w:rsidRPr="00113477">
        <w:rPr>
          <w:rFonts w:ascii="Book Antiqua" w:hAnsi="Book Antiqua"/>
          <w:sz w:val="20"/>
          <w:szCs w:val="20"/>
        </w:rPr>
        <w:t xml:space="preserve"> </w:t>
      </w:r>
      <w:r w:rsidRPr="00113477">
        <w:rPr>
          <w:rFonts w:ascii="Book Antiqua" w:hAnsi="Book Antiqua"/>
          <w:sz w:val="20"/>
          <w:szCs w:val="20"/>
        </w:rPr>
        <w:t>|__|</w:t>
      </w:r>
    </w:p>
    <w:tbl>
      <w:tblPr>
        <w:tblW w:w="3371" w:type="pct"/>
        <w:jc w:val="center"/>
        <w:tblLook w:val="01E0"/>
      </w:tblPr>
      <w:tblGrid>
        <w:gridCol w:w="1790"/>
        <w:gridCol w:w="1239"/>
        <w:gridCol w:w="1101"/>
        <w:gridCol w:w="2476"/>
      </w:tblGrid>
      <w:tr w:rsidR="00886ADE" w:rsidRPr="00113477" w:rsidTr="00886ADE">
        <w:trPr>
          <w:jc w:val="center"/>
        </w:trPr>
        <w:tc>
          <w:tcPr>
            <w:tcW w:w="135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 tout à fait</w:t>
            </w:r>
          </w:p>
        </w:tc>
        <w:tc>
          <w:tcPr>
            <w:tcW w:w="93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Oui</w:t>
            </w:r>
          </w:p>
        </w:tc>
        <w:tc>
          <w:tcPr>
            <w:tcW w:w="83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3=Non</w:t>
            </w:r>
          </w:p>
        </w:tc>
        <w:tc>
          <w:tcPr>
            <w:tcW w:w="187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4=Non, pas du tout</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0"/>
          <w:numId w:val="61"/>
        </w:numPr>
        <w:ind w:right="10"/>
        <w:contextualSpacing/>
        <w:jc w:val="both"/>
        <w:rPr>
          <w:rFonts w:ascii="Book Antiqua" w:hAnsi="Book Antiqua"/>
          <w:sz w:val="20"/>
          <w:szCs w:val="20"/>
        </w:rPr>
      </w:pPr>
      <w:r w:rsidRPr="00113477">
        <w:rPr>
          <w:rFonts w:ascii="Book Antiqua" w:hAnsi="Book Antiqua"/>
          <w:sz w:val="20"/>
          <w:szCs w:val="20"/>
        </w:rPr>
        <w:t>Au moment d’ouvrir votre compte, avez-vous été informé sur vos obligations ? |__|</w:t>
      </w:r>
    </w:p>
    <w:tbl>
      <w:tblPr>
        <w:tblW w:w="3041" w:type="pct"/>
        <w:tblInd w:w="804" w:type="dxa"/>
        <w:tblLook w:val="01E0"/>
      </w:tblPr>
      <w:tblGrid>
        <w:gridCol w:w="2887"/>
        <w:gridCol w:w="3072"/>
      </w:tblGrid>
      <w:tr w:rsidR="00886ADE" w:rsidRPr="00113477" w:rsidTr="00886ADE">
        <w:tc>
          <w:tcPr>
            <w:tcW w:w="242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257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2=Non</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comment qualifiez-vous ces informations ? |__|</w:t>
      </w:r>
    </w:p>
    <w:tbl>
      <w:tblPr>
        <w:tblW w:w="0" w:type="auto"/>
        <w:jc w:val="center"/>
        <w:tblLayout w:type="fixed"/>
        <w:tblLook w:val="01E0"/>
      </w:tblPr>
      <w:tblGrid>
        <w:gridCol w:w="1809"/>
        <w:gridCol w:w="1452"/>
        <w:gridCol w:w="1340"/>
        <w:gridCol w:w="1636"/>
      </w:tblGrid>
      <w:tr w:rsidR="00886ADE" w:rsidRPr="00113477" w:rsidTr="00886ADE">
        <w:trPr>
          <w:jc w:val="center"/>
        </w:trPr>
        <w:tc>
          <w:tcPr>
            <w:tcW w:w="1809"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complètes</w:t>
            </w:r>
          </w:p>
        </w:tc>
        <w:tc>
          <w:tcPr>
            <w:tcW w:w="1452" w:type="dxa"/>
          </w:tcPr>
          <w:p w:rsidR="00886ADE" w:rsidRPr="00113477" w:rsidRDefault="00886ADE" w:rsidP="00886ADE">
            <w:pPr>
              <w:ind w:left="708" w:hanging="708"/>
              <w:contextualSpacing/>
              <w:rPr>
                <w:rFonts w:ascii="Book Antiqua" w:hAnsi="Book Antiqua"/>
                <w:i/>
                <w:sz w:val="20"/>
                <w:szCs w:val="20"/>
              </w:rPr>
            </w:pPr>
            <w:r w:rsidRPr="00113477">
              <w:rPr>
                <w:rFonts w:ascii="Book Antiqua" w:hAnsi="Book Antiqua"/>
                <w:i/>
                <w:sz w:val="20"/>
                <w:szCs w:val="20"/>
              </w:rPr>
              <w:t>2= Complètes</w:t>
            </w:r>
          </w:p>
        </w:tc>
        <w:tc>
          <w:tcPr>
            <w:tcW w:w="1340"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3=Incomplètes</w:t>
            </w:r>
          </w:p>
        </w:tc>
        <w:tc>
          <w:tcPr>
            <w:tcW w:w="1636"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4=Très incomplètes</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ind w:right="10"/>
        <w:contextualSpacing/>
        <w:jc w:val="both"/>
        <w:rPr>
          <w:rFonts w:ascii="Book Antiqua" w:hAnsi="Book Antiqua"/>
          <w:sz w:val="20"/>
          <w:szCs w:val="20"/>
        </w:rPr>
      </w:pPr>
      <w:r w:rsidRPr="00113477">
        <w:rPr>
          <w:rFonts w:ascii="Book Antiqua" w:hAnsi="Book Antiqua"/>
          <w:sz w:val="20"/>
          <w:szCs w:val="20"/>
        </w:rPr>
        <w:t>Au moment d’ouvrir votre compte, avez-vous été info</w:t>
      </w:r>
      <w:r w:rsidR="00327797">
        <w:rPr>
          <w:rFonts w:ascii="Book Antiqua" w:hAnsi="Book Antiqua"/>
          <w:sz w:val="20"/>
          <w:szCs w:val="20"/>
        </w:rPr>
        <w:t>rmé des conditions tarifaires ?</w:t>
      </w:r>
      <w:r w:rsidR="00327797" w:rsidRPr="00113477">
        <w:rPr>
          <w:rFonts w:ascii="Book Antiqua" w:hAnsi="Book Antiqua"/>
          <w:sz w:val="20"/>
          <w:szCs w:val="20"/>
        </w:rPr>
        <w:t xml:space="preserve"> </w:t>
      </w:r>
      <w:r w:rsidRPr="00113477">
        <w:rPr>
          <w:rFonts w:ascii="Book Antiqua" w:hAnsi="Book Antiqua"/>
          <w:sz w:val="20"/>
          <w:szCs w:val="20"/>
        </w:rPr>
        <w:t>|__|</w:t>
      </w:r>
    </w:p>
    <w:tbl>
      <w:tblPr>
        <w:tblW w:w="3041" w:type="pct"/>
        <w:tblInd w:w="804" w:type="dxa"/>
        <w:tblLook w:val="01E0"/>
      </w:tblPr>
      <w:tblGrid>
        <w:gridCol w:w="2887"/>
        <w:gridCol w:w="3072"/>
      </w:tblGrid>
      <w:tr w:rsidR="00886ADE" w:rsidRPr="00113477" w:rsidTr="00886ADE">
        <w:tc>
          <w:tcPr>
            <w:tcW w:w="2422"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w:t>
            </w:r>
          </w:p>
        </w:tc>
        <w:tc>
          <w:tcPr>
            <w:tcW w:w="257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2=Non</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0"/>
          <w:numId w:val="61"/>
        </w:numPr>
        <w:ind w:right="10"/>
        <w:contextualSpacing/>
        <w:jc w:val="both"/>
        <w:rPr>
          <w:rFonts w:ascii="Book Antiqua" w:hAnsi="Book Antiqua"/>
          <w:sz w:val="20"/>
          <w:szCs w:val="20"/>
        </w:rPr>
      </w:pPr>
      <w:r w:rsidRPr="00113477">
        <w:rPr>
          <w:rFonts w:ascii="Book Antiqua" w:hAnsi="Book Antiqua"/>
          <w:sz w:val="20"/>
          <w:szCs w:val="20"/>
        </w:rPr>
        <w:t>Avez-vous eu à formuler des réclamations au niveau de votre banque ? |__|</w:t>
      </w:r>
    </w:p>
    <w:tbl>
      <w:tblPr>
        <w:tblW w:w="0" w:type="auto"/>
        <w:jc w:val="center"/>
        <w:tblLook w:val="01E0"/>
      </w:tblPr>
      <w:tblGrid>
        <w:gridCol w:w="1418"/>
        <w:gridCol w:w="1417"/>
        <w:gridCol w:w="1873"/>
        <w:gridCol w:w="843"/>
      </w:tblGrid>
      <w:tr w:rsidR="00886ADE" w:rsidRPr="00113477" w:rsidTr="00886ADE">
        <w:trPr>
          <w:jc w:val="center"/>
        </w:trPr>
        <w:tc>
          <w:tcPr>
            <w:tcW w:w="1418"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Oui, 1 fois</w:t>
            </w:r>
          </w:p>
        </w:tc>
        <w:tc>
          <w:tcPr>
            <w:tcW w:w="1417"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 xml:space="preserve">2=Oui, 2 fois </w:t>
            </w:r>
          </w:p>
        </w:tc>
        <w:tc>
          <w:tcPr>
            <w:tcW w:w="1873"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Oui, Plus de 2 fois</w:t>
            </w:r>
          </w:p>
        </w:tc>
        <w:tc>
          <w:tcPr>
            <w:tcW w:w="0" w:type="auto"/>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Non</w:t>
            </w:r>
          </w:p>
        </w:tc>
      </w:tr>
    </w:tbl>
    <w:p w:rsidR="00886ADE" w:rsidRPr="00113477" w:rsidRDefault="00886ADE" w:rsidP="00886ADE">
      <w:pPr>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w:t>
      </w:r>
    </w:p>
    <w:p w:rsidR="00886ADE" w:rsidRPr="00113477" w:rsidRDefault="00886ADE" w:rsidP="004272B8">
      <w:pPr>
        <w:numPr>
          <w:ilvl w:val="1"/>
          <w:numId w:val="61"/>
        </w:numPr>
        <w:contextualSpacing/>
        <w:rPr>
          <w:rFonts w:ascii="Book Antiqua" w:hAnsi="Book Antiqua"/>
          <w:sz w:val="20"/>
          <w:szCs w:val="20"/>
        </w:rPr>
      </w:pPr>
      <w:r w:rsidRPr="00113477">
        <w:rPr>
          <w:rFonts w:ascii="Book Antiqua" w:hAnsi="Book Antiqua"/>
          <w:sz w:val="20"/>
          <w:szCs w:val="20"/>
        </w:rPr>
        <w:t>Veuillez préciser en quelle(s) année(s).</w:t>
      </w:r>
    </w:p>
    <w:tbl>
      <w:tblPr>
        <w:tblW w:w="3863" w:type="pct"/>
        <w:jc w:val="center"/>
        <w:tblLook w:val="01E0"/>
      </w:tblPr>
      <w:tblGrid>
        <w:gridCol w:w="1099"/>
        <w:gridCol w:w="1101"/>
        <w:gridCol w:w="1102"/>
        <w:gridCol w:w="1099"/>
        <w:gridCol w:w="1102"/>
        <w:gridCol w:w="2067"/>
      </w:tblGrid>
      <w:tr w:rsidR="00886ADE" w:rsidRPr="00113477" w:rsidTr="00886ADE">
        <w:trPr>
          <w:jc w:val="center"/>
        </w:trPr>
        <w:tc>
          <w:tcPr>
            <w:tcW w:w="72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2015</w:t>
            </w:r>
          </w:p>
        </w:tc>
        <w:tc>
          <w:tcPr>
            <w:tcW w:w="72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2014</w:t>
            </w:r>
          </w:p>
        </w:tc>
        <w:tc>
          <w:tcPr>
            <w:tcW w:w="72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2013</w:t>
            </w:r>
          </w:p>
        </w:tc>
        <w:tc>
          <w:tcPr>
            <w:tcW w:w="72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2012</w:t>
            </w:r>
          </w:p>
        </w:tc>
        <w:tc>
          <w:tcPr>
            <w:tcW w:w="72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5=2011</w:t>
            </w:r>
          </w:p>
        </w:tc>
        <w:tc>
          <w:tcPr>
            <w:tcW w:w="1365"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6=2010 ou Avant</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1"/>
          <w:numId w:val="61"/>
        </w:numPr>
        <w:ind w:right="10"/>
        <w:contextualSpacing/>
        <w:rPr>
          <w:rFonts w:ascii="Book Antiqua" w:hAnsi="Book Antiqua"/>
          <w:sz w:val="20"/>
          <w:szCs w:val="20"/>
        </w:rPr>
      </w:pPr>
      <w:r w:rsidRPr="00113477">
        <w:rPr>
          <w:rFonts w:ascii="Book Antiqua" w:hAnsi="Book Antiqua"/>
          <w:sz w:val="20"/>
          <w:szCs w:val="20"/>
        </w:rPr>
        <w:t>Veuillez préciser la ou les raisons de ces réclamations. (</w:t>
      </w:r>
      <w:r w:rsidRPr="00113477">
        <w:rPr>
          <w:rFonts w:ascii="Book Antiqua" w:hAnsi="Book Antiqua"/>
          <w:i/>
          <w:sz w:val="20"/>
          <w:szCs w:val="20"/>
        </w:rPr>
        <w:t>encerclez la ou les réponses</w:t>
      </w:r>
      <w:r w:rsidRPr="00113477">
        <w:rPr>
          <w:rFonts w:ascii="Book Antiqua" w:hAnsi="Book Antiqua"/>
          <w:sz w:val="20"/>
          <w:szCs w:val="20"/>
        </w:rPr>
        <w:t>)</w:t>
      </w:r>
    </w:p>
    <w:tbl>
      <w:tblPr>
        <w:tblW w:w="3823" w:type="pct"/>
        <w:jc w:val="center"/>
        <w:tblLook w:val="01E0"/>
      </w:tblPr>
      <w:tblGrid>
        <w:gridCol w:w="2372"/>
        <w:gridCol w:w="2561"/>
        <w:gridCol w:w="2559"/>
      </w:tblGrid>
      <w:tr w:rsidR="00886ADE" w:rsidRPr="00113477" w:rsidTr="00886ADE">
        <w:trPr>
          <w:jc w:val="center"/>
        </w:trPr>
        <w:tc>
          <w:tcPr>
            <w:tcW w:w="158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Facturation d’un service</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Contestation du relevé</w:t>
            </w:r>
          </w:p>
        </w:tc>
        <w:tc>
          <w:tcPr>
            <w:tcW w:w="1709"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 Absence de diligence</w:t>
            </w:r>
          </w:p>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 Déficit d’information</w:t>
            </w:r>
          </w:p>
        </w:tc>
        <w:tc>
          <w:tcPr>
            <w:tcW w:w="1708"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5=Autre (Préciser)……….................</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1"/>
          <w:numId w:val="61"/>
        </w:numPr>
        <w:ind w:right="10"/>
        <w:contextualSpacing/>
        <w:rPr>
          <w:rFonts w:ascii="Book Antiqua" w:hAnsi="Book Antiqua"/>
          <w:sz w:val="20"/>
          <w:szCs w:val="20"/>
        </w:rPr>
      </w:pPr>
      <w:r w:rsidRPr="00113477">
        <w:rPr>
          <w:rFonts w:ascii="Book Antiqua" w:hAnsi="Book Antiqua"/>
          <w:sz w:val="20"/>
          <w:szCs w:val="20"/>
        </w:rPr>
        <w:t>Comment jugez-vous la qualité du suivi de votre dernière réclamation ? |__|</w:t>
      </w:r>
    </w:p>
    <w:tbl>
      <w:tblPr>
        <w:tblW w:w="0" w:type="auto"/>
        <w:jc w:val="center"/>
        <w:tblLook w:val="01E0"/>
      </w:tblPr>
      <w:tblGrid>
        <w:gridCol w:w="1560"/>
        <w:gridCol w:w="1134"/>
        <w:gridCol w:w="1349"/>
        <w:gridCol w:w="1599"/>
      </w:tblGrid>
      <w:tr w:rsidR="00886ADE" w:rsidRPr="00113477" w:rsidTr="00886ADE">
        <w:trPr>
          <w:jc w:val="center"/>
        </w:trPr>
        <w:tc>
          <w:tcPr>
            <w:tcW w:w="1560"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bonne</w:t>
            </w:r>
          </w:p>
        </w:tc>
        <w:tc>
          <w:tcPr>
            <w:tcW w:w="1134"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Bonne</w:t>
            </w:r>
          </w:p>
        </w:tc>
        <w:tc>
          <w:tcPr>
            <w:tcW w:w="1349"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M</w:t>
            </w:r>
            <w:r w:rsidRPr="00113477">
              <w:rPr>
                <w:rFonts w:ascii="Book Antiqua" w:hAnsi="Book Antiqua"/>
                <w:i/>
                <w:sz w:val="20"/>
                <w:szCs w:val="20"/>
              </w:rPr>
              <w:t>auvaise</w:t>
            </w:r>
          </w:p>
        </w:tc>
        <w:tc>
          <w:tcPr>
            <w:tcW w:w="0" w:type="auto"/>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4=Très mauvaise</w:t>
            </w:r>
          </w:p>
        </w:tc>
      </w:tr>
    </w:tbl>
    <w:p w:rsidR="00886ADE" w:rsidRPr="00113477" w:rsidRDefault="00886ADE" w:rsidP="00886ADE">
      <w:pPr>
        <w:contextualSpacing/>
        <w:rPr>
          <w:rFonts w:ascii="Book Antiqua" w:hAnsi="Book Antiqua"/>
          <w:i/>
          <w:sz w:val="20"/>
          <w:szCs w:val="20"/>
        </w:rPr>
      </w:pPr>
    </w:p>
    <w:p w:rsidR="00886ADE" w:rsidRPr="00113477" w:rsidRDefault="00886ADE" w:rsidP="004272B8">
      <w:pPr>
        <w:numPr>
          <w:ilvl w:val="0"/>
          <w:numId w:val="60"/>
        </w:numPr>
        <w:contextualSpacing/>
        <w:rPr>
          <w:rFonts w:ascii="Book Antiqua" w:hAnsi="Book Antiqua"/>
          <w:b/>
          <w:bCs/>
          <w:sz w:val="20"/>
          <w:szCs w:val="20"/>
        </w:rPr>
      </w:pPr>
      <w:r w:rsidRPr="00113477">
        <w:rPr>
          <w:rFonts w:ascii="Book Antiqua" w:hAnsi="Book Antiqua"/>
          <w:b/>
          <w:bCs/>
          <w:sz w:val="20"/>
          <w:szCs w:val="20"/>
        </w:rPr>
        <w:t>SATISFACTION SUR L’ACCESSIBILITE</w:t>
      </w:r>
    </w:p>
    <w:p w:rsidR="00886ADE" w:rsidRPr="00113477" w:rsidRDefault="00886ADE" w:rsidP="00886ADE">
      <w:pPr>
        <w:contextualSpacing/>
        <w:rPr>
          <w:rFonts w:ascii="Book Antiqua" w:hAnsi="Book Antiqua"/>
          <w:i/>
          <w:sz w:val="20"/>
          <w:szCs w:val="20"/>
        </w:rPr>
      </w:pPr>
    </w:p>
    <w:p w:rsidR="00886ADE" w:rsidRPr="00113477" w:rsidRDefault="00886ADE" w:rsidP="004272B8">
      <w:pPr>
        <w:numPr>
          <w:ilvl w:val="0"/>
          <w:numId w:val="61"/>
        </w:numPr>
        <w:ind w:right="10"/>
        <w:contextualSpacing/>
        <w:rPr>
          <w:rFonts w:ascii="Book Antiqua" w:hAnsi="Book Antiqua"/>
          <w:sz w:val="20"/>
          <w:szCs w:val="20"/>
        </w:rPr>
      </w:pPr>
      <w:r w:rsidRPr="00113477">
        <w:rPr>
          <w:rFonts w:ascii="Book Antiqua" w:hAnsi="Book Antiqua"/>
          <w:sz w:val="20"/>
          <w:szCs w:val="20"/>
        </w:rPr>
        <w:t>Comment jugez-vous l’accès par téléphone à votre agence ? |__|</w:t>
      </w:r>
    </w:p>
    <w:tbl>
      <w:tblPr>
        <w:tblW w:w="0" w:type="auto"/>
        <w:jc w:val="center"/>
        <w:tblLook w:val="01E0"/>
      </w:tblPr>
      <w:tblGrid>
        <w:gridCol w:w="1418"/>
        <w:gridCol w:w="1276"/>
        <w:gridCol w:w="1291"/>
        <w:gridCol w:w="1544"/>
        <w:gridCol w:w="1275"/>
      </w:tblGrid>
      <w:tr w:rsidR="00886ADE" w:rsidRPr="00113477" w:rsidTr="00886ADE">
        <w:trPr>
          <w:jc w:val="center"/>
        </w:trPr>
        <w:tc>
          <w:tcPr>
            <w:tcW w:w="1418"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facile</w:t>
            </w:r>
          </w:p>
        </w:tc>
        <w:tc>
          <w:tcPr>
            <w:tcW w:w="1276"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Facile</w:t>
            </w:r>
          </w:p>
        </w:tc>
        <w:tc>
          <w:tcPr>
            <w:tcW w:w="1291"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D</w:t>
            </w:r>
            <w:r w:rsidRPr="00113477">
              <w:rPr>
                <w:rFonts w:ascii="Book Antiqua" w:hAnsi="Book Antiqua"/>
                <w:i/>
                <w:sz w:val="20"/>
                <w:szCs w:val="20"/>
              </w:rPr>
              <w:t>ifficile</w:t>
            </w:r>
          </w:p>
        </w:tc>
        <w:tc>
          <w:tcPr>
            <w:tcW w:w="1544"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4=Très difficile</w:t>
            </w:r>
          </w:p>
        </w:tc>
        <w:tc>
          <w:tcPr>
            <w:tcW w:w="1275"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 Sans objet</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ind w:right="10"/>
        <w:contextualSpacing/>
        <w:rPr>
          <w:rFonts w:ascii="Book Antiqua" w:hAnsi="Book Antiqua"/>
          <w:sz w:val="20"/>
          <w:szCs w:val="20"/>
        </w:rPr>
      </w:pPr>
      <w:r w:rsidRPr="00113477">
        <w:rPr>
          <w:rFonts w:ascii="Book Antiqua" w:hAnsi="Book Antiqua"/>
          <w:sz w:val="20"/>
          <w:szCs w:val="20"/>
        </w:rPr>
        <w:t>Comment jugez-vous l’accès au site web de votre banque ? |__|</w:t>
      </w:r>
    </w:p>
    <w:tbl>
      <w:tblPr>
        <w:tblW w:w="0" w:type="auto"/>
        <w:jc w:val="center"/>
        <w:tblLook w:val="01E0"/>
      </w:tblPr>
      <w:tblGrid>
        <w:gridCol w:w="1418"/>
        <w:gridCol w:w="1276"/>
        <w:gridCol w:w="1291"/>
        <w:gridCol w:w="1685"/>
        <w:gridCol w:w="1134"/>
      </w:tblGrid>
      <w:tr w:rsidR="00886ADE" w:rsidRPr="00113477" w:rsidTr="00886ADE">
        <w:trPr>
          <w:jc w:val="center"/>
        </w:trPr>
        <w:tc>
          <w:tcPr>
            <w:tcW w:w="1418"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facile</w:t>
            </w:r>
          </w:p>
        </w:tc>
        <w:tc>
          <w:tcPr>
            <w:tcW w:w="1276"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Facile</w:t>
            </w:r>
          </w:p>
        </w:tc>
        <w:tc>
          <w:tcPr>
            <w:tcW w:w="1291"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D</w:t>
            </w:r>
            <w:r w:rsidRPr="00113477">
              <w:rPr>
                <w:rFonts w:ascii="Book Antiqua" w:hAnsi="Book Antiqua"/>
                <w:i/>
                <w:sz w:val="20"/>
                <w:szCs w:val="20"/>
              </w:rPr>
              <w:t>ifficile</w:t>
            </w:r>
          </w:p>
        </w:tc>
        <w:tc>
          <w:tcPr>
            <w:tcW w:w="1685"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4=Très difficile</w:t>
            </w:r>
          </w:p>
        </w:tc>
        <w:tc>
          <w:tcPr>
            <w:tcW w:w="1134"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5=Sans objet</w:t>
            </w:r>
          </w:p>
        </w:tc>
      </w:tr>
    </w:tbl>
    <w:p w:rsidR="00886ADE" w:rsidRPr="00113477" w:rsidRDefault="00886ADE" w:rsidP="00886ADE">
      <w:pPr>
        <w:contextualSpacing/>
        <w:rPr>
          <w:rFonts w:ascii="Book Antiqua" w:hAnsi="Book Antiqua"/>
          <w:sz w:val="20"/>
          <w:szCs w:val="20"/>
        </w:rPr>
      </w:pPr>
    </w:p>
    <w:p w:rsidR="00886ADE" w:rsidRPr="00113477" w:rsidRDefault="00886ADE" w:rsidP="004272B8">
      <w:pPr>
        <w:numPr>
          <w:ilvl w:val="0"/>
          <w:numId w:val="61"/>
        </w:numPr>
        <w:ind w:right="10"/>
        <w:contextualSpacing/>
        <w:rPr>
          <w:rFonts w:ascii="Book Antiqua" w:hAnsi="Book Antiqua"/>
          <w:sz w:val="20"/>
          <w:szCs w:val="20"/>
        </w:rPr>
      </w:pPr>
      <w:r w:rsidRPr="00113477">
        <w:rPr>
          <w:rFonts w:ascii="Book Antiqua" w:hAnsi="Book Antiqua"/>
          <w:sz w:val="20"/>
          <w:szCs w:val="20"/>
        </w:rPr>
        <w:t>Comment jugez-vous l’accessibilité de votre agence bancaire ? |__|</w:t>
      </w:r>
    </w:p>
    <w:tbl>
      <w:tblPr>
        <w:tblW w:w="0" w:type="auto"/>
        <w:jc w:val="center"/>
        <w:tblLook w:val="01E0"/>
      </w:tblPr>
      <w:tblGrid>
        <w:gridCol w:w="1418"/>
        <w:gridCol w:w="1276"/>
        <w:gridCol w:w="1291"/>
        <w:gridCol w:w="1436"/>
      </w:tblGrid>
      <w:tr w:rsidR="00886ADE" w:rsidRPr="00113477" w:rsidTr="00886ADE">
        <w:trPr>
          <w:jc w:val="center"/>
        </w:trPr>
        <w:tc>
          <w:tcPr>
            <w:tcW w:w="1418"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facile</w:t>
            </w:r>
          </w:p>
        </w:tc>
        <w:tc>
          <w:tcPr>
            <w:tcW w:w="1276"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Facile</w:t>
            </w:r>
          </w:p>
        </w:tc>
        <w:tc>
          <w:tcPr>
            <w:tcW w:w="1291" w:type="dxa"/>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D</w:t>
            </w:r>
            <w:r w:rsidRPr="00113477">
              <w:rPr>
                <w:rFonts w:ascii="Book Antiqua" w:hAnsi="Book Antiqua"/>
                <w:i/>
                <w:sz w:val="20"/>
                <w:szCs w:val="20"/>
              </w:rPr>
              <w:t>ifficile</w:t>
            </w:r>
          </w:p>
        </w:tc>
        <w:tc>
          <w:tcPr>
            <w:tcW w:w="0" w:type="auto"/>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4=Très difficile</w:t>
            </w:r>
          </w:p>
        </w:tc>
      </w:tr>
    </w:tbl>
    <w:p w:rsidR="00886ADE" w:rsidRPr="00113477" w:rsidRDefault="00886ADE" w:rsidP="00886ADE">
      <w:pPr>
        <w:ind w:left="360"/>
        <w:contextualSpacing/>
        <w:rPr>
          <w:rFonts w:ascii="Book Antiqua" w:hAnsi="Book Antiqua"/>
          <w:sz w:val="20"/>
          <w:szCs w:val="20"/>
        </w:rPr>
      </w:pPr>
    </w:p>
    <w:p w:rsidR="00886ADE" w:rsidRPr="00113477" w:rsidRDefault="00886ADE" w:rsidP="004272B8">
      <w:pPr>
        <w:numPr>
          <w:ilvl w:val="0"/>
          <w:numId w:val="61"/>
        </w:numPr>
        <w:ind w:right="10"/>
        <w:contextualSpacing/>
        <w:rPr>
          <w:rFonts w:ascii="Book Antiqua" w:hAnsi="Book Antiqua"/>
          <w:sz w:val="20"/>
          <w:szCs w:val="20"/>
        </w:rPr>
      </w:pPr>
      <w:r w:rsidRPr="00113477">
        <w:rPr>
          <w:rFonts w:ascii="Book Antiqua" w:hAnsi="Book Antiqua"/>
          <w:sz w:val="20"/>
          <w:szCs w:val="20"/>
        </w:rPr>
        <w:lastRenderedPageBreak/>
        <w:t>Que pensez-vous des horaires de service de votre agence ? |__|</w:t>
      </w:r>
    </w:p>
    <w:tbl>
      <w:tblPr>
        <w:tblW w:w="3882" w:type="pct"/>
        <w:jc w:val="center"/>
        <w:tblLook w:val="01E0"/>
      </w:tblPr>
      <w:tblGrid>
        <w:gridCol w:w="1515"/>
        <w:gridCol w:w="1375"/>
        <w:gridCol w:w="1928"/>
        <w:gridCol w:w="2789"/>
      </w:tblGrid>
      <w:tr w:rsidR="00886ADE" w:rsidRPr="00113477" w:rsidTr="00886ADE">
        <w:trPr>
          <w:jc w:val="center"/>
        </w:trPr>
        <w:tc>
          <w:tcPr>
            <w:tcW w:w="996"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1= Très adaptés</w:t>
            </w:r>
          </w:p>
        </w:tc>
        <w:tc>
          <w:tcPr>
            <w:tcW w:w="904"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2= Adaptés</w:t>
            </w:r>
          </w:p>
        </w:tc>
        <w:tc>
          <w:tcPr>
            <w:tcW w:w="1267"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I</w:t>
            </w:r>
            <w:r w:rsidRPr="00113477">
              <w:rPr>
                <w:rFonts w:ascii="Book Antiqua" w:hAnsi="Book Antiqua"/>
                <w:i/>
                <w:sz w:val="20"/>
                <w:szCs w:val="20"/>
              </w:rPr>
              <w:t>nadaptés</w:t>
            </w:r>
          </w:p>
        </w:tc>
        <w:tc>
          <w:tcPr>
            <w:tcW w:w="1833" w:type="pct"/>
          </w:tcPr>
          <w:p w:rsidR="00886ADE" w:rsidRPr="00113477" w:rsidRDefault="00886ADE" w:rsidP="00886ADE">
            <w:pPr>
              <w:contextualSpacing/>
              <w:rPr>
                <w:rFonts w:ascii="Book Antiqua" w:hAnsi="Book Antiqua"/>
                <w:i/>
                <w:sz w:val="20"/>
                <w:szCs w:val="20"/>
              </w:rPr>
            </w:pPr>
            <w:r w:rsidRPr="00113477">
              <w:rPr>
                <w:rFonts w:ascii="Book Antiqua" w:hAnsi="Book Antiqua"/>
                <w:i/>
                <w:sz w:val="20"/>
                <w:szCs w:val="20"/>
              </w:rPr>
              <w:t>4=Très inadaptés</w:t>
            </w:r>
          </w:p>
        </w:tc>
      </w:tr>
    </w:tbl>
    <w:p w:rsidR="00886ADE" w:rsidRPr="00113477" w:rsidRDefault="00886ADE" w:rsidP="00886ADE">
      <w:pPr>
        <w:contextualSpacing/>
        <w:rPr>
          <w:rFonts w:ascii="Book Antiqua" w:hAnsi="Book Antiqua"/>
          <w:b/>
          <w:bCs/>
          <w:sz w:val="20"/>
          <w:szCs w:val="20"/>
        </w:rPr>
      </w:pPr>
    </w:p>
    <w:p w:rsidR="00886ADE" w:rsidRPr="00113477" w:rsidRDefault="00886ADE" w:rsidP="004272B8">
      <w:pPr>
        <w:pStyle w:val="Paragraphedeliste"/>
        <w:numPr>
          <w:ilvl w:val="0"/>
          <w:numId w:val="63"/>
        </w:numPr>
        <w:spacing w:after="200"/>
        <w:rPr>
          <w:rFonts w:ascii="Book Antiqua" w:hAnsi="Book Antiqua"/>
          <w:b/>
          <w:bCs/>
          <w:sz w:val="20"/>
          <w:szCs w:val="20"/>
        </w:rPr>
      </w:pPr>
      <w:r w:rsidRPr="00113477">
        <w:rPr>
          <w:rFonts w:ascii="Book Antiqua" w:hAnsi="Book Antiqua"/>
          <w:b/>
          <w:bCs/>
          <w:sz w:val="20"/>
          <w:szCs w:val="20"/>
        </w:rPr>
        <w:t>Vos suggestions pour améliorer la qualité des services de votre banque :</w:t>
      </w:r>
    </w:p>
    <w:p w:rsidR="00886ADE" w:rsidRPr="00113477" w:rsidRDefault="00886ADE" w:rsidP="00886ADE">
      <w:pPr>
        <w:contextualSpacing/>
        <w:rPr>
          <w:rFonts w:ascii="Book Antiqua" w:hAnsi="Book Antiqua"/>
          <w:b/>
          <w:bCs/>
          <w:sz w:val="20"/>
          <w:szCs w:val="20"/>
        </w:rPr>
      </w:pPr>
    </w:p>
    <w:p w:rsidR="00886ADE" w:rsidRPr="00113477" w:rsidRDefault="00886ADE" w:rsidP="004272B8">
      <w:pPr>
        <w:numPr>
          <w:ilvl w:val="0"/>
          <w:numId w:val="62"/>
        </w:numPr>
        <w:ind w:left="714" w:hanging="357"/>
        <w:contextualSpacing/>
        <w:jc w:val="both"/>
        <w:rPr>
          <w:rFonts w:ascii="Book Antiqua" w:hAnsi="Book Antiqua"/>
          <w:b/>
          <w:i/>
          <w:sz w:val="20"/>
          <w:szCs w:val="20"/>
        </w:rPr>
      </w:pPr>
      <w:r w:rsidRPr="00113477">
        <w:rPr>
          <w:rFonts w:ascii="Book Antiqua" w:hAnsi="Book Antiqua"/>
          <w:b/>
          <w:bCs/>
          <w:i/>
          <w:sz w:val="20"/>
          <w:szCs w:val="20"/>
        </w:rPr>
        <w:t>Sur les opérations courantes (versement et retrait d’espèces, virements, opérations de change, etc.).</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r w:rsidR="007D1808">
        <w:rPr>
          <w:rFonts w:ascii="Book Antiqua" w:hAnsi="Book Antiqua"/>
          <w:sz w:val="20"/>
          <w:szCs w:val="20"/>
        </w:rPr>
        <w:t>………………………………………………………..………………</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r w:rsidR="007D1808">
        <w:rPr>
          <w:rFonts w:ascii="Book Antiqua" w:hAnsi="Book Antiqua"/>
          <w:sz w:val="20"/>
          <w:szCs w:val="20"/>
        </w:rPr>
        <w:t>……………………………………………………..……………</w:t>
      </w:r>
    </w:p>
    <w:p w:rsidR="00886ADE" w:rsidRPr="00113477" w:rsidRDefault="00886ADE" w:rsidP="00886ADE">
      <w:pPr>
        <w:spacing w:before="240"/>
        <w:ind w:left="720"/>
        <w:contextualSpacing/>
        <w:jc w:val="both"/>
        <w:rPr>
          <w:rFonts w:ascii="Book Antiqua" w:hAnsi="Book Antiqua"/>
          <w:sz w:val="20"/>
          <w:szCs w:val="20"/>
        </w:rPr>
      </w:pPr>
    </w:p>
    <w:p w:rsidR="00886ADE" w:rsidRPr="00113477" w:rsidRDefault="00886ADE" w:rsidP="004272B8">
      <w:pPr>
        <w:numPr>
          <w:ilvl w:val="0"/>
          <w:numId w:val="62"/>
        </w:numPr>
        <w:spacing w:before="240"/>
        <w:contextualSpacing/>
        <w:jc w:val="both"/>
        <w:rPr>
          <w:rFonts w:ascii="Book Antiqua" w:hAnsi="Book Antiqua"/>
          <w:b/>
          <w:bCs/>
          <w:i/>
          <w:sz w:val="20"/>
          <w:szCs w:val="20"/>
        </w:rPr>
      </w:pPr>
      <w:r w:rsidRPr="00113477">
        <w:rPr>
          <w:rFonts w:ascii="Book Antiqua" w:hAnsi="Book Antiqua"/>
          <w:b/>
          <w:bCs/>
          <w:i/>
          <w:sz w:val="20"/>
          <w:szCs w:val="20"/>
        </w:rPr>
        <w:t>Sur les chèques.</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r w:rsidR="007D1808">
        <w:rPr>
          <w:rFonts w:ascii="Book Antiqua" w:hAnsi="Book Antiqua"/>
          <w:sz w:val="20"/>
          <w:szCs w:val="20"/>
        </w:rPr>
        <w:t>………………………………………………………………………………………………………….</w:t>
      </w:r>
      <w:r w:rsidRPr="00113477">
        <w:rPr>
          <w:rFonts w:ascii="Book Antiqua" w:hAnsi="Book Antiqua"/>
          <w:sz w:val="20"/>
          <w:szCs w:val="20"/>
        </w:rPr>
        <w:t>.</w:t>
      </w:r>
    </w:p>
    <w:p w:rsidR="00886ADE" w:rsidRPr="00113477" w:rsidRDefault="00886ADE" w:rsidP="00886ADE">
      <w:pPr>
        <w:spacing w:before="240"/>
        <w:ind w:left="720"/>
        <w:contextualSpacing/>
        <w:jc w:val="both"/>
        <w:rPr>
          <w:rFonts w:ascii="Book Antiqua" w:hAnsi="Book Antiqua"/>
          <w:sz w:val="20"/>
          <w:szCs w:val="20"/>
        </w:rPr>
      </w:pPr>
    </w:p>
    <w:p w:rsidR="00886ADE" w:rsidRPr="00113477" w:rsidRDefault="00886ADE" w:rsidP="004272B8">
      <w:pPr>
        <w:numPr>
          <w:ilvl w:val="0"/>
          <w:numId w:val="62"/>
        </w:numPr>
        <w:spacing w:before="240"/>
        <w:contextualSpacing/>
        <w:jc w:val="both"/>
        <w:rPr>
          <w:rFonts w:ascii="Book Antiqua" w:hAnsi="Book Antiqua"/>
          <w:b/>
          <w:bCs/>
          <w:i/>
          <w:sz w:val="20"/>
          <w:szCs w:val="20"/>
        </w:rPr>
      </w:pPr>
      <w:r w:rsidRPr="00113477">
        <w:rPr>
          <w:rFonts w:ascii="Book Antiqua" w:hAnsi="Book Antiqua"/>
          <w:b/>
          <w:bCs/>
          <w:i/>
          <w:sz w:val="20"/>
          <w:szCs w:val="20"/>
        </w:rPr>
        <w:t>Sur l’accueil.</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r w:rsidR="007D1808">
        <w:rPr>
          <w:rFonts w:ascii="Book Antiqua" w:hAnsi="Book Antiqua"/>
          <w:sz w:val="20"/>
          <w:szCs w:val="20"/>
        </w:rPr>
        <w:t>…………………………………..……………</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r w:rsidR="007D1808">
        <w:rPr>
          <w:rFonts w:ascii="Book Antiqua" w:hAnsi="Book Antiqua"/>
          <w:sz w:val="20"/>
          <w:szCs w:val="20"/>
        </w:rPr>
        <w:t>……………………………………………………..………………</w:t>
      </w:r>
    </w:p>
    <w:p w:rsidR="00886ADE" w:rsidRPr="00113477" w:rsidRDefault="00886ADE" w:rsidP="00886ADE">
      <w:pPr>
        <w:spacing w:before="240"/>
        <w:ind w:left="720"/>
        <w:contextualSpacing/>
        <w:jc w:val="both"/>
        <w:rPr>
          <w:rFonts w:ascii="Book Antiqua" w:hAnsi="Book Antiqua"/>
          <w:sz w:val="20"/>
          <w:szCs w:val="20"/>
        </w:rPr>
      </w:pPr>
    </w:p>
    <w:p w:rsidR="00886ADE" w:rsidRPr="00113477" w:rsidRDefault="00886ADE" w:rsidP="004272B8">
      <w:pPr>
        <w:numPr>
          <w:ilvl w:val="0"/>
          <w:numId w:val="62"/>
        </w:numPr>
        <w:spacing w:before="240"/>
        <w:contextualSpacing/>
        <w:jc w:val="both"/>
        <w:rPr>
          <w:rFonts w:ascii="Book Antiqua" w:hAnsi="Book Antiqua"/>
          <w:b/>
          <w:bCs/>
          <w:i/>
          <w:sz w:val="20"/>
          <w:szCs w:val="20"/>
        </w:rPr>
      </w:pPr>
      <w:r w:rsidRPr="00113477">
        <w:rPr>
          <w:rFonts w:ascii="Book Antiqua" w:hAnsi="Book Antiqua"/>
          <w:b/>
          <w:bCs/>
          <w:i/>
          <w:sz w:val="20"/>
          <w:szCs w:val="20"/>
        </w:rPr>
        <w:t>Sur les horaires de services.</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r w:rsidR="007D1808">
        <w:rPr>
          <w:rFonts w:ascii="Book Antiqua" w:hAnsi="Book Antiqua"/>
          <w:sz w:val="20"/>
          <w:szCs w:val="20"/>
        </w:rPr>
        <w:t>……………………………………………………..………………</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r w:rsidR="007D1808">
        <w:rPr>
          <w:rFonts w:ascii="Book Antiqua" w:hAnsi="Book Antiqua"/>
          <w:sz w:val="20"/>
          <w:szCs w:val="20"/>
        </w:rPr>
        <w:t>……………………………………………………..………………</w:t>
      </w:r>
    </w:p>
    <w:p w:rsidR="00886ADE" w:rsidRPr="00113477" w:rsidRDefault="00886ADE" w:rsidP="007D1808">
      <w:pPr>
        <w:spacing w:before="240"/>
        <w:contextualSpacing/>
        <w:jc w:val="both"/>
        <w:rPr>
          <w:rFonts w:ascii="Book Antiqua" w:hAnsi="Book Antiqua"/>
          <w:sz w:val="20"/>
          <w:szCs w:val="20"/>
        </w:rPr>
      </w:pPr>
    </w:p>
    <w:p w:rsidR="00886ADE" w:rsidRPr="00113477" w:rsidRDefault="00886ADE" w:rsidP="004272B8">
      <w:pPr>
        <w:numPr>
          <w:ilvl w:val="0"/>
          <w:numId w:val="62"/>
        </w:numPr>
        <w:spacing w:before="240"/>
        <w:contextualSpacing/>
        <w:jc w:val="both"/>
        <w:rPr>
          <w:rFonts w:ascii="Book Antiqua" w:hAnsi="Book Antiqua"/>
          <w:b/>
          <w:bCs/>
          <w:i/>
          <w:sz w:val="20"/>
          <w:szCs w:val="20"/>
        </w:rPr>
      </w:pPr>
      <w:r w:rsidRPr="00113477">
        <w:rPr>
          <w:rFonts w:ascii="Book Antiqua" w:hAnsi="Book Antiqua"/>
          <w:b/>
          <w:bCs/>
          <w:i/>
          <w:sz w:val="20"/>
          <w:szCs w:val="20"/>
        </w:rPr>
        <w:t>Sur les prêts (taux d’intérêt, garanties, durée d’instruction et de mise en place des ressources).</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r w:rsidR="007D1808">
        <w:rPr>
          <w:rFonts w:ascii="Book Antiqua" w:hAnsi="Book Antiqua"/>
          <w:sz w:val="20"/>
          <w:szCs w:val="20"/>
        </w:rPr>
        <w:t>……………………………………………………..……………..</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r w:rsidR="007D1808">
        <w:rPr>
          <w:rFonts w:ascii="Book Antiqua" w:hAnsi="Book Antiqua"/>
          <w:sz w:val="20"/>
          <w:szCs w:val="20"/>
        </w:rPr>
        <w:t>……………………………………………………..……………</w:t>
      </w:r>
    </w:p>
    <w:p w:rsidR="00886ADE" w:rsidRPr="00113477" w:rsidRDefault="00886ADE" w:rsidP="00886ADE">
      <w:pPr>
        <w:spacing w:before="240"/>
        <w:ind w:left="720"/>
        <w:contextualSpacing/>
        <w:jc w:val="both"/>
        <w:rPr>
          <w:rFonts w:ascii="Book Antiqua" w:hAnsi="Book Antiqua"/>
          <w:sz w:val="20"/>
          <w:szCs w:val="20"/>
        </w:rPr>
      </w:pPr>
    </w:p>
    <w:p w:rsidR="00886ADE" w:rsidRPr="00113477" w:rsidRDefault="00886ADE" w:rsidP="004272B8">
      <w:pPr>
        <w:numPr>
          <w:ilvl w:val="0"/>
          <w:numId w:val="62"/>
        </w:numPr>
        <w:spacing w:before="240"/>
        <w:contextualSpacing/>
        <w:jc w:val="both"/>
        <w:rPr>
          <w:rFonts w:ascii="Book Antiqua" w:hAnsi="Book Antiqua"/>
          <w:b/>
          <w:bCs/>
          <w:i/>
          <w:sz w:val="20"/>
          <w:szCs w:val="20"/>
        </w:rPr>
      </w:pPr>
      <w:r w:rsidRPr="00113477">
        <w:rPr>
          <w:rFonts w:ascii="Book Antiqua" w:hAnsi="Book Antiqua"/>
          <w:b/>
          <w:bCs/>
          <w:i/>
          <w:sz w:val="20"/>
          <w:szCs w:val="20"/>
        </w:rPr>
        <w:t>Sur les autres services.</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r w:rsidR="007D1808">
        <w:rPr>
          <w:rFonts w:ascii="Book Antiqua" w:hAnsi="Book Antiqua"/>
          <w:sz w:val="20"/>
          <w:szCs w:val="20"/>
        </w:rPr>
        <w:t>……………………………………………………..………………</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p>
    <w:p w:rsidR="00886ADE" w:rsidRPr="00113477" w:rsidRDefault="00886ADE" w:rsidP="00886ADE">
      <w:pPr>
        <w:spacing w:before="240"/>
        <w:ind w:left="720"/>
        <w:contextualSpacing/>
        <w:jc w:val="both"/>
        <w:rPr>
          <w:rFonts w:ascii="Book Antiqua" w:hAnsi="Book Antiqua"/>
          <w:sz w:val="20"/>
          <w:szCs w:val="20"/>
        </w:rPr>
      </w:pPr>
    </w:p>
    <w:p w:rsidR="00886ADE" w:rsidRPr="00113477" w:rsidRDefault="00886ADE" w:rsidP="004272B8">
      <w:pPr>
        <w:numPr>
          <w:ilvl w:val="0"/>
          <w:numId w:val="62"/>
        </w:numPr>
        <w:spacing w:before="240"/>
        <w:contextualSpacing/>
        <w:jc w:val="both"/>
        <w:rPr>
          <w:rFonts w:ascii="Book Antiqua" w:hAnsi="Book Antiqua"/>
          <w:b/>
          <w:bCs/>
          <w:i/>
          <w:sz w:val="20"/>
          <w:szCs w:val="20"/>
        </w:rPr>
      </w:pPr>
      <w:r w:rsidRPr="00113477">
        <w:rPr>
          <w:rFonts w:ascii="Book Antiqua" w:hAnsi="Book Antiqua"/>
          <w:b/>
          <w:bCs/>
          <w:i/>
          <w:sz w:val="20"/>
          <w:szCs w:val="20"/>
        </w:rPr>
        <w:t>Autres suggestions.</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p>
    <w:p w:rsidR="00886ADE" w:rsidRPr="00113477" w:rsidRDefault="00886ADE" w:rsidP="00886ADE">
      <w:pPr>
        <w:spacing w:after="120"/>
        <w:ind w:left="720"/>
        <w:contextualSpacing/>
        <w:jc w:val="both"/>
        <w:rPr>
          <w:rFonts w:ascii="Book Antiqua" w:hAnsi="Book Antiqua"/>
          <w:sz w:val="20"/>
          <w:szCs w:val="20"/>
        </w:rPr>
      </w:pPr>
      <w:r w:rsidRPr="00113477">
        <w:rPr>
          <w:rFonts w:ascii="Book Antiqua" w:hAnsi="Book Antiqua"/>
          <w:sz w:val="20"/>
          <w:szCs w:val="20"/>
        </w:rPr>
        <w:t>…………………………………………………………………………………………………..………………</w:t>
      </w:r>
    </w:p>
    <w:p w:rsidR="00F53A13" w:rsidRPr="00113477" w:rsidRDefault="00F53A13">
      <w:pPr>
        <w:spacing w:after="200" w:line="276" w:lineRule="auto"/>
        <w:rPr>
          <w:rFonts w:ascii="Book Antiqua" w:hAnsi="Book Antiqua" w:cs="Arial"/>
          <w:sz w:val="20"/>
          <w:szCs w:val="20"/>
        </w:rPr>
      </w:pPr>
    </w:p>
    <w:p w:rsidR="00F53A13" w:rsidRPr="00113477" w:rsidRDefault="00F53A13">
      <w:pPr>
        <w:spacing w:after="200" w:line="276" w:lineRule="auto"/>
        <w:rPr>
          <w:rFonts w:ascii="Book Antiqua" w:hAnsi="Book Antiqua" w:cs="Arial"/>
          <w:sz w:val="20"/>
          <w:szCs w:val="20"/>
        </w:rPr>
      </w:pPr>
    </w:p>
    <w:p w:rsidR="00F53A13" w:rsidRPr="00113477" w:rsidRDefault="00F53A13">
      <w:pPr>
        <w:spacing w:after="200" w:line="276" w:lineRule="auto"/>
        <w:rPr>
          <w:rFonts w:ascii="Book Antiqua" w:hAnsi="Book Antiqua" w:cs="Arial"/>
          <w:sz w:val="20"/>
          <w:szCs w:val="20"/>
        </w:rPr>
      </w:pPr>
    </w:p>
    <w:p w:rsidR="00F53A13" w:rsidRPr="00113477" w:rsidRDefault="00F53A13">
      <w:pPr>
        <w:spacing w:after="200" w:line="276" w:lineRule="auto"/>
        <w:rPr>
          <w:rFonts w:ascii="Book Antiqua" w:hAnsi="Book Antiqua" w:cs="Arial"/>
          <w:sz w:val="20"/>
          <w:szCs w:val="20"/>
        </w:rPr>
      </w:pPr>
    </w:p>
    <w:p w:rsidR="00F53A13" w:rsidRPr="00113477" w:rsidRDefault="00F53A13">
      <w:pPr>
        <w:spacing w:after="200" w:line="276" w:lineRule="auto"/>
        <w:rPr>
          <w:rFonts w:ascii="Book Antiqua" w:hAnsi="Book Antiqua" w:cs="Arial"/>
          <w:sz w:val="20"/>
          <w:szCs w:val="20"/>
        </w:rPr>
      </w:pPr>
    </w:p>
    <w:p w:rsidR="00F53A13" w:rsidRPr="00113477" w:rsidRDefault="00F53A13">
      <w:pPr>
        <w:spacing w:after="200" w:line="276" w:lineRule="auto"/>
        <w:rPr>
          <w:rFonts w:ascii="Book Antiqua" w:hAnsi="Book Antiqua" w:cs="Arial"/>
          <w:sz w:val="20"/>
          <w:szCs w:val="20"/>
        </w:rPr>
      </w:pPr>
    </w:p>
    <w:p w:rsidR="007D1808" w:rsidRDefault="007D1808">
      <w:pPr>
        <w:spacing w:after="200" w:line="276" w:lineRule="auto"/>
        <w:rPr>
          <w:rFonts w:ascii="Book Antiqua" w:hAnsi="Book Antiqua" w:cs="Arial"/>
          <w:b/>
          <w:sz w:val="20"/>
          <w:szCs w:val="20"/>
        </w:rPr>
      </w:pPr>
      <w:bookmarkStart w:id="390" w:name="_Toc523322145"/>
      <w:r>
        <w:rPr>
          <w:rFonts w:cs="Arial"/>
          <w:sz w:val="20"/>
          <w:szCs w:val="20"/>
        </w:rPr>
        <w:br w:type="page"/>
      </w:r>
    </w:p>
    <w:p w:rsidR="00A94696" w:rsidRPr="00113477" w:rsidRDefault="00A94696" w:rsidP="007D1808">
      <w:pPr>
        <w:pStyle w:val="Titre1"/>
        <w:numPr>
          <w:ilvl w:val="0"/>
          <w:numId w:val="0"/>
        </w:numPr>
        <w:jc w:val="center"/>
        <w:rPr>
          <w:rFonts w:cs="Arial"/>
          <w:sz w:val="20"/>
          <w:szCs w:val="20"/>
        </w:rPr>
      </w:pPr>
      <w:r w:rsidRPr="007D1808">
        <w:rPr>
          <w:rFonts w:cs="Arial"/>
          <w:sz w:val="20"/>
          <w:szCs w:val="20"/>
          <w:u w:val="single"/>
        </w:rPr>
        <w:lastRenderedPageBreak/>
        <w:t>Annexe 4</w:t>
      </w:r>
      <w:r w:rsidRPr="00113477">
        <w:rPr>
          <w:rFonts w:cs="Arial"/>
          <w:sz w:val="20"/>
          <w:szCs w:val="20"/>
        </w:rPr>
        <w:t xml:space="preserve"> : Questionnaire du volet « Personnes morales »</w:t>
      </w:r>
      <w:bookmarkEnd w:id="390"/>
    </w:p>
    <w:p w:rsidR="00F53A13" w:rsidRPr="00113477" w:rsidRDefault="00F53A13">
      <w:pPr>
        <w:spacing w:after="200" w:line="276" w:lineRule="auto"/>
        <w:rPr>
          <w:rFonts w:ascii="Book Antiqua" w:hAnsi="Book Antiqua" w:cs="Arial"/>
          <w:sz w:val="20"/>
          <w:szCs w:val="20"/>
        </w:rPr>
      </w:pPr>
    </w:p>
    <w:p w:rsidR="00F53A13" w:rsidRPr="00113477" w:rsidRDefault="00F53A13" w:rsidP="004272B8">
      <w:pPr>
        <w:numPr>
          <w:ilvl w:val="0"/>
          <w:numId w:val="66"/>
        </w:numPr>
        <w:contextualSpacing/>
        <w:rPr>
          <w:rFonts w:ascii="Book Antiqua" w:hAnsi="Book Antiqua"/>
          <w:b/>
          <w:bCs/>
          <w:sz w:val="20"/>
          <w:szCs w:val="20"/>
          <w:u w:val="single"/>
        </w:rPr>
      </w:pPr>
      <w:r w:rsidRPr="00113477">
        <w:rPr>
          <w:rFonts w:ascii="Book Antiqua" w:hAnsi="Book Antiqua"/>
          <w:b/>
          <w:bCs/>
          <w:sz w:val="20"/>
          <w:szCs w:val="20"/>
          <w:u w:val="single"/>
        </w:rPr>
        <w:t>IDENTIFICATION DE L’ENTREPRISE</w:t>
      </w:r>
    </w:p>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spacing w:after="120"/>
        <w:rPr>
          <w:rFonts w:ascii="Book Antiqua" w:hAnsi="Book Antiqua"/>
          <w:sz w:val="20"/>
          <w:szCs w:val="20"/>
        </w:rPr>
      </w:pPr>
      <w:r w:rsidRPr="00113477">
        <w:rPr>
          <w:rFonts w:ascii="Book Antiqua" w:hAnsi="Book Antiqua"/>
          <w:sz w:val="20"/>
          <w:szCs w:val="20"/>
        </w:rPr>
        <w:t>Nom du répondant (personne interrogée)….………...…...…….…………….......……………………………..</w:t>
      </w:r>
    </w:p>
    <w:p w:rsidR="00F53A13" w:rsidRPr="00113477" w:rsidRDefault="00F53A13" w:rsidP="004272B8">
      <w:pPr>
        <w:numPr>
          <w:ilvl w:val="0"/>
          <w:numId w:val="65"/>
        </w:numPr>
        <w:tabs>
          <w:tab w:val="clear" w:pos="360"/>
          <w:tab w:val="num" w:pos="502"/>
        </w:tabs>
        <w:spacing w:after="120"/>
        <w:ind w:left="499" w:hanging="357"/>
        <w:rPr>
          <w:rFonts w:ascii="Book Antiqua" w:hAnsi="Book Antiqua"/>
          <w:sz w:val="20"/>
          <w:szCs w:val="20"/>
        </w:rPr>
      </w:pPr>
      <w:r w:rsidRPr="00113477">
        <w:rPr>
          <w:rFonts w:ascii="Book Antiqua" w:hAnsi="Book Antiqua"/>
          <w:sz w:val="20"/>
          <w:szCs w:val="20"/>
        </w:rPr>
        <w:t>Fonction dans l’entreprise…………………….……………………….……...………………..…………………</w:t>
      </w:r>
    </w:p>
    <w:p w:rsidR="00F53A13" w:rsidRPr="00113477" w:rsidRDefault="00F53A13" w:rsidP="004272B8">
      <w:pPr>
        <w:numPr>
          <w:ilvl w:val="0"/>
          <w:numId w:val="65"/>
        </w:numPr>
        <w:tabs>
          <w:tab w:val="clear" w:pos="360"/>
          <w:tab w:val="num" w:pos="502"/>
        </w:tabs>
        <w:spacing w:after="120"/>
        <w:ind w:left="499" w:hanging="357"/>
        <w:rPr>
          <w:rFonts w:ascii="Book Antiqua" w:hAnsi="Book Antiqua"/>
          <w:sz w:val="20"/>
          <w:szCs w:val="20"/>
        </w:rPr>
      </w:pPr>
      <w:r w:rsidRPr="00113477">
        <w:rPr>
          <w:rFonts w:ascii="Book Antiqua" w:hAnsi="Book Antiqua"/>
          <w:sz w:val="20"/>
          <w:szCs w:val="20"/>
        </w:rPr>
        <w:t>Raison sociale de l’entreprise </w:t>
      </w:r>
      <w:proofErr w:type="gramStart"/>
      <w:r w:rsidRPr="00113477">
        <w:rPr>
          <w:rFonts w:ascii="Book Antiqua" w:hAnsi="Book Antiqua"/>
          <w:sz w:val="20"/>
          <w:szCs w:val="20"/>
        </w:rPr>
        <w:t>:..</w:t>
      </w:r>
      <w:proofErr w:type="gramEnd"/>
      <w:r w:rsidRPr="00113477">
        <w:rPr>
          <w:rFonts w:ascii="Book Antiqua" w:hAnsi="Book Antiqua"/>
          <w:sz w:val="20"/>
          <w:szCs w:val="20"/>
        </w:rPr>
        <w:t>…………………………………………….……..…………………….………..</w:t>
      </w:r>
    </w:p>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ind w:left="502"/>
        <w:contextualSpacing/>
        <w:jc w:val="both"/>
        <w:rPr>
          <w:rFonts w:ascii="Book Antiqua" w:hAnsi="Book Antiqua"/>
          <w:sz w:val="20"/>
          <w:szCs w:val="20"/>
        </w:rPr>
      </w:pPr>
      <w:r w:rsidRPr="00113477">
        <w:rPr>
          <w:rFonts w:ascii="Book Antiqua" w:eastAsia="Calibri" w:hAnsi="Book Antiqua"/>
          <w:sz w:val="20"/>
          <w:szCs w:val="20"/>
        </w:rPr>
        <w:t>Région :</w:t>
      </w:r>
      <w:r w:rsidR="007D1808" w:rsidRPr="00113477">
        <w:rPr>
          <w:rFonts w:ascii="Book Antiqua" w:hAnsi="Book Antiqua"/>
          <w:sz w:val="20"/>
          <w:szCs w:val="20"/>
        </w:rPr>
        <w:t xml:space="preserve"> </w:t>
      </w:r>
      <w:r w:rsidRPr="00113477">
        <w:rPr>
          <w:rFonts w:ascii="Book Antiqua" w:hAnsi="Book Antiqua"/>
          <w:sz w:val="20"/>
          <w:szCs w:val="20"/>
        </w:rPr>
        <w:t>|__|__|</w:t>
      </w:r>
    </w:p>
    <w:tbl>
      <w:tblPr>
        <w:tblW w:w="4180" w:type="pct"/>
        <w:jc w:val="center"/>
        <w:tblLook w:val="01E0"/>
      </w:tblPr>
      <w:tblGrid>
        <w:gridCol w:w="1391"/>
        <w:gridCol w:w="1557"/>
        <w:gridCol w:w="1827"/>
        <w:gridCol w:w="1963"/>
        <w:gridCol w:w="1453"/>
      </w:tblGrid>
      <w:tr w:rsidR="00F53A13" w:rsidRPr="00113477" w:rsidTr="00F53A13">
        <w:trPr>
          <w:jc w:val="center"/>
        </w:trPr>
        <w:tc>
          <w:tcPr>
            <w:tcW w:w="886"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01= Dakar</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02= Diourbel</w:t>
            </w:r>
          </w:p>
          <w:p w:rsidR="00F53A13" w:rsidRPr="00113477" w:rsidRDefault="00F53A13" w:rsidP="00F53A13">
            <w:pPr>
              <w:rPr>
                <w:rFonts w:ascii="Book Antiqua" w:hAnsi="Book Antiqua"/>
                <w:i/>
                <w:sz w:val="20"/>
                <w:szCs w:val="20"/>
              </w:rPr>
            </w:pPr>
            <w:r w:rsidRPr="00113477">
              <w:rPr>
                <w:rFonts w:ascii="Book Antiqua" w:hAnsi="Book Antiqua"/>
                <w:i/>
                <w:sz w:val="20"/>
                <w:szCs w:val="20"/>
              </w:rPr>
              <w:t xml:space="preserve">03= </w:t>
            </w:r>
            <w:proofErr w:type="spellStart"/>
            <w:r w:rsidRPr="00113477">
              <w:rPr>
                <w:rFonts w:ascii="Book Antiqua" w:hAnsi="Book Antiqua"/>
                <w:i/>
                <w:sz w:val="20"/>
                <w:szCs w:val="20"/>
              </w:rPr>
              <w:t>Fatick</w:t>
            </w:r>
            <w:proofErr w:type="spellEnd"/>
          </w:p>
        </w:tc>
        <w:tc>
          <w:tcPr>
            <w:tcW w:w="98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 xml:space="preserve">04= </w:t>
            </w:r>
            <w:proofErr w:type="spellStart"/>
            <w:r w:rsidRPr="00113477">
              <w:rPr>
                <w:rFonts w:ascii="Book Antiqua" w:hAnsi="Book Antiqua"/>
                <w:i/>
                <w:sz w:val="20"/>
                <w:szCs w:val="20"/>
              </w:rPr>
              <w:t>Kaffrine</w:t>
            </w:r>
            <w:proofErr w:type="spellEnd"/>
          </w:p>
          <w:p w:rsidR="00F53A13" w:rsidRPr="00113477" w:rsidRDefault="00F53A13" w:rsidP="00F53A13">
            <w:pPr>
              <w:rPr>
                <w:rFonts w:ascii="Book Antiqua" w:hAnsi="Book Antiqua"/>
                <w:i/>
                <w:sz w:val="20"/>
                <w:szCs w:val="20"/>
              </w:rPr>
            </w:pPr>
            <w:r w:rsidRPr="00113477">
              <w:rPr>
                <w:rFonts w:ascii="Book Antiqua" w:hAnsi="Book Antiqua"/>
                <w:i/>
                <w:sz w:val="20"/>
                <w:szCs w:val="20"/>
              </w:rPr>
              <w:t>05= Kaolack</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06= Kolda</w:t>
            </w:r>
          </w:p>
        </w:tc>
        <w:tc>
          <w:tcPr>
            <w:tcW w:w="115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 xml:space="preserve">07=Kédougou </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08=Louga</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09= Matam</w:t>
            </w:r>
          </w:p>
        </w:tc>
        <w:tc>
          <w:tcPr>
            <w:tcW w:w="123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10= Saint Louis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 xml:space="preserve">11= </w:t>
            </w:r>
            <w:proofErr w:type="spellStart"/>
            <w:r w:rsidRPr="00113477">
              <w:rPr>
                <w:rFonts w:ascii="Book Antiqua" w:hAnsi="Book Antiqua"/>
                <w:i/>
                <w:sz w:val="20"/>
                <w:szCs w:val="20"/>
              </w:rPr>
              <w:t>Sédhiou</w:t>
            </w:r>
            <w:proofErr w:type="spellEnd"/>
          </w:p>
          <w:p w:rsidR="00F53A13" w:rsidRPr="00113477" w:rsidRDefault="00F53A13" w:rsidP="00F53A13">
            <w:pPr>
              <w:rPr>
                <w:rFonts w:ascii="Book Antiqua" w:hAnsi="Book Antiqua"/>
                <w:i/>
                <w:sz w:val="20"/>
                <w:szCs w:val="20"/>
              </w:rPr>
            </w:pPr>
            <w:r w:rsidRPr="00113477">
              <w:rPr>
                <w:rFonts w:ascii="Book Antiqua" w:hAnsi="Book Antiqua"/>
                <w:i/>
                <w:sz w:val="20"/>
                <w:szCs w:val="20"/>
              </w:rPr>
              <w:t>12= Tambacounda</w:t>
            </w:r>
          </w:p>
        </w:tc>
        <w:tc>
          <w:tcPr>
            <w:tcW w:w="74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13= Thiès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14=Ziguinchor</w:t>
            </w:r>
          </w:p>
        </w:tc>
      </w:tr>
    </w:tbl>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ind w:left="502"/>
        <w:contextualSpacing/>
        <w:jc w:val="both"/>
        <w:rPr>
          <w:rFonts w:ascii="Book Antiqua" w:hAnsi="Book Antiqua"/>
          <w:sz w:val="20"/>
          <w:szCs w:val="20"/>
        </w:rPr>
      </w:pPr>
      <w:r w:rsidRPr="00113477">
        <w:rPr>
          <w:rFonts w:ascii="Book Antiqua" w:eastAsia="Calibri" w:hAnsi="Book Antiqua"/>
          <w:sz w:val="20"/>
          <w:szCs w:val="20"/>
        </w:rPr>
        <w:t>Adresse : ……………….……..………………………….…………</w:t>
      </w:r>
      <w:r w:rsidRPr="00113477">
        <w:rPr>
          <w:rFonts w:ascii="Book Antiqua" w:hAnsi="Book Antiqua"/>
          <w:sz w:val="20"/>
          <w:szCs w:val="20"/>
        </w:rPr>
        <w:t>……...………………………………………</w:t>
      </w:r>
    </w:p>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autoSpaceDE w:val="0"/>
        <w:autoSpaceDN w:val="0"/>
        <w:adjustRightInd w:val="0"/>
        <w:ind w:left="502"/>
        <w:contextualSpacing/>
        <w:rPr>
          <w:rFonts w:ascii="Book Antiqua" w:hAnsi="Book Antiqua"/>
          <w:color w:val="000000"/>
          <w:sz w:val="20"/>
          <w:szCs w:val="20"/>
        </w:rPr>
      </w:pPr>
      <w:r w:rsidRPr="00113477">
        <w:rPr>
          <w:rFonts w:ascii="Book Antiqua" w:hAnsi="Book Antiqua"/>
          <w:sz w:val="20"/>
          <w:szCs w:val="20"/>
        </w:rPr>
        <w:t>Numéro de téléphone : |__|__|__|__|__|__|__|__|__|</w:t>
      </w:r>
    </w:p>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7D1808" w:rsidP="004272B8">
      <w:pPr>
        <w:numPr>
          <w:ilvl w:val="0"/>
          <w:numId w:val="65"/>
        </w:numPr>
        <w:tabs>
          <w:tab w:val="clear" w:pos="360"/>
          <w:tab w:val="num" w:pos="502"/>
        </w:tabs>
        <w:ind w:left="502"/>
        <w:contextualSpacing/>
        <w:rPr>
          <w:rFonts w:ascii="Book Antiqua" w:hAnsi="Book Antiqua"/>
          <w:sz w:val="20"/>
          <w:szCs w:val="20"/>
        </w:rPr>
      </w:pPr>
      <w:r>
        <w:rPr>
          <w:rFonts w:ascii="Book Antiqua" w:hAnsi="Book Antiqua"/>
          <w:sz w:val="20"/>
          <w:szCs w:val="20"/>
        </w:rPr>
        <w:t>Numéro de Fax :</w:t>
      </w:r>
      <w:r w:rsidR="00F53A13" w:rsidRPr="00113477">
        <w:rPr>
          <w:rFonts w:ascii="Book Antiqua" w:hAnsi="Book Antiqua"/>
          <w:sz w:val="20"/>
          <w:szCs w:val="20"/>
        </w:rPr>
        <w:t xml:space="preserve"> |__|__|__|__|__|__|__|__|__|</w:t>
      </w:r>
    </w:p>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ind w:left="502"/>
        <w:contextualSpacing/>
        <w:rPr>
          <w:rFonts w:ascii="Book Antiqua" w:hAnsi="Book Antiqua"/>
          <w:sz w:val="20"/>
          <w:szCs w:val="20"/>
        </w:rPr>
      </w:pPr>
      <w:r w:rsidRPr="00113477">
        <w:rPr>
          <w:rFonts w:ascii="Book Antiqua" w:hAnsi="Book Antiqua"/>
          <w:sz w:val="20"/>
          <w:szCs w:val="20"/>
        </w:rPr>
        <w:t>Email : ………………………………….………@………..……………….……...………………………………</w:t>
      </w:r>
    </w:p>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ind w:left="502"/>
        <w:contextualSpacing/>
        <w:rPr>
          <w:rFonts w:ascii="Book Antiqua" w:hAnsi="Book Antiqua"/>
          <w:sz w:val="20"/>
          <w:szCs w:val="20"/>
        </w:rPr>
      </w:pPr>
      <w:r w:rsidRPr="00113477">
        <w:rPr>
          <w:rFonts w:ascii="Book Antiqua" w:hAnsi="Book Antiqua"/>
          <w:sz w:val="20"/>
          <w:szCs w:val="20"/>
        </w:rPr>
        <w:t xml:space="preserve">Site internet : </w:t>
      </w:r>
      <w:r w:rsidRPr="00113477">
        <w:rPr>
          <w:rFonts w:ascii="Book Antiqua" w:hAnsi="Book Antiqua"/>
          <w:b/>
          <w:sz w:val="20"/>
          <w:szCs w:val="20"/>
        </w:rPr>
        <w:t>www</w:t>
      </w:r>
      <w:r w:rsidRPr="00113477">
        <w:rPr>
          <w:rFonts w:ascii="Book Antiqua" w:hAnsi="Book Antiqua"/>
          <w:sz w:val="20"/>
          <w:szCs w:val="20"/>
        </w:rPr>
        <w:t>.……………….…..........…………………….........……………….………………………...</w:t>
      </w:r>
    </w:p>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ind w:left="502"/>
        <w:contextualSpacing/>
        <w:jc w:val="both"/>
        <w:rPr>
          <w:rFonts w:ascii="Book Antiqua" w:hAnsi="Book Antiqua"/>
          <w:sz w:val="20"/>
          <w:szCs w:val="20"/>
        </w:rPr>
      </w:pPr>
      <w:r w:rsidRPr="00113477">
        <w:rPr>
          <w:rFonts w:ascii="Book Antiqua" w:hAnsi="Book Antiqua"/>
          <w:sz w:val="20"/>
          <w:szCs w:val="20"/>
        </w:rPr>
        <w:t>An</w:t>
      </w:r>
      <w:r w:rsidR="007D1808">
        <w:rPr>
          <w:rFonts w:ascii="Book Antiqua" w:hAnsi="Book Antiqua"/>
          <w:sz w:val="20"/>
          <w:szCs w:val="20"/>
        </w:rPr>
        <w:t>née de création de l’entreprise</w:t>
      </w:r>
      <w:r w:rsidRPr="00113477">
        <w:rPr>
          <w:rFonts w:ascii="Book Antiqua" w:hAnsi="Book Antiqua"/>
          <w:sz w:val="20"/>
          <w:szCs w:val="20"/>
        </w:rPr>
        <w:t>|__|__|__|__|</w:t>
      </w:r>
    </w:p>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ind w:left="502"/>
        <w:contextualSpacing/>
        <w:rPr>
          <w:rFonts w:ascii="Book Antiqua" w:hAnsi="Book Antiqua"/>
          <w:sz w:val="20"/>
          <w:szCs w:val="20"/>
        </w:rPr>
      </w:pPr>
      <w:r w:rsidRPr="00113477">
        <w:rPr>
          <w:rFonts w:ascii="Book Antiqua" w:hAnsi="Book Antiqua"/>
          <w:sz w:val="20"/>
          <w:szCs w:val="20"/>
        </w:rPr>
        <w:t>NINEA|__|__|__|__|__|__|__|__|__|__|</w:t>
      </w:r>
    </w:p>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spacing w:after="120"/>
        <w:ind w:left="499" w:hanging="357"/>
        <w:rPr>
          <w:rFonts w:ascii="Book Antiqua" w:hAnsi="Book Antiqua"/>
          <w:sz w:val="20"/>
          <w:szCs w:val="20"/>
        </w:rPr>
      </w:pPr>
      <w:r w:rsidRPr="00113477">
        <w:rPr>
          <w:rFonts w:ascii="Book Antiqua" w:hAnsi="Book Antiqua"/>
          <w:sz w:val="20"/>
          <w:szCs w:val="20"/>
        </w:rPr>
        <w:t>Statut juridique|__|</w:t>
      </w:r>
    </w:p>
    <w:tbl>
      <w:tblPr>
        <w:tblW w:w="0" w:type="auto"/>
        <w:jc w:val="center"/>
        <w:tblLook w:val="01E0"/>
      </w:tblPr>
      <w:tblGrid>
        <w:gridCol w:w="1134"/>
        <w:gridCol w:w="851"/>
        <w:gridCol w:w="850"/>
        <w:gridCol w:w="993"/>
        <w:gridCol w:w="850"/>
        <w:gridCol w:w="4494"/>
      </w:tblGrid>
      <w:tr w:rsidR="00F53A13" w:rsidRPr="00113477" w:rsidTr="00F53A13">
        <w:trPr>
          <w:jc w:val="center"/>
        </w:trPr>
        <w:tc>
          <w:tcPr>
            <w:tcW w:w="1134" w:type="dxa"/>
          </w:tcPr>
          <w:p w:rsidR="00F53A13" w:rsidRPr="00113477" w:rsidRDefault="00F53A13" w:rsidP="00F53A13">
            <w:pPr>
              <w:tabs>
                <w:tab w:val="right" w:pos="2802"/>
              </w:tabs>
              <w:contextualSpacing/>
              <w:rPr>
                <w:rFonts w:ascii="Book Antiqua" w:hAnsi="Book Antiqua"/>
                <w:i/>
                <w:sz w:val="20"/>
                <w:szCs w:val="20"/>
              </w:rPr>
            </w:pPr>
            <w:r w:rsidRPr="00113477">
              <w:rPr>
                <w:rFonts w:ascii="Book Antiqua" w:hAnsi="Book Antiqua"/>
                <w:i/>
                <w:sz w:val="20"/>
                <w:szCs w:val="20"/>
              </w:rPr>
              <w:t>1= SARL</w:t>
            </w:r>
          </w:p>
        </w:tc>
        <w:tc>
          <w:tcPr>
            <w:tcW w:w="851" w:type="dxa"/>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SU</w:t>
            </w:r>
          </w:p>
        </w:tc>
        <w:tc>
          <w:tcPr>
            <w:tcW w:w="850" w:type="dxa"/>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3= SA</w:t>
            </w:r>
          </w:p>
        </w:tc>
        <w:tc>
          <w:tcPr>
            <w:tcW w:w="993" w:type="dxa"/>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4=SNC</w:t>
            </w:r>
          </w:p>
        </w:tc>
        <w:tc>
          <w:tcPr>
            <w:tcW w:w="850" w:type="dxa"/>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5= GIE</w:t>
            </w:r>
          </w:p>
        </w:tc>
        <w:tc>
          <w:tcPr>
            <w:tcW w:w="4494" w:type="dxa"/>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6= Autre (Préciser)………………………………….…..</w:t>
            </w:r>
          </w:p>
        </w:tc>
      </w:tr>
    </w:tbl>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spacing w:after="120"/>
        <w:ind w:left="502"/>
        <w:rPr>
          <w:rFonts w:ascii="Book Antiqua" w:hAnsi="Book Antiqua"/>
          <w:sz w:val="20"/>
          <w:szCs w:val="20"/>
        </w:rPr>
      </w:pPr>
      <w:r w:rsidRPr="00113477">
        <w:rPr>
          <w:rFonts w:ascii="Book Antiqua" w:hAnsi="Book Antiqua"/>
          <w:sz w:val="20"/>
          <w:szCs w:val="20"/>
        </w:rPr>
        <w:t>Secteur d’activités : |__|</w:t>
      </w:r>
    </w:p>
    <w:tbl>
      <w:tblPr>
        <w:tblW w:w="5000" w:type="pct"/>
        <w:jc w:val="center"/>
        <w:tblLook w:val="01E0"/>
      </w:tblPr>
      <w:tblGrid>
        <w:gridCol w:w="2057"/>
        <w:gridCol w:w="1944"/>
        <w:gridCol w:w="2244"/>
        <w:gridCol w:w="3553"/>
      </w:tblGrid>
      <w:tr w:rsidR="00F53A13" w:rsidRPr="00113477" w:rsidTr="00F53A13">
        <w:trPr>
          <w:jc w:val="center"/>
        </w:trPr>
        <w:tc>
          <w:tcPr>
            <w:tcW w:w="1050" w:type="pct"/>
          </w:tcPr>
          <w:p w:rsidR="00F53A13" w:rsidRPr="00113477" w:rsidRDefault="00F53A13" w:rsidP="00BD13C5">
            <w:pPr>
              <w:ind w:firstLine="567"/>
              <w:rPr>
                <w:rFonts w:ascii="Book Antiqua" w:hAnsi="Book Antiqua"/>
                <w:i/>
                <w:sz w:val="20"/>
                <w:szCs w:val="20"/>
              </w:rPr>
            </w:pPr>
            <w:r w:rsidRPr="00113477">
              <w:rPr>
                <w:rFonts w:ascii="Book Antiqua" w:hAnsi="Book Antiqua"/>
                <w:i/>
                <w:sz w:val="20"/>
                <w:szCs w:val="20"/>
              </w:rPr>
              <w:t>1= Industrie</w:t>
            </w:r>
          </w:p>
          <w:p w:rsidR="00F53A13" w:rsidRPr="00113477" w:rsidRDefault="00F53A13" w:rsidP="00BD13C5">
            <w:pPr>
              <w:ind w:firstLine="567"/>
              <w:rPr>
                <w:rFonts w:ascii="Book Antiqua" w:hAnsi="Book Antiqua"/>
                <w:i/>
                <w:sz w:val="20"/>
                <w:szCs w:val="20"/>
              </w:rPr>
            </w:pPr>
            <w:r w:rsidRPr="00113477">
              <w:rPr>
                <w:rFonts w:ascii="Book Antiqua" w:hAnsi="Book Antiqua"/>
                <w:i/>
                <w:sz w:val="20"/>
                <w:szCs w:val="20"/>
              </w:rPr>
              <w:t>2= Commerce</w:t>
            </w:r>
          </w:p>
        </w:tc>
        <w:tc>
          <w:tcPr>
            <w:tcW w:w="992" w:type="pct"/>
          </w:tcPr>
          <w:p w:rsidR="00F53A13" w:rsidRPr="00113477" w:rsidRDefault="00F53A13" w:rsidP="00BD13C5">
            <w:pPr>
              <w:ind w:firstLine="495"/>
              <w:rPr>
                <w:rFonts w:ascii="Book Antiqua" w:hAnsi="Book Antiqua"/>
                <w:i/>
                <w:sz w:val="20"/>
                <w:szCs w:val="20"/>
              </w:rPr>
            </w:pPr>
            <w:r w:rsidRPr="00113477">
              <w:rPr>
                <w:rFonts w:ascii="Book Antiqua" w:hAnsi="Book Antiqua"/>
                <w:i/>
                <w:sz w:val="20"/>
                <w:szCs w:val="20"/>
              </w:rPr>
              <w:t>3= BTP</w:t>
            </w:r>
          </w:p>
          <w:p w:rsidR="00F53A13" w:rsidRPr="00113477" w:rsidRDefault="00F53A13" w:rsidP="00BD13C5">
            <w:pPr>
              <w:ind w:firstLine="495"/>
              <w:rPr>
                <w:rFonts w:ascii="Book Antiqua" w:hAnsi="Book Antiqua"/>
                <w:i/>
                <w:sz w:val="20"/>
                <w:szCs w:val="20"/>
              </w:rPr>
            </w:pPr>
            <w:r w:rsidRPr="00113477">
              <w:rPr>
                <w:rFonts w:ascii="Book Antiqua" w:hAnsi="Book Antiqua"/>
                <w:i/>
                <w:sz w:val="20"/>
                <w:szCs w:val="20"/>
              </w:rPr>
              <w:t>4=Services</w:t>
            </w:r>
          </w:p>
        </w:tc>
        <w:tc>
          <w:tcPr>
            <w:tcW w:w="1145" w:type="pct"/>
          </w:tcPr>
          <w:p w:rsidR="00F53A13" w:rsidRPr="00113477" w:rsidRDefault="00F53A13" w:rsidP="00BD13C5">
            <w:pPr>
              <w:ind w:firstLine="252"/>
              <w:rPr>
                <w:rFonts w:ascii="Book Antiqua" w:hAnsi="Book Antiqua"/>
                <w:i/>
                <w:sz w:val="20"/>
                <w:szCs w:val="20"/>
              </w:rPr>
            </w:pPr>
            <w:r w:rsidRPr="00113477">
              <w:rPr>
                <w:rFonts w:ascii="Book Antiqua" w:hAnsi="Book Antiqua"/>
                <w:i/>
                <w:sz w:val="20"/>
                <w:szCs w:val="20"/>
              </w:rPr>
              <w:t>5= Agriculture</w:t>
            </w:r>
          </w:p>
          <w:p w:rsidR="00F53A13" w:rsidRPr="00113477" w:rsidRDefault="00F53A13" w:rsidP="00BD13C5">
            <w:pPr>
              <w:ind w:firstLine="252"/>
              <w:rPr>
                <w:rFonts w:ascii="Book Antiqua" w:hAnsi="Book Antiqua"/>
                <w:i/>
                <w:sz w:val="20"/>
                <w:szCs w:val="20"/>
              </w:rPr>
            </w:pPr>
            <w:r w:rsidRPr="00113477">
              <w:rPr>
                <w:rFonts w:ascii="Book Antiqua" w:hAnsi="Book Antiqua"/>
                <w:i/>
                <w:sz w:val="20"/>
                <w:szCs w:val="20"/>
              </w:rPr>
              <w:t>6=Artisanat</w:t>
            </w:r>
          </w:p>
        </w:tc>
        <w:tc>
          <w:tcPr>
            <w:tcW w:w="181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7=Administration</w:t>
            </w:r>
          </w:p>
          <w:p w:rsidR="00F53A13" w:rsidRPr="00113477" w:rsidRDefault="00F53A13" w:rsidP="00F53A13">
            <w:pPr>
              <w:rPr>
                <w:rFonts w:ascii="Book Antiqua" w:hAnsi="Book Antiqua"/>
                <w:i/>
                <w:sz w:val="20"/>
                <w:szCs w:val="20"/>
              </w:rPr>
            </w:pPr>
            <w:r w:rsidRPr="00113477">
              <w:rPr>
                <w:rFonts w:ascii="Book Antiqua" w:hAnsi="Book Antiqua"/>
                <w:i/>
                <w:sz w:val="20"/>
                <w:szCs w:val="20"/>
              </w:rPr>
              <w:t>8=Autre (Préciser)………….……</w:t>
            </w:r>
          </w:p>
        </w:tc>
      </w:tr>
    </w:tbl>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spacing w:after="120"/>
        <w:ind w:left="499" w:hanging="357"/>
        <w:rPr>
          <w:rFonts w:ascii="Book Antiqua" w:hAnsi="Book Antiqua"/>
          <w:sz w:val="20"/>
          <w:szCs w:val="20"/>
        </w:rPr>
      </w:pPr>
      <w:r w:rsidRPr="00113477">
        <w:rPr>
          <w:rFonts w:ascii="Book Antiqua" w:hAnsi="Book Antiqua"/>
          <w:sz w:val="20"/>
          <w:szCs w:val="20"/>
        </w:rPr>
        <w:t>Préciser la nature de l’activité de votre entreprise : |__|</w:t>
      </w:r>
    </w:p>
    <w:tbl>
      <w:tblPr>
        <w:tblW w:w="0" w:type="auto"/>
        <w:jc w:val="center"/>
        <w:tblLook w:val="01E0"/>
      </w:tblPr>
      <w:tblGrid>
        <w:gridCol w:w="1985"/>
        <w:gridCol w:w="2126"/>
      </w:tblGrid>
      <w:tr w:rsidR="00F53A13" w:rsidRPr="00113477" w:rsidTr="00F53A13">
        <w:trPr>
          <w:jc w:val="center"/>
        </w:trPr>
        <w:tc>
          <w:tcPr>
            <w:tcW w:w="1985" w:type="dxa"/>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Formel</w:t>
            </w:r>
          </w:p>
        </w:tc>
        <w:tc>
          <w:tcPr>
            <w:tcW w:w="2126" w:type="dxa"/>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Informel</w:t>
            </w:r>
          </w:p>
        </w:tc>
      </w:tr>
    </w:tbl>
    <w:p w:rsidR="00F53A13" w:rsidRPr="00113477" w:rsidRDefault="00F53A13" w:rsidP="00F53A13">
      <w:pPr>
        <w:autoSpaceDE w:val="0"/>
        <w:autoSpaceDN w:val="0"/>
        <w:adjustRightInd w:val="0"/>
        <w:rPr>
          <w:rFonts w:ascii="Book Antiqua" w:hAnsi="Book Antiqua"/>
          <w:sz w:val="20"/>
          <w:szCs w:val="20"/>
        </w:rPr>
      </w:pPr>
    </w:p>
    <w:p w:rsidR="00F53A13" w:rsidRPr="00113477" w:rsidRDefault="00F53A13" w:rsidP="004272B8">
      <w:pPr>
        <w:numPr>
          <w:ilvl w:val="0"/>
          <w:numId w:val="65"/>
        </w:numPr>
        <w:tabs>
          <w:tab w:val="clear" w:pos="360"/>
          <w:tab w:val="num" w:pos="502"/>
        </w:tabs>
        <w:ind w:left="502"/>
        <w:contextualSpacing/>
        <w:rPr>
          <w:rFonts w:ascii="Book Antiqua" w:hAnsi="Book Antiqua"/>
          <w:sz w:val="20"/>
          <w:szCs w:val="20"/>
        </w:rPr>
      </w:pPr>
      <w:r w:rsidRPr="00113477">
        <w:rPr>
          <w:rFonts w:ascii="Book Antiqua" w:hAnsi="Book Antiqua"/>
          <w:sz w:val="20"/>
          <w:szCs w:val="20"/>
        </w:rPr>
        <w:t>Dans quelle tranche situez-vous votre chiffre d’affaires de 2014 (en FCFA) ? |__|</w:t>
      </w:r>
    </w:p>
    <w:tbl>
      <w:tblPr>
        <w:tblW w:w="4003" w:type="pct"/>
        <w:jc w:val="center"/>
        <w:tblLook w:val="01E0"/>
      </w:tblPr>
      <w:tblGrid>
        <w:gridCol w:w="2615"/>
        <w:gridCol w:w="2753"/>
        <w:gridCol w:w="2476"/>
      </w:tblGrid>
      <w:tr w:rsidR="00F53A13" w:rsidRPr="00113477" w:rsidTr="00F53A13">
        <w:trPr>
          <w:jc w:val="center"/>
        </w:trPr>
        <w:tc>
          <w:tcPr>
            <w:tcW w:w="166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10 millions ou moins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2</w:t>
            </w:r>
            <w:proofErr w:type="gramStart"/>
            <w:r w:rsidRPr="00113477">
              <w:rPr>
                <w:rFonts w:ascii="Book Antiqua" w:hAnsi="Book Antiqua"/>
                <w:i/>
                <w:sz w:val="20"/>
                <w:szCs w:val="20"/>
              </w:rPr>
              <w:t>= ]10millions</w:t>
            </w:r>
            <w:proofErr w:type="gramEnd"/>
            <w:r w:rsidRPr="00113477">
              <w:rPr>
                <w:rFonts w:ascii="Book Antiqua" w:hAnsi="Book Antiqua"/>
                <w:i/>
                <w:sz w:val="20"/>
                <w:szCs w:val="20"/>
              </w:rPr>
              <w:t>, 50 million]s</w:t>
            </w:r>
          </w:p>
        </w:tc>
        <w:tc>
          <w:tcPr>
            <w:tcW w:w="175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w:t>
            </w:r>
            <w:proofErr w:type="gramStart"/>
            <w:r w:rsidRPr="00113477">
              <w:rPr>
                <w:rFonts w:ascii="Book Antiqua" w:hAnsi="Book Antiqua"/>
                <w:i/>
                <w:sz w:val="20"/>
                <w:szCs w:val="20"/>
              </w:rPr>
              <w:t>= ]50millions</w:t>
            </w:r>
            <w:proofErr w:type="gramEnd"/>
            <w:r w:rsidRPr="00113477">
              <w:rPr>
                <w:rFonts w:ascii="Book Antiqua" w:hAnsi="Book Antiqua"/>
                <w:i/>
                <w:sz w:val="20"/>
                <w:szCs w:val="20"/>
              </w:rPr>
              <w:t>, 100 millions]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4</w:t>
            </w:r>
            <w:proofErr w:type="gramStart"/>
            <w:r w:rsidRPr="00113477">
              <w:rPr>
                <w:rFonts w:ascii="Book Antiqua" w:hAnsi="Book Antiqua"/>
                <w:i/>
                <w:sz w:val="20"/>
                <w:szCs w:val="20"/>
              </w:rPr>
              <w:t>= ]100millions</w:t>
            </w:r>
            <w:proofErr w:type="gramEnd"/>
            <w:r w:rsidRPr="00113477">
              <w:rPr>
                <w:rFonts w:ascii="Book Antiqua" w:hAnsi="Book Antiqua"/>
                <w:i/>
                <w:sz w:val="20"/>
                <w:szCs w:val="20"/>
              </w:rPr>
              <w:t>,  500 millions]</w:t>
            </w:r>
          </w:p>
        </w:tc>
        <w:tc>
          <w:tcPr>
            <w:tcW w:w="1578"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w:t>
            </w:r>
            <w:proofErr w:type="gramStart"/>
            <w:r w:rsidRPr="00113477">
              <w:rPr>
                <w:rFonts w:ascii="Book Antiqua" w:hAnsi="Book Antiqua"/>
                <w:i/>
                <w:sz w:val="20"/>
                <w:szCs w:val="20"/>
              </w:rPr>
              <w:t>= ]500</w:t>
            </w:r>
            <w:proofErr w:type="gramEnd"/>
            <w:r w:rsidRPr="00113477">
              <w:rPr>
                <w:rFonts w:ascii="Book Antiqua" w:hAnsi="Book Antiqua"/>
                <w:i/>
                <w:sz w:val="20"/>
                <w:szCs w:val="20"/>
              </w:rPr>
              <w:t xml:space="preserve"> millions, 1 milliard]</w:t>
            </w:r>
          </w:p>
          <w:p w:rsidR="00F53A13" w:rsidRPr="00113477" w:rsidRDefault="00F53A13" w:rsidP="00F53A13">
            <w:pPr>
              <w:rPr>
                <w:rFonts w:ascii="Book Antiqua" w:hAnsi="Book Antiqua"/>
                <w:i/>
                <w:sz w:val="20"/>
                <w:szCs w:val="20"/>
              </w:rPr>
            </w:pPr>
            <w:r w:rsidRPr="00113477">
              <w:rPr>
                <w:rFonts w:ascii="Book Antiqua" w:hAnsi="Book Antiqua"/>
                <w:i/>
                <w:sz w:val="20"/>
                <w:szCs w:val="20"/>
              </w:rPr>
              <w:t>6=Plus de 1 milliard</w:t>
            </w:r>
          </w:p>
        </w:tc>
      </w:tr>
    </w:tbl>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ind w:left="502"/>
        <w:contextualSpacing/>
        <w:rPr>
          <w:rFonts w:ascii="Book Antiqua" w:hAnsi="Book Antiqua"/>
          <w:sz w:val="20"/>
          <w:szCs w:val="20"/>
        </w:rPr>
      </w:pPr>
      <w:r w:rsidRPr="00113477">
        <w:rPr>
          <w:rFonts w:ascii="Book Antiqua" w:hAnsi="Book Antiqua"/>
          <w:sz w:val="20"/>
          <w:szCs w:val="20"/>
        </w:rPr>
        <w:t>Dans quel intervalle situez-vous la taille de votre effectif permanent de 2014 ?</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3441" w:type="pct"/>
        <w:jc w:val="center"/>
        <w:tblLook w:val="01E0"/>
      </w:tblPr>
      <w:tblGrid>
        <w:gridCol w:w="1928"/>
        <w:gridCol w:w="2063"/>
        <w:gridCol w:w="2752"/>
      </w:tblGrid>
      <w:tr w:rsidR="00F53A13" w:rsidRPr="00113477" w:rsidTr="00F53A13">
        <w:trPr>
          <w:jc w:val="center"/>
        </w:trPr>
        <w:tc>
          <w:tcPr>
            <w:tcW w:w="1429"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10 ou moins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2</w:t>
            </w:r>
            <w:proofErr w:type="gramStart"/>
            <w:r w:rsidRPr="00113477">
              <w:rPr>
                <w:rFonts w:ascii="Book Antiqua" w:hAnsi="Book Antiqua"/>
                <w:i/>
                <w:sz w:val="20"/>
                <w:szCs w:val="20"/>
              </w:rPr>
              <w:t>= ]10</w:t>
            </w:r>
            <w:proofErr w:type="gramEnd"/>
            <w:r w:rsidRPr="00113477">
              <w:rPr>
                <w:rFonts w:ascii="Book Antiqua" w:hAnsi="Book Antiqua"/>
                <w:i/>
                <w:sz w:val="20"/>
                <w:szCs w:val="20"/>
              </w:rPr>
              <w:t>, 30]</w:t>
            </w:r>
          </w:p>
        </w:tc>
        <w:tc>
          <w:tcPr>
            <w:tcW w:w="153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w:t>
            </w:r>
            <w:proofErr w:type="gramStart"/>
            <w:r w:rsidRPr="00113477">
              <w:rPr>
                <w:rFonts w:ascii="Book Antiqua" w:hAnsi="Book Antiqua"/>
                <w:i/>
                <w:sz w:val="20"/>
                <w:szCs w:val="20"/>
              </w:rPr>
              <w:t>= ]30</w:t>
            </w:r>
            <w:proofErr w:type="gramEnd"/>
            <w:r w:rsidRPr="00113477">
              <w:rPr>
                <w:rFonts w:ascii="Book Antiqua" w:hAnsi="Book Antiqua"/>
                <w:i/>
                <w:sz w:val="20"/>
                <w:szCs w:val="20"/>
              </w:rPr>
              <w:t>, 50]</w:t>
            </w:r>
          </w:p>
          <w:p w:rsidR="00F53A13" w:rsidRPr="00113477" w:rsidRDefault="00F53A13" w:rsidP="00F53A13">
            <w:pPr>
              <w:rPr>
                <w:rFonts w:ascii="Book Antiqua" w:hAnsi="Book Antiqua"/>
                <w:i/>
                <w:sz w:val="20"/>
                <w:szCs w:val="20"/>
              </w:rPr>
            </w:pPr>
            <w:r w:rsidRPr="00113477">
              <w:rPr>
                <w:rFonts w:ascii="Book Antiqua" w:hAnsi="Book Antiqua"/>
                <w:i/>
                <w:sz w:val="20"/>
                <w:szCs w:val="20"/>
              </w:rPr>
              <w:t>4</w:t>
            </w:r>
            <w:proofErr w:type="gramStart"/>
            <w:r w:rsidRPr="00113477">
              <w:rPr>
                <w:rFonts w:ascii="Book Antiqua" w:hAnsi="Book Antiqua"/>
                <w:i/>
                <w:sz w:val="20"/>
                <w:szCs w:val="20"/>
              </w:rPr>
              <w:t>= ]50</w:t>
            </w:r>
            <w:proofErr w:type="gramEnd"/>
            <w:r w:rsidRPr="00113477">
              <w:rPr>
                <w:rFonts w:ascii="Book Antiqua" w:hAnsi="Book Antiqua"/>
                <w:i/>
                <w:sz w:val="20"/>
                <w:szCs w:val="20"/>
              </w:rPr>
              <w:t>, 100]</w:t>
            </w:r>
          </w:p>
        </w:tc>
        <w:tc>
          <w:tcPr>
            <w:tcW w:w="204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w:t>
            </w:r>
            <w:proofErr w:type="gramStart"/>
            <w:r w:rsidRPr="00113477">
              <w:rPr>
                <w:rFonts w:ascii="Book Antiqua" w:hAnsi="Book Antiqua"/>
                <w:i/>
                <w:sz w:val="20"/>
                <w:szCs w:val="20"/>
              </w:rPr>
              <w:t>= ]100</w:t>
            </w:r>
            <w:proofErr w:type="gramEnd"/>
            <w:r w:rsidRPr="00113477">
              <w:rPr>
                <w:rFonts w:ascii="Book Antiqua" w:hAnsi="Book Antiqua"/>
                <w:i/>
                <w:sz w:val="20"/>
                <w:szCs w:val="20"/>
              </w:rPr>
              <w:t>, 150]</w:t>
            </w:r>
          </w:p>
          <w:p w:rsidR="00F53A13" w:rsidRPr="00113477" w:rsidRDefault="00F53A13" w:rsidP="00F53A13">
            <w:pPr>
              <w:rPr>
                <w:rFonts w:ascii="Book Antiqua" w:hAnsi="Book Antiqua"/>
                <w:i/>
                <w:sz w:val="20"/>
                <w:szCs w:val="20"/>
              </w:rPr>
            </w:pPr>
            <w:r w:rsidRPr="00113477">
              <w:rPr>
                <w:rFonts w:ascii="Book Antiqua" w:hAnsi="Book Antiqua"/>
                <w:i/>
                <w:sz w:val="20"/>
                <w:szCs w:val="20"/>
              </w:rPr>
              <w:t>6=Plus de 150</w:t>
            </w:r>
          </w:p>
        </w:tc>
      </w:tr>
    </w:tbl>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spacing w:after="120"/>
        <w:ind w:left="499" w:hanging="357"/>
        <w:rPr>
          <w:rFonts w:ascii="Book Antiqua" w:hAnsi="Book Antiqua"/>
          <w:sz w:val="20"/>
          <w:szCs w:val="20"/>
        </w:rPr>
      </w:pPr>
      <w:r w:rsidRPr="00113477">
        <w:rPr>
          <w:rFonts w:ascii="Book Antiqua" w:hAnsi="Book Antiqua"/>
          <w:sz w:val="20"/>
          <w:szCs w:val="20"/>
        </w:rPr>
        <w:t xml:space="preserve">De combien de comptes votre entreprise dispose-t-elle? </w:t>
      </w:r>
    </w:p>
    <w:p w:rsidR="00F53A13" w:rsidRPr="00113477" w:rsidRDefault="00F53A13" w:rsidP="004272B8">
      <w:pPr>
        <w:numPr>
          <w:ilvl w:val="1"/>
          <w:numId w:val="65"/>
        </w:numPr>
        <w:autoSpaceDE w:val="0"/>
        <w:autoSpaceDN w:val="0"/>
        <w:adjustRightInd w:val="0"/>
        <w:ind w:left="788" w:hanging="431"/>
        <w:rPr>
          <w:rFonts w:ascii="Book Antiqua" w:hAnsi="Book Antiqua"/>
          <w:color w:val="000000"/>
          <w:sz w:val="20"/>
          <w:szCs w:val="20"/>
        </w:rPr>
      </w:pPr>
      <w:r w:rsidRPr="00113477">
        <w:rPr>
          <w:rFonts w:ascii="Book Antiqua" w:hAnsi="Book Antiqua"/>
          <w:color w:val="000000"/>
          <w:sz w:val="20"/>
          <w:szCs w:val="20"/>
        </w:rPr>
        <w:t>Compte DAT :</w:t>
      </w:r>
      <w:r w:rsidRPr="00113477">
        <w:rPr>
          <w:rFonts w:ascii="Book Antiqua" w:hAnsi="Book Antiqua"/>
          <w:sz w:val="20"/>
          <w:szCs w:val="20"/>
        </w:rPr>
        <w:t>.................</w:t>
      </w:r>
      <w:r w:rsidR="008B46CA" w:rsidRPr="00113477">
        <w:rPr>
          <w:rFonts w:ascii="Book Antiqua" w:hAnsi="Book Antiqua"/>
          <w:sz w:val="20"/>
          <w:szCs w:val="20"/>
        </w:rPr>
        <w:t>.....................</w:t>
      </w:r>
      <w:r w:rsidRPr="00113477">
        <w:rPr>
          <w:rFonts w:ascii="Book Antiqua" w:hAnsi="Book Antiqua"/>
          <w:sz w:val="20"/>
          <w:szCs w:val="20"/>
        </w:rPr>
        <w:t>...................................................................................................|__|</w:t>
      </w:r>
    </w:p>
    <w:p w:rsidR="00F53A13" w:rsidRPr="00113477" w:rsidRDefault="00F53A13" w:rsidP="004272B8">
      <w:pPr>
        <w:numPr>
          <w:ilvl w:val="1"/>
          <w:numId w:val="65"/>
        </w:numPr>
        <w:autoSpaceDE w:val="0"/>
        <w:autoSpaceDN w:val="0"/>
        <w:adjustRightInd w:val="0"/>
        <w:ind w:left="788" w:hanging="431"/>
        <w:rPr>
          <w:rFonts w:ascii="Book Antiqua" w:hAnsi="Book Antiqua"/>
          <w:color w:val="000000"/>
          <w:sz w:val="20"/>
          <w:szCs w:val="20"/>
        </w:rPr>
      </w:pPr>
      <w:r w:rsidRPr="00113477">
        <w:rPr>
          <w:rFonts w:ascii="Book Antiqua" w:hAnsi="Book Antiqua"/>
          <w:color w:val="000000"/>
          <w:sz w:val="20"/>
          <w:szCs w:val="20"/>
        </w:rPr>
        <w:t>Compte courant :</w:t>
      </w:r>
      <w:r w:rsidRPr="00113477">
        <w:rPr>
          <w:rFonts w:ascii="Book Antiqua" w:hAnsi="Book Antiqua"/>
          <w:sz w:val="20"/>
          <w:szCs w:val="20"/>
        </w:rPr>
        <w:t>...........................................................................................................</w:t>
      </w:r>
      <w:r w:rsidR="008B46CA" w:rsidRPr="00113477">
        <w:rPr>
          <w:rFonts w:ascii="Book Antiqua" w:hAnsi="Book Antiqua"/>
          <w:sz w:val="20"/>
          <w:szCs w:val="20"/>
        </w:rPr>
        <w:t>.</w:t>
      </w:r>
      <w:r w:rsidRPr="00113477">
        <w:rPr>
          <w:rFonts w:ascii="Book Antiqua" w:hAnsi="Book Antiqua"/>
          <w:sz w:val="20"/>
          <w:szCs w:val="20"/>
        </w:rPr>
        <w:t>........................|__|</w:t>
      </w:r>
    </w:p>
    <w:p w:rsidR="00F53A13" w:rsidRPr="00113477" w:rsidRDefault="00F53A13" w:rsidP="004272B8">
      <w:pPr>
        <w:numPr>
          <w:ilvl w:val="1"/>
          <w:numId w:val="65"/>
        </w:numPr>
        <w:autoSpaceDE w:val="0"/>
        <w:autoSpaceDN w:val="0"/>
        <w:adjustRightInd w:val="0"/>
        <w:ind w:left="788" w:hanging="431"/>
        <w:rPr>
          <w:rFonts w:ascii="Book Antiqua" w:hAnsi="Book Antiqua"/>
          <w:color w:val="000000"/>
          <w:sz w:val="20"/>
          <w:szCs w:val="20"/>
        </w:rPr>
      </w:pPr>
      <w:r w:rsidRPr="00113477">
        <w:rPr>
          <w:rFonts w:ascii="Book Antiqua" w:hAnsi="Book Antiqua"/>
          <w:color w:val="000000"/>
          <w:sz w:val="20"/>
          <w:szCs w:val="20"/>
        </w:rPr>
        <w:t>Compte Epargne Projet :</w:t>
      </w:r>
      <w:r w:rsidRPr="00113477">
        <w:rPr>
          <w:rFonts w:ascii="Book Antiqua" w:hAnsi="Book Antiqua"/>
          <w:sz w:val="20"/>
          <w:szCs w:val="20"/>
        </w:rPr>
        <w:t>…...................................................................................................................|__|</w:t>
      </w:r>
    </w:p>
    <w:p w:rsidR="00205234" w:rsidRDefault="00F53A13" w:rsidP="004272B8">
      <w:pPr>
        <w:numPr>
          <w:ilvl w:val="1"/>
          <w:numId w:val="65"/>
        </w:numPr>
        <w:autoSpaceDE w:val="0"/>
        <w:autoSpaceDN w:val="0"/>
        <w:adjustRightInd w:val="0"/>
        <w:ind w:left="788" w:hanging="431"/>
        <w:rPr>
          <w:rFonts w:ascii="Book Antiqua" w:hAnsi="Book Antiqua"/>
          <w:sz w:val="20"/>
          <w:szCs w:val="20"/>
        </w:rPr>
      </w:pPr>
      <w:r w:rsidRPr="00113477">
        <w:rPr>
          <w:rFonts w:ascii="Book Antiqua" w:hAnsi="Book Antiqua"/>
          <w:color w:val="000000"/>
          <w:sz w:val="20"/>
          <w:szCs w:val="20"/>
        </w:rPr>
        <w:t xml:space="preserve">Autre </w:t>
      </w:r>
      <w:r w:rsidRPr="00113477">
        <w:rPr>
          <w:rFonts w:ascii="Book Antiqua" w:hAnsi="Book Antiqua"/>
          <w:i/>
          <w:color w:val="000000"/>
          <w:sz w:val="20"/>
          <w:szCs w:val="20"/>
        </w:rPr>
        <w:t>(Préciser)</w:t>
      </w:r>
      <w:r w:rsidRPr="00113477">
        <w:rPr>
          <w:rFonts w:ascii="Book Antiqua" w:hAnsi="Book Antiqua"/>
          <w:color w:val="000000"/>
          <w:sz w:val="20"/>
          <w:szCs w:val="20"/>
        </w:rPr>
        <w:t> :</w:t>
      </w:r>
      <w:r w:rsidRPr="00113477">
        <w:rPr>
          <w:rFonts w:ascii="Book Antiqua" w:hAnsi="Book Antiqua"/>
          <w:sz w:val="20"/>
          <w:szCs w:val="20"/>
        </w:rPr>
        <w:t>…......................................................................................................</w:t>
      </w:r>
      <w:r w:rsidR="008B46CA" w:rsidRPr="00113477">
        <w:rPr>
          <w:rFonts w:ascii="Book Antiqua" w:hAnsi="Book Antiqua"/>
          <w:sz w:val="20"/>
          <w:szCs w:val="20"/>
        </w:rPr>
        <w:t>.............................</w:t>
      </w:r>
      <w:r w:rsidRPr="00113477">
        <w:rPr>
          <w:rFonts w:ascii="Book Antiqua" w:hAnsi="Book Antiqua"/>
          <w:sz w:val="20"/>
          <w:szCs w:val="20"/>
        </w:rPr>
        <w:t>|__|</w:t>
      </w:r>
    </w:p>
    <w:p w:rsidR="00F53A13" w:rsidRPr="00205234" w:rsidRDefault="00205234" w:rsidP="00205234">
      <w:pPr>
        <w:spacing w:after="200" w:line="276" w:lineRule="auto"/>
        <w:rPr>
          <w:rFonts w:ascii="Book Antiqua" w:hAnsi="Book Antiqua"/>
          <w:sz w:val="20"/>
          <w:szCs w:val="20"/>
        </w:rPr>
      </w:pPr>
      <w:r>
        <w:rPr>
          <w:rFonts w:ascii="Book Antiqua" w:hAnsi="Book Antiqua"/>
          <w:sz w:val="20"/>
          <w:szCs w:val="20"/>
        </w:rPr>
        <w:br w:type="page"/>
      </w:r>
    </w:p>
    <w:p w:rsidR="00F53A13" w:rsidRPr="00113477" w:rsidRDefault="00F53A13" w:rsidP="004272B8">
      <w:pPr>
        <w:numPr>
          <w:ilvl w:val="0"/>
          <w:numId w:val="65"/>
        </w:numPr>
        <w:tabs>
          <w:tab w:val="clear" w:pos="360"/>
          <w:tab w:val="num" w:pos="502"/>
        </w:tabs>
        <w:spacing w:after="120"/>
        <w:ind w:left="499" w:hanging="357"/>
        <w:rPr>
          <w:rFonts w:ascii="Book Antiqua" w:hAnsi="Book Antiqua"/>
          <w:sz w:val="20"/>
          <w:szCs w:val="20"/>
        </w:rPr>
      </w:pPr>
      <w:r w:rsidRPr="00113477">
        <w:rPr>
          <w:rFonts w:ascii="Book Antiqua" w:hAnsi="Book Antiqua"/>
          <w:sz w:val="20"/>
          <w:szCs w:val="20"/>
        </w:rPr>
        <w:lastRenderedPageBreak/>
        <w:t xml:space="preserve">Préciser les noms des banques concernées. </w:t>
      </w:r>
      <w:r w:rsidRPr="00113477">
        <w:rPr>
          <w:rFonts w:ascii="Book Antiqua" w:hAnsi="Book Antiqua"/>
          <w:i/>
          <w:sz w:val="20"/>
          <w:szCs w:val="20"/>
        </w:rPr>
        <w:t>(entourer les codes correspondants)</w:t>
      </w:r>
    </w:p>
    <w:tbl>
      <w:tblPr>
        <w:tblW w:w="0" w:type="auto"/>
        <w:jc w:val="center"/>
        <w:tblLook w:val="01E0"/>
      </w:tblPr>
      <w:tblGrid>
        <w:gridCol w:w="1426"/>
        <w:gridCol w:w="1378"/>
        <w:gridCol w:w="1309"/>
        <w:gridCol w:w="1222"/>
        <w:gridCol w:w="1682"/>
        <w:gridCol w:w="1392"/>
        <w:gridCol w:w="1389"/>
      </w:tblGrid>
      <w:tr w:rsidR="00F53A13" w:rsidRPr="00113477" w:rsidTr="00F53A13">
        <w:trPr>
          <w:jc w:val="center"/>
        </w:trPr>
        <w:tc>
          <w:tcPr>
            <w:tcW w:w="1491"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01= BA</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02= BHS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03= BICIS</w:t>
            </w:r>
          </w:p>
        </w:tc>
        <w:tc>
          <w:tcPr>
            <w:tcW w:w="1405"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04= BIMAO</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05= BIS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06=BNDE</w:t>
            </w:r>
          </w:p>
        </w:tc>
        <w:tc>
          <w:tcPr>
            <w:tcW w:w="1369"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07= BOA</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08= BRM</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09= BSIC</w:t>
            </w:r>
          </w:p>
        </w:tc>
        <w:tc>
          <w:tcPr>
            <w:tcW w:w="1264"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10= CBAO</w:t>
            </w:r>
          </w:p>
          <w:p w:rsidR="00F53A13" w:rsidRPr="00113477" w:rsidRDefault="00F53A13" w:rsidP="00F53A13">
            <w:pPr>
              <w:rPr>
                <w:rFonts w:ascii="Book Antiqua" w:hAnsi="Book Antiqua"/>
                <w:i/>
                <w:sz w:val="20"/>
                <w:szCs w:val="20"/>
              </w:rPr>
            </w:pPr>
            <w:r w:rsidRPr="00113477">
              <w:rPr>
                <w:rFonts w:ascii="Book Antiqua" w:hAnsi="Book Antiqua"/>
                <w:i/>
                <w:sz w:val="20"/>
                <w:szCs w:val="20"/>
              </w:rPr>
              <w:t>11= CDS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12= CI</w:t>
            </w:r>
          </w:p>
        </w:tc>
        <w:tc>
          <w:tcPr>
            <w:tcW w:w="1701"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13=CITIBANK</w:t>
            </w:r>
          </w:p>
          <w:p w:rsidR="00F53A13" w:rsidRPr="00113477" w:rsidRDefault="00F53A13" w:rsidP="00F53A13">
            <w:pPr>
              <w:rPr>
                <w:rFonts w:ascii="Book Antiqua" w:hAnsi="Book Antiqua"/>
                <w:i/>
                <w:sz w:val="20"/>
                <w:szCs w:val="20"/>
              </w:rPr>
            </w:pPr>
            <w:r w:rsidRPr="00113477">
              <w:rPr>
                <w:rFonts w:ascii="Book Antiqua" w:hAnsi="Book Antiqua"/>
                <w:i/>
                <w:sz w:val="20"/>
                <w:szCs w:val="20"/>
              </w:rPr>
              <w:t>14= CNCAS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15= DIAMOND</w:t>
            </w:r>
          </w:p>
        </w:tc>
        <w:tc>
          <w:tcPr>
            <w:tcW w:w="1409" w:type="dxa"/>
          </w:tcPr>
          <w:p w:rsidR="00F53A13" w:rsidRPr="00113477" w:rsidRDefault="00F53A13" w:rsidP="00F53A13">
            <w:pPr>
              <w:rPr>
                <w:rFonts w:ascii="Book Antiqua" w:hAnsi="Book Antiqua"/>
                <w:i/>
                <w:sz w:val="20"/>
                <w:szCs w:val="20"/>
                <w:lang w:val="en-US"/>
              </w:rPr>
            </w:pPr>
            <w:r w:rsidRPr="00113477">
              <w:rPr>
                <w:rFonts w:ascii="Book Antiqua" w:hAnsi="Book Antiqua"/>
                <w:i/>
                <w:sz w:val="20"/>
                <w:szCs w:val="20"/>
              </w:rPr>
              <w:t xml:space="preserve">16= </w:t>
            </w:r>
            <w:r w:rsidRPr="00113477">
              <w:rPr>
                <w:rFonts w:ascii="Book Antiqua" w:hAnsi="Book Antiqua"/>
                <w:i/>
                <w:sz w:val="20"/>
                <w:szCs w:val="20"/>
                <w:lang w:val="en-US"/>
              </w:rPr>
              <w:t>ECOBANK</w:t>
            </w:r>
          </w:p>
          <w:p w:rsidR="00F53A13" w:rsidRPr="00113477" w:rsidRDefault="00F53A13" w:rsidP="00F53A13">
            <w:pPr>
              <w:rPr>
                <w:rFonts w:ascii="Book Antiqua" w:hAnsi="Book Antiqua"/>
                <w:i/>
                <w:sz w:val="20"/>
                <w:szCs w:val="20"/>
                <w:lang w:val="en-US"/>
              </w:rPr>
            </w:pPr>
            <w:r w:rsidRPr="00113477">
              <w:rPr>
                <w:rFonts w:ascii="Book Antiqua" w:hAnsi="Book Antiqua"/>
                <w:i/>
                <w:sz w:val="20"/>
                <w:szCs w:val="20"/>
                <w:lang w:val="en-US"/>
              </w:rPr>
              <w:t xml:space="preserve">17= ORABANK </w:t>
            </w:r>
          </w:p>
          <w:p w:rsidR="00F53A13" w:rsidRPr="00113477" w:rsidRDefault="00F53A13" w:rsidP="00F53A13">
            <w:pPr>
              <w:rPr>
                <w:rFonts w:ascii="Book Antiqua" w:hAnsi="Book Antiqua"/>
                <w:i/>
                <w:sz w:val="20"/>
                <w:szCs w:val="20"/>
                <w:lang w:val="en-US"/>
              </w:rPr>
            </w:pPr>
            <w:r w:rsidRPr="00113477">
              <w:rPr>
                <w:rFonts w:ascii="Book Antiqua" w:hAnsi="Book Antiqua"/>
                <w:i/>
                <w:sz w:val="20"/>
                <w:szCs w:val="20"/>
                <w:lang w:val="en-US"/>
              </w:rPr>
              <w:t>18= ICB</w:t>
            </w:r>
          </w:p>
        </w:tc>
        <w:tc>
          <w:tcPr>
            <w:tcW w:w="1453" w:type="dxa"/>
          </w:tcPr>
          <w:p w:rsidR="00F53A13" w:rsidRPr="00113477" w:rsidRDefault="00F53A13" w:rsidP="00F53A13">
            <w:pPr>
              <w:rPr>
                <w:rFonts w:ascii="Book Antiqua" w:hAnsi="Book Antiqua"/>
                <w:i/>
                <w:sz w:val="20"/>
                <w:szCs w:val="20"/>
                <w:lang w:val="en-US"/>
              </w:rPr>
            </w:pPr>
            <w:r w:rsidRPr="00113477">
              <w:rPr>
                <w:rFonts w:ascii="Book Antiqua" w:hAnsi="Book Antiqua"/>
                <w:i/>
                <w:sz w:val="20"/>
                <w:szCs w:val="20"/>
                <w:lang w:val="en-US"/>
              </w:rPr>
              <w:t>19= SGBS</w:t>
            </w:r>
          </w:p>
          <w:p w:rsidR="00F53A13" w:rsidRPr="00113477" w:rsidRDefault="00F53A13" w:rsidP="00F53A13">
            <w:pPr>
              <w:rPr>
                <w:rFonts w:ascii="Book Antiqua" w:hAnsi="Book Antiqua"/>
                <w:i/>
                <w:sz w:val="20"/>
                <w:szCs w:val="20"/>
                <w:lang w:val="en-US"/>
              </w:rPr>
            </w:pPr>
            <w:r w:rsidRPr="00113477">
              <w:rPr>
                <w:rFonts w:ascii="Book Antiqua" w:hAnsi="Book Antiqua"/>
                <w:i/>
                <w:sz w:val="20"/>
                <w:szCs w:val="20"/>
                <w:lang w:val="en-US"/>
              </w:rPr>
              <w:t>20= UBA</w:t>
            </w:r>
          </w:p>
        </w:tc>
      </w:tr>
    </w:tbl>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spacing w:after="120"/>
        <w:ind w:left="499" w:hanging="357"/>
        <w:rPr>
          <w:rFonts w:ascii="Book Antiqua" w:hAnsi="Book Antiqua"/>
          <w:sz w:val="20"/>
          <w:szCs w:val="20"/>
        </w:rPr>
      </w:pPr>
      <w:r w:rsidRPr="00113477">
        <w:rPr>
          <w:rFonts w:ascii="Book Antiqua" w:hAnsi="Book Antiqua"/>
          <w:sz w:val="20"/>
          <w:szCs w:val="20"/>
        </w:rPr>
        <w:t>Dans quelle banque votre  entreprise a-t-elle domicilié son compte courant principal</w:t>
      </w:r>
      <w:r w:rsidRPr="00113477">
        <w:rPr>
          <w:rStyle w:val="Appelnotedebasdep"/>
          <w:rFonts w:ascii="Book Antiqua" w:hAnsi="Book Antiqua"/>
          <w:sz w:val="20"/>
          <w:szCs w:val="20"/>
        </w:rPr>
        <w:footnoteReference w:id="18"/>
      </w:r>
      <w:r w:rsidRPr="00113477">
        <w:rPr>
          <w:rFonts w:ascii="Book Antiqua" w:hAnsi="Book Antiqua"/>
          <w:sz w:val="20"/>
          <w:szCs w:val="20"/>
        </w:rPr>
        <w:t xml:space="preserve"> ? |__|__|</w:t>
      </w:r>
    </w:p>
    <w:tbl>
      <w:tblPr>
        <w:tblW w:w="0" w:type="auto"/>
        <w:jc w:val="center"/>
        <w:tblLook w:val="01E0"/>
      </w:tblPr>
      <w:tblGrid>
        <w:gridCol w:w="1426"/>
        <w:gridCol w:w="1378"/>
        <w:gridCol w:w="1309"/>
        <w:gridCol w:w="1222"/>
        <w:gridCol w:w="1682"/>
        <w:gridCol w:w="1392"/>
        <w:gridCol w:w="1389"/>
      </w:tblGrid>
      <w:tr w:rsidR="00F53A13" w:rsidRPr="00113477" w:rsidTr="00F53A13">
        <w:trPr>
          <w:jc w:val="center"/>
        </w:trPr>
        <w:tc>
          <w:tcPr>
            <w:tcW w:w="1491"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01= BA</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02= BHS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03= BICIS</w:t>
            </w:r>
          </w:p>
        </w:tc>
        <w:tc>
          <w:tcPr>
            <w:tcW w:w="1405"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04= BIMAO</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05= BIS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06=BNDE</w:t>
            </w:r>
          </w:p>
        </w:tc>
        <w:tc>
          <w:tcPr>
            <w:tcW w:w="1369"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07= BOA</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08= BRM</w:t>
            </w:r>
          </w:p>
          <w:p w:rsidR="00F53A13" w:rsidRPr="00113477" w:rsidRDefault="00F53A13" w:rsidP="00F53A13">
            <w:pPr>
              <w:rPr>
                <w:rFonts w:ascii="Book Antiqua" w:hAnsi="Book Antiqua"/>
                <w:i/>
                <w:sz w:val="20"/>
                <w:szCs w:val="20"/>
              </w:rPr>
            </w:pPr>
            <w:r w:rsidRPr="00113477">
              <w:rPr>
                <w:rFonts w:ascii="Book Antiqua" w:hAnsi="Book Antiqua"/>
                <w:i/>
                <w:sz w:val="20"/>
                <w:szCs w:val="20"/>
              </w:rPr>
              <w:t>09= BSIC</w:t>
            </w:r>
          </w:p>
        </w:tc>
        <w:tc>
          <w:tcPr>
            <w:tcW w:w="1264"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10= CBAO</w:t>
            </w:r>
          </w:p>
          <w:p w:rsidR="00F53A13" w:rsidRPr="00113477" w:rsidRDefault="00F53A13" w:rsidP="00F53A13">
            <w:pPr>
              <w:rPr>
                <w:rFonts w:ascii="Book Antiqua" w:hAnsi="Book Antiqua"/>
                <w:i/>
                <w:sz w:val="20"/>
                <w:szCs w:val="20"/>
              </w:rPr>
            </w:pPr>
            <w:r w:rsidRPr="00113477">
              <w:rPr>
                <w:rFonts w:ascii="Book Antiqua" w:hAnsi="Book Antiqua"/>
                <w:i/>
                <w:sz w:val="20"/>
                <w:szCs w:val="20"/>
              </w:rPr>
              <w:t>11= CDS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12= CI</w:t>
            </w:r>
          </w:p>
        </w:tc>
        <w:tc>
          <w:tcPr>
            <w:tcW w:w="1701"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13=CITIBANK</w:t>
            </w:r>
          </w:p>
          <w:p w:rsidR="00F53A13" w:rsidRPr="00113477" w:rsidRDefault="00F53A13" w:rsidP="00F53A13">
            <w:pPr>
              <w:rPr>
                <w:rFonts w:ascii="Book Antiqua" w:hAnsi="Book Antiqua"/>
                <w:i/>
                <w:sz w:val="20"/>
                <w:szCs w:val="20"/>
              </w:rPr>
            </w:pPr>
            <w:r w:rsidRPr="00113477">
              <w:rPr>
                <w:rFonts w:ascii="Book Antiqua" w:hAnsi="Book Antiqua"/>
                <w:i/>
                <w:sz w:val="20"/>
                <w:szCs w:val="20"/>
              </w:rPr>
              <w:t>14= CNCAS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15= DIAMOND</w:t>
            </w:r>
          </w:p>
        </w:tc>
        <w:tc>
          <w:tcPr>
            <w:tcW w:w="1409" w:type="dxa"/>
          </w:tcPr>
          <w:p w:rsidR="00F53A13" w:rsidRPr="00113477" w:rsidRDefault="00F53A13" w:rsidP="00F53A13">
            <w:pPr>
              <w:rPr>
                <w:rFonts w:ascii="Book Antiqua" w:hAnsi="Book Antiqua"/>
                <w:i/>
                <w:sz w:val="20"/>
                <w:szCs w:val="20"/>
                <w:lang w:val="en-US"/>
              </w:rPr>
            </w:pPr>
            <w:r w:rsidRPr="00113477">
              <w:rPr>
                <w:rFonts w:ascii="Book Antiqua" w:hAnsi="Book Antiqua"/>
                <w:i/>
                <w:sz w:val="20"/>
                <w:szCs w:val="20"/>
              </w:rPr>
              <w:t xml:space="preserve">16= </w:t>
            </w:r>
            <w:r w:rsidRPr="00113477">
              <w:rPr>
                <w:rFonts w:ascii="Book Antiqua" w:hAnsi="Book Antiqua"/>
                <w:i/>
                <w:sz w:val="20"/>
                <w:szCs w:val="20"/>
                <w:lang w:val="en-US"/>
              </w:rPr>
              <w:t>ECOBANK</w:t>
            </w:r>
          </w:p>
          <w:p w:rsidR="00F53A13" w:rsidRPr="00113477" w:rsidRDefault="00F53A13" w:rsidP="00F53A13">
            <w:pPr>
              <w:rPr>
                <w:rFonts w:ascii="Book Antiqua" w:hAnsi="Book Antiqua"/>
                <w:i/>
                <w:sz w:val="20"/>
                <w:szCs w:val="20"/>
                <w:lang w:val="en-US"/>
              </w:rPr>
            </w:pPr>
            <w:r w:rsidRPr="00113477">
              <w:rPr>
                <w:rFonts w:ascii="Book Antiqua" w:hAnsi="Book Antiqua"/>
                <w:i/>
                <w:sz w:val="20"/>
                <w:szCs w:val="20"/>
                <w:lang w:val="en-US"/>
              </w:rPr>
              <w:t xml:space="preserve">17= ORABANK </w:t>
            </w:r>
          </w:p>
          <w:p w:rsidR="00F53A13" w:rsidRPr="00113477" w:rsidRDefault="00F53A13" w:rsidP="00F53A13">
            <w:pPr>
              <w:rPr>
                <w:rFonts w:ascii="Book Antiqua" w:hAnsi="Book Antiqua"/>
                <w:i/>
                <w:sz w:val="20"/>
                <w:szCs w:val="20"/>
                <w:lang w:val="en-US"/>
              </w:rPr>
            </w:pPr>
            <w:r w:rsidRPr="00113477">
              <w:rPr>
                <w:rFonts w:ascii="Book Antiqua" w:hAnsi="Book Antiqua"/>
                <w:i/>
                <w:sz w:val="20"/>
                <w:szCs w:val="20"/>
                <w:lang w:val="en-US"/>
              </w:rPr>
              <w:t>18= ICB</w:t>
            </w:r>
          </w:p>
        </w:tc>
        <w:tc>
          <w:tcPr>
            <w:tcW w:w="1453" w:type="dxa"/>
          </w:tcPr>
          <w:p w:rsidR="00F53A13" w:rsidRPr="00113477" w:rsidRDefault="00F53A13" w:rsidP="00F53A13">
            <w:pPr>
              <w:rPr>
                <w:rFonts w:ascii="Book Antiqua" w:hAnsi="Book Antiqua"/>
                <w:i/>
                <w:sz w:val="20"/>
                <w:szCs w:val="20"/>
                <w:lang w:val="en-US"/>
              </w:rPr>
            </w:pPr>
            <w:r w:rsidRPr="00113477">
              <w:rPr>
                <w:rFonts w:ascii="Book Antiqua" w:hAnsi="Book Antiqua"/>
                <w:i/>
                <w:sz w:val="20"/>
                <w:szCs w:val="20"/>
                <w:lang w:val="en-US"/>
              </w:rPr>
              <w:t>19= SGBS</w:t>
            </w:r>
          </w:p>
          <w:p w:rsidR="00F53A13" w:rsidRPr="00113477" w:rsidRDefault="00F53A13" w:rsidP="00F53A13">
            <w:pPr>
              <w:rPr>
                <w:rFonts w:ascii="Book Antiqua" w:hAnsi="Book Antiqua"/>
                <w:i/>
                <w:sz w:val="20"/>
                <w:szCs w:val="20"/>
                <w:lang w:val="en-US"/>
              </w:rPr>
            </w:pPr>
            <w:r w:rsidRPr="00113477">
              <w:rPr>
                <w:rFonts w:ascii="Book Antiqua" w:hAnsi="Book Antiqua"/>
                <w:i/>
                <w:sz w:val="20"/>
                <w:szCs w:val="20"/>
                <w:lang w:val="en-US"/>
              </w:rPr>
              <w:t>20= UBA</w:t>
            </w:r>
          </w:p>
        </w:tc>
      </w:tr>
    </w:tbl>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tabs>
          <w:tab w:val="clear" w:pos="360"/>
          <w:tab w:val="num" w:pos="502"/>
        </w:tabs>
        <w:spacing w:after="120"/>
        <w:ind w:left="499" w:hanging="357"/>
        <w:rPr>
          <w:rFonts w:ascii="Book Antiqua" w:hAnsi="Book Antiqua"/>
          <w:sz w:val="20"/>
          <w:szCs w:val="20"/>
        </w:rPr>
      </w:pPr>
      <w:r w:rsidRPr="00113477">
        <w:rPr>
          <w:rFonts w:ascii="Book Antiqua" w:hAnsi="Book Antiqua"/>
          <w:sz w:val="20"/>
          <w:szCs w:val="20"/>
        </w:rPr>
        <w:t>Depuis combien de temps votre entreprise est-elle cliente de cette banque ? |__|</w:t>
      </w:r>
    </w:p>
    <w:tbl>
      <w:tblPr>
        <w:tblW w:w="4567" w:type="pct"/>
        <w:tblInd w:w="804" w:type="dxa"/>
        <w:tblLook w:val="01E0"/>
      </w:tblPr>
      <w:tblGrid>
        <w:gridCol w:w="2406"/>
        <w:gridCol w:w="2543"/>
        <w:gridCol w:w="4000"/>
      </w:tblGrid>
      <w:tr w:rsidR="00F53A13" w:rsidRPr="00113477" w:rsidTr="00F53A13">
        <w:trPr>
          <w:trHeight w:val="410"/>
        </w:trPr>
        <w:tc>
          <w:tcPr>
            <w:tcW w:w="1344"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moins d’un an</w:t>
            </w:r>
          </w:p>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entre 1 et 5 ans</w:t>
            </w:r>
          </w:p>
        </w:tc>
        <w:tc>
          <w:tcPr>
            <w:tcW w:w="1421"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3=Entre 6 et 10 ans</w:t>
            </w:r>
          </w:p>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4= Entre11 et 15 ans</w:t>
            </w:r>
          </w:p>
        </w:tc>
        <w:tc>
          <w:tcPr>
            <w:tcW w:w="2235"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5=Entre16 et 20 ans</w:t>
            </w:r>
          </w:p>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6=plus de 20 ans</w:t>
            </w:r>
          </w:p>
        </w:tc>
      </w:tr>
    </w:tbl>
    <w:p w:rsidR="008B46CA" w:rsidRPr="00113477" w:rsidRDefault="008B46CA" w:rsidP="008B46CA">
      <w:pPr>
        <w:ind w:left="180"/>
        <w:contextualSpacing/>
        <w:rPr>
          <w:rFonts w:ascii="Book Antiqua" w:hAnsi="Book Antiqua"/>
          <w:b/>
          <w:bCs/>
          <w:sz w:val="20"/>
          <w:szCs w:val="20"/>
          <w:u w:val="single"/>
        </w:rPr>
      </w:pPr>
    </w:p>
    <w:p w:rsidR="00F53A13" w:rsidRPr="00113477" w:rsidRDefault="00F53A13" w:rsidP="004272B8">
      <w:pPr>
        <w:numPr>
          <w:ilvl w:val="0"/>
          <w:numId w:val="66"/>
        </w:numPr>
        <w:contextualSpacing/>
        <w:rPr>
          <w:rFonts w:ascii="Book Antiqua" w:hAnsi="Book Antiqua"/>
          <w:b/>
          <w:bCs/>
          <w:sz w:val="20"/>
          <w:szCs w:val="20"/>
          <w:u w:val="single"/>
        </w:rPr>
      </w:pPr>
      <w:r w:rsidRPr="00113477">
        <w:rPr>
          <w:rFonts w:ascii="Book Antiqua" w:hAnsi="Book Antiqua"/>
          <w:b/>
          <w:bCs/>
          <w:sz w:val="20"/>
          <w:szCs w:val="20"/>
          <w:u w:val="single"/>
        </w:rPr>
        <w:t>SATISFACTION SUR L’OFFRE DE SERVICES</w:t>
      </w:r>
    </w:p>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spacing w:line="360" w:lineRule="auto"/>
        <w:rPr>
          <w:rFonts w:ascii="Book Antiqua" w:hAnsi="Book Antiqua"/>
          <w:sz w:val="20"/>
          <w:szCs w:val="20"/>
        </w:rPr>
      </w:pPr>
      <w:r w:rsidRPr="00113477">
        <w:rPr>
          <w:rFonts w:ascii="Book Antiqua" w:hAnsi="Book Antiqua"/>
          <w:sz w:val="20"/>
          <w:szCs w:val="20"/>
        </w:rPr>
        <w:t>Votre entreprise  a-t-ell</w:t>
      </w:r>
      <w:r w:rsidR="007D1808">
        <w:rPr>
          <w:rFonts w:ascii="Book Antiqua" w:hAnsi="Book Antiqua"/>
          <w:sz w:val="20"/>
          <w:szCs w:val="20"/>
        </w:rPr>
        <w:t>e déjà eu à changer de banque ?</w:t>
      </w:r>
      <w:r w:rsidR="007D1808" w:rsidRPr="00113477">
        <w:rPr>
          <w:rFonts w:ascii="Book Antiqua" w:hAnsi="Book Antiqua"/>
          <w:sz w:val="20"/>
          <w:szCs w:val="20"/>
        </w:rPr>
        <w:t xml:space="preserve"> </w:t>
      </w:r>
      <w:proofErr w:type="gramStart"/>
      <w:r w:rsidRPr="00113477">
        <w:rPr>
          <w:rFonts w:ascii="Book Antiqua" w:hAnsi="Book Antiqua"/>
          <w:sz w:val="20"/>
          <w:szCs w:val="20"/>
        </w:rPr>
        <w:t>|</w:t>
      </w:r>
      <w:proofErr w:type="gramEnd"/>
      <w:r w:rsidRPr="00113477">
        <w:rPr>
          <w:rFonts w:ascii="Book Antiqua" w:hAnsi="Book Antiqua"/>
          <w:sz w:val="20"/>
          <w:szCs w:val="20"/>
        </w:rPr>
        <w:t>__|</w:t>
      </w:r>
    </w:p>
    <w:tbl>
      <w:tblPr>
        <w:tblW w:w="3090" w:type="pct"/>
        <w:jc w:val="center"/>
        <w:tblLook w:val="01E0"/>
      </w:tblPr>
      <w:tblGrid>
        <w:gridCol w:w="1548"/>
        <w:gridCol w:w="1480"/>
        <w:gridCol w:w="1927"/>
        <w:gridCol w:w="1100"/>
      </w:tblGrid>
      <w:tr w:rsidR="00F53A13" w:rsidRPr="00113477" w:rsidTr="00F53A13">
        <w:trPr>
          <w:jc w:val="center"/>
        </w:trPr>
        <w:tc>
          <w:tcPr>
            <w:tcW w:w="1279"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Oui, 1 fois</w:t>
            </w:r>
          </w:p>
        </w:tc>
        <w:tc>
          <w:tcPr>
            <w:tcW w:w="122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2=Oui, 2 fois</w:t>
            </w:r>
          </w:p>
        </w:tc>
        <w:tc>
          <w:tcPr>
            <w:tcW w:w="159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Oui, Plus de 2 fois</w:t>
            </w:r>
          </w:p>
        </w:tc>
        <w:tc>
          <w:tcPr>
            <w:tcW w:w="908"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Non</w:t>
            </w:r>
          </w:p>
        </w:tc>
      </w:tr>
    </w:tbl>
    <w:p w:rsidR="00F53A13" w:rsidRPr="00113477" w:rsidRDefault="00F53A13" w:rsidP="00F53A13">
      <w:pPr>
        <w:spacing w:before="120"/>
        <w:ind w:left="720"/>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w:t>
      </w:r>
      <w:r w:rsidR="008B46CA" w:rsidRPr="00113477">
        <w:rPr>
          <w:rFonts w:ascii="Book Antiqua" w:hAnsi="Book Antiqua"/>
          <w:sz w:val="20"/>
          <w:szCs w:val="20"/>
        </w:rPr>
        <w:t xml:space="preserve"> </w:t>
      </w:r>
      <w:r w:rsidRPr="00113477">
        <w:rPr>
          <w:rFonts w:ascii="Book Antiqua" w:hAnsi="Book Antiqua"/>
          <w:sz w:val="20"/>
          <w:szCs w:val="20"/>
        </w:rPr>
        <w:t>veuillez préciser :</w:t>
      </w:r>
    </w:p>
    <w:p w:rsidR="00F53A13" w:rsidRPr="00113477" w:rsidRDefault="00F53A13" w:rsidP="004272B8">
      <w:pPr>
        <w:numPr>
          <w:ilvl w:val="1"/>
          <w:numId w:val="65"/>
        </w:numPr>
        <w:spacing w:line="360" w:lineRule="auto"/>
        <w:contextualSpacing/>
        <w:rPr>
          <w:rFonts w:ascii="Book Antiqua" w:hAnsi="Book Antiqua"/>
          <w:sz w:val="20"/>
          <w:szCs w:val="20"/>
        </w:rPr>
      </w:pPr>
      <w:r w:rsidRPr="00113477">
        <w:rPr>
          <w:rFonts w:ascii="Book Antiqua" w:hAnsi="Book Antiqua"/>
          <w:sz w:val="20"/>
          <w:szCs w:val="20"/>
        </w:rPr>
        <w:t>En quelle(s) année(s).</w:t>
      </w:r>
    </w:p>
    <w:tbl>
      <w:tblPr>
        <w:tblW w:w="3793" w:type="pct"/>
        <w:jc w:val="center"/>
        <w:tblLook w:val="01E0"/>
      </w:tblPr>
      <w:tblGrid>
        <w:gridCol w:w="1108"/>
        <w:gridCol w:w="1040"/>
        <w:gridCol w:w="1041"/>
        <w:gridCol w:w="1041"/>
        <w:gridCol w:w="1041"/>
        <w:gridCol w:w="2162"/>
      </w:tblGrid>
      <w:tr w:rsidR="00F53A13" w:rsidRPr="00113477" w:rsidTr="00F53A13">
        <w:trPr>
          <w:jc w:val="center"/>
        </w:trPr>
        <w:tc>
          <w:tcPr>
            <w:tcW w:w="746"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2015</w:t>
            </w:r>
          </w:p>
        </w:tc>
        <w:tc>
          <w:tcPr>
            <w:tcW w:w="70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2014</w:t>
            </w:r>
          </w:p>
        </w:tc>
        <w:tc>
          <w:tcPr>
            <w:tcW w:w="70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2013</w:t>
            </w:r>
          </w:p>
        </w:tc>
        <w:tc>
          <w:tcPr>
            <w:tcW w:w="70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2012</w:t>
            </w:r>
          </w:p>
        </w:tc>
        <w:tc>
          <w:tcPr>
            <w:tcW w:w="70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5=2011</w:t>
            </w:r>
          </w:p>
        </w:tc>
        <w:tc>
          <w:tcPr>
            <w:tcW w:w="145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6=2010 ou Avant</w:t>
            </w:r>
          </w:p>
        </w:tc>
      </w:tr>
    </w:tbl>
    <w:p w:rsidR="00F53A13" w:rsidRPr="00113477" w:rsidRDefault="00F53A13" w:rsidP="00F53A13">
      <w:pPr>
        <w:rPr>
          <w:rFonts w:ascii="Book Antiqua" w:hAnsi="Book Antiqua"/>
          <w:sz w:val="20"/>
          <w:szCs w:val="20"/>
        </w:rPr>
      </w:pPr>
    </w:p>
    <w:p w:rsidR="00F53A13" w:rsidRPr="00113477" w:rsidRDefault="00F53A13" w:rsidP="004272B8">
      <w:pPr>
        <w:pStyle w:val="Paragraphedeliste"/>
        <w:numPr>
          <w:ilvl w:val="1"/>
          <w:numId w:val="65"/>
        </w:numPr>
        <w:spacing w:after="120"/>
        <w:ind w:left="788" w:hanging="431"/>
        <w:contextualSpacing w:val="0"/>
        <w:rPr>
          <w:rFonts w:ascii="Book Antiqua" w:hAnsi="Book Antiqua"/>
          <w:sz w:val="20"/>
          <w:szCs w:val="20"/>
        </w:rPr>
      </w:pPr>
      <w:r w:rsidRPr="00113477">
        <w:rPr>
          <w:rFonts w:ascii="Book Antiqua" w:hAnsi="Book Antiqua"/>
          <w:sz w:val="20"/>
          <w:szCs w:val="20"/>
        </w:rPr>
        <w:t>Pour quelle(s) raison(s) ? (</w:t>
      </w:r>
      <w:r w:rsidRPr="00113477">
        <w:rPr>
          <w:rFonts w:ascii="Book Antiqua" w:hAnsi="Book Antiqua"/>
          <w:i/>
          <w:sz w:val="20"/>
          <w:szCs w:val="20"/>
        </w:rPr>
        <w:t>encerclez la ou les réponses</w:t>
      </w:r>
      <w:r w:rsidRPr="00113477">
        <w:rPr>
          <w:rFonts w:ascii="Book Antiqua" w:hAnsi="Book Antiqua"/>
          <w:sz w:val="20"/>
          <w:szCs w:val="20"/>
        </w:rPr>
        <w:t>)</w:t>
      </w:r>
    </w:p>
    <w:tbl>
      <w:tblPr>
        <w:tblW w:w="5281" w:type="pct"/>
        <w:tblInd w:w="-426" w:type="dxa"/>
        <w:tblLayout w:type="fixed"/>
        <w:tblLook w:val="01E0"/>
      </w:tblPr>
      <w:tblGrid>
        <w:gridCol w:w="2340"/>
        <w:gridCol w:w="2753"/>
        <w:gridCol w:w="2536"/>
        <w:gridCol w:w="2720"/>
      </w:tblGrid>
      <w:tr w:rsidR="00F53A13" w:rsidRPr="00113477" w:rsidTr="00F53A13">
        <w:tc>
          <w:tcPr>
            <w:tcW w:w="113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Qualité de l’accueil</w:t>
            </w:r>
          </w:p>
          <w:p w:rsidR="00F53A13" w:rsidRPr="00113477" w:rsidRDefault="00F53A13" w:rsidP="00F53A13">
            <w:pPr>
              <w:rPr>
                <w:rFonts w:ascii="Book Antiqua" w:hAnsi="Book Antiqua"/>
                <w:i/>
                <w:sz w:val="20"/>
                <w:szCs w:val="20"/>
              </w:rPr>
            </w:pPr>
            <w:r w:rsidRPr="00113477">
              <w:rPr>
                <w:rFonts w:ascii="Book Antiqua" w:hAnsi="Book Antiqua"/>
                <w:i/>
                <w:sz w:val="20"/>
                <w:szCs w:val="20"/>
              </w:rPr>
              <w:t>2= Inadaptation des produits</w:t>
            </w:r>
          </w:p>
        </w:tc>
        <w:tc>
          <w:tcPr>
            <w:tcW w:w="133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Non-conformité des produits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4= Difficultés d’obtention du crédit</w:t>
            </w:r>
          </w:p>
        </w:tc>
        <w:tc>
          <w:tcPr>
            <w:tcW w:w="122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 Litige</w:t>
            </w:r>
          </w:p>
          <w:p w:rsidR="00F53A13" w:rsidRPr="00113477" w:rsidRDefault="00F53A13" w:rsidP="00F53A13">
            <w:pPr>
              <w:rPr>
                <w:rFonts w:ascii="Book Antiqua" w:hAnsi="Book Antiqua"/>
                <w:i/>
                <w:sz w:val="20"/>
                <w:szCs w:val="20"/>
              </w:rPr>
            </w:pPr>
            <w:r w:rsidRPr="00113477">
              <w:rPr>
                <w:rFonts w:ascii="Book Antiqua" w:hAnsi="Book Antiqua"/>
                <w:i/>
                <w:sz w:val="20"/>
                <w:szCs w:val="20"/>
              </w:rPr>
              <w:t>6= Réclamation non satisfaite</w:t>
            </w:r>
          </w:p>
        </w:tc>
        <w:tc>
          <w:tcPr>
            <w:tcW w:w="131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7= Rachat de crédit</w:t>
            </w:r>
          </w:p>
          <w:p w:rsidR="00F53A13" w:rsidRPr="00113477" w:rsidRDefault="00F53A13" w:rsidP="00F53A13">
            <w:pPr>
              <w:rPr>
                <w:rFonts w:ascii="Book Antiqua" w:hAnsi="Book Antiqua"/>
                <w:i/>
                <w:sz w:val="20"/>
                <w:szCs w:val="20"/>
              </w:rPr>
            </w:pPr>
            <w:r w:rsidRPr="00113477">
              <w:rPr>
                <w:rFonts w:ascii="Book Antiqua" w:hAnsi="Book Antiqua"/>
                <w:i/>
                <w:sz w:val="20"/>
                <w:szCs w:val="20"/>
              </w:rPr>
              <w:t>8=Coût élevé des services</w:t>
            </w:r>
          </w:p>
          <w:p w:rsidR="00F53A13" w:rsidRPr="00113477" w:rsidRDefault="00F53A13" w:rsidP="008B46CA">
            <w:pPr>
              <w:rPr>
                <w:rFonts w:ascii="Book Antiqua" w:hAnsi="Book Antiqua"/>
                <w:i/>
                <w:sz w:val="20"/>
                <w:szCs w:val="20"/>
              </w:rPr>
            </w:pPr>
            <w:r w:rsidRPr="00113477">
              <w:rPr>
                <w:rFonts w:ascii="Book Antiqua" w:hAnsi="Book Antiqua"/>
                <w:i/>
                <w:sz w:val="20"/>
                <w:szCs w:val="20"/>
              </w:rPr>
              <w:t>9=Autre (Préciser)………......</w:t>
            </w:r>
          </w:p>
        </w:tc>
      </w:tr>
    </w:tbl>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pStyle w:val="Paragraphedeliste"/>
        <w:numPr>
          <w:ilvl w:val="1"/>
          <w:numId w:val="65"/>
        </w:numPr>
        <w:spacing w:after="120"/>
        <w:ind w:left="788" w:hanging="431"/>
        <w:contextualSpacing w:val="0"/>
        <w:jc w:val="both"/>
        <w:rPr>
          <w:rFonts w:ascii="Book Antiqua" w:hAnsi="Book Antiqua"/>
          <w:sz w:val="20"/>
          <w:szCs w:val="20"/>
        </w:rPr>
      </w:pPr>
      <w:r w:rsidRPr="00113477">
        <w:rPr>
          <w:rFonts w:ascii="Book Antiqua" w:hAnsi="Book Antiqua"/>
          <w:sz w:val="20"/>
          <w:szCs w:val="20"/>
        </w:rPr>
        <w:t>Comment votre entreprise juge-t-elle l’attitude de sa banque initiale face à ce changement </w:t>
      </w:r>
      <w:r w:rsidR="007D1808">
        <w:rPr>
          <w:rFonts w:ascii="Book Antiqua" w:hAnsi="Book Antiqua"/>
          <w:sz w:val="20"/>
          <w:szCs w:val="20"/>
        </w:rPr>
        <w:t>?</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4020" w:type="pct"/>
        <w:tblInd w:w="1384" w:type="dxa"/>
        <w:tblLook w:val="01E0"/>
      </w:tblPr>
      <w:tblGrid>
        <w:gridCol w:w="1823"/>
        <w:gridCol w:w="1514"/>
        <w:gridCol w:w="1653"/>
        <w:gridCol w:w="2888"/>
      </w:tblGrid>
      <w:tr w:rsidR="00F53A13" w:rsidRPr="00113477" w:rsidTr="00F53A13">
        <w:tc>
          <w:tcPr>
            <w:tcW w:w="115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coopérative</w:t>
            </w:r>
          </w:p>
        </w:tc>
        <w:tc>
          <w:tcPr>
            <w:tcW w:w="96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coopérative</w:t>
            </w:r>
          </w:p>
        </w:tc>
        <w:tc>
          <w:tcPr>
            <w:tcW w:w="1049"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 xml:space="preserve">3=Pas coopérative </w:t>
            </w:r>
          </w:p>
        </w:tc>
        <w:tc>
          <w:tcPr>
            <w:tcW w:w="183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Pas du tout coopérative</w:t>
            </w:r>
          </w:p>
        </w:tc>
      </w:tr>
    </w:tbl>
    <w:p w:rsidR="00F53A13" w:rsidRPr="00113477" w:rsidRDefault="00F53A13" w:rsidP="00F53A13">
      <w:pPr>
        <w:autoSpaceDE w:val="0"/>
        <w:autoSpaceDN w:val="0"/>
        <w:adjustRightInd w:val="0"/>
        <w:rPr>
          <w:rFonts w:ascii="Book Antiqua" w:hAnsi="Book Antiqua"/>
          <w:color w:val="000000"/>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Votre entreprise a-t-elle eu un litige</w:t>
      </w:r>
      <w:r w:rsidR="007D1808">
        <w:rPr>
          <w:rFonts w:ascii="Book Antiqua" w:hAnsi="Book Antiqua"/>
          <w:sz w:val="20"/>
          <w:szCs w:val="20"/>
        </w:rPr>
        <w:t xml:space="preserve"> avec sa banque principale ?</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3090" w:type="pct"/>
        <w:jc w:val="center"/>
        <w:tblLook w:val="01E0"/>
      </w:tblPr>
      <w:tblGrid>
        <w:gridCol w:w="1548"/>
        <w:gridCol w:w="1480"/>
        <w:gridCol w:w="1927"/>
        <w:gridCol w:w="1100"/>
      </w:tblGrid>
      <w:tr w:rsidR="00F53A13" w:rsidRPr="00113477" w:rsidTr="00F53A13">
        <w:trPr>
          <w:jc w:val="center"/>
        </w:trPr>
        <w:tc>
          <w:tcPr>
            <w:tcW w:w="1279"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Oui, 1 fois</w:t>
            </w:r>
          </w:p>
        </w:tc>
        <w:tc>
          <w:tcPr>
            <w:tcW w:w="122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2=Oui, 2 fois</w:t>
            </w:r>
          </w:p>
        </w:tc>
        <w:tc>
          <w:tcPr>
            <w:tcW w:w="159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Oui, Plus de 2 fois</w:t>
            </w:r>
          </w:p>
        </w:tc>
        <w:tc>
          <w:tcPr>
            <w:tcW w:w="908"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Non</w:t>
            </w:r>
          </w:p>
        </w:tc>
      </w:tr>
    </w:tbl>
    <w:p w:rsidR="00F53A13" w:rsidRPr="00113477" w:rsidRDefault="00F53A13" w:rsidP="00F53A13">
      <w:pPr>
        <w:spacing w:line="360" w:lineRule="auto"/>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w:t>
      </w:r>
      <w:r w:rsidR="008B46CA" w:rsidRPr="00113477">
        <w:rPr>
          <w:rFonts w:ascii="Book Antiqua" w:hAnsi="Book Antiqua"/>
          <w:sz w:val="20"/>
          <w:szCs w:val="20"/>
        </w:rPr>
        <w:t xml:space="preserve"> </w:t>
      </w:r>
      <w:r w:rsidRPr="00113477">
        <w:rPr>
          <w:rFonts w:ascii="Book Antiqua" w:hAnsi="Book Antiqua"/>
          <w:sz w:val="20"/>
          <w:szCs w:val="20"/>
        </w:rPr>
        <w:t>veuillez préciser :*</w:t>
      </w:r>
    </w:p>
    <w:p w:rsidR="00F53A13" w:rsidRPr="00113477" w:rsidRDefault="00F53A13" w:rsidP="004272B8">
      <w:pPr>
        <w:numPr>
          <w:ilvl w:val="1"/>
          <w:numId w:val="65"/>
        </w:numPr>
        <w:spacing w:line="360" w:lineRule="auto"/>
        <w:contextualSpacing/>
        <w:rPr>
          <w:rFonts w:ascii="Book Antiqua" w:hAnsi="Book Antiqua"/>
          <w:sz w:val="20"/>
          <w:szCs w:val="20"/>
        </w:rPr>
      </w:pPr>
      <w:r w:rsidRPr="00113477">
        <w:rPr>
          <w:rFonts w:ascii="Book Antiqua" w:hAnsi="Book Antiqua"/>
          <w:sz w:val="20"/>
          <w:szCs w:val="20"/>
        </w:rPr>
        <w:t>En quelle(s) année(s).</w:t>
      </w:r>
    </w:p>
    <w:tbl>
      <w:tblPr>
        <w:tblW w:w="3793" w:type="pct"/>
        <w:jc w:val="center"/>
        <w:tblLook w:val="01E0"/>
      </w:tblPr>
      <w:tblGrid>
        <w:gridCol w:w="1108"/>
        <w:gridCol w:w="1040"/>
        <w:gridCol w:w="1041"/>
        <w:gridCol w:w="1041"/>
        <w:gridCol w:w="1041"/>
        <w:gridCol w:w="2162"/>
      </w:tblGrid>
      <w:tr w:rsidR="00F53A13" w:rsidRPr="00113477" w:rsidTr="00F53A13">
        <w:trPr>
          <w:jc w:val="center"/>
        </w:trPr>
        <w:tc>
          <w:tcPr>
            <w:tcW w:w="746"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2015</w:t>
            </w:r>
          </w:p>
        </w:tc>
        <w:tc>
          <w:tcPr>
            <w:tcW w:w="70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2014</w:t>
            </w:r>
          </w:p>
        </w:tc>
        <w:tc>
          <w:tcPr>
            <w:tcW w:w="70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2013</w:t>
            </w:r>
          </w:p>
        </w:tc>
        <w:tc>
          <w:tcPr>
            <w:tcW w:w="70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2012</w:t>
            </w:r>
          </w:p>
        </w:tc>
        <w:tc>
          <w:tcPr>
            <w:tcW w:w="70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5=2011</w:t>
            </w:r>
          </w:p>
        </w:tc>
        <w:tc>
          <w:tcPr>
            <w:tcW w:w="145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6=2010 ou Avant</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1"/>
          <w:numId w:val="65"/>
        </w:numPr>
        <w:spacing w:line="360" w:lineRule="auto"/>
        <w:contextualSpacing/>
        <w:rPr>
          <w:rFonts w:ascii="Book Antiqua" w:hAnsi="Book Antiqua"/>
          <w:sz w:val="20"/>
          <w:szCs w:val="20"/>
        </w:rPr>
      </w:pPr>
      <w:r w:rsidRPr="00113477">
        <w:rPr>
          <w:rFonts w:ascii="Book Antiqua" w:hAnsi="Book Antiqua"/>
          <w:sz w:val="20"/>
          <w:szCs w:val="20"/>
        </w:rPr>
        <w:t>Le(s) objet(s) de ce(s) litige(s).</w:t>
      </w:r>
    </w:p>
    <w:tbl>
      <w:tblPr>
        <w:tblW w:w="4504" w:type="pct"/>
        <w:tblInd w:w="477" w:type="dxa"/>
        <w:tblLook w:val="01E0"/>
      </w:tblPr>
      <w:tblGrid>
        <w:gridCol w:w="3294"/>
        <w:gridCol w:w="2429"/>
        <w:gridCol w:w="3103"/>
      </w:tblGrid>
      <w:tr w:rsidR="00F53A13" w:rsidRPr="00113477" w:rsidTr="00F53A13">
        <w:tc>
          <w:tcPr>
            <w:tcW w:w="1866"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Interprétation divergente du contrat</w:t>
            </w:r>
          </w:p>
          <w:p w:rsidR="00F53A13" w:rsidRPr="00113477" w:rsidRDefault="00F53A13" w:rsidP="00F53A13">
            <w:pPr>
              <w:rPr>
                <w:rFonts w:ascii="Book Antiqua" w:hAnsi="Book Antiqua"/>
                <w:i/>
                <w:sz w:val="20"/>
                <w:szCs w:val="20"/>
              </w:rPr>
            </w:pPr>
            <w:r w:rsidRPr="00113477">
              <w:rPr>
                <w:rFonts w:ascii="Book Antiqua" w:hAnsi="Book Antiqua"/>
                <w:i/>
                <w:sz w:val="20"/>
                <w:szCs w:val="20"/>
              </w:rPr>
              <w:t>2= Qualité des produits</w:t>
            </w:r>
          </w:p>
        </w:tc>
        <w:tc>
          <w:tcPr>
            <w:tcW w:w="1376"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Coût des services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4= Déficit d’information</w:t>
            </w:r>
          </w:p>
        </w:tc>
        <w:tc>
          <w:tcPr>
            <w:tcW w:w="1758"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5=Prélèvement indu</w:t>
            </w:r>
          </w:p>
          <w:p w:rsidR="00F53A13" w:rsidRPr="00113477" w:rsidRDefault="00F53A13" w:rsidP="00F53A13">
            <w:pPr>
              <w:rPr>
                <w:rFonts w:ascii="Book Antiqua" w:hAnsi="Book Antiqua"/>
                <w:i/>
                <w:sz w:val="20"/>
                <w:szCs w:val="20"/>
              </w:rPr>
            </w:pPr>
            <w:r w:rsidRPr="00113477">
              <w:rPr>
                <w:rFonts w:ascii="Book Antiqua" w:hAnsi="Book Antiqua"/>
                <w:i/>
                <w:sz w:val="20"/>
                <w:szCs w:val="20"/>
              </w:rPr>
              <w:t>6=Autre (Préciser)…………………..............</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Que pensez-vous du nombre d’agences de la banque principale de votre entreprise ? |__|</w:t>
      </w:r>
    </w:p>
    <w:tbl>
      <w:tblPr>
        <w:tblW w:w="4144" w:type="pct"/>
        <w:jc w:val="center"/>
        <w:tblLook w:val="01E0"/>
      </w:tblPr>
      <w:tblGrid>
        <w:gridCol w:w="1790"/>
        <w:gridCol w:w="1376"/>
        <w:gridCol w:w="2340"/>
        <w:gridCol w:w="2615"/>
      </w:tblGrid>
      <w:tr w:rsidR="00F53A13" w:rsidRPr="00113477" w:rsidTr="00F53A13">
        <w:trPr>
          <w:jc w:val="center"/>
        </w:trPr>
        <w:tc>
          <w:tcPr>
            <w:tcW w:w="110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suffisant</w:t>
            </w:r>
          </w:p>
        </w:tc>
        <w:tc>
          <w:tcPr>
            <w:tcW w:w="84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Suffisant</w:t>
            </w:r>
          </w:p>
        </w:tc>
        <w:tc>
          <w:tcPr>
            <w:tcW w:w="144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3=Non suffisant</w:t>
            </w:r>
          </w:p>
        </w:tc>
        <w:tc>
          <w:tcPr>
            <w:tcW w:w="161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Pas du tout suffisant</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Que pensez-vous du nombre de guichets fonctionnels de l’agence de votre entreprise ?</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4144" w:type="pct"/>
        <w:jc w:val="center"/>
        <w:tblLook w:val="01E0"/>
      </w:tblPr>
      <w:tblGrid>
        <w:gridCol w:w="1790"/>
        <w:gridCol w:w="1376"/>
        <w:gridCol w:w="2340"/>
        <w:gridCol w:w="2615"/>
      </w:tblGrid>
      <w:tr w:rsidR="00F53A13" w:rsidRPr="00113477" w:rsidTr="00F53A13">
        <w:trPr>
          <w:jc w:val="center"/>
        </w:trPr>
        <w:tc>
          <w:tcPr>
            <w:tcW w:w="110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suffisant</w:t>
            </w:r>
          </w:p>
        </w:tc>
        <w:tc>
          <w:tcPr>
            <w:tcW w:w="84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Suffisant</w:t>
            </w:r>
          </w:p>
        </w:tc>
        <w:tc>
          <w:tcPr>
            <w:tcW w:w="144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3=Non suffisant</w:t>
            </w:r>
          </w:p>
        </w:tc>
        <w:tc>
          <w:tcPr>
            <w:tcW w:w="161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Pas du tout suffisant</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Quelle est l’appréciation de votre entreprise sur la rapidité des opérations de caisse dans sa banque ? |__|</w:t>
      </w:r>
    </w:p>
    <w:tbl>
      <w:tblPr>
        <w:tblW w:w="3933" w:type="pct"/>
        <w:jc w:val="center"/>
        <w:tblLook w:val="01E0"/>
      </w:tblPr>
      <w:tblGrid>
        <w:gridCol w:w="1790"/>
        <w:gridCol w:w="1378"/>
        <w:gridCol w:w="1649"/>
        <w:gridCol w:w="2890"/>
      </w:tblGrid>
      <w:tr w:rsidR="00F53A13" w:rsidRPr="00113477" w:rsidTr="00F53A13">
        <w:trPr>
          <w:jc w:val="center"/>
        </w:trPr>
        <w:tc>
          <w:tcPr>
            <w:tcW w:w="116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satisfait</w:t>
            </w:r>
          </w:p>
        </w:tc>
        <w:tc>
          <w:tcPr>
            <w:tcW w:w="89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Satisfait</w:t>
            </w:r>
          </w:p>
        </w:tc>
        <w:tc>
          <w:tcPr>
            <w:tcW w:w="107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Pas satisfait</w:t>
            </w:r>
          </w:p>
        </w:tc>
        <w:tc>
          <w:tcPr>
            <w:tcW w:w="187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Pas du tout satisfait</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 xml:space="preserve">Votre entreprise a-t-elle effectué au cours des </w:t>
      </w:r>
      <w:r w:rsidRPr="00113477">
        <w:rPr>
          <w:rFonts w:ascii="Book Antiqua" w:hAnsi="Book Antiqua"/>
          <w:b/>
          <w:sz w:val="20"/>
          <w:szCs w:val="20"/>
        </w:rPr>
        <w:t>trois dernières années</w:t>
      </w:r>
      <w:r w:rsidRPr="00113477">
        <w:rPr>
          <w:rFonts w:ascii="Book Antiqua" w:hAnsi="Book Antiqua"/>
          <w:sz w:val="20"/>
          <w:szCs w:val="20"/>
        </w:rPr>
        <w:t xml:space="preserve"> des opérations de virements vers une autre banque de la place ?</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3041" w:type="pct"/>
        <w:tblInd w:w="804" w:type="dxa"/>
        <w:tblLook w:val="01E0"/>
      </w:tblPr>
      <w:tblGrid>
        <w:gridCol w:w="2887"/>
        <w:gridCol w:w="3072"/>
      </w:tblGrid>
      <w:tr w:rsidR="00F53A13" w:rsidRPr="00113477" w:rsidTr="00F53A13">
        <w:trPr>
          <w:trHeight w:val="231"/>
        </w:trPr>
        <w:tc>
          <w:tcPr>
            <w:tcW w:w="2422"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Oui</w:t>
            </w:r>
          </w:p>
        </w:tc>
        <w:tc>
          <w:tcPr>
            <w:tcW w:w="2578"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Non</w:t>
            </w:r>
          </w:p>
        </w:tc>
      </w:tr>
    </w:tbl>
    <w:p w:rsidR="00F53A13" w:rsidRPr="00113477" w:rsidRDefault="00F53A13" w:rsidP="00F53A13">
      <w:pPr>
        <w:rPr>
          <w:rFonts w:ascii="Book Antiqua" w:hAnsi="Book Antiqua"/>
          <w:sz w:val="20"/>
          <w:szCs w:val="20"/>
        </w:rPr>
      </w:pPr>
    </w:p>
    <w:p w:rsidR="00F53A13" w:rsidRPr="00113477" w:rsidRDefault="00F53A13" w:rsidP="004272B8">
      <w:pPr>
        <w:pStyle w:val="Paragraphedeliste"/>
        <w:numPr>
          <w:ilvl w:val="1"/>
          <w:numId w:val="65"/>
        </w:numPr>
        <w:spacing w:after="120"/>
        <w:ind w:left="788" w:hanging="431"/>
        <w:contextualSpacing w:val="0"/>
        <w:jc w:val="both"/>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que pensez-vous de la durée de traitement de ces ordres de virement ?</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2552" w:type="pct"/>
        <w:jc w:val="center"/>
        <w:tblLook w:val="01E0"/>
      </w:tblPr>
      <w:tblGrid>
        <w:gridCol w:w="1286"/>
        <w:gridCol w:w="970"/>
        <w:gridCol w:w="1093"/>
        <w:gridCol w:w="1652"/>
      </w:tblGrid>
      <w:tr w:rsidR="00F53A13" w:rsidRPr="00113477" w:rsidTr="00F53A13">
        <w:trPr>
          <w:jc w:val="center"/>
        </w:trPr>
        <w:tc>
          <w:tcPr>
            <w:tcW w:w="128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longue</w:t>
            </w:r>
          </w:p>
        </w:tc>
        <w:tc>
          <w:tcPr>
            <w:tcW w:w="97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Longue</w:t>
            </w:r>
          </w:p>
        </w:tc>
        <w:tc>
          <w:tcPr>
            <w:tcW w:w="109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Correcte</w:t>
            </w:r>
          </w:p>
        </w:tc>
        <w:tc>
          <w:tcPr>
            <w:tcW w:w="165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Très Correcte</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 xml:space="preserve">Votre entreprise a-t-elle émis au cours des </w:t>
      </w:r>
      <w:r w:rsidRPr="00113477">
        <w:rPr>
          <w:rFonts w:ascii="Book Antiqua" w:hAnsi="Book Antiqua"/>
          <w:b/>
          <w:sz w:val="20"/>
          <w:szCs w:val="20"/>
        </w:rPr>
        <w:t>trois dernières années</w:t>
      </w:r>
      <w:r w:rsidRPr="00113477">
        <w:rPr>
          <w:rFonts w:ascii="Book Antiqua" w:hAnsi="Book Antiqua"/>
          <w:sz w:val="20"/>
          <w:szCs w:val="20"/>
        </w:rPr>
        <w:t xml:space="preserve"> des virements vers l’étranger ? |__|</w:t>
      </w:r>
    </w:p>
    <w:tbl>
      <w:tblPr>
        <w:tblW w:w="3041" w:type="pct"/>
        <w:tblInd w:w="804" w:type="dxa"/>
        <w:tblLook w:val="01E0"/>
      </w:tblPr>
      <w:tblGrid>
        <w:gridCol w:w="2887"/>
        <w:gridCol w:w="3072"/>
      </w:tblGrid>
      <w:tr w:rsidR="00F53A13" w:rsidRPr="00113477" w:rsidTr="00F53A13">
        <w:tc>
          <w:tcPr>
            <w:tcW w:w="2422"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Oui</w:t>
            </w:r>
          </w:p>
        </w:tc>
        <w:tc>
          <w:tcPr>
            <w:tcW w:w="2578"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Non</w:t>
            </w:r>
          </w:p>
        </w:tc>
      </w:tr>
    </w:tbl>
    <w:p w:rsidR="00F53A13" w:rsidRPr="00113477" w:rsidRDefault="00F53A13" w:rsidP="00F53A13">
      <w:pPr>
        <w:rPr>
          <w:rFonts w:ascii="Book Antiqua" w:hAnsi="Book Antiqua"/>
          <w:sz w:val="20"/>
          <w:szCs w:val="20"/>
        </w:rPr>
      </w:pPr>
    </w:p>
    <w:p w:rsidR="00F53A13" w:rsidRPr="00113477" w:rsidRDefault="00F53A13" w:rsidP="004272B8">
      <w:pPr>
        <w:pStyle w:val="Paragraphedeliste"/>
        <w:numPr>
          <w:ilvl w:val="1"/>
          <w:numId w:val="65"/>
        </w:numPr>
        <w:spacing w:after="120"/>
        <w:ind w:left="788" w:hanging="431"/>
        <w:contextualSpacing w:val="0"/>
        <w:jc w:val="both"/>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que pensez-vous de la durée de traitement de ces ordres de virement ?</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2552" w:type="pct"/>
        <w:jc w:val="center"/>
        <w:tblLook w:val="01E0"/>
      </w:tblPr>
      <w:tblGrid>
        <w:gridCol w:w="1286"/>
        <w:gridCol w:w="970"/>
        <w:gridCol w:w="1093"/>
        <w:gridCol w:w="1652"/>
      </w:tblGrid>
      <w:tr w:rsidR="00F53A13" w:rsidRPr="00113477" w:rsidTr="00F53A13">
        <w:trPr>
          <w:jc w:val="center"/>
        </w:trPr>
        <w:tc>
          <w:tcPr>
            <w:tcW w:w="128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longue</w:t>
            </w:r>
          </w:p>
        </w:tc>
        <w:tc>
          <w:tcPr>
            <w:tcW w:w="97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Longue</w:t>
            </w:r>
          </w:p>
        </w:tc>
        <w:tc>
          <w:tcPr>
            <w:tcW w:w="109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Correcte</w:t>
            </w:r>
          </w:p>
        </w:tc>
        <w:tc>
          <w:tcPr>
            <w:tcW w:w="165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Très Correcte</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502"/>
        <w:jc w:val="both"/>
        <w:rPr>
          <w:rFonts w:ascii="Book Antiqua" w:hAnsi="Book Antiqua"/>
          <w:sz w:val="20"/>
          <w:szCs w:val="20"/>
        </w:rPr>
      </w:pPr>
      <w:r w:rsidRPr="00113477">
        <w:rPr>
          <w:rFonts w:ascii="Book Antiqua" w:hAnsi="Book Antiqua"/>
          <w:sz w:val="20"/>
          <w:szCs w:val="20"/>
        </w:rPr>
        <w:t xml:space="preserve">Votre entreprise a-t-elle reçu au cours des </w:t>
      </w:r>
      <w:r w:rsidRPr="00113477">
        <w:rPr>
          <w:rFonts w:ascii="Book Antiqua" w:hAnsi="Book Antiqua"/>
          <w:b/>
          <w:sz w:val="20"/>
          <w:szCs w:val="20"/>
        </w:rPr>
        <w:t>trois dernières années</w:t>
      </w:r>
      <w:r w:rsidRPr="00113477">
        <w:rPr>
          <w:rFonts w:ascii="Book Antiqua" w:hAnsi="Book Antiqua"/>
          <w:sz w:val="20"/>
          <w:szCs w:val="20"/>
        </w:rPr>
        <w:t xml:space="preserve"> des virements de l’étranger ?</w:t>
      </w:r>
      <w:r w:rsidR="008B46CA" w:rsidRPr="00113477">
        <w:rPr>
          <w:rFonts w:ascii="Book Antiqua" w:hAnsi="Book Antiqua"/>
          <w:sz w:val="20"/>
          <w:szCs w:val="20"/>
        </w:rPr>
        <w:t xml:space="preserve"> </w:t>
      </w:r>
      <w:r w:rsidRPr="00113477">
        <w:rPr>
          <w:rFonts w:ascii="Book Antiqua" w:hAnsi="Book Antiqua"/>
          <w:sz w:val="20"/>
          <w:szCs w:val="20"/>
        </w:rPr>
        <w:t>|__|</w:t>
      </w:r>
    </w:p>
    <w:tbl>
      <w:tblPr>
        <w:tblW w:w="3041" w:type="pct"/>
        <w:tblInd w:w="804" w:type="dxa"/>
        <w:tblLook w:val="01E0"/>
      </w:tblPr>
      <w:tblGrid>
        <w:gridCol w:w="2887"/>
        <w:gridCol w:w="3072"/>
      </w:tblGrid>
      <w:tr w:rsidR="00F53A13" w:rsidRPr="00113477" w:rsidTr="00F53A13">
        <w:tc>
          <w:tcPr>
            <w:tcW w:w="2422"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Oui</w:t>
            </w:r>
          </w:p>
        </w:tc>
        <w:tc>
          <w:tcPr>
            <w:tcW w:w="2578"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Non</w:t>
            </w:r>
          </w:p>
        </w:tc>
      </w:tr>
    </w:tbl>
    <w:p w:rsidR="00F53A13" w:rsidRPr="00113477" w:rsidRDefault="00F53A13" w:rsidP="004272B8">
      <w:pPr>
        <w:pStyle w:val="Paragraphedeliste"/>
        <w:numPr>
          <w:ilvl w:val="1"/>
          <w:numId w:val="65"/>
        </w:numPr>
        <w:spacing w:after="120"/>
        <w:ind w:left="788" w:hanging="431"/>
        <w:contextualSpacing w:val="0"/>
        <w:jc w:val="both"/>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que pensez-vous de la durée de traitement de ces virements ? |__|</w:t>
      </w:r>
    </w:p>
    <w:tbl>
      <w:tblPr>
        <w:tblW w:w="2552" w:type="pct"/>
        <w:jc w:val="center"/>
        <w:tblLook w:val="01E0"/>
      </w:tblPr>
      <w:tblGrid>
        <w:gridCol w:w="1286"/>
        <w:gridCol w:w="970"/>
        <w:gridCol w:w="1093"/>
        <w:gridCol w:w="1652"/>
      </w:tblGrid>
      <w:tr w:rsidR="00F53A13" w:rsidRPr="00113477" w:rsidTr="00F53A13">
        <w:trPr>
          <w:jc w:val="center"/>
        </w:trPr>
        <w:tc>
          <w:tcPr>
            <w:tcW w:w="128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longue</w:t>
            </w:r>
          </w:p>
        </w:tc>
        <w:tc>
          <w:tcPr>
            <w:tcW w:w="97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Longue</w:t>
            </w:r>
          </w:p>
        </w:tc>
        <w:tc>
          <w:tcPr>
            <w:tcW w:w="109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Correcte</w:t>
            </w:r>
          </w:p>
        </w:tc>
        <w:tc>
          <w:tcPr>
            <w:tcW w:w="165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Très Correcte</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rPr>
          <w:rFonts w:ascii="Book Antiqua" w:hAnsi="Book Antiqua"/>
          <w:sz w:val="20"/>
          <w:szCs w:val="20"/>
        </w:rPr>
      </w:pPr>
      <w:r w:rsidRPr="00113477">
        <w:rPr>
          <w:rFonts w:ascii="Book Antiqua" w:hAnsi="Book Antiqua"/>
          <w:sz w:val="20"/>
          <w:szCs w:val="20"/>
        </w:rPr>
        <w:t>Votre entreprise u</w:t>
      </w:r>
      <w:r w:rsidR="007D1808">
        <w:rPr>
          <w:rFonts w:ascii="Book Antiqua" w:hAnsi="Book Antiqua"/>
          <w:sz w:val="20"/>
          <w:szCs w:val="20"/>
        </w:rPr>
        <w:t>tilise-t-elle des chéquiers ?</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2923" w:type="pct"/>
        <w:tblInd w:w="804" w:type="dxa"/>
        <w:tblLook w:val="01E0"/>
      </w:tblPr>
      <w:tblGrid>
        <w:gridCol w:w="2571"/>
        <w:gridCol w:w="3157"/>
      </w:tblGrid>
      <w:tr w:rsidR="00F53A13" w:rsidRPr="00113477" w:rsidTr="00F53A13">
        <w:trPr>
          <w:trHeight w:val="48"/>
        </w:trPr>
        <w:tc>
          <w:tcPr>
            <w:tcW w:w="2244"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Oui</w:t>
            </w:r>
          </w:p>
        </w:tc>
        <w:tc>
          <w:tcPr>
            <w:tcW w:w="2756"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Non</w:t>
            </w:r>
          </w:p>
        </w:tc>
      </w:tr>
    </w:tbl>
    <w:p w:rsidR="00F53A13" w:rsidRPr="00113477" w:rsidRDefault="00F53A13" w:rsidP="004272B8">
      <w:pPr>
        <w:numPr>
          <w:ilvl w:val="1"/>
          <w:numId w:val="65"/>
        </w:numPr>
        <w:spacing w:after="120"/>
        <w:ind w:left="788" w:hanging="431"/>
        <w:jc w:val="both"/>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que pensez-vous du délai de traitement de leur renouvellement? |__|</w:t>
      </w:r>
    </w:p>
    <w:tbl>
      <w:tblPr>
        <w:tblW w:w="4026" w:type="pct"/>
        <w:jc w:val="center"/>
        <w:tblLook w:val="01E0"/>
      </w:tblPr>
      <w:tblGrid>
        <w:gridCol w:w="1285"/>
        <w:gridCol w:w="970"/>
        <w:gridCol w:w="1093"/>
        <w:gridCol w:w="1652"/>
        <w:gridCol w:w="2889"/>
      </w:tblGrid>
      <w:tr w:rsidR="00F53A13" w:rsidRPr="00113477" w:rsidTr="00F53A13">
        <w:trPr>
          <w:jc w:val="center"/>
        </w:trPr>
        <w:tc>
          <w:tcPr>
            <w:tcW w:w="81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long</w:t>
            </w:r>
          </w:p>
        </w:tc>
        <w:tc>
          <w:tcPr>
            <w:tcW w:w="61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Long</w:t>
            </w:r>
          </w:p>
        </w:tc>
        <w:tc>
          <w:tcPr>
            <w:tcW w:w="69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Correct</w:t>
            </w:r>
          </w:p>
        </w:tc>
        <w:tc>
          <w:tcPr>
            <w:tcW w:w="104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Très Correct</w:t>
            </w:r>
          </w:p>
        </w:tc>
        <w:tc>
          <w:tcPr>
            <w:tcW w:w="183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 Sans objet (Je ne l’ai jamais renouvelé)</w:t>
            </w:r>
          </w:p>
        </w:tc>
      </w:tr>
    </w:tbl>
    <w:p w:rsidR="00F53A13" w:rsidRPr="00113477" w:rsidRDefault="00F53A13" w:rsidP="00F53A13">
      <w:pPr>
        <w:rPr>
          <w:rFonts w:ascii="Book Antiqua" w:hAnsi="Book Antiqua"/>
          <w:sz w:val="20"/>
          <w:szCs w:val="20"/>
        </w:rPr>
      </w:pPr>
    </w:p>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Avec quelle périodicité votre entreprise reçoit-elle ses relevés de compte ? |__|</w:t>
      </w:r>
    </w:p>
    <w:tbl>
      <w:tblPr>
        <w:tblW w:w="4495" w:type="pct"/>
        <w:jc w:val="right"/>
        <w:tblLook w:val="01E0"/>
      </w:tblPr>
      <w:tblGrid>
        <w:gridCol w:w="1651"/>
        <w:gridCol w:w="1342"/>
        <w:gridCol w:w="1540"/>
        <w:gridCol w:w="1386"/>
        <w:gridCol w:w="1374"/>
        <w:gridCol w:w="1515"/>
      </w:tblGrid>
      <w:tr w:rsidR="00F53A13" w:rsidRPr="00113477" w:rsidTr="00F53A13">
        <w:trPr>
          <w:jc w:val="right"/>
        </w:trPr>
        <w:tc>
          <w:tcPr>
            <w:tcW w:w="93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 xml:space="preserve">1= Tous les 15 jours </w:t>
            </w:r>
          </w:p>
        </w:tc>
        <w:tc>
          <w:tcPr>
            <w:tcW w:w="76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Mensuelle</w:t>
            </w:r>
          </w:p>
        </w:tc>
        <w:tc>
          <w:tcPr>
            <w:tcW w:w="87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Trimestrielle</w:t>
            </w:r>
          </w:p>
        </w:tc>
        <w:tc>
          <w:tcPr>
            <w:tcW w:w="78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Annuelle</w:t>
            </w:r>
          </w:p>
        </w:tc>
        <w:tc>
          <w:tcPr>
            <w:tcW w:w="78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 Irrégulière</w:t>
            </w:r>
          </w:p>
        </w:tc>
        <w:tc>
          <w:tcPr>
            <w:tcW w:w="86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6= Jamais reçus</w:t>
            </w:r>
          </w:p>
        </w:tc>
      </w:tr>
    </w:tbl>
    <w:p w:rsidR="00F53A13" w:rsidRPr="00113477" w:rsidRDefault="00F53A13" w:rsidP="00F53A13">
      <w:pPr>
        <w:rPr>
          <w:rFonts w:ascii="Book Antiqua" w:hAnsi="Book Antiqua"/>
          <w:sz w:val="20"/>
          <w:szCs w:val="20"/>
        </w:rPr>
      </w:pPr>
    </w:p>
    <w:p w:rsidR="008B46CA" w:rsidRPr="00113477" w:rsidRDefault="008B46CA" w:rsidP="00F53A13">
      <w:pPr>
        <w:rPr>
          <w:rFonts w:ascii="Book Antiqua" w:hAnsi="Book Antiqua"/>
          <w:sz w:val="20"/>
          <w:szCs w:val="20"/>
        </w:rPr>
      </w:pPr>
    </w:p>
    <w:p w:rsidR="00F53A13" w:rsidRPr="00113477" w:rsidRDefault="00F53A13" w:rsidP="00F53A13">
      <w:pPr>
        <w:rPr>
          <w:rFonts w:ascii="Book Antiqua" w:hAnsi="Book Antiqua"/>
          <w:sz w:val="20"/>
          <w:szCs w:val="20"/>
        </w:rPr>
      </w:pPr>
      <w:r w:rsidRPr="00113477">
        <w:rPr>
          <w:rFonts w:ascii="Book Antiqua" w:hAnsi="Book Antiqua"/>
          <w:sz w:val="20"/>
          <w:szCs w:val="20"/>
        </w:rPr>
        <w:t xml:space="preserve">Si réponse </w:t>
      </w:r>
      <w:r w:rsidRPr="00113477">
        <w:rPr>
          <w:rFonts w:ascii="Book Antiqua" w:hAnsi="Book Antiqua"/>
          <w:b/>
          <w:sz w:val="20"/>
          <w:szCs w:val="20"/>
        </w:rPr>
        <w:t>différente de 6</w:t>
      </w:r>
      <w:r w:rsidRPr="00113477">
        <w:rPr>
          <w:rFonts w:ascii="Book Antiqua" w:hAnsi="Book Antiqua"/>
          <w:sz w:val="20"/>
          <w:szCs w:val="20"/>
        </w:rPr>
        <w:t> :</w:t>
      </w:r>
    </w:p>
    <w:p w:rsidR="008B46CA" w:rsidRPr="00113477" w:rsidRDefault="008B46CA" w:rsidP="00F53A13">
      <w:pPr>
        <w:rPr>
          <w:rFonts w:ascii="Book Antiqua" w:hAnsi="Book Antiqua"/>
          <w:sz w:val="20"/>
          <w:szCs w:val="20"/>
        </w:rPr>
      </w:pPr>
    </w:p>
    <w:p w:rsidR="00F53A13" w:rsidRPr="00113477" w:rsidRDefault="00F53A13" w:rsidP="004272B8">
      <w:pPr>
        <w:numPr>
          <w:ilvl w:val="1"/>
          <w:numId w:val="65"/>
        </w:numPr>
        <w:spacing w:line="360" w:lineRule="auto"/>
        <w:contextualSpacing/>
        <w:rPr>
          <w:rFonts w:ascii="Book Antiqua" w:hAnsi="Book Antiqua"/>
          <w:sz w:val="20"/>
          <w:szCs w:val="20"/>
        </w:rPr>
      </w:pPr>
      <w:r w:rsidRPr="00113477">
        <w:rPr>
          <w:rFonts w:ascii="Book Antiqua" w:hAnsi="Book Antiqua"/>
          <w:sz w:val="20"/>
          <w:szCs w:val="20"/>
        </w:rPr>
        <w:t>Par quel canal votre entreprise reçoit-elle ses relevés de compte ? |__|</w:t>
      </w:r>
    </w:p>
    <w:tbl>
      <w:tblPr>
        <w:tblW w:w="2313" w:type="pct"/>
        <w:jc w:val="center"/>
        <w:tblLook w:val="01E0"/>
      </w:tblPr>
      <w:tblGrid>
        <w:gridCol w:w="1650"/>
        <w:gridCol w:w="1343"/>
        <w:gridCol w:w="1540"/>
      </w:tblGrid>
      <w:tr w:rsidR="00F53A13" w:rsidRPr="00113477" w:rsidTr="00F53A13">
        <w:trPr>
          <w:jc w:val="center"/>
        </w:trPr>
        <w:tc>
          <w:tcPr>
            <w:tcW w:w="182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Par courrier</w:t>
            </w:r>
          </w:p>
        </w:tc>
        <w:tc>
          <w:tcPr>
            <w:tcW w:w="148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Par mail</w:t>
            </w:r>
          </w:p>
        </w:tc>
        <w:tc>
          <w:tcPr>
            <w:tcW w:w="1699"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par SMS</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1"/>
          <w:numId w:val="65"/>
        </w:numPr>
        <w:spacing w:line="360" w:lineRule="auto"/>
        <w:contextualSpacing/>
        <w:rPr>
          <w:rFonts w:ascii="Book Antiqua" w:hAnsi="Book Antiqua"/>
          <w:sz w:val="20"/>
          <w:szCs w:val="20"/>
        </w:rPr>
      </w:pPr>
      <w:r w:rsidRPr="00113477">
        <w:rPr>
          <w:rFonts w:ascii="Book Antiqua" w:hAnsi="Book Antiqua"/>
          <w:sz w:val="20"/>
          <w:szCs w:val="20"/>
        </w:rPr>
        <w:t xml:space="preserve">Avez-vous décelé au cours des </w:t>
      </w:r>
      <w:r w:rsidRPr="00113477">
        <w:rPr>
          <w:rFonts w:ascii="Book Antiqua" w:hAnsi="Book Antiqua"/>
          <w:b/>
          <w:sz w:val="20"/>
          <w:szCs w:val="20"/>
        </w:rPr>
        <w:t xml:space="preserve">trois dernières années </w:t>
      </w:r>
      <w:r w:rsidRPr="00113477">
        <w:rPr>
          <w:rFonts w:ascii="Book Antiqua" w:hAnsi="Book Antiqua"/>
          <w:sz w:val="20"/>
          <w:szCs w:val="20"/>
        </w:rPr>
        <w:t>des irrégularités dans vos relevés ? |__|</w:t>
      </w:r>
    </w:p>
    <w:tbl>
      <w:tblPr>
        <w:tblW w:w="4993" w:type="pct"/>
        <w:jc w:val="center"/>
        <w:tblLook w:val="01E0"/>
      </w:tblPr>
      <w:tblGrid>
        <w:gridCol w:w="1848"/>
        <w:gridCol w:w="1569"/>
        <w:gridCol w:w="1644"/>
        <w:gridCol w:w="1569"/>
        <w:gridCol w:w="3154"/>
      </w:tblGrid>
      <w:tr w:rsidR="00F53A13" w:rsidRPr="00113477" w:rsidTr="007D1808">
        <w:trPr>
          <w:jc w:val="center"/>
        </w:trPr>
        <w:tc>
          <w:tcPr>
            <w:tcW w:w="94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souvent</w:t>
            </w:r>
          </w:p>
        </w:tc>
        <w:tc>
          <w:tcPr>
            <w:tcW w:w="80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Souvent</w:t>
            </w:r>
          </w:p>
        </w:tc>
        <w:tc>
          <w:tcPr>
            <w:tcW w:w="84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Rarement</w:t>
            </w:r>
          </w:p>
        </w:tc>
        <w:tc>
          <w:tcPr>
            <w:tcW w:w="80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Jamais</w:t>
            </w:r>
          </w:p>
        </w:tc>
        <w:tc>
          <w:tcPr>
            <w:tcW w:w="161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 Sans objet</w:t>
            </w:r>
          </w:p>
        </w:tc>
      </w:tr>
    </w:tbl>
    <w:p w:rsidR="00F53A13" w:rsidRPr="00113477" w:rsidRDefault="00F53A13" w:rsidP="004272B8">
      <w:pPr>
        <w:pStyle w:val="Paragraphedeliste"/>
        <w:numPr>
          <w:ilvl w:val="0"/>
          <w:numId w:val="65"/>
        </w:numPr>
        <w:spacing w:after="120"/>
        <w:ind w:left="499" w:hanging="357"/>
        <w:contextualSpacing w:val="0"/>
        <w:jc w:val="both"/>
        <w:rPr>
          <w:rFonts w:ascii="Book Antiqua" w:hAnsi="Book Antiqua"/>
          <w:sz w:val="20"/>
          <w:szCs w:val="20"/>
        </w:rPr>
      </w:pPr>
      <w:r w:rsidRPr="00113477">
        <w:rPr>
          <w:rFonts w:ascii="Book Antiqua" w:hAnsi="Book Antiqua"/>
          <w:sz w:val="20"/>
          <w:szCs w:val="20"/>
        </w:rPr>
        <w:lastRenderedPageBreak/>
        <w:t>Par rapport à vos projets, que pensez-vous des produits proposés par votre banque|__|</w:t>
      </w:r>
    </w:p>
    <w:tbl>
      <w:tblPr>
        <w:tblW w:w="4096" w:type="pct"/>
        <w:jc w:val="center"/>
        <w:tblLook w:val="01E0"/>
      </w:tblPr>
      <w:tblGrid>
        <w:gridCol w:w="1561"/>
        <w:gridCol w:w="1376"/>
        <w:gridCol w:w="1788"/>
        <w:gridCol w:w="1788"/>
        <w:gridCol w:w="1514"/>
      </w:tblGrid>
      <w:tr w:rsidR="00F53A13" w:rsidRPr="00113477" w:rsidTr="00F53A13">
        <w:trPr>
          <w:jc w:val="center"/>
        </w:trPr>
        <w:tc>
          <w:tcPr>
            <w:tcW w:w="97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adaptés</w:t>
            </w:r>
          </w:p>
        </w:tc>
        <w:tc>
          <w:tcPr>
            <w:tcW w:w="85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Adaptés</w:t>
            </w:r>
          </w:p>
        </w:tc>
        <w:tc>
          <w:tcPr>
            <w:tcW w:w="111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Non adaptés</w:t>
            </w:r>
          </w:p>
        </w:tc>
        <w:tc>
          <w:tcPr>
            <w:tcW w:w="111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Pas du tout adaptés</w:t>
            </w:r>
          </w:p>
        </w:tc>
        <w:tc>
          <w:tcPr>
            <w:tcW w:w="94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 Sans objet</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Par rapport à vos besoins en fonds de roulement, que pensez-vous des produits proposés par votre</w:t>
      </w:r>
      <w:r w:rsidR="008B46CA" w:rsidRPr="00113477">
        <w:rPr>
          <w:rFonts w:ascii="Book Antiqua" w:hAnsi="Book Antiqua"/>
          <w:sz w:val="20"/>
          <w:szCs w:val="20"/>
        </w:rPr>
        <w:t xml:space="preserve"> </w:t>
      </w:r>
      <w:r w:rsidRPr="00113477">
        <w:rPr>
          <w:rFonts w:ascii="Book Antiqua" w:hAnsi="Book Antiqua"/>
          <w:sz w:val="20"/>
          <w:szCs w:val="20"/>
        </w:rPr>
        <w:t>banque|__|</w:t>
      </w:r>
    </w:p>
    <w:tbl>
      <w:tblPr>
        <w:tblW w:w="4096" w:type="pct"/>
        <w:jc w:val="center"/>
        <w:tblLook w:val="01E0"/>
      </w:tblPr>
      <w:tblGrid>
        <w:gridCol w:w="1561"/>
        <w:gridCol w:w="1376"/>
        <w:gridCol w:w="1788"/>
        <w:gridCol w:w="1788"/>
        <w:gridCol w:w="1514"/>
      </w:tblGrid>
      <w:tr w:rsidR="00F53A13" w:rsidRPr="00113477" w:rsidTr="00F53A13">
        <w:trPr>
          <w:jc w:val="center"/>
        </w:trPr>
        <w:tc>
          <w:tcPr>
            <w:tcW w:w="97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adaptés</w:t>
            </w:r>
          </w:p>
        </w:tc>
        <w:tc>
          <w:tcPr>
            <w:tcW w:w="85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Adaptés</w:t>
            </w:r>
          </w:p>
        </w:tc>
        <w:tc>
          <w:tcPr>
            <w:tcW w:w="111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Non adaptés</w:t>
            </w:r>
          </w:p>
        </w:tc>
        <w:tc>
          <w:tcPr>
            <w:tcW w:w="111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Pas du tout adaptés</w:t>
            </w:r>
          </w:p>
        </w:tc>
        <w:tc>
          <w:tcPr>
            <w:tcW w:w="94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 Sans objet</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bCs/>
          <w:sz w:val="20"/>
          <w:szCs w:val="20"/>
        </w:rPr>
        <w:t>Quelle appréciation votre entreprise fait-elle des dates de valeur appliquées sur ses opérations ?</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3933" w:type="pct"/>
        <w:jc w:val="center"/>
        <w:tblLook w:val="01E0"/>
      </w:tblPr>
      <w:tblGrid>
        <w:gridCol w:w="1790"/>
        <w:gridCol w:w="1378"/>
        <w:gridCol w:w="1649"/>
        <w:gridCol w:w="2890"/>
      </w:tblGrid>
      <w:tr w:rsidR="00F53A13" w:rsidRPr="00113477" w:rsidTr="00F53A13">
        <w:trPr>
          <w:jc w:val="center"/>
        </w:trPr>
        <w:tc>
          <w:tcPr>
            <w:tcW w:w="116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satisfait</w:t>
            </w:r>
          </w:p>
        </w:tc>
        <w:tc>
          <w:tcPr>
            <w:tcW w:w="89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Satisfait</w:t>
            </w:r>
          </w:p>
        </w:tc>
        <w:tc>
          <w:tcPr>
            <w:tcW w:w="107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Pas satisfait</w:t>
            </w:r>
          </w:p>
        </w:tc>
        <w:tc>
          <w:tcPr>
            <w:tcW w:w="187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Pas du tout satisfait</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6"/>
        </w:numPr>
        <w:contextualSpacing/>
        <w:rPr>
          <w:rFonts w:ascii="Book Antiqua" w:hAnsi="Book Antiqua"/>
          <w:b/>
          <w:bCs/>
          <w:sz w:val="20"/>
          <w:szCs w:val="20"/>
          <w:u w:val="single"/>
        </w:rPr>
      </w:pPr>
      <w:r w:rsidRPr="00113477">
        <w:rPr>
          <w:rFonts w:ascii="Book Antiqua" w:hAnsi="Book Antiqua"/>
          <w:b/>
          <w:bCs/>
          <w:sz w:val="20"/>
          <w:szCs w:val="20"/>
          <w:u w:val="single"/>
        </w:rPr>
        <w:t>SATISFACTION SUR LES COÛTS</w:t>
      </w:r>
    </w:p>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Quelle est l’opinion de votre entreprise sur la politique d'information sur les tarifs de sa banque? </w:t>
      </w:r>
      <w:r w:rsidR="008B46CA" w:rsidRPr="00113477">
        <w:rPr>
          <w:rFonts w:ascii="Book Antiqua" w:hAnsi="Book Antiqua"/>
          <w:sz w:val="20"/>
          <w:szCs w:val="20"/>
        </w:rPr>
        <w:t xml:space="preserve"> </w:t>
      </w:r>
      <w:r w:rsidRPr="00113477">
        <w:rPr>
          <w:rFonts w:ascii="Book Antiqua" w:hAnsi="Book Antiqua"/>
          <w:sz w:val="20"/>
          <w:szCs w:val="20"/>
        </w:rPr>
        <w:t>|__|</w:t>
      </w:r>
    </w:p>
    <w:tbl>
      <w:tblPr>
        <w:tblW w:w="3254" w:type="pct"/>
        <w:jc w:val="center"/>
        <w:tblLook w:val="01E0"/>
      </w:tblPr>
      <w:tblGrid>
        <w:gridCol w:w="1423"/>
        <w:gridCol w:w="1378"/>
        <w:gridCol w:w="1788"/>
        <w:gridCol w:w="1788"/>
      </w:tblGrid>
      <w:tr w:rsidR="00F53A13" w:rsidRPr="00113477" w:rsidTr="00F53A13">
        <w:trPr>
          <w:jc w:val="center"/>
        </w:trPr>
        <w:tc>
          <w:tcPr>
            <w:tcW w:w="111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bonne</w:t>
            </w:r>
          </w:p>
        </w:tc>
        <w:tc>
          <w:tcPr>
            <w:tcW w:w="108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bonne</w:t>
            </w:r>
          </w:p>
        </w:tc>
        <w:tc>
          <w:tcPr>
            <w:tcW w:w="140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5=Mauvaise</w:t>
            </w:r>
          </w:p>
        </w:tc>
        <w:tc>
          <w:tcPr>
            <w:tcW w:w="140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Très mauvaise</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line="360" w:lineRule="auto"/>
        <w:jc w:val="both"/>
        <w:rPr>
          <w:rFonts w:ascii="Book Antiqua" w:hAnsi="Book Antiqua"/>
          <w:sz w:val="20"/>
          <w:szCs w:val="20"/>
        </w:rPr>
      </w:pPr>
      <w:r w:rsidRPr="00113477">
        <w:rPr>
          <w:rFonts w:ascii="Book Antiqua" w:hAnsi="Book Antiqua"/>
          <w:sz w:val="20"/>
          <w:szCs w:val="20"/>
        </w:rPr>
        <w:t>Depuis le 1</w:t>
      </w:r>
      <w:r w:rsidRPr="00113477">
        <w:rPr>
          <w:rFonts w:ascii="Book Antiqua" w:hAnsi="Book Antiqua"/>
          <w:sz w:val="20"/>
          <w:szCs w:val="20"/>
          <w:vertAlign w:val="superscript"/>
        </w:rPr>
        <w:t>er</w:t>
      </w:r>
      <w:r w:rsidRPr="00113477">
        <w:rPr>
          <w:rFonts w:ascii="Book Antiqua" w:hAnsi="Book Antiqua"/>
          <w:sz w:val="20"/>
          <w:szCs w:val="20"/>
        </w:rPr>
        <w:t xml:space="preserve"> octobre 2014, avez-vous noté sur vos relevés la</w:t>
      </w:r>
      <w:r w:rsidR="008B46CA" w:rsidRPr="00113477">
        <w:rPr>
          <w:rFonts w:ascii="Book Antiqua" w:hAnsi="Book Antiqua"/>
          <w:sz w:val="20"/>
          <w:szCs w:val="20"/>
        </w:rPr>
        <w:t xml:space="preserve"> gratuité de certains services </w:t>
      </w:r>
      <w:r w:rsidRPr="00113477">
        <w:rPr>
          <w:rFonts w:ascii="Book Antiqua" w:hAnsi="Book Antiqua"/>
          <w:sz w:val="20"/>
          <w:szCs w:val="20"/>
        </w:rPr>
        <w:t>|__|</w:t>
      </w:r>
    </w:p>
    <w:tbl>
      <w:tblPr>
        <w:tblW w:w="1919" w:type="pct"/>
        <w:tblInd w:w="804" w:type="dxa"/>
        <w:tblLook w:val="01E0"/>
      </w:tblPr>
      <w:tblGrid>
        <w:gridCol w:w="1836"/>
        <w:gridCol w:w="1924"/>
      </w:tblGrid>
      <w:tr w:rsidR="00F53A13" w:rsidRPr="00113477" w:rsidTr="00F53A13">
        <w:tc>
          <w:tcPr>
            <w:tcW w:w="244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Oui</w:t>
            </w:r>
          </w:p>
        </w:tc>
        <w:tc>
          <w:tcPr>
            <w:tcW w:w="2559"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Non</w:t>
            </w:r>
          </w:p>
        </w:tc>
      </w:tr>
    </w:tbl>
    <w:p w:rsidR="00F53A13" w:rsidRPr="00113477" w:rsidRDefault="00F53A13" w:rsidP="00F53A13">
      <w:pPr>
        <w:spacing w:line="360" w:lineRule="auto"/>
        <w:ind w:left="360"/>
        <w:rPr>
          <w:rFonts w:ascii="Book Antiqua" w:hAnsi="Book Antiqua"/>
          <w:sz w:val="20"/>
          <w:szCs w:val="20"/>
        </w:rPr>
      </w:pPr>
    </w:p>
    <w:p w:rsidR="00F53A13" w:rsidRPr="00113477" w:rsidRDefault="00F53A13" w:rsidP="004272B8">
      <w:pPr>
        <w:numPr>
          <w:ilvl w:val="0"/>
          <w:numId w:val="65"/>
        </w:numPr>
        <w:spacing w:line="360" w:lineRule="auto"/>
        <w:rPr>
          <w:rFonts w:ascii="Book Antiqua" w:hAnsi="Book Antiqua"/>
          <w:sz w:val="20"/>
          <w:szCs w:val="20"/>
        </w:rPr>
      </w:pPr>
      <w:r w:rsidRPr="00113477">
        <w:rPr>
          <w:rFonts w:ascii="Book Antiqua" w:hAnsi="Book Antiqua"/>
          <w:sz w:val="20"/>
          <w:szCs w:val="20"/>
        </w:rPr>
        <w:t>Êtes-vous au courant que 19 services sont offerts à titre gratuit depuis le 1</w:t>
      </w:r>
      <w:r w:rsidRPr="00113477">
        <w:rPr>
          <w:rFonts w:ascii="Book Antiqua" w:hAnsi="Book Antiqua"/>
          <w:sz w:val="20"/>
          <w:szCs w:val="20"/>
          <w:vertAlign w:val="superscript"/>
        </w:rPr>
        <w:t>er</w:t>
      </w:r>
      <w:r w:rsidRPr="00113477">
        <w:rPr>
          <w:rFonts w:ascii="Book Antiqua" w:hAnsi="Book Antiqua"/>
          <w:sz w:val="20"/>
          <w:szCs w:val="20"/>
        </w:rPr>
        <w:t xml:space="preserve"> octobre 2014 ? |__|</w:t>
      </w:r>
    </w:p>
    <w:tbl>
      <w:tblPr>
        <w:tblW w:w="1919" w:type="pct"/>
        <w:tblInd w:w="804" w:type="dxa"/>
        <w:tblLook w:val="01E0"/>
      </w:tblPr>
      <w:tblGrid>
        <w:gridCol w:w="1836"/>
        <w:gridCol w:w="1924"/>
      </w:tblGrid>
      <w:tr w:rsidR="00F53A13" w:rsidRPr="00113477" w:rsidTr="00F53A13">
        <w:tc>
          <w:tcPr>
            <w:tcW w:w="244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Oui</w:t>
            </w:r>
          </w:p>
        </w:tc>
        <w:tc>
          <w:tcPr>
            <w:tcW w:w="2559"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Non</w:t>
            </w:r>
          </w:p>
        </w:tc>
      </w:tr>
    </w:tbl>
    <w:p w:rsidR="00F53A13" w:rsidRPr="00113477" w:rsidRDefault="00F53A13" w:rsidP="00F53A13">
      <w:pPr>
        <w:spacing w:line="360" w:lineRule="auto"/>
        <w:ind w:left="360"/>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lesquels </w:t>
      </w:r>
      <w:r w:rsidRPr="00113477">
        <w:rPr>
          <w:rFonts w:ascii="Book Antiqua" w:hAnsi="Book Antiqua"/>
          <w:i/>
          <w:sz w:val="20"/>
          <w:szCs w:val="20"/>
        </w:rPr>
        <w:t>?</w:t>
      </w:r>
      <w:r w:rsidRPr="00113477">
        <w:rPr>
          <w:rFonts w:ascii="Book Antiqua" w:hAnsi="Book Antiqua"/>
          <w:sz w:val="20"/>
          <w:szCs w:val="20"/>
        </w:rPr>
        <w:t>….…..........................………..….............….…..........................………..….............….….......................</w:t>
      </w:r>
    </w:p>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line="360" w:lineRule="auto"/>
        <w:jc w:val="both"/>
        <w:rPr>
          <w:rFonts w:ascii="Book Antiqua" w:hAnsi="Book Antiqua"/>
          <w:sz w:val="20"/>
          <w:szCs w:val="20"/>
        </w:rPr>
      </w:pPr>
      <w:r w:rsidRPr="00113477">
        <w:rPr>
          <w:rFonts w:ascii="Book Antiqua" w:hAnsi="Book Antiqua"/>
          <w:sz w:val="20"/>
          <w:szCs w:val="20"/>
        </w:rPr>
        <w:t xml:space="preserve">Si votre entreprise évolue dans le </w:t>
      </w:r>
      <w:r w:rsidRPr="00113477">
        <w:rPr>
          <w:rFonts w:ascii="Book Antiqua" w:hAnsi="Book Antiqua"/>
          <w:b/>
          <w:sz w:val="20"/>
          <w:szCs w:val="20"/>
        </w:rPr>
        <w:t>secteur du</w:t>
      </w:r>
      <w:r w:rsidR="008B46CA" w:rsidRPr="00113477">
        <w:rPr>
          <w:rFonts w:ascii="Book Antiqua" w:hAnsi="Book Antiqua"/>
          <w:b/>
          <w:sz w:val="20"/>
          <w:szCs w:val="20"/>
        </w:rPr>
        <w:t xml:space="preserve"> </w:t>
      </w:r>
      <w:r w:rsidRPr="00113477">
        <w:rPr>
          <w:rFonts w:ascii="Book Antiqua" w:hAnsi="Book Antiqua"/>
          <w:b/>
          <w:sz w:val="20"/>
          <w:szCs w:val="20"/>
        </w:rPr>
        <w:t>commerce ou des services</w:t>
      </w:r>
      <w:r w:rsidRPr="00113477">
        <w:rPr>
          <w:rFonts w:ascii="Book Antiqua" w:hAnsi="Book Antiqua"/>
          <w:sz w:val="20"/>
          <w:szCs w:val="20"/>
        </w:rPr>
        <w:t>, disposez-vous d’un (TPE)</w:t>
      </w:r>
      <w:r w:rsidR="008B46CA" w:rsidRPr="00113477">
        <w:rPr>
          <w:rFonts w:ascii="Book Antiqua" w:hAnsi="Book Antiqua"/>
          <w:sz w:val="20"/>
          <w:szCs w:val="20"/>
        </w:rPr>
        <w:t xml:space="preserve"> </w:t>
      </w:r>
      <w:r w:rsidRPr="00113477">
        <w:rPr>
          <w:rFonts w:ascii="Book Antiqua" w:hAnsi="Book Antiqua"/>
          <w:sz w:val="20"/>
          <w:szCs w:val="20"/>
        </w:rPr>
        <w:t>|__|</w:t>
      </w:r>
    </w:p>
    <w:tbl>
      <w:tblPr>
        <w:tblW w:w="1866" w:type="pct"/>
        <w:tblInd w:w="804" w:type="dxa"/>
        <w:tblLook w:val="01E0"/>
      </w:tblPr>
      <w:tblGrid>
        <w:gridCol w:w="1767"/>
        <w:gridCol w:w="1890"/>
      </w:tblGrid>
      <w:tr w:rsidR="00F53A13" w:rsidRPr="00113477" w:rsidTr="00F53A13">
        <w:tc>
          <w:tcPr>
            <w:tcW w:w="2416"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Oui</w:t>
            </w:r>
          </w:p>
        </w:tc>
        <w:tc>
          <w:tcPr>
            <w:tcW w:w="258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2=Non</w:t>
            </w:r>
          </w:p>
        </w:tc>
      </w:tr>
    </w:tbl>
    <w:p w:rsidR="00F53A13" w:rsidRPr="00113477" w:rsidRDefault="00F53A13" w:rsidP="00F53A13">
      <w:pPr>
        <w:spacing w:line="360" w:lineRule="auto"/>
        <w:rPr>
          <w:rFonts w:ascii="Book Antiqua" w:hAnsi="Book Antiqua"/>
          <w:sz w:val="20"/>
          <w:szCs w:val="20"/>
        </w:rPr>
      </w:pPr>
    </w:p>
    <w:p w:rsidR="00F53A13" w:rsidRPr="00113477" w:rsidRDefault="00F53A13" w:rsidP="004272B8">
      <w:pPr>
        <w:numPr>
          <w:ilvl w:val="1"/>
          <w:numId w:val="65"/>
        </w:numPr>
        <w:spacing w:line="360" w:lineRule="auto"/>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non</w:t>
      </w:r>
      <w:r w:rsidRPr="00113477">
        <w:rPr>
          <w:rFonts w:ascii="Book Antiqua" w:hAnsi="Book Antiqua"/>
          <w:sz w:val="20"/>
          <w:szCs w:val="20"/>
        </w:rPr>
        <w:t>, pour quelles raisons ? |__|</w:t>
      </w:r>
    </w:p>
    <w:tbl>
      <w:tblPr>
        <w:tblW w:w="4026" w:type="pct"/>
        <w:tblInd w:w="804" w:type="dxa"/>
        <w:tblLook w:val="01E0"/>
      </w:tblPr>
      <w:tblGrid>
        <w:gridCol w:w="2063"/>
        <w:gridCol w:w="5826"/>
      </w:tblGrid>
      <w:tr w:rsidR="00F53A13" w:rsidRPr="00113477" w:rsidTr="00F53A13">
        <w:tc>
          <w:tcPr>
            <w:tcW w:w="151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Frais élevés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2= Je n’ai pas confiance</w:t>
            </w:r>
          </w:p>
        </w:tc>
        <w:tc>
          <w:tcPr>
            <w:tcW w:w="3488"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Mes clients ne l’utiliseront pas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4=Autre (préciser)……………………………………………………………….</w:t>
            </w:r>
          </w:p>
        </w:tc>
      </w:tr>
    </w:tbl>
    <w:p w:rsidR="00F53A13" w:rsidRPr="00113477" w:rsidRDefault="00F53A13" w:rsidP="00F53A13">
      <w:pPr>
        <w:spacing w:line="360" w:lineRule="auto"/>
        <w:rPr>
          <w:rFonts w:ascii="Book Antiqua" w:hAnsi="Book Antiqua"/>
          <w:sz w:val="20"/>
          <w:szCs w:val="20"/>
        </w:rPr>
      </w:pPr>
    </w:p>
    <w:p w:rsidR="00F53A13" w:rsidRPr="00113477" w:rsidRDefault="00F53A13" w:rsidP="004272B8">
      <w:pPr>
        <w:numPr>
          <w:ilvl w:val="1"/>
          <w:numId w:val="65"/>
        </w:numPr>
        <w:spacing w:line="360" w:lineRule="auto"/>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que pensez-vous des frais y afférents ?</w:t>
      </w:r>
      <w:r w:rsidR="007D1808" w:rsidRPr="00113477">
        <w:rPr>
          <w:rFonts w:ascii="Book Antiqua" w:hAnsi="Book Antiqua"/>
          <w:sz w:val="20"/>
          <w:szCs w:val="20"/>
        </w:rPr>
        <w:t xml:space="preserve"> </w:t>
      </w:r>
      <w:proofErr w:type="gramStart"/>
      <w:r w:rsidRPr="00113477">
        <w:rPr>
          <w:rFonts w:ascii="Book Antiqua" w:hAnsi="Book Antiqua"/>
          <w:sz w:val="20"/>
          <w:szCs w:val="20"/>
        </w:rPr>
        <w:t>|</w:t>
      </w:r>
      <w:proofErr w:type="gramEnd"/>
      <w:r w:rsidRPr="00113477">
        <w:rPr>
          <w:rFonts w:ascii="Book Antiqua" w:hAnsi="Book Antiqua"/>
          <w:sz w:val="20"/>
          <w:szCs w:val="20"/>
        </w:rPr>
        <w:t>__|</w:t>
      </w:r>
    </w:p>
    <w:tbl>
      <w:tblPr>
        <w:tblW w:w="3325" w:type="pct"/>
        <w:jc w:val="center"/>
        <w:tblLook w:val="01E0"/>
      </w:tblPr>
      <w:tblGrid>
        <w:gridCol w:w="1972"/>
        <w:gridCol w:w="1745"/>
        <w:gridCol w:w="1285"/>
        <w:gridCol w:w="1514"/>
      </w:tblGrid>
      <w:tr w:rsidR="00F53A13" w:rsidRPr="00113477" w:rsidTr="00F53A13">
        <w:trPr>
          <w:jc w:val="center"/>
        </w:trPr>
        <w:tc>
          <w:tcPr>
            <w:tcW w:w="151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raisonnable</w:t>
            </w:r>
          </w:p>
        </w:tc>
        <w:tc>
          <w:tcPr>
            <w:tcW w:w="1339"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Raisonnable</w:t>
            </w:r>
          </w:p>
        </w:tc>
        <w:tc>
          <w:tcPr>
            <w:tcW w:w="986"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C</w:t>
            </w:r>
            <w:r w:rsidRPr="00113477">
              <w:rPr>
                <w:rFonts w:ascii="Book Antiqua" w:hAnsi="Book Antiqua"/>
                <w:i/>
                <w:sz w:val="20"/>
                <w:szCs w:val="20"/>
              </w:rPr>
              <w:t>her</w:t>
            </w:r>
          </w:p>
        </w:tc>
        <w:tc>
          <w:tcPr>
            <w:tcW w:w="116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4=Très cher</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 xml:space="preserve">Votre entreprise a-t-elle bénéficié au cours des </w:t>
      </w:r>
      <w:r w:rsidRPr="00113477">
        <w:rPr>
          <w:rFonts w:ascii="Book Antiqua" w:hAnsi="Book Antiqua"/>
          <w:b/>
          <w:sz w:val="20"/>
          <w:szCs w:val="20"/>
        </w:rPr>
        <w:t>trois dernières années</w:t>
      </w:r>
      <w:r w:rsidRPr="00113477">
        <w:rPr>
          <w:rFonts w:ascii="Book Antiqua" w:hAnsi="Book Antiqua"/>
          <w:sz w:val="20"/>
          <w:szCs w:val="20"/>
        </w:rPr>
        <w:t xml:space="preserve"> d’u</w:t>
      </w:r>
      <w:r w:rsidR="00205234">
        <w:rPr>
          <w:rFonts w:ascii="Book Antiqua" w:hAnsi="Book Antiqua"/>
          <w:sz w:val="20"/>
          <w:szCs w:val="20"/>
        </w:rPr>
        <w:t>n crédit auprès de sa banque ?</w:t>
      </w:r>
      <w:r w:rsidRPr="00113477">
        <w:rPr>
          <w:rFonts w:ascii="Book Antiqua" w:hAnsi="Book Antiqua"/>
          <w:sz w:val="20"/>
          <w:szCs w:val="20"/>
        </w:rPr>
        <w:t>|__|</w:t>
      </w:r>
    </w:p>
    <w:tbl>
      <w:tblPr>
        <w:tblW w:w="3512" w:type="pct"/>
        <w:jc w:val="center"/>
        <w:tblLook w:val="01E0"/>
      </w:tblPr>
      <w:tblGrid>
        <w:gridCol w:w="1238"/>
        <w:gridCol w:w="2478"/>
        <w:gridCol w:w="3166"/>
      </w:tblGrid>
      <w:tr w:rsidR="00F53A13" w:rsidRPr="00113477" w:rsidTr="00F53A13">
        <w:trPr>
          <w:jc w:val="center"/>
        </w:trPr>
        <w:tc>
          <w:tcPr>
            <w:tcW w:w="900"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Oui</w:t>
            </w:r>
          </w:p>
        </w:tc>
        <w:tc>
          <w:tcPr>
            <w:tcW w:w="1800"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Non, Demande refusée</w:t>
            </w:r>
          </w:p>
        </w:tc>
        <w:tc>
          <w:tcPr>
            <w:tcW w:w="2300"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Non, Jamais introduit de demande</w:t>
            </w:r>
          </w:p>
        </w:tc>
      </w:tr>
    </w:tbl>
    <w:p w:rsidR="00F53A13" w:rsidRPr="00113477" w:rsidRDefault="00F53A13" w:rsidP="00F53A13">
      <w:pPr>
        <w:contextualSpacing/>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w:t>
      </w:r>
    </w:p>
    <w:p w:rsidR="00F53A13" w:rsidRPr="00113477" w:rsidRDefault="00F53A13" w:rsidP="004272B8">
      <w:pPr>
        <w:pStyle w:val="Paragraphedeliste"/>
        <w:numPr>
          <w:ilvl w:val="1"/>
          <w:numId w:val="65"/>
        </w:numPr>
        <w:spacing w:after="120"/>
        <w:ind w:left="788" w:hanging="431"/>
        <w:contextualSpacing w:val="0"/>
        <w:jc w:val="both"/>
        <w:rPr>
          <w:rFonts w:ascii="Book Antiqua" w:hAnsi="Book Antiqua"/>
          <w:sz w:val="20"/>
          <w:szCs w:val="20"/>
        </w:rPr>
      </w:pPr>
      <w:r w:rsidRPr="00113477">
        <w:rPr>
          <w:rFonts w:ascii="Book Antiqua" w:hAnsi="Book Antiqua"/>
          <w:sz w:val="20"/>
          <w:szCs w:val="20"/>
        </w:rPr>
        <w:t xml:space="preserve">De quelle(s) nature(s) ? </w:t>
      </w:r>
      <w:r w:rsidRPr="00113477">
        <w:rPr>
          <w:rFonts w:ascii="Book Antiqua" w:hAnsi="Book Antiqua"/>
          <w:i/>
          <w:sz w:val="20"/>
          <w:szCs w:val="20"/>
        </w:rPr>
        <w:t>(entourer les codes correspondants)</w:t>
      </w:r>
    </w:p>
    <w:tbl>
      <w:tblPr>
        <w:tblW w:w="4354" w:type="pct"/>
        <w:jc w:val="center"/>
        <w:tblLook w:val="01E0"/>
      </w:tblPr>
      <w:tblGrid>
        <w:gridCol w:w="2339"/>
        <w:gridCol w:w="2476"/>
        <w:gridCol w:w="3717"/>
      </w:tblGrid>
      <w:tr w:rsidR="00F53A13" w:rsidRPr="00113477" w:rsidTr="00F53A13">
        <w:trPr>
          <w:jc w:val="center"/>
        </w:trPr>
        <w:tc>
          <w:tcPr>
            <w:tcW w:w="1371" w:type="pct"/>
          </w:tcPr>
          <w:p w:rsidR="00F53A13" w:rsidRPr="00113477" w:rsidRDefault="00F53A13" w:rsidP="00F53A13">
            <w:pPr>
              <w:rPr>
                <w:rFonts w:ascii="Book Antiqua" w:hAnsi="Book Antiqua"/>
                <w:b/>
                <w:i/>
                <w:sz w:val="20"/>
                <w:szCs w:val="20"/>
              </w:rPr>
            </w:pPr>
            <w:r w:rsidRPr="00113477">
              <w:rPr>
                <w:rFonts w:ascii="Book Antiqua" w:hAnsi="Book Antiqua"/>
                <w:i/>
                <w:sz w:val="20"/>
                <w:szCs w:val="20"/>
              </w:rPr>
              <w:t>1</w:t>
            </w:r>
            <w:r w:rsidRPr="00113477">
              <w:rPr>
                <w:rFonts w:ascii="Book Antiqua" w:hAnsi="Book Antiqua"/>
                <w:b/>
                <w:i/>
                <w:sz w:val="20"/>
                <w:szCs w:val="20"/>
              </w:rPr>
              <w:t xml:space="preserve">= </w:t>
            </w:r>
            <w:r w:rsidRPr="00113477">
              <w:rPr>
                <w:rStyle w:val="lev"/>
                <w:rFonts w:ascii="Book Antiqua" w:hAnsi="Book Antiqua"/>
                <w:i/>
                <w:sz w:val="20"/>
                <w:szCs w:val="20"/>
              </w:rPr>
              <w:t>Fonctionnement</w:t>
            </w:r>
          </w:p>
          <w:p w:rsidR="00F53A13" w:rsidRPr="00113477" w:rsidRDefault="00F53A13" w:rsidP="00F53A13">
            <w:pPr>
              <w:rPr>
                <w:rFonts w:ascii="Book Antiqua" w:hAnsi="Book Antiqua"/>
                <w:i/>
                <w:sz w:val="20"/>
                <w:szCs w:val="20"/>
              </w:rPr>
            </w:pPr>
            <w:r w:rsidRPr="00113477">
              <w:rPr>
                <w:rFonts w:ascii="Book Antiqua" w:hAnsi="Book Antiqua"/>
                <w:i/>
                <w:sz w:val="20"/>
                <w:szCs w:val="20"/>
              </w:rPr>
              <w:t xml:space="preserve">2= Investissement </w:t>
            </w:r>
          </w:p>
        </w:tc>
        <w:tc>
          <w:tcPr>
            <w:tcW w:w="145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3=Crédit documentaire</w:t>
            </w:r>
          </w:p>
          <w:p w:rsidR="00F53A13" w:rsidRPr="00113477" w:rsidRDefault="00F53A13" w:rsidP="00F53A13">
            <w:pPr>
              <w:rPr>
                <w:rFonts w:ascii="Book Antiqua" w:hAnsi="Book Antiqua"/>
                <w:i/>
                <w:sz w:val="20"/>
                <w:szCs w:val="20"/>
              </w:rPr>
            </w:pPr>
            <w:r w:rsidRPr="00113477">
              <w:rPr>
                <w:rFonts w:ascii="Book Antiqua" w:hAnsi="Book Antiqua"/>
                <w:i/>
                <w:sz w:val="20"/>
                <w:szCs w:val="20"/>
              </w:rPr>
              <w:t>4 = Escompte</w:t>
            </w:r>
          </w:p>
        </w:tc>
        <w:tc>
          <w:tcPr>
            <w:tcW w:w="2178"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 Crédit-bail</w:t>
            </w:r>
          </w:p>
          <w:p w:rsidR="00F53A13" w:rsidRPr="00113477" w:rsidRDefault="00F53A13" w:rsidP="00F53A13">
            <w:pPr>
              <w:rPr>
                <w:rFonts w:ascii="Book Antiqua" w:hAnsi="Book Antiqua"/>
                <w:i/>
                <w:sz w:val="20"/>
                <w:szCs w:val="20"/>
              </w:rPr>
            </w:pPr>
            <w:r w:rsidRPr="00113477">
              <w:rPr>
                <w:rFonts w:ascii="Book Antiqua" w:hAnsi="Book Antiqua"/>
                <w:i/>
                <w:sz w:val="20"/>
                <w:szCs w:val="20"/>
              </w:rPr>
              <w:t>6=Autres (Préciser)………………………..…...….</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1"/>
          <w:numId w:val="65"/>
        </w:numPr>
        <w:spacing w:line="360" w:lineRule="auto"/>
        <w:contextualSpacing/>
        <w:jc w:val="both"/>
        <w:rPr>
          <w:rFonts w:ascii="Book Antiqua" w:hAnsi="Book Antiqua"/>
          <w:sz w:val="20"/>
          <w:szCs w:val="20"/>
        </w:rPr>
      </w:pPr>
      <w:r w:rsidRPr="00113477">
        <w:rPr>
          <w:rFonts w:ascii="Book Antiqua" w:hAnsi="Book Antiqua"/>
          <w:sz w:val="20"/>
          <w:szCs w:val="20"/>
        </w:rPr>
        <w:t>Avant la signature de votre convention, comment avez-vou</w:t>
      </w:r>
      <w:r w:rsidR="008B46CA" w:rsidRPr="00113477">
        <w:rPr>
          <w:rFonts w:ascii="Book Antiqua" w:hAnsi="Book Antiqua"/>
          <w:sz w:val="20"/>
          <w:szCs w:val="20"/>
        </w:rPr>
        <w:t>s é</w:t>
      </w:r>
      <w:r w:rsidR="00205234">
        <w:rPr>
          <w:rFonts w:ascii="Book Antiqua" w:hAnsi="Book Antiqua"/>
          <w:sz w:val="20"/>
          <w:szCs w:val="20"/>
        </w:rPr>
        <w:t>té informé du TEG appliqué ?</w:t>
      </w:r>
      <w:r w:rsidRPr="00113477">
        <w:rPr>
          <w:rFonts w:ascii="Book Antiqua" w:hAnsi="Book Antiqua"/>
          <w:sz w:val="20"/>
          <w:szCs w:val="20"/>
        </w:rPr>
        <w:t>|__|</w:t>
      </w:r>
    </w:p>
    <w:tbl>
      <w:tblPr>
        <w:tblW w:w="4602" w:type="pct"/>
        <w:tblInd w:w="804" w:type="dxa"/>
        <w:tblLook w:val="01E0"/>
      </w:tblPr>
      <w:tblGrid>
        <w:gridCol w:w="1835"/>
        <w:gridCol w:w="1926"/>
        <w:gridCol w:w="5257"/>
      </w:tblGrid>
      <w:tr w:rsidR="00F53A13" w:rsidRPr="00113477" w:rsidTr="00F53A13">
        <w:tc>
          <w:tcPr>
            <w:tcW w:w="101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Par écrit</w:t>
            </w:r>
          </w:p>
        </w:tc>
        <w:tc>
          <w:tcPr>
            <w:tcW w:w="1068"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Oralement.</w:t>
            </w:r>
          </w:p>
        </w:tc>
        <w:tc>
          <w:tcPr>
            <w:tcW w:w="291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3=Pas informé</w:t>
            </w:r>
          </w:p>
        </w:tc>
      </w:tr>
    </w:tbl>
    <w:p w:rsidR="00F53A13" w:rsidRPr="00113477" w:rsidRDefault="00F53A13" w:rsidP="00F53A13">
      <w:pPr>
        <w:rPr>
          <w:rFonts w:ascii="Book Antiqua" w:hAnsi="Book Antiqua"/>
          <w:sz w:val="20"/>
          <w:szCs w:val="20"/>
        </w:rPr>
      </w:pPr>
    </w:p>
    <w:p w:rsidR="00F53A13" w:rsidRPr="00113477" w:rsidRDefault="00F53A13" w:rsidP="004272B8">
      <w:pPr>
        <w:pStyle w:val="Paragraphedeliste"/>
        <w:numPr>
          <w:ilvl w:val="1"/>
          <w:numId w:val="65"/>
        </w:numPr>
        <w:spacing w:after="120"/>
        <w:ind w:left="788" w:hanging="431"/>
        <w:contextualSpacing w:val="0"/>
        <w:jc w:val="both"/>
        <w:rPr>
          <w:rFonts w:ascii="Book Antiqua" w:hAnsi="Book Antiqua"/>
          <w:sz w:val="20"/>
          <w:szCs w:val="20"/>
        </w:rPr>
      </w:pPr>
      <w:r w:rsidRPr="00113477">
        <w:rPr>
          <w:rFonts w:ascii="Book Antiqua" w:hAnsi="Book Antiqua"/>
          <w:sz w:val="20"/>
          <w:szCs w:val="20"/>
        </w:rPr>
        <w:lastRenderedPageBreak/>
        <w:t>Quelles sont les principales garanties assorties à ces crédits </w:t>
      </w:r>
      <w:proofErr w:type="gramStart"/>
      <w:r w:rsidRPr="00113477">
        <w:rPr>
          <w:rFonts w:ascii="Book Antiqua" w:hAnsi="Book Antiqua"/>
          <w:sz w:val="20"/>
          <w:szCs w:val="20"/>
        </w:rPr>
        <w:t>?</w:t>
      </w:r>
      <w:r w:rsidRPr="00113477">
        <w:rPr>
          <w:rFonts w:ascii="Book Antiqua" w:hAnsi="Book Antiqua"/>
          <w:i/>
          <w:sz w:val="20"/>
          <w:szCs w:val="20"/>
        </w:rPr>
        <w:t>(</w:t>
      </w:r>
      <w:proofErr w:type="gramEnd"/>
      <w:r w:rsidRPr="00113477">
        <w:rPr>
          <w:rFonts w:ascii="Book Antiqua" w:hAnsi="Book Antiqua"/>
          <w:i/>
          <w:sz w:val="20"/>
          <w:szCs w:val="20"/>
        </w:rPr>
        <w:t>entourer les codes correspondants)</w:t>
      </w:r>
    </w:p>
    <w:tbl>
      <w:tblPr>
        <w:tblW w:w="4565" w:type="pct"/>
        <w:jc w:val="center"/>
        <w:tblLook w:val="01E0"/>
      </w:tblPr>
      <w:tblGrid>
        <w:gridCol w:w="1853"/>
        <w:gridCol w:w="2136"/>
        <w:gridCol w:w="2203"/>
        <w:gridCol w:w="2754"/>
      </w:tblGrid>
      <w:tr w:rsidR="00F53A13" w:rsidRPr="00113477" w:rsidTr="00F53A13">
        <w:trPr>
          <w:jc w:val="center"/>
        </w:trPr>
        <w:tc>
          <w:tcPr>
            <w:tcW w:w="1036" w:type="pct"/>
          </w:tcPr>
          <w:p w:rsidR="00F53A13" w:rsidRPr="00113477" w:rsidRDefault="00F53A13" w:rsidP="00F53A13">
            <w:pPr>
              <w:rPr>
                <w:rFonts w:ascii="Book Antiqua" w:hAnsi="Book Antiqua"/>
                <w:b/>
                <w:i/>
                <w:sz w:val="20"/>
                <w:szCs w:val="20"/>
              </w:rPr>
            </w:pPr>
            <w:r w:rsidRPr="00113477">
              <w:rPr>
                <w:rFonts w:ascii="Book Antiqua" w:hAnsi="Book Antiqua"/>
                <w:i/>
                <w:sz w:val="20"/>
                <w:szCs w:val="20"/>
              </w:rPr>
              <w:t>1=</w:t>
            </w:r>
            <w:r w:rsidRPr="00113477">
              <w:rPr>
                <w:rStyle w:val="lev"/>
                <w:rFonts w:ascii="Book Antiqua" w:hAnsi="Book Antiqua"/>
                <w:i/>
                <w:sz w:val="20"/>
                <w:szCs w:val="20"/>
              </w:rPr>
              <w:t>Hypothèques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 xml:space="preserve">2=Nantissement </w:t>
            </w:r>
          </w:p>
        </w:tc>
        <w:tc>
          <w:tcPr>
            <w:tcW w:w="119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3=Gages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4=Assurance-crédit</w:t>
            </w:r>
          </w:p>
        </w:tc>
        <w:tc>
          <w:tcPr>
            <w:tcW w:w="123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 = Cautions et Avals</w:t>
            </w:r>
          </w:p>
          <w:p w:rsidR="00F53A13" w:rsidRPr="00113477" w:rsidRDefault="00F53A13" w:rsidP="00F53A13">
            <w:pPr>
              <w:rPr>
                <w:rFonts w:ascii="Book Antiqua" w:hAnsi="Book Antiqua"/>
                <w:i/>
                <w:sz w:val="20"/>
                <w:szCs w:val="20"/>
              </w:rPr>
            </w:pPr>
            <w:r w:rsidRPr="00113477">
              <w:rPr>
                <w:rFonts w:ascii="Book Antiqua" w:hAnsi="Book Antiqua"/>
                <w:i/>
                <w:sz w:val="20"/>
                <w:szCs w:val="20"/>
              </w:rPr>
              <w:t>6= Warrantage</w:t>
            </w:r>
          </w:p>
        </w:tc>
        <w:tc>
          <w:tcPr>
            <w:tcW w:w="1539"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7=Autres (Préciser)……………..</w:t>
            </w:r>
          </w:p>
        </w:tc>
      </w:tr>
    </w:tbl>
    <w:p w:rsidR="00F53A13" w:rsidRPr="00113477" w:rsidRDefault="00F53A13" w:rsidP="00F53A13">
      <w:pPr>
        <w:rPr>
          <w:rFonts w:ascii="Book Antiqua" w:hAnsi="Book Antiqua"/>
          <w:sz w:val="20"/>
          <w:szCs w:val="20"/>
        </w:rPr>
      </w:pPr>
    </w:p>
    <w:p w:rsidR="00F53A13" w:rsidRPr="00113477" w:rsidRDefault="00F53A13" w:rsidP="004272B8">
      <w:pPr>
        <w:pStyle w:val="Paragraphedeliste"/>
        <w:numPr>
          <w:ilvl w:val="1"/>
          <w:numId w:val="65"/>
        </w:numPr>
        <w:spacing w:after="120"/>
        <w:ind w:left="788" w:hanging="431"/>
        <w:contextualSpacing w:val="0"/>
        <w:jc w:val="both"/>
        <w:rPr>
          <w:rFonts w:ascii="Book Antiqua" w:hAnsi="Book Antiqua"/>
          <w:sz w:val="20"/>
          <w:szCs w:val="20"/>
        </w:rPr>
      </w:pPr>
      <w:r w:rsidRPr="00113477">
        <w:rPr>
          <w:rFonts w:ascii="Book Antiqua" w:hAnsi="Book Antiqua"/>
          <w:sz w:val="20"/>
          <w:szCs w:val="20"/>
        </w:rPr>
        <w:t>Comment votre entreprise juge-t-elle ces garanties ? |__|</w:t>
      </w:r>
    </w:p>
    <w:tbl>
      <w:tblPr>
        <w:tblW w:w="3886" w:type="pct"/>
        <w:jc w:val="center"/>
        <w:tblLook w:val="01E0"/>
      </w:tblPr>
      <w:tblGrid>
        <w:gridCol w:w="1973"/>
        <w:gridCol w:w="1515"/>
        <w:gridCol w:w="1788"/>
        <w:gridCol w:w="2339"/>
      </w:tblGrid>
      <w:tr w:rsidR="00F53A13" w:rsidRPr="00113477" w:rsidTr="00F53A13">
        <w:trPr>
          <w:jc w:val="center"/>
        </w:trPr>
        <w:tc>
          <w:tcPr>
            <w:tcW w:w="129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Trop contraignantes</w:t>
            </w:r>
          </w:p>
        </w:tc>
        <w:tc>
          <w:tcPr>
            <w:tcW w:w="99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Contraignantes</w:t>
            </w:r>
          </w:p>
        </w:tc>
        <w:tc>
          <w:tcPr>
            <w:tcW w:w="117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Pas contraignantes</w:t>
            </w:r>
          </w:p>
        </w:tc>
        <w:tc>
          <w:tcPr>
            <w:tcW w:w="1536"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Pas du tout contraignantes</w:t>
            </w:r>
          </w:p>
        </w:tc>
      </w:tr>
    </w:tbl>
    <w:p w:rsidR="00F53A13" w:rsidRPr="00113477" w:rsidRDefault="00F53A13" w:rsidP="00F53A13">
      <w:pPr>
        <w:rPr>
          <w:rFonts w:ascii="Book Antiqua" w:hAnsi="Book Antiqua"/>
          <w:sz w:val="20"/>
          <w:szCs w:val="20"/>
        </w:rPr>
      </w:pPr>
    </w:p>
    <w:p w:rsidR="00F53A13" w:rsidRPr="00113477" w:rsidRDefault="00F53A13" w:rsidP="004272B8">
      <w:pPr>
        <w:pStyle w:val="Paragraphedeliste"/>
        <w:numPr>
          <w:ilvl w:val="1"/>
          <w:numId w:val="65"/>
        </w:numPr>
        <w:spacing w:after="120"/>
        <w:contextualSpacing w:val="0"/>
        <w:jc w:val="both"/>
        <w:rPr>
          <w:rFonts w:ascii="Book Antiqua" w:hAnsi="Book Antiqua"/>
          <w:sz w:val="20"/>
          <w:szCs w:val="20"/>
        </w:rPr>
      </w:pPr>
      <w:r w:rsidRPr="00113477">
        <w:rPr>
          <w:rFonts w:ascii="Book Antiqua" w:hAnsi="Book Antiqua"/>
          <w:sz w:val="20"/>
          <w:szCs w:val="20"/>
        </w:rPr>
        <w:t>Votre banque a-t-elle interrogé votre entreprise sur ses autres engagements ?</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1763" w:type="pct"/>
        <w:jc w:val="center"/>
        <w:tblLook w:val="01E0"/>
      </w:tblPr>
      <w:tblGrid>
        <w:gridCol w:w="1513"/>
        <w:gridCol w:w="1942"/>
      </w:tblGrid>
      <w:tr w:rsidR="00F53A13" w:rsidRPr="00113477" w:rsidTr="00F53A13">
        <w:trPr>
          <w:jc w:val="center"/>
        </w:trPr>
        <w:tc>
          <w:tcPr>
            <w:tcW w:w="219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Oui</w:t>
            </w:r>
          </w:p>
        </w:tc>
        <w:tc>
          <w:tcPr>
            <w:tcW w:w="281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Non</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 xml:space="preserve">Votre entreprise a-t-elle fait des placements auprès de sa banque au cours des </w:t>
      </w:r>
      <w:r w:rsidRPr="00113477">
        <w:rPr>
          <w:rFonts w:ascii="Book Antiqua" w:hAnsi="Book Antiqua"/>
          <w:b/>
          <w:sz w:val="20"/>
          <w:szCs w:val="20"/>
        </w:rPr>
        <w:t>trois dernières années</w:t>
      </w:r>
      <w:r w:rsidR="007D1808">
        <w:rPr>
          <w:rFonts w:ascii="Book Antiqua" w:hAnsi="Book Antiqua"/>
          <w:sz w:val="20"/>
          <w:szCs w:val="20"/>
        </w:rPr>
        <w:t> ?</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1966" w:type="pct"/>
        <w:jc w:val="center"/>
        <w:tblLook w:val="01E0"/>
      </w:tblPr>
      <w:tblGrid>
        <w:gridCol w:w="1651"/>
        <w:gridCol w:w="2202"/>
      </w:tblGrid>
      <w:tr w:rsidR="00F53A13" w:rsidRPr="00113477" w:rsidTr="00F53A13">
        <w:trPr>
          <w:jc w:val="center"/>
        </w:trPr>
        <w:tc>
          <w:tcPr>
            <w:tcW w:w="2143"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Oui</w:t>
            </w:r>
          </w:p>
        </w:tc>
        <w:tc>
          <w:tcPr>
            <w:tcW w:w="2857"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Non</w:t>
            </w:r>
          </w:p>
        </w:tc>
      </w:tr>
    </w:tbl>
    <w:p w:rsidR="00F53A13" w:rsidRPr="00113477" w:rsidRDefault="00F53A13" w:rsidP="004272B8">
      <w:pPr>
        <w:pStyle w:val="Paragraphedeliste"/>
        <w:numPr>
          <w:ilvl w:val="1"/>
          <w:numId w:val="65"/>
        </w:numPr>
        <w:spacing w:after="120"/>
        <w:ind w:left="788" w:hanging="431"/>
        <w:contextualSpacing w:val="0"/>
        <w:rPr>
          <w:rFonts w:ascii="Book Antiqua" w:hAnsi="Book Antiqua"/>
          <w:sz w:val="20"/>
          <w:szCs w:val="20"/>
        </w:rPr>
      </w:pPr>
      <w:r w:rsidRPr="00113477">
        <w:rPr>
          <w:rFonts w:ascii="Book Antiqua" w:hAnsi="Book Antiqua"/>
          <w:sz w:val="20"/>
          <w:szCs w:val="20"/>
        </w:rPr>
        <w:t>Si</w:t>
      </w:r>
      <w:r w:rsidRPr="00113477">
        <w:rPr>
          <w:rFonts w:ascii="Book Antiqua" w:hAnsi="Book Antiqua"/>
          <w:b/>
          <w:sz w:val="20"/>
          <w:szCs w:val="20"/>
        </w:rPr>
        <w:t xml:space="preserve"> oui</w:t>
      </w:r>
      <w:r w:rsidRPr="00113477">
        <w:rPr>
          <w:rFonts w:ascii="Book Antiqua" w:hAnsi="Book Antiqua"/>
          <w:sz w:val="20"/>
          <w:szCs w:val="20"/>
        </w:rPr>
        <w:t xml:space="preserve">, de quelles formes ? </w:t>
      </w:r>
      <w:r w:rsidRPr="00113477">
        <w:rPr>
          <w:rFonts w:ascii="Book Antiqua" w:hAnsi="Book Antiqua"/>
          <w:i/>
          <w:sz w:val="20"/>
          <w:szCs w:val="20"/>
        </w:rPr>
        <w:t>(entourer les codes correspondants)</w:t>
      </w:r>
    </w:p>
    <w:tbl>
      <w:tblPr>
        <w:tblW w:w="4169" w:type="pct"/>
        <w:jc w:val="center"/>
        <w:tblLook w:val="01E0"/>
      </w:tblPr>
      <w:tblGrid>
        <w:gridCol w:w="2388"/>
        <w:gridCol w:w="2159"/>
        <w:gridCol w:w="3623"/>
      </w:tblGrid>
      <w:tr w:rsidR="00F53A13" w:rsidRPr="00113477" w:rsidTr="00F53A13">
        <w:trPr>
          <w:jc w:val="center"/>
        </w:trPr>
        <w:tc>
          <w:tcPr>
            <w:tcW w:w="1462" w:type="pct"/>
          </w:tcPr>
          <w:p w:rsidR="00F53A13" w:rsidRPr="00113477" w:rsidRDefault="00F53A13" w:rsidP="00F53A13">
            <w:pPr>
              <w:rPr>
                <w:rFonts w:ascii="Book Antiqua" w:hAnsi="Book Antiqua"/>
                <w:b/>
                <w:i/>
                <w:sz w:val="20"/>
                <w:szCs w:val="20"/>
              </w:rPr>
            </w:pPr>
            <w:r w:rsidRPr="00113477">
              <w:rPr>
                <w:rFonts w:ascii="Book Antiqua" w:hAnsi="Book Antiqua"/>
                <w:i/>
                <w:sz w:val="20"/>
                <w:szCs w:val="20"/>
              </w:rPr>
              <w:t>1=</w:t>
            </w:r>
            <w:r w:rsidRPr="00205234">
              <w:rPr>
                <w:rFonts w:ascii="Book Antiqua" w:hAnsi="Book Antiqua"/>
                <w:i/>
                <w:sz w:val="20"/>
                <w:szCs w:val="20"/>
              </w:rPr>
              <w:t>Dépôts à Terme (DAT)</w:t>
            </w:r>
          </w:p>
        </w:tc>
        <w:tc>
          <w:tcPr>
            <w:tcW w:w="132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Bons de caisse</w:t>
            </w:r>
          </w:p>
        </w:tc>
        <w:tc>
          <w:tcPr>
            <w:tcW w:w="2218"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3=Autres (préciser)…………….………………..…</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Que pensez-vous des taux d’intérêt sur les placements proposés par les banques ? |__|</w:t>
      </w:r>
    </w:p>
    <w:tbl>
      <w:tblPr>
        <w:tblW w:w="4003" w:type="pct"/>
        <w:jc w:val="center"/>
        <w:tblLook w:val="01E0"/>
      </w:tblPr>
      <w:tblGrid>
        <w:gridCol w:w="1651"/>
        <w:gridCol w:w="1378"/>
        <w:gridCol w:w="1239"/>
        <w:gridCol w:w="1650"/>
        <w:gridCol w:w="1926"/>
      </w:tblGrid>
      <w:tr w:rsidR="00F53A13" w:rsidRPr="00113477" w:rsidTr="00F53A13">
        <w:trPr>
          <w:trHeight w:val="148"/>
          <w:jc w:val="center"/>
        </w:trPr>
        <w:tc>
          <w:tcPr>
            <w:tcW w:w="1052"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Très corrects</w:t>
            </w:r>
          </w:p>
        </w:tc>
        <w:tc>
          <w:tcPr>
            <w:tcW w:w="878"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Corrects</w:t>
            </w:r>
          </w:p>
        </w:tc>
        <w:tc>
          <w:tcPr>
            <w:tcW w:w="790"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3= Faibles</w:t>
            </w:r>
          </w:p>
        </w:tc>
        <w:tc>
          <w:tcPr>
            <w:tcW w:w="1052"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4= Très faibles</w:t>
            </w:r>
          </w:p>
        </w:tc>
        <w:tc>
          <w:tcPr>
            <w:tcW w:w="1228"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5= Ne connais pas</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Que pensez-vous des taux d’intérêt sur les crédits d’investissement</w:t>
      </w:r>
      <w:r w:rsidR="008B46CA" w:rsidRPr="00113477">
        <w:rPr>
          <w:rFonts w:ascii="Book Antiqua" w:hAnsi="Book Antiqua"/>
          <w:sz w:val="20"/>
          <w:szCs w:val="20"/>
        </w:rPr>
        <w:t xml:space="preserve"> proposés par les banques ?</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7369" w:type="pct"/>
        <w:tblInd w:w="804" w:type="dxa"/>
        <w:tblLook w:val="01E0"/>
      </w:tblPr>
      <w:tblGrid>
        <w:gridCol w:w="1560"/>
        <w:gridCol w:w="1513"/>
        <w:gridCol w:w="1513"/>
        <w:gridCol w:w="9854"/>
      </w:tblGrid>
      <w:tr w:rsidR="00F53A13" w:rsidRPr="00113477" w:rsidTr="00F53A13">
        <w:tc>
          <w:tcPr>
            <w:tcW w:w="54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élevés</w:t>
            </w:r>
          </w:p>
        </w:tc>
        <w:tc>
          <w:tcPr>
            <w:tcW w:w="52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Elevés</w:t>
            </w:r>
          </w:p>
        </w:tc>
        <w:tc>
          <w:tcPr>
            <w:tcW w:w="52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Corrects</w:t>
            </w:r>
          </w:p>
        </w:tc>
        <w:tc>
          <w:tcPr>
            <w:tcW w:w="341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 Très Corrects</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Que pensez-vous des taux d’intérêt sur les crédits de fonctionnement proposés par les</w:t>
      </w:r>
      <w:r w:rsidR="008B46CA" w:rsidRPr="00113477">
        <w:rPr>
          <w:rFonts w:ascii="Book Antiqua" w:hAnsi="Book Antiqua"/>
          <w:sz w:val="20"/>
          <w:szCs w:val="20"/>
        </w:rPr>
        <w:t xml:space="preserve"> banques ?</w:t>
      </w:r>
      <w:r w:rsidRPr="00113477">
        <w:rPr>
          <w:rFonts w:ascii="Book Antiqua" w:hAnsi="Book Antiqua"/>
          <w:sz w:val="20"/>
          <w:szCs w:val="20"/>
        </w:rPr>
        <w:t>|__|</w:t>
      </w:r>
    </w:p>
    <w:tbl>
      <w:tblPr>
        <w:tblW w:w="7369" w:type="pct"/>
        <w:tblInd w:w="804" w:type="dxa"/>
        <w:tblLook w:val="01E0"/>
      </w:tblPr>
      <w:tblGrid>
        <w:gridCol w:w="1560"/>
        <w:gridCol w:w="1513"/>
        <w:gridCol w:w="1513"/>
        <w:gridCol w:w="9854"/>
      </w:tblGrid>
      <w:tr w:rsidR="00F53A13" w:rsidRPr="00113477" w:rsidTr="00F53A13">
        <w:tc>
          <w:tcPr>
            <w:tcW w:w="54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élevés</w:t>
            </w:r>
          </w:p>
        </w:tc>
        <w:tc>
          <w:tcPr>
            <w:tcW w:w="52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Elevés</w:t>
            </w:r>
          </w:p>
        </w:tc>
        <w:tc>
          <w:tcPr>
            <w:tcW w:w="52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Corrects</w:t>
            </w:r>
          </w:p>
        </w:tc>
        <w:tc>
          <w:tcPr>
            <w:tcW w:w="341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 Très Corrects</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 xml:space="preserve">Votre entreprise a-t-elle bénéficié de facilités de caisse au cours des </w:t>
      </w:r>
      <w:r w:rsidRPr="00113477">
        <w:rPr>
          <w:rFonts w:ascii="Book Antiqua" w:hAnsi="Book Antiqua"/>
          <w:b/>
          <w:sz w:val="20"/>
          <w:szCs w:val="20"/>
        </w:rPr>
        <w:t>trois dernières années</w:t>
      </w:r>
      <w:r w:rsidRPr="00113477">
        <w:rPr>
          <w:rFonts w:ascii="Book Antiqua" w:hAnsi="Book Antiqua"/>
          <w:sz w:val="20"/>
          <w:szCs w:val="20"/>
        </w:rPr>
        <w:t> ?</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1897" w:type="pct"/>
        <w:jc w:val="center"/>
        <w:tblLook w:val="01E0"/>
      </w:tblPr>
      <w:tblGrid>
        <w:gridCol w:w="1377"/>
        <w:gridCol w:w="2340"/>
      </w:tblGrid>
      <w:tr w:rsidR="00F53A13" w:rsidRPr="00113477" w:rsidTr="00F53A13">
        <w:trPr>
          <w:trHeight w:val="374"/>
          <w:jc w:val="center"/>
        </w:trPr>
        <w:tc>
          <w:tcPr>
            <w:tcW w:w="1852"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Oui</w:t>
            </w:r>
          </w:p>
        </w:tc>
        <w:tc>
          <w:tcPr>
            <w:tcW w:w="3148"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Non</w:t>
            </w:r>
          </w:p>
        </w:tc>
      </w:tr>
    </w:tbl>
    <w:p w:rsidR="00F53A13" w:rsidRPr="00113477" w:rsidRDefault="00F53A13" w:rsidP="004272B8">
      <w:pPr>
        <w:numPr>
          <w:ilvl w:val="1"/>
          <w:numId w:val="65"/>
        </w:numPr>
        <w:spacing w:after="120"/>
        <w:ind w:left="788" w:hanging="431"/>
        <w:jc w:val="both"/>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que pensez-vous des frais appliqués sur les facilités de caisse ? |__|</w:t>
      </w:r>
    </w:p>
    <w:tbl>
      <w:tblPr>
        <w:tblW w:w="3534" w:type="pct"/>
        <w:jc w:val="center"/>
        <w:tblLook w:val="01E0"/>
      </w:tblPr>
      <w:tblGrid>
        <w:gridCol w:w="1971"/>
        <w:gridCol w:w="1928"/>
        <w:gridCol w:w="1514"/>
        <w:gridCol w:w="1512"/>
      </w:tblGrid>
      <w:tr w:rsidR="00F53A13" w:rsidRPr="00113477" w:rsidTr="00F53A13">
        <w:trPr>
          <w:trHeight w:val="293"/>
          <w:jc w:val="center"/>
        </w:trPr>
        <w:tc>
          <w:tcPr>
            <w:tcW w:w="142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raisonnables</w:t>
            </w:r>
          </w:p>
        </w:tc>
        <w:tc>
          <w:tcPr>
            <w:tcW w:w="139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Raisonnables</w:t>
            </w:r>
          </w:p>
        </w:tc>
        <w:tc>
          <w:tcPr>
            <w:tcW w:w="109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Elevés</w:t>
            </w:r>
          </w:p>
        </w:tc>
        <w:tc>
          <w:tcPr>
            <w:tcW w:w="109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Très élevés</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Que pensez-vous des frais de tenue de compt</w:t>
      </w:r>
      <w:r w:rsidR="007D1808">
        <w:rPr>
          <w:rFonts w:ascii="Book Antiqua" w:hAnsi="Book Antiqua"/>
          <w:sz w:val="20"/>
          <w:szCs w:val="20"/>
        </w:rPr>
        <w:t>e appliqués à votre entreprise ?</w:t>
      </w:r>
      <w:r w:rsidR="007D1808" w:rsidRPr="00113477">
        <w:rPr>
          <w:rFonts w:ascii="Book Antiqua" w:hAnsi="Book Antiqua"/>
          <w:sz w:val="20"/>
          <w:szCs w:val="20"/>
        </w:rPr>
        <w:t xml:space="preserve"> </w:t>
      </w:r>
      <w:r w:rsidRPr="00113477">
        <w:rPr>
          <w:rFonts w:ascii="Book Antiqua" w:hAnsi="Book Antiqua"/>
          <w:sz w:val="20"/>
          <w:szCs w:val="20"/>
        </w:rPr>
        <w:t>|__|</w:t>
      </w:r>
    </w:p>
    <w:tbl>
      <w:tblPr>
        <w:tblW w:w="3534" w:type="pct"/>
        <w:jc w:val="center"/>
        <w:tblLook w:val="01E0"/>
      </w:tblPr>
      <w:tblGrid>
        <w:gridCol w:w="1971"/>
        <w:gridCol w:w="1928"/>
        <w:gridCol w:w="1514"/>
        <w:gridCol w:w="1512"/>
      </w:tblGrid>
      <w:tr w:rsidR="00F53A13" w:rsidRPr="00113477" w:rsidTr="00F53A13">
        <w:trPr>
          <w:trHeight w:val="293"/>
          <w:jc w:val="center"/>
        </w:trPr>
        <w:tc>
          <w:tcPr>
            <w:tcW w:w="142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raisonnables</w:t>
            </w:r>
          </w:p>
        </w:tc>
        <w:tc>
          <w:tcPr>
            <w:tcW w:w="139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Raisonnables</w:t>
            </w:r>
          </w:p>
        </w:tc>
        <w:tc>
          <w:tcPr>
            <w:tcW w:w="109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Elevés</w:t>
            </w:r>
          </w:p>
        </w:tc>
        <w:tc>
          <w:tcPr>
            <w:tcW w:w="109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Très élevés</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Votre entreprise était-elle informée de ces frais au moment d’ouvrir son compte</w:t>
      </w:r>
      <w:r w:rsidR="006029E6">
        <w:rPr>
          <w:rFonts w:ascii="Book Antiqua" w:hAnsi="Book Antiqua"/>
          <w:sz w:val="20"/>
          <w:szCs w:val="20"/>
        </w:rPr>
        <w:t xml:space="preserve"> </w:t>
      </w:r>
      <w:r w:rsidRPr="00113477">
        <w:rPr>
          <w:rFonts w:ascii="Book Antiqua" w:hAnsi="Book Antiqua"/>
          <w:sz w:val="20"/>
          <w:szCs w:val="20"/>
        </w:rPr>
        <w:t>? |__|</w:t>
      </w:r>
    </w:p>
    <w:tbl>
      <w:tblPr>
        <w:tblW w:w="2971" w:type="pct"/>
        <w:tblInd w:w="804" w:type="dxa"/>
        <w:tblLook w:val="01E0"/>
      </w:tblPr>
      <w:tblGrid>
        <w:gridCol w:w="2613"/>
        <w:gridCol w:w="3209"/>
      </w:tblGrid>
      <w:tr w:rsidR="00F53A13" w:rsidRPr="00113477" w:rsidTr="00F53A13">
        <w:tc>
          <w:tcPr>
            <w:tcW w:w="2244"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Oui</w:t>
            </w:r>
          </w:p>
        </w:tc>
        <w:tc>
          <w:tcPr>
            <w:tcW w:w="2756"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Non</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 xml:space="preserve">Votre entreprise utilise-t-elle les services de consultation à distance de son compte </w:t>
      </w:r>
      <w:r w:rsidRPr="00113477">
        <w:rPr>
          <w:rFonts w:ascii="Book Antiqua" w:hAnsi="Book Antiqua"/>
          <w:i/>
          <w:sz w:val="20"/>
          <w:szCs w:val="20"/>
        </w:rPr>
        <w:t>(réception de relevés de compte, consultation du compte à distance, opérations de virement, etc.)</w:t>
      </w:r>
      <w:r w:rsidRPr="00113477">
        <w:rPr>
          <w:rFonts w:ascii="Book Antiqua" w:hAnsi="Book Antiqua"/>
          <w:sz w:val="20"/>
          <w:szCs w:val="20"/>
        </w:rPr>
        <w:t> ?</w:t>
      </w:r>
      <w:r w:rsidR="006029E6" w:rsidRPr="00113477">
        <w:rPr>
          <w:rFonts w:ascii="Book Antiqua" w:hAnsi="Book Antiqua"/>
          <w:sz w:val="20"/>
          <w:szCs w:val="20"/>
        </w:rPr>
        <w:t xml:space="preserve"> </w:t>
      </w:r>
      <w:r w:rsidRPr="00113477">
        <w:rPr>
          <w:rFonts w:ascii="Book Antiqua" w:hAnsi="Book Antiqua"/>
          <w:sz w:val="20"/>
          <w:szCs w:val="20"/>
        </w:rPr>
        <w:t>|__|</w:t>
      </w:r>
    </w:p>
    <w:tbl>
      <w:tblPr>
        <w:tblW w:w="2060" w:type="pct"/>
        <w:jc w:val="center"/>
        <w:tblLook w:val="01E0"/>
      </w:tblPr>
      <w:tblGrid>
        <w:gridCol w:w="1835"/>
        <w:gridCol w:w="2202"/>
      </w:tblGrid>
      <w:tr w:rsidR="00F53A13" w:rsidRPr="00113477" w:rsidTr="00F53A13">
        <w:trPr>
          <w:trHeight w:val="226"/>
          <w:jc w:val="center"/>
        </w:trPr>
        <w:tc>
          <w:tcPr>
            <w:tcW w:w="2273"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Oui</w:t>
            </w:r>
          </w:p>
        </w:tc>
        <w:tc>
          <w:tcPr>
            <w:tcW w:w="2727"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 Non</w:t>
            </w:r>
          </w:p>
        </w:tc>
      </w:tr>
    </w:tbl>
    <w:p w:rsidR="00F53A13" w:rsidRPr="00113477" w:rsidRDefault="00F53A13" w:rsidP="00F53A13">
      <w:pPr>
        <w:ind w:left="357"/>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w:t>
      </w:r>
    </w:p>
    <w:p w:rsidR="00F53A13" w:rsidRPr="00113477" w:rsidRDefault="00F53A13" w:rsidP="004272B8">
      <w:pPr>
        <w:pStyle w:val="Paragraphedeliste"/>
        <w:numPr>
          <w:ilvl w:val="1"/>
          <w:numId w:val="65"/>
        </w:numPr>
        <w:spacing w:before="120" w:after="120"/>
        <w:ind w:left="788" w:hanging="431"/>
        <w:contextualSpacing w:val="0"/>
        <w:jc w:val="both"/>
        <w:rPr>
          <w:rFonts w:ascii="Book Antiqua" w:hAnsi="Book Antiqua"/>
          <w:sz w:val="20"/>
          <w:szCs w:val="20"/>
        </w:rPr>
      </w:pPr>
      <w:r w:rsidRPr="00113477">
        <w:rPr>
          <w:rFonts w:ascii="Book Antiqua" w:hAnsi="Book Antiqua"/>
          <w:sz w:val="20"/>
          <w:szCs w:val="20"/>
        </w:rPr>
        <w:t>Quelle est votre opinion sur la qualité de ce service ? |__|</w:t>
      </w:r>
    </w:p>
    <w:tbl>
      <w:tblPr>
        <w:tblW w:w="3933" w:type="pct"/>
        <w:jc w:val="center"/>
        <w:tblLook w:val="01E0"/>
      </w:tblPr>
      <w:tblGrid>
        <w:gridCol w:w="1790"/>
        <w:gridCol w:w="1378"/>
        <w:gridCol w:w="1649"/>
        <w:gridCol w:w="2890"/>
      </w:tblGrid>
      <w:tr w:rsidR="00F53A13" w:rsidRPr="00113477" w:rsidTr="00F53A13">
        <w:trPr>
          <w:jc w:val="center"/>
        </w:trPr>
        <w:tc>
          <w:tcPr>
            <w:tcW w:w="116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satisfait</w:t>
            </w:r>
          </w:p>
        </w:tc>
        <w:tc>
          <w:tcPr>
            <w:tcW w:w="89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Satisfait</w:t>
            </w:r>
          </w:p>
        </w:tc>
        <w:tc>
          <w:tcPr>
            <w:tcW w:w="107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Pas satisfait</w:t>
            </w:r>
          </w:p>
        </w:tc>
        <w:tc>
          <w:tcPr>
            <w:tcW w:w="187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Pas du tout satisfait</w:t>
            </w:r>
          </w:p>
        </w:tc>
      </w:tr>
    </w:tbl>
    <w:p w:rsidR="00F53A13" w:rsidRPr="00113477" w:rsidRDefault="00F53A13" w:rsidP="00F53A13">
      <w:pPr>
        <w:rPr>
          <w:rFonts w:ascii="Book Antiqua" w:hAnsi="Book Antiqua"/>
          <w:sz w:val="20"/>
          <w:szCs w:val="20"/>
        </w:rPr>
      </w:pPr>
    </w:p>
    <w:p w:rsidR="00F53A13" w:rsidRPr="00113477" w:rsidRDefault="00F53A13" w:rsidP="004272B8">
      <w:pPr>
        <w:pStyle w:val="Paragraphedeliste"/>
        <w:numPr>
          <w:ilvl w:val="1"/>
          <w:numId w:val="65"/>
        </w:numPr>
        <w:spacing w:after="120"/>
        <w:ind w:left="788" w:hanging="431"/>
        <w:contextualSpacing w:val="0"/>
        <w:jc w:val="both"/>
        <w:rPr>
          <w:rFonts w:ascii="Book Antiqua" w:hAnsi="Book Antiqua"/>
          <w:sz w:val="20"/>
          <w:szCs w:val="20"/>
        </w:rPr>
      </w:pPr>
      <w:r w:rsidRPr="00113477">
        <w:rPr>
          <w:rFonts w:ascii="Book Antiqua" w:hAnsi="Book Antiqua"/>
          <w:sz w:val="20"/>
          <w:szCs w:val="20"/>
        </w:rPr>
        <w:t>Que pens</w:t>
      </w:r>
      <w:r w:rsidR="006029E6">
        <w:rPr>
          <w:rFonts w:ascii="Book Antiqua" w:hAnsi="Book Antiqua"/>
          <w:sz w:val="20"/>
          <w:szCs w:val="20"/>
        </w:rPr>
        <w:t>ez-vous du coût de ce service ?</w:t>
      </w:r>
      <w:r w:rsidR="006029E6" w:rsidRPr="00113477">
        <w:rPr>
          <w:rFonts w:ascii="Book Antiqua" w:hAnsi="Book Antiqua"/>
          <w:sz w:val="20"/>
          <w:szCs w:val="20"/>
        </w:rPr>
        <w:t xml:space="preserve"> </w:t>
      </w:r>
      <w:proofErr w:type="gramStart"/>
      <w:r w:rsidRPr="00113477">
        <w:rPr>
          <w:rFonts w:ascii="Book Antiqua" w:hAnsi="Book Antiqua"/>
          <w:sz w:val="20"/>
          <w:szCs w:val="20"/>
        </w:rPr>
        <w:t>|</w:t>
      </w:r>
      <w:proofErr w:type="gramEnd"/>
      <w:r w:rsidRPr="00113477">
        <w:rPr>
          <w:rFonts w:ascii="Book Antiqua" w:hAnsi="Book Antiqua"/>
          <w:sz w:val="20"/>
          <w:szCs w:val="20"/>
        </w:rPr>
        <w:t>__|</w:t>
      </w:r>
    </w:p>
    <w:tbl>
      <w:tblPr>
        <w:tblW w:w="3534" w:type="pct"/>
        <w:jc w:val="center"/>
        <w:tblLook w:val="01E0"/>
      </w:tblPr>
      <w:tblGrid>
        <w:gridCol w:w="1971"/>
        <w:gridCol w:w="1928"/>
        <w:gridCol w:w="1514"/>
        <w:gridCol w:w="1512"/>
      </w:tblGrid>
      <w:tr w:rsidR="00F53A13" w:rsidRPr="00113477" w:rsidTr="00F53A13">
        <w:trPr>
          <w:trHeight w:val="293"/>
          <w:jc w:val="center"/>
        </w:trPr>
        <w:tc>
          <w:tcPr>
            <w:tcW w:w="142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raisonnables</w:t>
            </w:r>
          </w:p>
        </w:tc>
        <w:tc>
          <w:tcPr>
            <w:tcW w:w="139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Raisonnables</w:t>
            </w:r>
          </w:p>
        </w:tc>
        <w:tc>
          <w:tcPr>
            <w:tcW w:w="109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Elevés</w:t>
            </w:r>
          </w:p>
        </w:tc>
        <w:tc>
          <w:tcPr>
            <w:tcW w:w="109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Très élevés</w:t>
            </w:r>
          </w:p>
        </w:tc>
      </w:tr>
    </w:tbl>
    <w:p w:rsidR="008B46CA" w:rsidRPr="00113477" w:rsidRDefault="008B46CA" w:rsidP="00F53A13">
      <w:pPr>
        <w:ind w:left="180"/>
        <w:contextualSpacing/>
        <w:rPr>
          <w:rFonts w:ascii="Book Antiqua" w:hAnsi="Book Antiqua"/>
          <w:b/>
          <w:bCs/>
          <w:sz w:val="20"/>
          <w:szCs w:val="20"/>
          <w:u w:val="single"/>
        </w:rPr>
      </w:pPr>
    </w:p>
    <w:p w:rsidR="008B46CA" w:rsidRPr="00113477" w:rsidRDefault="008B46CA" w:rsidP="008B46CA">
      <w:pPr>
        <w:spacing w:after="200" w:line="276" w:lineRule="auto"/>
        <w:rPr>
          <w:rFonts w:ascii="Book Antiqua" w:hAnsi="Book Antiqua"/>
          <w:b/>
          <w:bCs/>
          <w:sz w:val="20"/>
          <w:szCs w:val="20"/>
          <w:u w:val="single"/>
        </w:rPr>
      </w:pPr>
      <w:r w:rsidRPr="00113477">
        <w:rPr>
          <w:rFonts w:ascii="Book Antiqua" w:hAnsi="Book Antiqua"/>
          <w:b/>
          <w:bCs/>
          <w:sz w:val="20"/>
          <w:szCs w:val="20"/>
          <w:u w:val="single"/>
        </w:rPr>
        <w:br w:type="page"/>
      </w:r>
    </w:p>
    <w:p w:rsidR="00F53A13" w:rsidRPr="00113477" w:rsidRDefault="00F53A13" w:rsidP="004272B8">
      <w:pPr>
        <w:numPr>
          <w:ilvl w:val="0"/>
          <w:numId w:val="66"/>
        </w:numPr>
        <w:contextualSpacing/>
        <w:rPr>
          <w:rFonts w:ascii="Book Antiqua" w:hAnsi="Book Antiqua"/>
          <w:b/>
          <w:bCs/>
          <w:sz w:val="20"/>
          <w:szCs w:val="20"/>
          <w:u w:val="single"/>
        </w:rPr>
      </w:pPr>
      <w:r w:rsidRPr="00113477">
        <w:rPr>
          <w:rFonts w:ascii="Book Antiqua" w:hAnsi="Book Antiqua"/>
          <w:b/>
          <w:bCs/>
          <w:sz w:val="20"/>
          <w:szCs w:val="20"/>
          <w:u w:val="single"/>
        </w:rPr>
        <w:lastRenderedPageBreak/>
        <w:t>SATISFACTION SUR LE PERSONNEL</w:t>
      </w:r>
    </w:p>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Quelle est votre opinion sur l’initiative de votre conseiller à vous contacter ?</w:t>
      </w:r>
      <w:r w:rsidR="006029E6" w:rsidRPr="00113477">
        <w:rPr>
          <w:rFonts w:ascii="Book Antiqua" w:hAnsi="Book Antiqua"/>
          <w:sz w:val="20"/>
          <w:szCs w:val="20"/>
        </w:rPr>
        <w:t xml:space="preserve"> </w:t>
      </w:r>
      <w:r w:rsidRPr="00113477">
        <w:rPr>
          <w:rFonts w:ascii="Book Antiqua" w:hAnsi="Book Antiqua"/>
          <w:sz w:val="20"/>
          <w:szCs w:val="20"/>
        </w:rPr>
        <w:t>|__|</w:t>
      </w:r>
    </w:p>
    <w:tbl>
      <w:tblPr>
        <w:tblW w:w="3933" w:type="pct"/>
        <w:jc w:val="center"/>
        <w:tblLook w:val="01E0"/>
      </w:tblPr>
      <w:tblGrid>
        <w:gridCol w:w="1790"/>
        <w:gridCol w:w="1378"/>
        <w:gridCol w:w="1649"/>
        <w:gridCol w:w="2890"/>
      </w:tblGrid>
      <w:tr w:rsidR="00F53A13" w:rsidRPr="00113477" w:rsidTr="00F53A13">
        <w:trPr>
          <w:jc w:val="center"/>
        </w:trPr>
        <w:tc>
          <w:tcPr>
            <w:tcW w:w="116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satisfait</w:t>
            </w:r>
          </w:p>
        </w:tc>
        <w:tc>
          <w:tcPr>
            <w:tcW w:w="89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Satisfait</w:t>
            </w:r>
          </w:p>
        </w:tc>
        <w:tc>
          <w:tcPr>
            <w:tcW w:w="107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Pas satisfait</w:t>
            </w:r>
          </w:p>
        </w:tc>
        <w:tc>
          <w:tcPr>
            <w:tcW w:w="187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Pas du tout satisfait</w:t>
            </w:r>
          </w:p>
        </w:tc>
      </w:tr>
    </w:tbl>
    <w:p w:rsidR="00F53A13" w:rsidRPr="00113477" w:rsidRDefault="00F53A13" w:rsidP="00F53A13">
      <w:pPr>
        <w:spacing w:line="360" w:lineRule="auto"/>
        <w:ind w:left="180"/>
        <w:rPr>
          <w:rFonts w:ascii="Book Antiqua" w:hAnsi="Book Antiqua"/>
          <w:b/>
          <w:bCs/>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Quelle est votre opinion sur la capacité d’écoute de votre conseiller ? |__|</w:t>
      </w:r>
    </w:p>
    <w:tbl>
      <w:tblPr>
        <w:tblW w:w="4495" w:type="pct"/>
        <w:jc w:val="center"/>
        <w:tblLook w:val="01E0"/>
      </w:tblPr>
      <w:tblGrid>
        <w:gridCol w:w="1514"/>
        <w:gridCol w:w="1237"/>
        <w:gridCol w:w="1378"/>
        <w:gridCol w:w="2065"/>
        <w:gridCol w:w="2614"/>
      </w:tblGrid>
      <w:tr w:rsidR="00F53A13" w:rsidRPr="00113477" w:rsidTr="00F53A13">
        <w:trPr>
          <w:jc w:val="center"/>
        </w:trPr>
        <w:tc>
          <w:tcPr>
            <w:tcW w:w="86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satisfait</w:t>
            </w:r>
          </w:p>
        </w:tc>
        <w:tc>
          <w:tcPr>
            <w:tcW w:w="70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Satisfait</w:t>
            </w:r>
          </w:p>
        </w:tc>
        <w:tc>
          <w:tcPr>
            <w:tcW w:w="78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Pas satisfait</w:t>
            </w:r>
          </w:p>
        </w:tc>
        <w:tc>
          <w:tcPr>
            <w:tcW w:w="117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Pas du tout satisfait</w:t>
            </w:r>
          </w:p>
        </w:tc>
        <w:tc>
          <w:tcPr>
            <w:tcW w:w="148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 Jamais rencontré mon conseiller</w:t>
            </w:r>
          </w:p>
        </w:tc>
      </w:tr>
    </w:tbl>
    <w:p w:rsidR="00F53A13" w:rsidRPr="00113477" w:rsidRDefault="00F53A13" w:rsidP="00F53A13">
      <w:pPr>
        <w:spacing w:line="360" w:lineRule="auto"/>
        <w:ind w:left="360"/>
        <w:rPr>
          <w:rFonts w:ascii="Book Antiqua" w:hAnsi="Book Antiqua"/>
          <w:sz w:val="20"/>
          <w:szCs w:val="20"/>
        </w:rPr>
      </w:pPr>
    </w:p>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Arrive-t-il au conseiller en clientèle de votre entreprise de lui fournir des conseils ?</w:t>
      </w:r>
      <w:r w:rsidR="006029E6" w:rsidRPr="00113477">
        <w:rPr>
          <w:rFonts w:ascii="Book Antiqua" w:hAnsi="Book Antiqua"/>
          <w:sz w:val="20"/>
          <w:szCs w:val="20"/>
        </w:rPr>
        <w:t xml:space="preserve"> </w:t>
      </w:r>
      <w:r w:rsidRPr="00113477">
        <w:rPr>
          <w:rFonts w:ascii="Book Antiqua" w:hAnsi="Book Antiqua"/>
          <w:sz w:val="20"/>
          <w:szCs w:val="20"/>
        </w:rPr>
        <w:t>|__|</w:t>
      </w:r>
    </w:p>
    <w:tbl>
      <w:tblPr>
        <w:tblW w:w="3301" w:type="pct"/>
        <w:jc w:val="center"/>
        <w:tblLook w:val="01E0"/>
      </w:tblPr>
      <w:tblGrid>
        <w:gridCol w:w="1788"/>
        <w:gridCol w:w="1515"/>
        <w:gridCol w:w="1515"/>
        <w:gridCol w:w="1651"/>
      </w:tblGrid>
      <w:tr w:rsidR="00F53A13" w:rsidRPr="00113477" w:rsidTr="00F53A13">
        <w:trPr>
          <w:jc w:val="center"/>
        </w:trPr>
        <w:tc>
          <w:tcPr>
            <w:tcW w:w="1382"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souvent</w:t>
            </w:r>
          </w:p>
        </w:tc>
        <w:tc>
          <w:tcPr>
            <w:tcW w:w="117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Souvent</w:t>
            </w:r>
          </w:p>
        </w:tc>
        <w:tc>
          <w:tcPr>
            <w:tcW w:w="117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Rarement</w:t>
            </w:r>
          </w:p>
        </w:tc>
        <w:tc>
          <w:tcPr>
            <w:tcW w:w="1276"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Jamais</w:t>
            </w:r>
          </w:p>
        </w:tc>
      </w:tr>
    </w:tbl>
    <w:p w:rsidR="00F53A13" w:rsidRPr="00113477" w:rsidRDefault="00F53A13" w:rsidP="004272B8">
      <w:pPr>
        <w:pStyle w:val="Paragraphedeliste"/>
        <w:numPr>
          <w:ilvl w:val="1"/>
          <w:numId w:val="65"/>
        </w:numPr>
        <w:spacing w:before="120" w:after="120"/>
        <w:ind w:left="499" w:hanging="357"/>
        <w:contextualSpacing w:val="0"/>
        <w:jc w:val="both"/>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1</w:t>
      </w:r>
      <w:r w:rsidRPr="00113477">
        <w:rPr>
          <w:rFonts w:ascii="Book Antiqua" w:hAnsi="Book Antiqua"/>
          <w:sz w:val="20"/>
          <w:szCs w:val="20"/>
        </w:rPr>
        <w:t xml:space="preserve">, </w:t>
      </w:r>
      <w:r w:rsidRPr="00113477">
        <w:rPr>
          <w:rFonts w:ascii="Book Antiqua" w:hAnsi="Book Antiqua"/>
          <w:b/>
          <w:sz w:val="20"/>
          <w:szCs w:val="20"/>
        </w:rPr>
        <w:t>2</w:t>
      </w:r>
      <w:r w:rsidRPr="00113477">
        <w:rPr>
          <w:rFonts w:ascii="Book Antiqua" w:hAnsi="Book Antiqua"/>
          <w:sz w:val="20"/>
          <w:szCs w:val="20"/>
        </w:rPr>
        <w:t xml:space="preserve"> ou </w:t>
      </w:r>
      <w:r w:rsidRPr="00113477">
        <w:rPr>
          <w:rFonts w:ascii="Book Antiqua" w:hAnsi="Book Antiqua"/>
          <w:b/>
          <w:sz w:val="20"/>
          <w:szCs w:val="20"/>
        </w:rPr>
        <w:t>3</w:t>
      </w:r>
      <w:r w:rsidRPr="00113477">
        <w:rPr>
          <w:rFonts w:ascii="Book Antiqua" w:hAnsi="Book Antiqua"/>
          <w:sz w:val="20"/>
          <w:szCs w:val="20"/>
        </w:rPr>
        <w:t>, comment jugez-vo</w:t>
      </w:r>
      <w:r w:rsidR="006029E6">
        <w:rPr>
          <w:rFonts w:ascii="Book Antiqua" w:hAnsi="Book Antiqua"/>
          <w:sz w:val="20"/>
          <w:szCs w:val="20"/>
        </w:rPr>
        <w:t>us la qualité de ces conseils ?</w:t>
      </w:r>
      <w:r w:rsidR="006029E6" w:rsidRPr="00113477">
        <w:rPr>
          <w:rFonts w:ascii="Book Antiqua" w:hAnsi="Book Antiqua"/>
          <w:sz w:val="20"/>
          <w:szCs w:val="20"/>
        </w:rPr>
        <w:t xml:space="preserve"> </w:t>
      </w:r>
      <w:proofErr w:type="gramStart"/>
      <w:r w:rsidRPr="00113477">
        <w:rPr>
          <w:rFonts w:ascii="Book Antiqua" w:hAnsi="Book Antiqua"/>
          <w:sz w:val="20"/>
          <w:szCs w:val="20"/>
        </w:rPr>
        <w:t>|</w:t>
      </w:r>
      <w:proofErr w:type="gramEnd"/>
      <w:r w:rsidRPr="00113477">
        <w:rPr>
          <w:rFonts w:ascii="Book Antiqua" w:hAnsi="Book Antiqua"/>
          <w:sz w:val="20"/>
          <w:szCs w:val="20"/>
        </w:rPr>
        <w:t>__|</w:t>
      </w:r>
    </w:p>
    <w:tbl>
      <w:tblPr>
        <w:tblW w:w="3933" w:type="pct"/>
        <w:jc w:val="center"/>
        <w:tblLook w:val="01E0"/>
      </w:tblPr>
      <w:tblGrid>
        <w:gridCol w:w="1652"/>
        <w:gridCol w:w="2340"/>
        <w:gridCol w:w="1651"/>
        <w:gridCol w:w="2064"/>
      </w:tblGrid>
      <w:tr w:rsidR="00F53A13" w:rsidRPr="00113477" w:rsidTr="00F53A13">
        <w:trPr>
          <w:jc w:val="center"/>
        </w:trPr>
        <w:tc>
          <w:tcPr>
            <w:tcW w:w="107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bonne</w:t>
            </w:r>
          </w:p>
        </w:tc>
        <w:tc>
          <w:tcPr>
            <w:tcW w:w="1518"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Bonne 3=Neutre</w:t>
            </w:r>
          </w:p>
        </w:tc>
        <w:tc>
          <w:tcPr>
            <w:tcW w:w="107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w:t>
            </w:r>
            <w:r w:rsidRPr="00113477">
              <w:rPr>
                <w:rFonts w:ascii="Book Antiqua" w:hAnsi="Book Antiqua"/>
                <w:sz w:val="20"/>
                <w:szCs w:val="20"/>
              </w:rPr>
              <w:t xml:space="preserve"> M</w:t>
            </w:r>
            <w:r w:rsidRPr="00113477">
              <w:rPr>
                <w:rFonts w:ascii="Book Antiqua" w:hAnsi="Book Antiqua"/>
                <w:i/>
                <w:sz w:val="20"/>
                <w:szCs w:val="20"/>
              </w:rPr>
              <w:t>auvaise</w:t>
            </w:r>
          </w:p>
        </w:tc>
        <w:tc>
          <w:tcPr>
            <w:tcW w:w="1339"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5=Très mauvaise</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Comment qualifiez-vous le personnel de l’agence bancaire de votre entreprise ?</w:t>
      </w:r>
      <w:r w:rsidR="006029E6" w:rsidRPr="00113477">
        <w:rPr>
          <w:rFonts w:ascii="Book Antiqua" w:hAnsi="Book Antiqua"/>
          <w:sz w:val="20"/>
          <w:szCs w:val="20"/>
        </w:rPr>
        <w:t xml:space="preserve"> </w:t>
      </w:r>
      <w:r w:rsidRPr="00113477">
        <w:rPr>
          <w:rFonts w:ascii="Book Antiqua" w:hAnsi="Book Antiqua"/>
          <w:sz w:val="20"/>
          <w:szCs w:val="20"/>
        </w:rPr>
        <w:t>|__|</w:t>
      </w:r>
    </w:p>
    <w:tbl>
      <w:tblPr>
        <w:tblW w:w="3582" w:type="pct"/>
        <w:jc w:val="center"/>
        <w:tblLook w:val="01E0"/>
      </w:tblPr>
      <w:tblGrid>
        <w:gridCol w:w="1363"/>
        <w:gridCol w:w="1334"/>
        <w:gridCol w:w="1707"/>
        <w:gridCol w:w="2615"/>
      </w:tblGrid>
      <w:tr w:rsidR="00F53A13" w:rsidRPr="00113477" w:rsidTr="00F53A13">
        <w:trPr>
          <w:jc w:val="center"/>
        </w:trPr>
        <w:tc>
          <w:tcPr>
            <w:tcW w:w="971"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courtois</w:t>
            </w:r>
          </w:p>
        </w:tc>
        <w:tc>
          <w:tcPr>
            <w:tcW w:w="95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Courtois</w:t>
            </w:r>
          </w:p>
        </w:tc>
        <w:tc>
          <w:tcPr>
            <w:tcW w:w="1216"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D</w:t>
            </w:r>
            <w:r w:rsidRPr="00113477">
              <w:rPr>
                <w:rFonts w:ascii="Book Antiqua" w:hAnsi="Book Antiqua"/>
                <w:i/>
                <w:sz w:val="20"/>
                <w:szCs w:val="20"/>
              </w:rPr>
              <w:t>iscourtois</w:t>
            </w:r>
          </w:p>
        </w:tc>
        <w:tc>
          <w:tcPr>
            <w:tcW w:w="186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4=Très discourtois</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Pensez-vous que le compte de votre entreprise est géré au mieux de ses intérêts ?</w:t>
      </w:r>
      <w:r w:rsidR="006029E6" w:rsidRPr="00113477">
        <w:rPr>
          <w:rFonts w:ascii="Book Antiqua" w:hAnsi="Book Antiqua"/>
          <w:sz w:val="20"/>
          <w:szCs w:val="20"/>
        </w:rPr>
        <w:t xml:space="preserve"> </w:t>
      </w:r>
      <w:r w:rsidRPr="00113477">
        <w:rPr>
          <w:rFonts w:ascii="Book Antiqua" w:hAnsi="Book Antiqua"/>
          <w:sz w:val="20"/>
          <w:szCs w:val="20"/>
        </w:rPr>
        <w:t>|__|</w:t>
      </w:r>
    </w:p>
    <w:tbl>
      <w:tblPr>
        <w:tblW w:w="3371" w:type="pct"/>
        <w:jc w:val="center"/>
        <w:tblLook w:val="01E0"/>
      </w:tblPr>
      <w:tblGrid>
        <w:gridCol w:w="1790"/>
        <w:gridCol w:w="1239"/>
        <w:gridCol w:w="1101"/>
        <w:gridCol w:w="2476"/>
      </w:tblGrid>
      <w:tr w:rsidR="00F53A13" w:rsidRPr="00113477" w:rsidTr="00F53A13">
        <w:trPr>
          <w:jc w:val="center"/>
        </w:trPr>
        <w:tc>
          <w:tcPr>
            <w:tcW w:w="135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Oui, tout à fait</w:t>
            </w:r>
          </w:p>
        </w:tc>
        <w:tc>
          <w:tcPr>
            <w:tcW w:w="938"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Oui</w:t>
            </w:r>
          </w:p>
        </w:tc>
        <w:tc>
          <w:tcPr>
            <w:tcW w:w="83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3=Non</w:t>
            </w:r>
          </w:p>
        </w:tc>
        <w:tc>
          <w:tcPr>
            <w:tcW w:w="187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4=Non, pas du tout</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hanging="357"/>
        <w:jc w:val="both"/>
        <w:rPr>
          <w:rFonts w:ascii="Book Antiqua" w:hAnsi="Book Antiqua"/>
          <w:sz w:val="20"/>
          <w:szCs w:val="20"/>
        </w:rPr>
      </w:pPr>
      <w:r w:rsidRPr="00113477">
        <w:rPr>
          <w:rFonts w:ascii="Book Antiqua" w:hAnsi="Book Antiqua"/>
          <w:sz w:val="20"/>
          <w:szCs w:val="20"/>
        </w:rPr>
        <w:t>Au moment d’ouvrir son compte, votre entreprise a-t-elle été i</w:t>
      </w:r>
      <w:r w:rsidR="006029E6">
        <w:rPr>
          <w:rFonts w:ascii="Book Antiqua" w:hAnsi="Book Antiqua"/>
          <w:sz w:val="20"/>
          <w:szCs w:val="20"/>
        </w:rPr>
        <w:t>nformée sur ses obligations ?</w:t>
      </w:r>
      <w:r w:rsidRPr="00113477">
        <w:rPr>
          <w:rFonts w:ascii="Book Antiqua" w:hAnsi="Book Antiqua"/>
          <w:sz w:val="20"/>
          <w:szCs w:val="20"/>
        </w:rPr>
        <w:t>|__|</w:t>
      </w:r>
    </w:p>
    <w:tbl>
      <w:tblPr>
        <w:tblW w:w="1966" w:type="pct"/>
        <w:jc w:val="center"/>
        <w:tblLook w:val="01E0"/>
      </w:tblPr>
      <w:tblGrid>
        <w:gridCol w:w="1651"/>
        <w:gridCol w:w="2202"/>
      </w:tblGrid>
      <w:tr w:rsidR="00F53A13" w:rsidRPr="00113477" w:rsidTr="00F53A13">
        <w:trPr>
          <w:jc w:val="center"/>
        </w:trPr>
        <w:tc>
          <w:tcPr>
            <w:tcW w:w="2143"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Oui</w:t>
            </w:r>
          </w:p>
        </w:tc>
        <w:tc>
          <w:tcPr>
            <w:tcW w:w="2857"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2=Non</w:t>
            </w:r>
          </w:p>
        </w:tc>
      </w:tr>
    </w:tbl>
    <w:p w:rsidR="00F53A13" w:rsidRPr="00113477" w:rsidRDefault="00F53A13" w:rsidP="004272B8">
      <w:pPr>
        <w:pStyle w:val="Paragraphedeliste"/>
        <w:numPr>
          <w:ilvl w:val="1"/>
          <w:numId w:val="65"/>
        </w:numPr>
        <w:spacing w:after="120"/>
        <w:ind w:left="788" w:hanging="431"/>
        <w:contextualSpacing w:val="0"/>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 comment qualifiez-vous ces informations ?</w:t>
      </w:r>
      <w:r w:rsidR="006029E6" w:rsidRPr="00113477">
        <w:rPr>
          <w:rFonts w:ascii="Book Antiqua" w:hAnsi="Book Antiqua"/>
          <w:sz w:val="20"/>
          <w:szCs w:val="20"/>
        </w:rPr>
        <w:t xml:space="preserve"> </w:t>
      </w:r>
      <w:r w:rsidRPr="00113477">
        <w:rPr>
          <w:rFonts w:ascii="Book Antiqua" w:hAnsi="Book Antiqua"/>
          <w:sz w:val="20"/>
          <w:szCs w:val="20"/>
        </w:rPr>
        <w:t>|__|</w:t>
      </w:r>
    </w:p>
    <w:tbl>
      <w:tblPr>
        <w:tblW w:w="0" w:type="auto"/>
        <w:jc w:val="center"/>
        <w:tblLayout w:type="fixed"/>
        <w:tblLook w:val="01E0"/>
      </w:tblPr>
      <w:tblGrid>
        <w:gridCol w:w="1809"/>
        <w:gridCol w:w="1452"/>
        <w:gridCol w:w="1340"/>
        <w:gridCol w:w="2091"/>
      </w:tblGrid>
      <w:tr w:rsidR="00F53A13" w:rsidRPr="00113477" w:rsidTr="006029E6">
        <w:trPr>
          <w:jc w:val="center"/>
        </w:trPr>
        <w:tc>
          <w:tcPr>
            <w:tcW w:w="1809"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complètes</w:t>
            </w:r>
          </w:p>
        </w:tc>
        <w:tc>
          <w:tcPr>
            <w:tcW w:w="1452" w:type="dxa"/>
          </w:tcPr>
          <w:p w:rsidR="00F53A13" w:rsidRPr="00113477" w:rsidRDefault="00F53A13" w:rsidP="00F53A13">
            <w:pPr>
              <w:ind w:left="708" w:hanging="708"/>
              <w:rPr>
                <w:rFonts w:ascii="Book Antiqua" w:hAnsi="Book Antiqua"/>
                <w:i/>
                <w:sz w:val="20"/>
                <w:szCs w:val="20"/>
              </w:rPr>
            </w:pPr>
            <w:r w:rsidRPr="00113477">
              <w:rPr>
                <w:rFonts w:ascii="Book Antiqua" w:hAnsi="Book Antiqua"/>
                <w:i/>
                <w:sz w:val="20"/>
                <w:szCs w:val="20"/>
              </w:rPr>
              <w:t>2= Complètes</w:t>
            </w:r>
          </w:p>
        </w:tc>
        <w:tc>
          <w:tcPr>
            <w:tcW w:w="1340" w:type="dxa"/>
          </w:tcPr>
          <w:p w:rsidR="00F53A13" w:rsidRPr="00113477" w:rsidRDefault="00F53A13" w:rsidP="006029E6">
            <w:pPr>
              <w:ind w:right="-356"/>
              <w:rPr>
                <w:rFonts w:ascii="Book Antiqua" w:hAnsi="Book Antiqua"/>
                <w:i/>
                <w:sz w:val="20"/>
                <w:szCs w:val="20"/>
              </w:rPr>
            </w:pPr>
            <w:r w:rsidRPr="00113477">
              <w:rPr>
                <w:rFonts w:ascii="Book Antiqua" w:hAnsi="Book Antiqua"/>
                <w:i/>
                <w:sz w:val="20"/>
                <w:szCs w:val="20"/>
              </w:rPr>
              <w:t>3=Incomplètes</w:t>
            </w:r>
          </w:p>
        </w:tc>
        <w:tc>
          <w:tcPr>
            <w:tcW w:w="2091"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4=Très incomplètes</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right="11" w:hanging="357"/>
        <w:jc w:val="both"/>
        <w:rPr>
          <w:rFonts w:ascii="Book Antiqua" w:hAnsi="Book Antiqua"/>
          <w:sz w:val="20"/>
          <w:szCs w:val="20"/>
        </w:rPr>
      </w:pPr>
      <w:r w:rsidRPr="00113477">
        <w:rPr>
          <w:rFonts w:ascii="Book Antiqua" w:hAnsi="Book Antiqua"/>
          <w:sz w:val="20"/>
          <w:szCs w:val="20"/>
        </w:rPr>
        <w:t>Au mo</w:t>
      </w:r>
      <w:r w:rsidR="00A94696" w:rsidRPr="00113477">
        <w:rPr>
          <w:rFonts w:ascii="Book Antiqua" w:hAnsi="Book Antiqua"/>
          <w:sz w:val="20"/>
          <w:szCs w:val="20"/>
        </w:rPr>
        <w:t>ment d’ouvrir son compte</w:t>
      </w:r>
      <w:r w:rsidRPr="00113477">
        <w:rPr>
          <w:rFonts w:ascii="Book Antiqua" w:hAnsi="Book Antiqua"/>
          <w:sz w:val="20"/>
          <w:szCs w:val="20"/>
        </w:rPr>
        <w:t>, votre entreprise a-t-elle été infor</w:t>
      </w:r>
      <w:r w:rsidR="006029E6">
        <w:rPr>
          <w:rFonts w:ascii="Book Antiqua" w:hAnsi="Book Antiqua"/>
          <w:sz w:val="20"/>
          <w:szCs w:val="20"/>
        </w:rPr>
        <w:t>mée des conditions tarifaires ?</w:t>
      </w:r>
      <w:r w:rsidR="006029E6" w:rsidRPr="00113477">
        <w:rPr>
          <w:rFonts w:ascii="Book Antiqua" w:hAnsi="Book Antiqua"/>
          <w:sz w:val="20"/>
          <w:szCs w:val="20"/>
        </w:rPr>
        <w:t xml:space="preserve"> </w:t>
      </w:r>
      <w:r w:rsidRPr="00113477">
        <w:rPr>
          <w:rFonts w:ascii="Book Antiqua" w:hAnsi="Book Antiqua"/>
          <w:sz w:val="20"/>
          <w:szCs w:val="20"/>
        </w:rPr>
        <w:t>|__|</w:t>
      </w:r>
    </w:p>
    <w:tbl>
      <w:tblPr>
        <w:tblW w:w="1638" w:type="pct"/>
        <w:jc w:val="center"/>
        <w:tblLook w:val="01E0"/>
      </w:tblPr>
      <w:tblGrid>
        <w:gridCol w:w="1559"/>
        <w:gridCol w:w="1651"/>
      </w:tblGrid>
      <w:tr w:rsidR="00F53A13" w:rsidRPr="00113477" w:rsidTr="00F53A13">
        <w:trPr>
          <w:trHeight w:val="89"/>
          <w:jc w:val="center"/>
        </w:trPr>
        <w:tc>
          <w:tcPr>
            <w:tcW w:w="2428"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1= Oui</w:t>
            </w:r>
          </w:p>
        </w:tc>
        <w:tc>
          <w:tcPr>
            <w:tcW w:w="2572" w:type="pct"/>
          </w:tcPr>
          <w:p w:rsidR="00F53A13" w:rsidRPr="00113477" w:rsidRDefault="00F53A13" w:rsidP="00F53A13">
            <w:pPr>
              <w:contextualSpacing/>
              <w:rPr>
                <w:rFonts w:ascii="Book Antiqua" w:hAnsi="Book Antiqua"/>
                <w:i/>
                <w:sz w:val="20"/>
                <w:szCs w:val="20"/>
              </w:rPr>
            </w:pPr>
            <w:r w:rsidRPr="00113477">
              <w:rPr>
                <w:rFonts w:ascii="Book Antiqua" w:hAnsi="Book Antiqua"/>
                <w:i/>
                <w:sz w:val="20"/>
                <w:szCs w:val="20"/>
              </w:rPr>
              <w:t>2=Non</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left="499" w:right="11" w:hanging="357"/>
        <w:jc w:val="both"/>
        <w:rPr>
          <w:rFonts w:ascii="Book Antiqua" w:hAnsi="Book Antiqua"/>
          <w:sz w:val="20"/>
          <w:szCs w:val="20"/>
        </w:rPr>
      </w:pPr>
      <w:r w:rsidRPr="00113477">
        <w:rPr>
          <w:rFonts w:ascii="Book Antiqua" w:hAnsi="Book Antiqua"/>
          <w:sz w:val="20"/>
          <w:szCs w:val="20"/>
        </w:rPr>
        <w:t>Votre entreprise a-t-elle eu à formuler des réclamations au niveau de sa banque ?</w:t>
      </w:r>
      <w:r w:rsidR="006029E6" w:rsidRPr="00113477">
        <w:rPr>
          <w:rFonts w:ascii="Book Antiqua" w:hAnsi="Book Antiqua"/>
          <w:sz w:val="20"/>
          <w:szCs w:val="20"/>
        </w:rPr>
        <w:t xml:space="preserve"> </w:t>
      </w:r>
      <w:r w:rsidRPr="00113477">
        <w:rPr>
          <w:rFonts w:ascii="Book Antiqua" w:hAnsi="Book Antiqua"/>
          <w:sz w:val="20"/>
          <w:szCs w:val="20"/>
        </w:rPr>
        <w:t>|__|</w:t>
      </w:r>
    </w:p>
    <w:tbl>
      <w:tblPr>
        <w:tblW w:w="0" w:type="auto"/>
        <w:jc w:val="center"/>
        <w:tblLook w:val="01E0"/>
      </w:tblPr>
      <w:tblGrid>
        <w:gridCol w:w="1418"/>
        <w:gridCol w:w="1417"/>
        <w:gridCol w:w="1873"/>
        <w:gridCol w:w="843"/>
      </w:tblGrid>
      <w:tr w:rsidR="00F53A13" w:rsidRPr="00113477" w:rsidTr="00F53A13">
        <w:trPr>
          <w:jc w:val="center"/>
        </w:trPr>
        <w:tc>
          <w:tcPr>
            <w:tcW w:w="1418"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1= Oui, 1 fois</w:t>
            </w:r>
          </w:p>
        </w:tc>
        <w:tc>
          <w:tcPr>
            <w:tcW w:w="1417"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 xml:space="preserve">2=Oui, 2 fois </w:t>
            </w:r>
          </w:p>
        </w:tc>
        <w:tc>
          <w:tcPr>
            <w:tcW w:w="1873"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3= Oui, Plus de 2 fois</w:t>
            </w:r>
          </w:p>
        </w:tc>
        <w:tc>
          <w:tcPr>
            <w:tcW w:w="0" w:type="auto"/>
          </w:tcPr>
          <w:p w:rsidR="00F53A13" w:rsidRPr="00113477" w:rsidRDefault="00F53A13" w:rsidP="00F53A13">
            <w:pPr>
              <w:rPr>
                <w:rFonts w:ascii="Book Antiqua" w:hAnsi="Book Antiqua"/>
                <w:i/>
                <w:sz w:val="20"/>
                <w:szCs w:val="20"/>
              </w:rPr>
            </w:pPr>
            <w:r w:rsidRPr="00113477">
              <w:rPr>
                <w:rFonts w:ascii="Book Antiqua" w:hAnsi="Book Antiqua"/>
                <w:i/>
                <w:sz w:val="20"/>
                <w:szCs w:val="20"/>
              </w:rPr>
              <w:t>4= Non</w:t>
            </w:r>
          </w:p>
        </w:tc>
      </w:tr>
    </w:tbl>
    <w:p w:rsidR="00F53A13" w:rsidRPr="00113477" w:rsidRDefault="00F53A13" w:rsidP="00F53A13">
      <w:pPr>
        <w:spacing w:line="360" w:lineRule="auto"/>
        <w:rPr>
          <w:rFonts w:ascii="Book Antiqua" w:hAnsi="Book Antiqua"/>
          <w:sz w:val="20"/>
          <w:szCs w:val="20"/>
        </w:rPr>
      </w:pPr>
      <w:r w:rsidRPr="00113477">
        <w:rPr>
          <w:rFonts w:ascii="Book Antiqua" w:hAnsi="Book Antiqua"/>
          <w:sz w:val="20"/>
          <w:szCs w:val="20"/>
        </w:rPr>
        <w:t xml:space="preserve">Si </w:t>
      </w:r>
      <w:r w:rsidRPr="00113477">
        <w:rPr>
          <w:rFonts w:ascii="Book Antiqua" w:hAnsi="Book Antiqua"/>
          <w:b/>
          <w:sz w:val="20"/>
          <w:szCs w:val="20"/>
        </w:rPr>
        <w:t>oui</w:t>
      </w:r>
      <w:r w:rsidRPr="00113477">
        <w:rPr>
          <w:rFonts w:ascii="Book Antiqua" w:hAnsi="Book Antiqua"/>
          <w:sz w:val="20"/>
          <w:szCs w:val="20"/>
        </w:rPr>
        <w:t>,</w:t>
      </w:r>
      <w:r w:rsidR="00A94696" w:rsidRPr="00113477">
        <w:rPr>
          <w:rFonts w:ascii="Book Antiqua" w:hAnsi="Book Antiqua"/>
          <w:sz w:val="20"/>
          <w:szCs w:val="20"/>
        </w:rPr>
        <w:t xml:space="preserve"> </w:t>
      </w:r>
      <w:r w:rsidRPr="00113477">
        <w:rPr>
          <w:rFonts w:ascii="Book Antiqua" w:hAnsi="Book Antiqua"/>
          <w:sz w:val="20"/>
          <w:szCs w:val="20"/>
        </w:rPr>
        <w:t>Veuillez préciser :</w:t>
      </w:r>
    </w:p>
    <w:p w:rsidR="00F53A13" w:rsidRPr="00113477" w:rsidRDefault="00F53A13" w:rsidP="004272B8">
      <w:pPr>
        <w:numPr>
          <w:ilvl w:val="1"/>
          <w:numId w:val="65"/>
        </w:numPr>
        <w:spacing w:line="360" w:lineRule="auto"/>
        <w:contextualSpacing/>
        <w:rPr>
          <w:rFonts w:ascii="Book Antiqua" w:hAnsi="Book Antiqua"/>
          <w:sz w:val="20"/>
          <w:szCs w:val="20"/>
        </w:rPr>
      </w:pPr>
      <w:r w:rsidRPr="00113477">
        <w:rPr>
          <w:rFonts w:ascii="Book Antiqua" w:hAnsi="Book Antiqua"/>
          <w:sz w:val="20"/>
          <w:szCs w:val="20"/>
        </w:rPr>
        <w:t>En quelle(s) année(s).</w:t>
      </w:r>
    </w:p>
    <w:tbl>
      <w:tblPr>
        <w:tblW w:w="3863" w:type="pct"/>
        <w:jc w:val="center"/>
        <w:tblLook w:val="01E0"/>
      </w:tblPr>
      <w:tblGrid>
        <w:gridCol w:w="1099"/>
        <w:gridCol w:w="1101"/>
        <w:gridCol w:w="1102"/>
        <w:gridCol w:w="1099"/>
        <w:gridCol w:w="1102"/>
        <w:gridCol w:w="2067"/>
      </w:tblGrid>
      <w:tr w:rsidR="00F53A13" w:rsidRPr="00113477" w:rsidTr="00F53A13">
        <w:trPr>
          <w:jc w:val="center"/>
        </w:trPr>
        <w:tc>
          <w:tcPr>
            <w:tcW w:w="72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2015</w:t>
            </w:r>
          </w:p>
        </w:tc>
        <w:tc>
          <w:tcPr>
            <w:tcW w:w="72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2014</w:t>
            </w:r>
          </w:p>
        </w:tc>
        <w:tc>
          <w:tcPr>
            <w:tcW w:w="728"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2013</w:t>
            </w:r>
          </w:p>
        </w:tc>
        <w:tc>
          <w:tcPr>
            <w:tcW w:w="726"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 2012</w:t>
            </w:r>
          </w:p>
        </w:tc>
        <w:tc>
          <w:tcPr>
            <w:tcW w:w="728"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5=2011</w:t>
            </w:r>
          </w:p>
        </w:tc>
        <w:tc>
          <w:tcPr>
            <w:tcW w:w="1365"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6=2010 ou Avant</w:t>
            </w:r>
          </w:p>
        </w:tc>
      </w:tr>
    </w:tbl>
    <w:p w:rsidR="00F53A13" w:rsidRPr="00113477" w:rsidRDefault="00F53A13" w:rsidP="004272B8">
      <w:pPr>
        <w:pStyle w:val="Paragraphedeliste"/>
        <w:numPr>
          <w:ilvl w:val="1"/>
          <w:numId w:val="65"/>
        </w:numPr>
        <w:spacing w:line="360" w:lineRule="auto"/>
        <w:ind w:right="10"/>
        <w:rPr>
          <w:rFonts w:ascii="Book Antiqua" w:hAnsi="Book Antiqua"/>
          <w:sz w:val="20"/>
          <w:szCs w:val="20"/>
        </w:rPr>
      </w:pPr>
      <w:r w:rsidRPr="00113477">
        <w:rPr>
          <w:rFonts w:ascii="Book Antiqua" w:hAnsi="Book Antiqua"/>
          <w:sz w:val="20"/>
          <w:szCs w:val="20"/>
        </w:rPr>
        <w:t>Les raisons de ce(s) réclamation(s). (</w:t>
      </w:r>
      <w:r w:rsidRPr="00113477">
        <w:rPr>
          <w:rFonts w:ascii="Book Antiqua" w:hAnsi="Book Antiqua"/>
          <w:i/>
          <w:sz w:val="20"/>
          <w:szCs w:val="20"/>
        </w:rPr>
        <w:t>encerclez la ou les réponses</w:t>
      </w:r>
      <w:r w:rsidRPr="00113477">
        <w:rPr>
          <w:rFonts w:ascii="Book Antiqua" w:hAnsi="Book Antiqua"/>
          <w:sz w:val="20"/>
          <w:szCs w:val="20"/>
        </w:rPr>
        <w:t>)</w:t>
      </w:r>
    </w:p>
    <w:tbl>
      <w:tblPr>
        <w:tblW w:w="4284" w:type="pct"/>
        <w:jc w:val="center"/>
        <w:tblLook w:val="01E0"/>
      </w:tblPr>
      <w:tblGrid>
        <w:gridCol w:w="2753"/>
        <w:gridCol w:w="2341"/>
        <w:gridCol w:w="3301"/>
      </w:tblGrid>
      <w:tr w:rsidR="00F53A13" w:rsidRPr="00113477" w:rsidTr="00F53A13">
        <w:trPr>
          <w:jc w:val="center"/>
        </w:trPr>
        <w:tc>
          <w:tcPr>
            <w:tcW w:w="1640"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Facturation d’un service</w:t>
            </w:r>
          </w:p>
          <w:p w:rsidR="00F53A13" w:rsidRPr="00113477" w:rsidRDefault="00F53A13" w:rsidP="00F53A13">
            <w:pPr>
              <w:rPr>
                <w:rFonts w:ascii="Book Antiqua" w:hAnsi="Book Antiqua"/>
                <w:i/>
                <w:sz w:val="20"/>
                <w:szCs w:val="20"/>
              </w:rPr>
            </w:pPr>
            <w:r w:rsidRPr="00113477">
              <w:rPr>
                <w:rFonts w:ascii="Book Antiqua" w:hAnsi="Book Antiqua"/>
                <w:i/>
                <w:sz w:val="20"/>
                <w:szCs w:val="20"/>
              </w:rPr>
              <w:t>2= Contestation du relevé</w:t>
            </w:r>
          </w:p>
        </w:tc>
        <w:tc>
          <w:tcPr>
            <w:tcW w:w="139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 Absence de diligence</w:t>
            </w:r>
          </w:p>
          <w:p w:rsidR="00F53A13" w:rsidRPr="00113477" w:rsidRDefault="00F53A13" w:rsidP="00F53A13">
            <w:pPr>
              <w:rPr>
                <w:rFonts w:ascii="Book Antiqua" w:hAnsi="Book Antiqua"/>
                <w:i/>
                <w:sz w:val="20"/>
                <w:szCs w:val="20"/>
              </w:rPr>
            </w:pPr>
            <w:r w:rsidRPr="00113477">
              <w:rPr>
                <w:rFonts w:ascii="Book Antiqua" w:hAnsi="Book Antiqua"/>
                <w:i/>
                <w:sz w:val="20"/>
                <w:szCs w:val="20"/>
              </w:rPr>
              <w:t>4= Déficit d’information</w:t>
            </w:r>
          </w:p>
        </w:tc>
        <w:tc>
          <w:tcPr>
            <w:tcW w:w="196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5=Autre (Préciser)……….................</w:t>
            </w:r>
          </w:p>
        </w:tc>
      </w:tr>
    </w:tbl>
    <w:p w:rsidR="00F53A13" w:rsidRPr="00113477" w:rsidRDefault="00F53A13" w:rsidP="004272B8">
      <w:pPr>
        <w:pStyle w:val="Paragraphedeliste"/>
        <w:numPr>
          <w:ilvl w:val="1"/>
          <w:numId w:val="65"/>
        </w:numPr>
        <w:spacing w:before="120" w:after="120"/>
        <w:ind w:left="788" w:right="11" w:hanging="431"/>
        <w:contextualSpacing w:val="0"/>
        <w:rPr>
          <w:rFonts w:ascii="Book Antiqua" w:hAnsi="Book Antiqua"/>
          <w:sz w:val="20"/>
          <w:szCs w:val="20"/>
        </w:rPr>
      </w:pPr>
      <w:r w:rsidRPr="00113477">
        <w:rPr>
          <w:rFonts w:ascii="Book Antiqua" w:hAnsi="Book Antiqua"/>
          <w:sz w:val="20"/>
          <w:szCs w:val="20"/>
        </w:rPr>
        <w:t xml:space="preserve">Comment jugez-vous la qualité du suivi </w:t>
      </w:r>
      <w:r w:rsidR="006029E6">
        <w:rPr>
          <w:rFonts w:ascii="Book Antiqua" w:hAnsi="Book Antiqua"/>
          <w:sz w:val="20"/>
          <w:szCs w:val="20"/>
        </w:rPr>
        <w:t>de votre dernière réclamation ?</w:t>
      </w:r>
      <w:r w:rsidR="006029E6" w:rsidRPr="00113477">
        <w:rPr>
          <w:rFonts w:ascii="Book Antiqua" w:hAnsi="Book Antiqua"/>
          <w:sz w:val="20"/>
          <w:szCs w:val="20"/>
        </w:rPr>
        <w:t xml:space="preserve"> </w:t>
      </w:r>
      <w:r w:rsidRPr="00113477">
        <w:rPr>
          <w:rFonts w:ascii="Book Antiqua" w:hAnsi="Book Antiqua"/>
          <w:sz w:val="20"/>
          <w:szCs w:val="20"/>
        </w:rPr>
        <w:t>|__|</w:t>
      </w:r>
    </w:p>
    <w:tbl>
      <w:tblPr>
        <w:tblW w:w="0" w:type="auto"/>
        <w:jc w:val="center"/>
        <w:tblLook w:val="01E0"/>
      </w:tblPr>
      <w:tblGrid>
        <w:gridCol w:w="1560"/>
        <w:gridCol w:w="1134"/>
        <w:gridCol w:w="1349"/>
        <w:gridCol w:w="1599"/>
      </w:tblGrid>
      <w:tr w:rsidR="00F53A13" w:rsidRPr="00113477" w:rsidTr="00F53A13">
        <w:trPr>
          <w:jc w:val="center"/>
        </w:trPr>
        <w:tc>
          <w:tcPr>
            <w:tcW w:w="1560"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bonne</w:t>
            </w:r>
          </w:p>
        </w:tc>
        <w:tc>
          <w:tcPr>
            <w:tcW w:w="1134"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2= Bonne</w:t>
            </w:r>
          </w:p>
        </w:tc>
        <w:tc>
          <w:tcPr>
            <w:tcW w:w="1349"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M</w:t>
            </w:r>
            <w:r w:rsidRPr="00113477">
              <w:rPr>
                <w:rFonts w:ascii="Book Antiqua" w:hAnsi="Book Antiqua"/>
                <w:i/>
                <w:sz w:val="20"/>
                <w:szCs w:val="20"/>
              </w:rPr>
              <w:t>auvaise</w:t>
            </w:r>
          </w:p>
        </w:tc>
        <w:tc>
          <w:tcPr>
            <w:tcW w:w="0" w:type="auto"/>
          </w:tcPr>
          <w:p w:rsidR="00F53A13" w:rsidRPr="00113477" w:rsidRDefault="00F53A13" w:rsidP="00F53A13">
            <w:pPr>
              <w:rPr>
                <w:rFonts w:ascii="Book Antiqua" w:hAnsi="Book Antiqua"/>
                <w:i/>
                <w:sz w:val="20"/>
                <w:szCs w:val="20"/>
              </w:rPr>
            </w:pPr>
            <w:r w:rsidRPr="00113477">
              <w:rPr>
                <w:rFonts w:ascii="Book Antiqua" w:hAnsi="Book Antiqua"/>
                <w:i/>
                <w:sz w:val="20"/>
                <w:szCs w:val="20"/>
              </w:rPr>
              <w:t>4=Très mauvaise</w:t>
            </w:r>
          </w:p>
        </w:tc>
      </w:tr>
    </w:tbl>
    <w:p w:rsidR="006029E6" w:rsidRDefault="006029E6" w:rsidP="00F53A13">
      <w:pPr>
        <w:contextualSpacing/>
        <w:rPr>
          <w:rFonts w:ascii="Book Antiqua" w:hAnsi="Book Antiqua"/>
          <w:b/>
          <w:bCs/>
          <w:sz w:val="20"/>
          <w:szCs w:val="20"/>
          <w:u w:val="single"/>
        </w:rPr>
      </w:pPr>
    </w:p>
    <w:p w:rsidR="00F53A13" w:rsidRPr="00113477" w:rsidRDefault="006029E6" w:rsidP="006029E6">
      <w:pPr>
        <w:spacing w:after="200" w:line="276" w:lineRule="auto"/>
        <w:rPr>
          <w:rFonts w:ascii="Book Antiqua" w:hAnsi="Book Antiqua"/>
          <w:b/>
          <w:bCs/>
          <w:sz w:val="20"/>
          <w:szCs w:val="20"/>
          <w:u w:val="single"/>
        </w:rPr>
      </w:pPr>
      <w:r>
        <w:rPr>
          <w:rFonts w:ascii="Book Antiqua" w:hAnsi="Book Antiqua"/>
          <w:b/>
          <w:bCs/>
          <w:sz w:val="20"/>
          <w:szCs w:val="20"/>
          <w:u w:val="single"/>
        </w:rPr>
        <w:br w:type="page"/>
      </w:r>
    </w:p>
    <w:p w:rsidR="00F53A13" w:rsidRPr="00113477" w:rsidRDefault="00F53A13" w:rsidP="004272B8">
      <w:pPr>
        <w:numPr>
          <w:ilvl w:val="0"/>
          <w:numId w:val="66"/>
        </w:numPr>
        <w:contextualSpacing/>
        <w:rPr>
          <w:rFonts w:ascii="Book Antiqua" w:hAnsi="Book Antiqua"/>
          <w:b/>
          <w:bCs/>
          <w:sz w:val="20"/>
          <w:szCs w:val="20"/>
          <w:u w:val="single"/>
        </w:rPr>
      </w:pPr>
      <w:r w:rsidRPr="00113477">
        <w:rPr>
          <w:rFonts w:ascii="Book Antiqua" w:hAnsi="Book Antiqua"/>
          <w:b/>
          <w:bCs/>
          <w:sz w:val="20"/>
          <w:szCs w:val="20"/>
          <w:u w:val="single"/>
        </w:rPr>
        <w:lastRenderedPageBreak/>
        <w:t>SATISFACTION SUR L’ACCESSIBILITE</w:t>
      </w:r>
    </w:p>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right="11"/>
        <w:jc w:val="both"/>
        <w:rPr>
          <w:rFonts w:ascii="Book Antiqua" w:hAnsi="Book Antiqua"/>
          <w:sz w:val="20"/>
          <w:szCs w:val="20"/>
        </w:rPr>
      </w:pPr>
      <w:r w:rsidRPr="00113477">
        <w:rPr>
          <w:rFonts w:ascii="Book Antiqua" w:hAnsi="Book Antiqua"/>
          <w:sz w:val="20"/>
          <w:szCs w:val="20"/>
        </w:rPr>
        <w:t>Comment votre entreprise juge-t-elle l’accès par téléphone à son</w:t>
      </w:r>
      <w:r w:rsidR="00A94696" w:rsidRPr="00113477">
        <w:rPr>
          <w:rFonts w:ascii="Book Antiqua" w:hAnsi="Book Antiqua"/>
          <w:sz w:val="20"/>
          <w:szCs w:val="20"/>
        </w:rPr>
        <w:t xml:space="preserve"> </w:t>
      </w:r>
      <w:r w:rsidRPr="00113477">
        <w:rPr>
          <w:rFonts w:ascii="Book Antiqua" w:hAnsi="Book Antiqua"/>
          <w:sz w:val="20"/>
          <w:szCs w:val="20"/>
        </w:rPr>
        <w:t>agence ?</w:t>
      </w:r>
      <w:r w:rsidR="006029E6" w:rsidRPr="00113477">
        <w:rPr>
          <w:rFonts w:ascii="Book Antiqua" w:hAnsi="Book Antiqua"/>
          <w:sz w:val="20"/>
          <w:szCs w:val="20"/>
        </w:rPr>
        <w:t xml:space="preserve"> </w:t>
      </w:r>
      <w:proofErr w:type="gramStart"/>
      <w:r w:rsidRPr="00113477">
        <w:rPr>
          <w:rFonts w:ascii="Book Antiqua" w:hAnsi="Book Antiqua"/>
          <w:sz w:val="20"/>
          <w:szCs w:val="20"/>
        </w:rPr>
        <w:t>|</w:t>
      </w:r>
      <w:proofErr w:type="gramEnd"/>
      <w:r w:rsidRPr="00113477">
        <w:rPr>
          <w:rFonts w:ascii="Book Antiqua" w:hAnsi="Book Antiqua"/>
          <w:sz w:val="20"/>
          <w:szCs w:val="20"/>
        </w:rPr>
        <w:t>__|</w:t>
      </w:r>
    </w:p>
    <w:tbl>
      <w:tblPr>
        <w:tblW w:w="0" w:type="auto"/>
        <w:jc w:val="center"/>
        <w:tblLook w:val="01E0"/>
      </w:tblPr>
      <w:tblGrid>
        <w:gridCol w:w="1418"/>
        <w:gridCol w:w="1276"/>
        <w:gridCol w:w="1291"/>
        <w:gridCol w:w="1685"/>
        <w:gridCol w:w="1134"/>
      </w:tblGrid>
      <w:tr w:rsidR="00F53A13" w:rsidRPr="00113477" w:rsidTr="00F53A13">
        <w:trPr>
          <w:jc w:val="center"/>
        </w:trPr>
        <w:tc>
          <w:tcPr>
            <w:tcW w:w="1418"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facile</w:t>
            </w:r>
          </w:p>
        </w:tc>
        <w:tc>
          <w:tcPr>
            <w:tcW w:w="1276"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2= Facile</w:t>
            </w:r>
          </w:p>
        </w:tc>
        <w:tc>
          <w:tcPr>
            <w:tcW w:w="1291"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D</w:t>
            </w:r>
            <w:r w:rsidRPr="00113477">
              <w:rPr>
                <w:rFonts w:ascii="Book Antiqua" w:hAnsi="Book Antiqua"/>
                <w:i/>
                <w:sz w:val="20"/>
                <w:szCs w:val="20"/>
              </w:rPr>
              <w:t>ifficile</w:t>
            </w:r>
          </w:p>
        </w:tc>
        <w:tc>
          <w:tcPr>
            <w:tcW w:w="1685"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4=Très difficile</w:t>
            </w:r>
          </w:p>
        </w:tc>
        <w:tc>
          <w:tcPr>
            <w:tcW w:w="1134"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6=Sans objet</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line="360" w:lineRule="auto"/>
        <w:ind w:right="10"/>
        <w:rPr>
          <w:rFonts w:ascii="Book Antiqua" w:hAnsi="Book Antiqua"/>
          <w:sz w:val="20"/>
          <w:szCs w:val="20"/>
        </w:rPr>
      </w:pPr>
      <w:r w:rsidRPr="00113477">
        <w:rPr>
          <w:rFonts w:ascii="Book Antiqua" w:hAnsi="Book Antiqua"/>
          <w:sz w:val="20"/>
          <w:szCs w:val="20"/>
        </w:rPr>
        <w:t>Comment jugez-vous l’accès au site</w:t>
      </w:r>
      <w:r w:rsidR="008B46CA" w:rsidRPr="00113477">
        <w:rPr>
          <w:rFonts w:ascii="Book Antiqua" w:hAnsi="Book Antiqua"/>
          <w:sz w:val="20"/>
          <w:szCs w:val="20"/>
        </w:rPr>
        <w:t xml:space="preserve"> </w:t>
      </w:r>
      <w:r w:rsidRPr="00113477">
        <w:rPr>
          <w:rFonts w:ascii="Book Antiqua" w:hAnsi="Book Antiqua"/>
          <w:sz w:val="20"/>
          <w:szCs w:val="20"/>
        </w:rPr>
        <w:t>web</w:t>
      </w:r>
      <w:r w:rsidR="008B46CA" w:rsidRPr="00113477">
        <w:rPr>
          <w:rFonts w:ascii="Book Antiqua" w:hAnsi="Book Antiqua"/>
          <w:sz w:val="20"/>
          <w:szCs w:val="20"/>
        </w:rPr>
        <w:t xml:space="preserve"> </w:t>
      </w:r>
      <w:r w:rsidRPr="00113477">
        <w:rPr>
          <w:rFonts w:ascii="Book Antiqua" w:hAnsi="Book Antiqua"/>
          <w:sz w:val="20"/>
          <w:szCs w:val="20"/>
        </w:rPr>
        <w:t>de votre banque ?</w:t>
      </w:r>
      <w:r w:rsidR="006029E6" w:rsidRPr="00113477">
        <w:rPr>
          <w:rFonts w:ascii="Book Antiqua" w:hAnsi="Book Antiqua"/>
          <w:sz w:val="20"/>
          <w:szCs w:val="20"/>
        </w:rPr>
        <w:t xml:space="preserve"> </w:t>
      </w:r>
      <w:proofErr w:type="gramStart"/>
      <w:r w:rsidRPr="00113477">
        <w:rPr>
          <w:rFonts w:ascii="Book Antiqua" w:hAnsi="Book Antiqua"/>
          <w:sz w:val="20"/>
          <w:szCs w:val="20"/>
        </w:rPr>
        <w:t>|</w:t>
      </w:r>
      <w:proofErr w:type="gramEnd"/>
      <w:r w:rsidRPr="00113477">
        <w:rPr>
          <w:rFonts w:ascii="Book Antiqua" w:hAnsi="Book Antiqua"/>
          <w:sz w:val="20"/>
          <w:szCs w:val="20"/>
        </w:rPr>
        <w:t>__|</w:t>
      </w:r>
    </w:p>
    <w:tbl>
      <w:tblPr>
        <w:tblW w:w="0" w:type="auto"/>
        <w:jc w:val="center"/>
        <w:tblLook w:val="01E0"/>
      </w:tblPr>
      <w:tblGrid>
        <w:gridCol w:w="1418"/>
        <w:gridCol w:w="1276"/>
        <w:gridCol w:w="1291"/>
        <w:gridCol w:w="1685"/>
        <w:gridCol w:w="1134"/>
      </w:tblGrid>
      <w:tr w:rsidR="00F53A13" w:rsidRPr="00113477" w:rsidTr="00F53A13">
        <w:trPr>
          <w:jc w:val="center"/>
        </w:trPr>
        <w:tc>
          <w:tcPr>
            <w:tcW w:w="1418"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facile</w:t>
            </w:r>
          </w:p>
        </w:tc>
        <w:tc>
          <w:tcPr>
            <w:tcW w:w="1276"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2= Facile</w:t>
            </w:r>
          </w:p>
        </w:tc>
        <w:tc>
          <w:tcPr>
            <w:tcW w:w="1291"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D</w:t>
            </w:r>
            <w:r w:rsidRPr="00113477">
              <w:rPr>
                <w:rFonts w:ascii="Book Antiqua" w:hAnsi="Book Antiqua"/>
                <w:i/>
                <w:sz w:val="20"/>
                <w:szCs w:val="20"/>
              </w:rPr>
              <w:t>ifficile</w:t>
            </w:r>
          </w:p>
        </w:tc>
        <w:tc>
          <w:tcPr>
            <w:tcW w:w="1685"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4=Très difficile</w:t>
            </w:r>
          </w:p>
        </w:tc>
        <w:tc>
          <w:tcPr>
            <w:tcW w:w="1134"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6=Sans objet</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right="11"/>
        <w:jc w:val="both"/>
        <w:rPr>
          <w:rFonts w:ascii="Book Antiqua" w:hAnsi="Book Antiqua"/>
          <w:sz w:val="20"/>
          <w:szCs w:val="20"/>
        </w:rPr>
      </w:pPr>
      <w:r w:rsidRPr="00113477">
        <w:rPr>
          <w:rFonts w:ascii="Book Antiqua" w:hAnsi="Book Antiqua"/>
          <w:sz w:val="20"/>
          <w:szCs w:val="20"/>
        </w:rPr>
        <w:t>Comment jugez-vous l’accessibilité de l’agence b</w:t>
      </w:r>
      <w:r w:rsidR="006029E6">
        <w:rPr>
          <w:rFonts w:ascii="Book Antiqua" w:hAnsi="Book Antiqua"/>
          <w:sz w:val="20"/>
          <w:szCs w:val="20"/>
        </w:rPr>
        <w:t>ancaire de votre entreprise ?</w:t>
      </w:r>
      <w:r w:rsidR="006029E6" w:rsidRPr="00113477">
        <w:rPr>
          <w:rFonts w:ascii="Book Antiqua" w:hAnsi="Book Antiqua"/>
          <w:sz w:val="20"/>
          <w:szCs w:val="20"/>
        </w:rPr>
        <w:t xml:space="preserve"> </w:t>
      </w:r>
      <w:r w:rsidRPr="00113477">
        <w:rPr>
          <w:rFonts w:ascii="Book Antiqua" w:hAnsi="Book Antiqua"/>
          <w:sz w:val="20"/>
          <w:szCs w:val="20"/>
        </w:rPr>
        <w:t>|__|</w:t>
      </w:r>
    </w:p>
    <w:tbl>
      <w:tblPr>
        <w:tblW w:w="0" w:type="auto"/>
        <w:jc w:val="center"/>
        <w:tblLook w:val="01E0"/>
      </w:tblPr>
      <w:tblGrid>
        <w:gridCol w:w="1418"/>
        <w:gridCol w:w="1276"/>
        <w:gridCol w:w="1291"/>
        <w:gridCol w:w="1685"/>
      </w:tblGrid>
      <w:tr w:rsidR="00F53A13" w:rsidRPr="00113477" w:rsidTr="00F53A13">
        <w:trPr>
          <w:jc w:val="center"/>
        </w:trPr>
        <w:tc>
          <w:tcPr>
            <w:tcW w:w="1418"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facile</w:t>
            </w:r>
          </w:p>
        </w:tc>
        <w:tc>
          <w:tcPr>
            <w:tcW w:w="1276"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2= Facile</w:t>
            </w:r>
          </w:p>
        </w:tc>
        <w:tc>
          <w:tcPr>
            <w:tcW w:w="1291"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D</w:t>
            </w:r>
            <w:r w:rsidRPr="00113477">
              <w:rPr>
                <w:rFonts w:ascii="Book Antiqua" w:hAnsi="Book Antiqua"/>
                <w:i/>
                <w:sz w:val="20"/>
                <w:szCs w:val="20"/>
              </w:rPr>
              <w:t>ifficile</w:t>
            </w:r>
          </w:p>
        </w:tc>
        <w:tc>
          <w:tcPr>
            <w:tcW w:w="1685" w:type="dxa"/>
          </w:tcPr>
          <w:p w:rsidR="00F53A13" w:rsidRPr="00113477" w:rsidRDefault="00F53A13" w:rsidP="00F53A13">
            <w:pPr>
              <w:rPr>
                <w:rFonts w:ascii="Book Antiqua" w:hAnsi="Book Antiqua"/>
                <w:i/>
                <w:sz w:val="20"/>
                <w:szCs w:val="20"/>
              </w:rPr>
            </w:pPr>
            <w:r w:rsidRPr="00113477">
              <w:rPr>
                <w:rFonts w:ascii="Book Antiqua" w:hAnsi="Book Antiqua"/>
                <w:i/>
                <w:sz w:val="20"/>
                <w:szCs w:val="20"/>
              </w:rPr>
              <w:t>4=Très difficile</w:t>
            </w:r>
          </w:p>
        </w:tc>
      </w:tr>
    </w:tbl>
    <w:p w:rsidR="00F53A13" w:rsidRPr="00113477" w:rsidRDefault="00F53A13" w:rsidP="00F53A13">
      <w:pPr>
        <w:rPr>
          <w:rFonts w:ascii="Book Antiqua" w:hAnsi="Book Antiqua"/>
          <w:sz w:val="20"/>
          <w:szCs w:val="20"/>
        </w:rPr>
      </w:pPr>
    </w:p>
    <w:p w:rsidR="00F53A13" w:rsidRPr="00113477" w:rsidRDefault="00F53A13" w:rsidP="004272B8">
      <w:pPr>
        <w:numPr>
          <w:ilvl w:val="0"/>
          <w:numId w:val="65"/>
        </w:numPr>
        <w:spacing w:after="120"/>
        <w:ind w:right="11"/>
        <w:jc w:val="both"/>
        <w:rPr>
          <w:rFonts w:ascii="Book Antiqua" w:hAnsi="Book Antiqua"/>
          <w:sz w:val="20"/>
          <w:szCs w:val="20"/>
        </w:rPr>
      </w:pPr>
      <w:r w:rsidRPr="00113477">
        <w:rPr>
          <w:rFonts w:ascii="Book Antiqua" w:hAnsi="Book Antiqua"/>
          <w:sz w:val="20"/>
          <w:szCs w:val="20"/>
        </w:rPr>
        <w:t>Que pensez-vous des horaires de service de l’agence bancaire de votre entreprise ? |__|</w:t>
      </w:r>
    </w:p>
    <w:tbl>
      <w:tblPr>
        <w:tblW w:w="3882" w:type="pct"/>
        <w:jc w:val="center"/>
        <w:tblLook w:val="01E0"/>
      </w:tblPr>
      <w:tblGrid>
        <w:gridCol w:w="1515"/>
        <w:gridCol w:w="1375"/>
        <w:gridCol w:w="1928"/>
        <w:gridCol w:w="2789"/>
      </w:tblGrid>
      <w:tr w:rsidR="00F53A13" w:rsidRPr="00113477" w:rsidTr="00F53A13">
        <w:trPr>
          <w:jc w:val="center"/>
        </w:trPr>
        <w:tc>
          <w:tcPr>
            <w:tcW w:w="996"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1= Très adaptés</w:t>
            </w:r>
          </w:p>
        </w:tc>
        <w:tc>
          <w:tcPr>
            <w:tcW w:w="904"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2= Adaptés</w:t>
            </w:r>
          </w:p>
        </w:tc>
        <w:tc>
          <w:tcPr>
            <w:tcW w:w="1267"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3=</w:t>
            </w:r>
            <w:r w:rsidRPr="00113477">
              <w:rPr>
                <w:rFonts w:ascii="Book Antiqua" w:hAnsi="Book Antiqua"/>
                <w:sz w:val="20"/>
                <w:szCs w:val="20"/>
              </w:rPr>
              <w:t xml:space="preserve"> I</w:t>
            </w:r>
            <w:r w:rsidRPr="00113477">
              <w:rPr>
                <w:rFonts w:ascii="Book Antiqua" w:hAnsi="Book Antiqua"/>
                <w:i/>
                <w:sz w:val="20"/>
                <w:szCs w:val="20"/>
              </w:rPr>
              <w:t>nadaptés</w:t>
            </w:r>
          </w:p>
        </w:tc>
        <w:tc>
          <w:tcPr>
            <w:tcW w:w="1833" w:type="pct"/>
          </w:tcPr>
          <w:p w:rsidR="00F53A13" w:rsidRPr="00113477" w:rsidRDefault="00F53A13" w:rsidP="00F53A13">
            <w:pPr>
              <w:rPr>
                <w:rFonts w:ascii="Book Antiqua" w:hAnsi="Book Antiqua"/>
                <w:i/>
                <w:sz w:val="20"/>
                <w:szCs w:val="20"/>
              </w:rPr>
            </w:pPr>
            <w:r w:rsidRPr="00113477">
              <w:rPr>
                <w:rFonts w:ascii="Book Antiqua" w:hAnsi="Book Antiqua"/>
                <w:i/>
                <w:sz w:val="20"/>
                <w:szCs w:val="20"/>
              </w:rPr>
              <w:t>4=Très inadaptés</w:t>
            </w:r>
          </w:p>
        </w:tc>
      </w:tr>
    </w:tbl>
    <w:p w:rsidR="00F53A13" w:rsidRPr="00113477" w:rsidRDefault="00F53A13" w:rsidP="00F53A13">
      <w:pPr>
        <w:rPr>
          <w:rFonts w:ascii="Book Antiqua" w:hAnsi="Book Antiqua"/>
          <w:sz w:val="20"/>
          <w:szCs w:val="20"/>
        </w:rPr>
      </w:pPr>
    </w:p>
    <w:p w:rsidR="00F53A13" w:rsidRPr="00113477" w:rsidRDefault="00F53A13" w:rsidP="006029E6">
      <w:pPr>
        <w:spacing w:after="200" w:line="276" w:lineRule="auto"/>
        <w:rPr>
          <w:rFonts w:ascii="Book Antiqua" w:hAnsi="Book Antiqua"/>
          <w:b/>
          <w:bCs/>
          <w:sz w:val="20"/>
          <w:szCs w:val="20"/>
        </w:rPr>
      </w:pPr>
      <w:r w:rsidRPr="00113477">
        <w:rPr>
          <w:rFonts w:ascii="Book Antiqua" w:hAnsi="Book Antiqua"/>
          <w:b/>
          <w:bCs/>
          <w:sz w:val="20"/>
          <w:szCs w:val="20"/>
        </w:rPr>
        <w:t>Vos suggestions pour améliorer la qualité des services de votre banque :</w:t>
      </w:r>
    </w:p>
    <w:p w:rsidR="00F53A13" w:rsidRPr="00113477" w:rsidRDefault="00F53A13" w:rsidP="00F53A13">
      <w:pPr>
        <w:rPr>
          <w:rFonts w:ascii="Book Antiqua" w:hAnsi="Book Antiqua"/>
          <w:sz w:val="20"/>
          <w:szCs w:val="20"/>
        </w:rPr>
      </w:pPr>
    </w:p>
    <w:p w:rsidR="00F53A13" w:rsidRPr="00113477" w:rsidRDefault="00F53A13" w:rsidP="004272B8">
      <w:pPr>
        <w:numPr>
          <w:ilvl w:val="0"/>
          <w:numId w:val="62"/>
        </w:numPr>
        <w:ind w:left="714" w:hanging="357"/>
        <w:jc w:val="both"/>
        <w:rPr>
          <w:rFonts w:ascii="Book Antiqua" w:hAnsi="Book Antiqua"/>
          <w:b/>
          <w:i/>
          <w:sz w:val="20"/>
          <w:szCs w:val="20"/>
        </w:rPr>
      </w:pPr>
      <w:r w:rsidRPr="00113477">
        <w:rPr>
          <w:rFonts w:ascii="Book Antiqua" w:hAnsi="Book Antiqua"/>
          <w:b/>
          <w:bCs/>
          <w:i/>
          <w:sz w:val="20"/>
          <w:szCs w:val="20"/>
        </w:rPr>
        <w:t>Sur les opérations courantes (versement et retrait d’espèces, virements, opérations de change, etc.).</w:t>
      </w:r>
    </w:p>
    <w:p w:rsidR="00F53A13" w:rsidRPr="00113477" w:rsidRDefault="00F53A13" w:rsidP="00F53A13">
      <w:pPr>
        <w:spacing w:after="120" w:line="312" w:lineRule="auto"/>
        <w:ind w:left="720"/>
        <w:contextualSpacing/>
        <w:jc w:val="both"/>
        <w:rPr>
          <w:rFonts w:ascii="Book Antiqua" w:hAnsi="Book Antiqua"/>
          <w:sz w:val="20"/>
          <w:szCs w:val="20"/>
        </w:rPr>
      </w:pPr>
      <w:r w:rsidRPr="00113477">
        <w:rPr>
          <w:rFonts w:ascii="Book Antiqua" w:hAnsi="Book Antiqua"/>
          <w:sz w:val="20"/>
          <w:szCs w:val="20"/>
        </w:rPr>
        <w:t>…………………………………………………………………………………………………..………………</w:t>
      </w:r>
    </w:p>
    <w:p w:rsidR="00F53A13" w:rsidRPr="00113477" w:rsidRDefault="00F53A13" w:rsidP="004272B8">
      <w:pPr>
        <w:numPr>
          <w:ilvl w:val="0"/>
          <w:numId w:val="62"/>
        </w:numPr>
        <w:spacing w:before="240"/>
        <w:contextualSpacing/>
        <w:jc w:val="both"/>
        <w:rPr>
          <w:rFonts w:ascii="Book Antiqua" w:hAnsi="Book Antiqua"/>
          <w:b/>
          <w:bCs/>
          <w:i/>
          <w:sz w:val="20"/>
          <w:szCs w:val="20"/>
        </w:rPr>
      </w:pPr>
      <w:r w:rsidRPr="00113477">
        <w:rPr>
          <w:rFonts w:ascii="Book Antiqua" w:hAnsi="Book Antiqua"/>
          <w:b/>
          <w:bCs/>
          <w:i/>
          <w:sz w:val="20"/>
          <w:szCs w:val="20"/>
        </w:rPr>
        <w:t>Sur les chèques.</w:t>
      </w:r>
    </w:p>
    <w:p w:rsidR="00F53A13" w:rsidRPr="00113477" w:rsidRDefault="00F53A13" w:rsidP="00F53A13">
      <w:pPr>
        <w:spacing w:after="120" w:line="312" w:lineRule="auto"/>
        <w:ind w:left="720"/>
        <w:contextualSpacing/>
        <w:jc w:val="both"/>
        <w:rPr>
          <w:rFonts w:ascii="Book Antiqua" w:hAnsi="Book Antiqua"/>
          <w:sz w:val="20"/>
          <w:szCs w:val="20"/>
        </w:rPr>
      </w:pPr>
      <w:r w:rsidRPr="00113477">
        <w:rPr>
          <w:rFonts w:ascii="Book Antiqua" w:hAnsi="Book Antiqua"/>
          <w:sz w:val="20"/>
          <w:szCs w:val="20"/>
        </w:rPr>
        <w:t>…………………………………………………………………………………………………..………………</w:t>
      </w:r>
    </w:p>
    <w:p w:rsidR="00F53A13" w:rsidRPr="00113477" w:rsidRDefault="00F53A13" w:rsidP="004272B8">
      <w:pPr>
        <w:numPr>
          <w:ilvl w:val="0"/>
          <w:numId w:val="62"/>
        </w:numPr>
        <w:spacing w:before="240"/>
        <w:contextualSpacing/>
        <w:jc w:val="both"/>
        <w:rPr>
          <w:rFonts w:ascii="Book Antiqua" w:hAnsi="Book Antiqua"/>
          <w:b/>
          <w:bCs/>
          <w:i/>
          <w:sz w:val="20"/>
          <w:szCs w:val="20"/>
        </w:rPr>
      </w:pPr>
      <w:r w:rsidRPr="00113477">
        <w:rPr>
          <w:rFonts w:ascii="Book Antiqua" w:hAnsi="Book Antiqua"/>
          <w:b/>
          <w:bCs/>
          <w:i/>
          <w:sz w:val="20"/>
          <w:szCs w:val="20"/>
        </w:rPr>
        <w:t>Sur l’accueil.</w:t>
      </w:r>
    </w:p>
    <w:p w:rsidR="00F53A13" w:rsidRPr="00113477" w:rsidRDefault="00F53A13" w:rsidP="00F53A13">
      <w:pPr>
        <w:spacing w:after="120" w:line="312" w:lineRule="auto"/>
        <w:ind w:left="720"/>
        <w:contextualSpacing/>
        <w:jc w:val="both"/>
        <w:rPr>
          <w:rFonts w:ascii="Book Antiqua" w:hAnsi="Book Antiqua"/>
          <w:sz w:val="20"/>
          <w:szCs w:val="20"/>
        </w:rPr>
      </w:pPr>
      <w:r w:rsidRPr="00113477">
        <w:rPr>
          <w:rFonts w:ascii="Book Antiqua" w:hAnsi="Book Antiqua"/>
          <w:sz w:val="20"/>
          <w:szCs w:val="20"/>
        </w:rPr>
        <w:t>…………………………………………………………………………………………………..………………</w:t>
      </w:r>
    </w:p>
    <w:p w:rsidR="00F53A13" w:rsidRPr="00113477" w:rsidRDefault="00F53A13" w:rsidP="004272B8">
      <w:pPr>
        <w:numPr>
          <w:ilvl w:val="0"/>
          <w:numId w:val="62"/>
        </w:numPr>
        <w:spacing w:before="240"/>
        <w:contextualSpacing/>
        <w:jc w:val="both"/>
        <w:rPr>
          <w:rFonts w:ascii="Book Antiqua" w:hAnsi="Book Antiqua"/>
          <w:b/>
          <w:bCs/>
          <w:i/>
          <w:sz w:val="20"/>
          <w:szCs w:val="20"/>
        </w:rPr>
      </w:pPr>
      <w:r w:rsidRPr="00113477">
        <w:rPr>
          <w:rFonts w:ascii="Book Antiqua" w:hAnsi="Book Antiqua"/>
          <w:b/>
          <w:bCs/>
          <w:i/>
          <w:sz w:val="20"/>
          <w:szCs w:val="20"/>
        </w:rPr>
        <w:t>Sur les horaires de services.</w:t>
      </w:r>
    </w:p>
    <w:p w:rsidR="00F53A13" w:rsidRPr="00113477" w:rsidRDefault="00F53A13" w:rsidP="00F53A13">
      <w:pPr>
        <w:spacing w:after="120" w:line="312" w:lineRule="auto"/>
        <w:ind w:left="720"/>
        <w:contextualSpacing/>
        <w:jc w:val="both"/>
        <w:rPr>
          <w:rFonts w:ascii="Book Antiqua" w:hAnsi="Book Antiqua"/>
          <w:sz w:val="20"/>
          <w:szCs w:val="20"/>
        </w:rPr>
      </w:pPr>
      <w:r w:rsidRPr="00113477">
        <w:rPr>
          <w:rFonts w:ascii="Book Antiqua" w:hAnsi="Book Antiqua"/>
          <w:sz w:val="20"/>
          <w:szCs w:val="20"/>
        </w:rPr>
        <w:t>…………………………………………………………………………………………………..………………</w:t>
      </w:r>
    </w:p>
    <w:p w:rsidR="00F53A13" w:rsidRPr="00113477" w:rsidRDefault="00F53A13" w:rsidP="004272B8">
      <w:pPr>
        <w:numPr>
          <w:ilvl w:val="0"/>
          <w:numId w:val="62"/>
        </w:numPr>
        <w:spacing w:before="240"/>
        <w:contextualSpacing/>
        <w:jc w:val="both"/>
        <w:rPr>
          <w:rFonts w:ascii="Book Antiqua" w:hAnsi="Book Antiqua"/>
          <w:b/>
          <w:bCs/>
          <w:i/>
          <w:sz w:val="20"/>
          <w:szCs w:val="20"/>
        </w:rPr>
      </w:pPr>
      <w:r w:rsidRPr="00113477">
        <w:rPr>
          <w:rFonts w:ascii="Book Antiqua" w:hAnsi="Book Antiqua"/>
          <w:b/>
          <w:bCs/>
          <w:i/>
          <w:sz w:val="20"/>
          <w:szCs w:val="20"/>
        </w:rPr>
        <w:t>Sur les prêts (taux d’intérêt, garanties, durée d’instruction et de mise en place des ressources).</w:t>
      </w:r>
    </w:p>
    <w:p w:rsidR="00F53A13" w:rsidRPr="00113477" w:rsidRDefault="00F53A13" w:rsidP="00F53A13">
      <w:pPr>
        <w:spacing w:after="120" w:line="312" w:lineRule="auto"/>
        <w:ind w:left="720"/>
        <w:contextualSpacing/>
        <w:jc w:val="both"/>
        <w:rPr>
          <w:rFonts w:ascii="Book Antiqua" w:hAnsi="Book Antiqua"/>
          <w:sz w:val="20"/>
          <w:szCs w:val="20"/>
        </w:rPr>
      </w:pPr>
      <w:r w:rsidRPr="00113477">
        <w:rPr>
          <w:rFonts w:ascii="Book Antiqua" w:hAnsi="Book Antiqua"/>
          <w:sz w:val="20"/>
          <w:szCs w:val="20"/>
        </w:rPr>
        <w:t>…………………………………………………………………………………………………..………………</w:t>
      </w:r>
    </w:p>
    <w:p w:rsidR="00F53A13" w:rsidRPr="00113477" w:rsidRDefault="00F53A13" w:rsidP="00F53A13">
      <w:pPr>
        <w:spacing w:after="120" w:line="312" w:lineRule="auto"/>
        <w:ind w:left="720"/>
        <w:contextualSpacing/>
        <w:jc w:val="both"/>
        <w:rPr>
          <w:rFonts w:ascii="Book Antiqua" w:hAnsi="Book Antiqua"/>
          <w:sz w:val="20"/>
          <w:szCs w:val="20"/>
        </w:rPr>
      </w:pPr>
      <w:r w:rsidRPr="00113477">
        <w:rPr>
          <w:rFonts w:ascii="Book Antiqua" w:hAnsi="Book Antiqua"/>
          <w:sz w:val="20"/>
          <w:szCs w:val="20"/>
        </w:rPr>
        <w:t>…………………………………………………………………………………………………..………………</w:t>
      </w:r>
    </w:p>
    <w:p w:rsidR="00F53A13" w:rsidRPr="00113477" w:rsidRDefault="00F53A13" w:rsidP="004272B8">
      <w:pPr>
        <w:numPr>
          <w:ilvl w:val="0"/>
          <w:numId w:val="62"/>
        </w:numPr>
        <w:spacing w:before="240"/>
        <w:contextualSpacing/>
        <w:jc w:val="both"/>
        <w:rPr>
          <w:rFonts w:ascii="Book Antiqua" w:hAnsi="Book Antiqua"/>
          <w:b/>
          <w:bCs/>
          <w:i/>
          <w:sz w:val="20"/>
          <w:szCs w:val="20"/>
        </w:rPr>
      </w:pPr>
      <w:r w:rsidRPr="00113477">
        <w:rPr>
          <w:rFonts w:ascii="Book Antiqua" w:hAnsi="Book Antiqua"/>
          <w:b/>
          <w:bCs/>
          <w:i/>
          <w:sz w:val="20"/>
          <w:szCs w:val="20"/>
        </w:rPr>
        <w:t>Sur les autres services.</w:t>
      </w:r>
    </w:p>
    <w:p w:rsidR="00F53A13" w:rsidRPr="00113477" w:rsidRDefault="00F53A13" w:rsidP="00F53A13">
      <w:pPr>
        <w:spacing w:after="120" w:line="312" w:lineRule="auto"/>
        <w:ind w:left="720"/>
        <w:contextualSpacing/>
        <w:jc w:val="both"/>
        <w:rPr>
          <w:rFonts w:ascii="Book Antiqua" w:hAnsi="Book Antiqua"/>
          <w:sz w:val="20"/>
          <w:szCs w:val="20"/>
        </w:rPr>
      </w:pPr>
      <w:r w:rsidRPr="00113477">
        <w:rPr>
          <w:rFonts w:ascii="Book Antiqua" w:hAnsi="Book Antiqua"/>
          <w:sz w:val="20"/>
          <w:szCs w:val="20"/>
        </w:rPr>
        <w:t>…………………………………………………………………………………………………..………………</w:t>
      </w:r>
    </w:p>
    <w:p w:rsidR="00F53A13" w:rsidRPr="00113477" w:rsidRDefault="00F53A13" w:rsidP="004272B8">
      <w:pPr>
        <w:numPr>
          <w:ilvl w:val="0"/>
          <w:numId w:val="62"/>
        </w:numPr>
        <w:spacing w:before="240"/>
        <w:contextualSpacing/>
        <w:jc w:val="both"/>
        <w:rPr>
          <w:rFonts w:ascii="Book Antiqua" w:hAnsi="Book Antiqua"/>
          <w:b/>
          <w:bCs/>
          <w:i/>
          <w:sz w:val="20"/>
          <w:szCs w:val="20"/>
        </w:rPr>
      </w:pPr>
      <w:r w:rsidRPr="00113477">
        <w:rPr>
          <w:rFonts w:ascii="Book Antiqua" w:hAnsi="Book Antiqua"/>
          <w:b/>
          <w:bCs/>
          <w:i/>
          <w:sz w:val="20"/>
          <w:szCs w:val="20"/>
        </w:rPr>
        <w:t>Autres suggestions.</w:t>
      </w:r>
    </w:p>
    <w:p w:rsidR="00F53A13" w:rsidRPr="00113477" w:rsidRDefault="00F53A13" w:rsidP="00F53A13">
      <w:pPr>
        <w:spacing w:after="120" w:line="312" w:lineRule="auto"/>
        <w:ind w:left="720"/>
        <w:contextualSpacing/>
        <w:jc w:val="both"/>
        <w:rPr>
          <w:rFonts w:ascii="Book Antiqua" w:hAnsi="Book Antiqua"/>
          <w:sz w:val="20"/>
          <w:szCs w:val="20"/>
        </w:rPr>
      </w:pPr>
      <w:r w:rsidRPr="00113477">
        <w:rPr>
          <w:rFonts w:ascii="Book Antiqua" w:hAnsi="Book Antiqua"/>
          <w:sz w:val="20"/>
          <w:szCs w:val="20"/>
        </w:rPr>
        <w:t>…………………………………………………………………………………………………..………………</w:t>
      </w:r>
    </w:p>
    <w:p w:rsidR="00886ADE" w:rsidRPr="00113477" w:rsidRDefault="00886ADE" w:rsidP="008B46CA">
      <w:pPr>
        <w:spacing w:after="200" w:line="276" w:lineRule="auto"/>
        <w:rPr>
          <w:rFonts w:ascii="Book Antiqua" w:hAnsi="Book Antiqua" w:cs="Arial"/>
          <w:sz w:val="20"/>
          <w:szCs w:val="20"/>
        </w:rPr>
      </w:pPr>
    </w:p>
    <w:sectPr w:rsidR="00886ADE" w:rsidRPr="00113477" w:rsidSect="00AE2523">
      <w:pgSz w:w="11907" w:h="16840" w:code="9"/>
      <w:pgMar w:top="680" w:right="1134" w:bottom="680" w:left="1191" w:header="454" w:footer="45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E4C" w:rsidRDefault="004D6E4C" w:rsidP="00CA594A">
      <w:r>
        <w:separator/>
      </w:r>
    </w:p>
    <w:p w:rsidR="004D6E4C" w:rsidRDefault="004D6E4C"/>
  </w:endnote>
  <w:endnote w:type="continuationSeparator" w:id="0">
    <w:p w:rsidR="004D6E4C" w:rsidRDefault="004D6E4C" w:rsidP="00CA594A">
      <w:r>
        <w:continuationSeparator/>
      </w:r>
    </w:p>
    <w:p w:rsidR="004D6E4C" w:rsidRDefault="004D6E4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Antiqua">
    <w:panose1 w:val="00000000000000000000"/>
    <w:charset w:val="00"/>
    <w:family w:val="auto"/>
    <w:notTrueType/>
    <w:pitch w:val="default"/>
    <w:sig w:usb0="00000003" w:usb1="00000000" w:usb2="00000000" w:usb3="00000000" w:csb0="00000001" w:csb1="00000000"/>
  </w:font>
  <w:font w:name="BookAntiqua,Bold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Arial, sans-serif">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676" w:rsidRDefault="003C6676" w:rsidP="00A771C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C6676" w:rsidRDefault="003C6676" w:rsidP="00A771CA">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676" w:rsidRDefault="003C6676" w:rsidP="00D2226A">
    <w:pPr>
      <w:pStyle w:val="Pieddepage"/>
      <w:rPr>
        <w:szCs w:val="20"/>
      </w:rPr>
    </w:pPr>
    <w:r w:rsidRPr="000D65F2">
      <w:rPr>
        <w:rFonts w:ascii="Book Antiqua" w:hAnsi="Book Antiqua"/>
        <w:sz w:val="18"/>
        <w:szCs w:val="18"/>
      </w:rPr>
      <w:pict>
        <v:rect id="_x0000_i1025" style="width:453.6pt;height:1.5pt" o:hralign="center" o:hrstd="t" o:hrnoshade="t" o:hr="t" fillcolor="#00b050" stroked="f"/>
      </w:pic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2"/>
      <w:gridCol w:w="4886"/>
    </w:tblGrid>
    <w:tr w:rsidR="003C6676" w:rsidTr="00990ADE">
      <w:tc>
        <w:tcPr>
          <w:tcW w:w="5039" w:type="dxa"/>
          <w:vAlign w:val="center"/>
        </w:tcPr>
        <w:p w:rsidR="003C6676" w:rsidRPr="005A38A6" w:rsidRDefault="003C6676" w:rsidP="00D2226A">
          <w:pPr>
            <w:pStyle w:val="Pieddepage"/>
            <w:rPr>
              <w:rFonts w:ascii="Arial" w:hAnsi="Arial" w:cs="Arial"/>
              <w:i/>
              <w:sz w:val="18"/>
              <w:szCs w:val="20"/>
            </w:rPr>
          </w:pPr>
          <w:r w:rsidRPr="00546DDA">
            <w:rPr>
              <w:rFonts w:ascii="Arial" w:hAnsi="Arial" w:cs="Arial"/>
              <w:i/>
              <w:sz w:val="16"/>
              <w:szCs w:val="20"/>
            </w:rPr>
            <w:t>ESUB</w:t>
          </w:r>
          <w:r>
            <w:rPr>
              <w:rFonts w:ascii="Arial" w:hAnsi="Arial" w:cs="Arial"/>
              <w:i/>
              <w:sz w:val="16"/>
              <w:szCs w:val="20"/>
            </w:rPr>
            <w:t>-2015</w:t>
          </w:r>
          <w:r w:rsidRPr="00546DDA">
            <w:rPr>
              <w:rFonts w:ascii="Arial" w:hAnsi="Arial" w:cs="Arial"/>
              <w:i/>
              <w:sz w:val="16"/>
              <w:szCs w:val="20"/>
            </w:rPr>
            <w:t>/</w:t>
          </w:r>
          <w:r>
            <w:rPr>
              <w:rFonts w:ascii="Arial" w:hAnsi="Arial" w:cs="Arial"/>
              <w:i/>
              <w:sz w:val="16"/>
              <w:szCs w:val="20"/>
            </w:rPr>
            <w:t>2016-</w:t>
          </w:r>
          <w:r w:rsidRPr="00546DDA">
            <w:rPr>
              <w:rFonts w:ascii="Arial" w:hAnsi="Arial" w:cs="Arial"/>
              <w:i/>
              <w:sz w:val="16"/>
              <w:szCs w:val="20"/>
            </w:rPr>
            <w:t>Rapport d’analyse</w:t>
          </w:r>
        </w:p>
      </w:tc>
      <w:tc>
        <w:tcPr>
          <w:tcW w:w="5039" w:type="dxa"/>
          <w:vAlign w:val="center"/>
        </w:tcPr>
        <w:p w:rsidR="003C6676" w:rsidRDefault="003C6676" w:rsidP="00D2226A">
          <w:pPr>
            <w:pStyle w:val="En-tte"/>
            <w:jc w:val="right"/>
          </w:pPr>
        </w:p>
      </w:tc>
    </w:tr>
  </w:tbl>
  <w:p w:rsidR="003C6676" w:rsidRPr="00D2226A" w:rsidRDefault="003C6676">
    <w:pPr>
      <w:pStyle w:val="Pieddepage"/>
      <w:rPr>
        <w:sz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676" w:rsidRDefault="003C6676" w:rsidP="00A771C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C6676" w:rsidRDefault="003C6676" w:rsidP="00A771CA">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676" w:rsidRDefault="003C6676" w:rsidP="00C42460">
    <w:pPr>
      <w:pStyle w:val="Pieddepage"/>
      <w:rPr>
        <w:szCs w:val="20"/>
      </w:rPr>
    </w:pPr>
    <w:r w:rsidRPr="000D65F2">
      <w:rPr>
        <w:rFonts w:ascii="Book Antiqua" w:hAnsi="Book Antiqua"/>
        <w:sz w:val="18"/>
        <w:szCs w:val="18"/>
      </w:rPr>
      <w:pict>
        <v:rect id="_x0000_i1027" style="width:453.6pt;height:1.5pt" o:hralign="center" o:hrstd="t" o:hrnoshade="t" o:hr="t" fillcolor="#00b050" stroked="f"/>
      </w:pic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9"/>
      <w:gridCol w:w="4889"/>
    </w:tblGrid>
    <w:tr w:rsidR="003C6676" w:rsidTr="00913FA5">
      <w:tc>
        <w:tcPr>
          <w:tcW w:w="5039" w:type="dxa"/>
          <w:vAlign w:val="center"/>
        </w:tcPr>
        <w:p w:rsidR="003C6676" w:rsidRPr="005A38A6" w:rsidRDefault="003C6676" w:rsidP="00D2226A">
          <w:pPr>
            <w:pStyle w:val="Pieddepage"/>
            <w:rPr>
              <w:rFonts w:ascii="Arial" w:hAnsi="Arial" w:cs="Arial"/>
              <w:i/>
              <w:sz w:val="18"/>
              <w:szCs w:val="20"/>
            </w:rPr>
          </w:pPr>
          <w:r w:rsidRPr="00546DDA">
            <w:rPr>
              <w:rFonts w:ascii="Arial" w:hAnsi="Arial" w:cs="Arial"/>
              <w:i/>
              <w:sz w:val="16"/>
              <w:szCs w:val="20"/>
            </w:rPr>
            <w:t>ESUB</w:t>
          </w:r>
          <w:r>
            <w:rPr>
              <w:rFonts w:ascii="Arial" w:hAnsi="Arial" w:cs="Arial"/>
              <w:i/>
              <w:sz w:val="16"/>
              <w:szCs w:val="20"/>
            </w:rPr>
            <w:t>-2015</w:t>
          </w:r>
          <w:r w:rsidRPr="00546DDA">
            <w:rPr>
              <w:rFonts w:ascii="Arial" w:hAnsi="Arial" w:cs="Arial"/>
              <w:i/>
              <w:sz w:val="16"/>
              <w:szCs w:val="20"/>
            </w:rPr>
            <w:t>/Rapport d’analyse</w:t>
          </w:r>
        </w:p>
      </w:tc>
      <w:tc>
        <w:tcPr>
          <w:tcW w:w="5039" w:type="dxa"/>
          <w:vAlign w:val="center"/>
        </w:tcPr>
        <w:p w:rsidR="003C6676" w:rsidRDefault="003C6676" w:rsidP="00913FA5">
          <w:pPr>
            <w:pStyle w:val="En-tte"/>
            <w:jc w:val="right"/>
          </w:pPr>
          <w:sdt>
            <w:sdtPr>
              <w:id w:val="-450858940"/>
              <w:docPartObj>
                <w:docPartGallery w:val="Page Numbers (Top of Page)"/>
                <w:docPartUnique/>
              </w:docPartObj>
            </w:sdtPr>
            <w:sdtContent>
              <w:r w:rsidRPr="00144035">
                <w:rPr>
                  <w:rFonts w:ascii="Arial" w:hAnsi="Arial" w:cs="Arial"/>
                  <w:sz w:val="16"/>
                  <w:szCs w:val="16"/>
                </w:rPr>
                <w:t xml:space="preserve">Page </w:t>
              </w:r>
              <w:r w:rsidRPr="00144035">
                <w:rPr>
                  <w:rFonts w:ascii="Arial" w:hAnsi="Arial" w:cs="Arial"/>
                  <w:sz w:val="16"/>
                  <w:szCs w:val="16"/>
                </w:rPr>
                <w:fldChar w:fldCharType="begin"/>
              </w:r>
              <w:r w:rsidRPr="00144035">
                <w:rPr>
                  <w:rFonts w:ascii="Arial" w:hAnsi="Arial" w:cs="Arial"/>
                  <w:sz w:val="16"/>
                  <w:szCs w:val="16"/>
                </w:rPr>
                <w:instrText>PAGE</w:instrText>
              </w:r>
              <w:r w:rsidRPr="00144035">
                <w:rPr>
                  <w:rFonts w:ascii="Arial" w:hAnsi="Arial" w:cs="Arial"/>
                  <w:sz w:val="16"/>
                  <w:szCs w:val="16"/>
                </w:rPr>
                <w:fldChar w:fldCharType="separate"/>
              </w:r>
              <w:r>
                <w:rPr>
                  <w:rFonts w:ascii="Arial" w:hAnsi="Arial" w:cs="Arial"/>
                  <w:noProof/>
                  <w:sz w:val="16"/>
                  <w:szCs w:val="16"/>
                </w:rPr>
                <w:t>2</w:t>
              </w:r>
              <w:r w:rsidRPr="00144035">
                <w:rPr>
                  <w:rFonts w:ascii="Arial" w:hAnsi="Arial" w:cs="Arial"/>
                  <w:sz w:val="16"/>
                  <w:szCs w:val="16"/>
                </w:rPr>
                <w:fldChar w:fldCharType="end"/>
              </w:r>
              <w:r w:rsidRPr="00144035">
                <w:rPr>
                  <w:rFonts w:ascii="Arial" w:hAnsi="Arial" w:cs="Arial"/>
                  <w:sz w:val="16"/>
                  <w:szCs w:val="16"/>
                </w:rPr>
                <w:t xml:space="preserve"> / </w:t>
              </w:r>
              <w:r w:rsidRPr="00144035">
                <w:rPr>
                  <w:rFonts w:ascii="Arial" w:hAnsi="Arial" w:cs="Arial"/>
                  <w:sz w:val="16"/>
                  <w:szCs w:val="16"/>
                </w:rPr>
                <w:fldChar w:fldCharType="begin"/>
              </w:r>
              <w:r w:rsidRPr="00144035">
                <w:rPr>
                  <w:rFonts w:ascii="Arial" w:hAnsi="Arial" w:cs="Arial"/>
                  <w:sz w:val="16"/>
                  <w:szCs w:val="16"/>
                </w:rPr>
                <w:instrText>NUMPAGES</w:instrText>
              </w:r>
              <w:r w:rsidRPr="00144035">
                <w:rPr>
                  <w:rFonts w:ascii="Arial" w:hAnsi="Arial" w:cs="Arial"/>
                  <w:sz w:val="16"/>
                  <w:szCs w:val="16"/>
                </w:rPr>
                <w:fldChar w:fldCharType="separate"/>
              </w:r>
              <w:r>
                <w:rPr>
                  <w:rFonts w:ascii="Arial" w:hAnsi="Arial" w:cs="Arial"/>
                  <w:noProof/>
                  <w:sz w:val="16"/>
                  <w:szCs w:val="16"/>
                </w:rPr>
                <w:t>187</w:t>
              </w:r>
              <w:r w:rsidRPr="00144035">
                <w:rPr>
                  <w:rFonts w:ascii="Arial" w:hAnsi="Arial" w:cs="Arial"/>
                  <w:sz w:val="16"/>
                  <w:szCs w:val="16"/>
                </w:rPr>
                <w:fldChar w:fldCharType="end"/>
              </w:r>
            </w:sdtContent>
          </w:sdt>
        </w:p>
      </w:tc>
    </w:tr>
  </w:tbl>
  <w:p w:rsidR="003C6676" w:rsidRPr="00C42460" w:rsidRDefault="003C6676" w:rsidP="00C42460">
    <w:pPr>
      <w:pStyle w:val="Pieddepage"/>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676" w:rsidRDefault="003C6676" w:rsidP="00B46793">
    <w:pPr>
      <w:pStyle w:val="Pieddepage"/>
      <w:rPr>
        <w:szCs w:val="20"/>
      </w:rPr>
    </w:pPr>
    <w:r w:rsidRPr="000D65F2">
      <w:rPr>
        <w:rFonts w:ascii="Book Antiqua" w:hAnsi="Book Antiqua"/>
        <w:sz w:val="18"/>
        <w:szCs w:val="18"/>
      </w:rPr>
      <w:pict>
        <v:rect id="_x0000_i1029" style="width:453.6pt;height:1.5pt" o:hralign="center" o:hrstd="t" o:hrnoshade="t" o:hr="t" fillcolor="#00b050" stroked="f"/>
      </w:pic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6"/>
      <w:gridCol w:w="4892"/>
    </w:tblGrid>
    <w:tr w:rsidR="003C6676" w:rsidTr="00976D90">
      <w:tc>
        <w:tcPr>
          <w:tcW w:w="5039" w:type="dxa"/>
          <w:vAlign w:val="center"/>
        </w:tcPr>
        <w:p w:rsidR="003C6676" w:rsidRPr="005A38A6" w:rsidRDefault="003C6676" w:rsidP="00F16D1B">
          <w:pPr>
            <w:pStyle w:val="Pieddepage"/>
            <w:rPr>
              <w:rFonts w:ascii="Arial" w:hAnsi="Arial" w:cs="Arial"/>
              <w:i/>
              <w:sz w:val="18"/>
              <w:szCs w:val="20"/>
            </w:rPr>
          </w:pPr>
          <w:r w:rsidRPr="00546DDA">
            <w:rPr>
              <w:rFonts w:ascii="Arial" w:hAnsi="Arial" w:cs="Arial"/>
              <w:i/>
              <w:sz w:val="16"/>
              <w:szCs w:val="20"/>
            </w:rPr>
            <w:t>ESUB</w:t>
          </w:r>
          <w:r>
            <w:rPr>
              <w:rFonts w:ascii="Arial" w:hAnsi="Arial" w:cs="Arial"/>
              <w:i/>
              <w:sz w:val="16"/>
              <w:szCs w:val="20"/>
            </w:rPr>
            <w:t>-2015</w:t>
          </w:r>
          <w:r w:rsidRPr="00546DDA">
            <w:rPr>
              <w:rFonts w:ascii="Arial" w:hAnsi="Arial" w:cs="Arial"/>
              <w:i/>
              <w:sz w:val="16"/>
              <w:szCs w:val="20"/>
            </w:rPr>
            <w:t>/</w:t>
          </w:r>
          <w:r>
            <w:rPr>
              <w:rFonts w:ascii="Arial" w:hAnsi="Arial" w:cs="Arial"/>
              <w:i/>
              <w:sz w:val="16"/>
              <w:szCs w:val="20"/>
            </w:rPr>
            <w:t>2016-</w:t>
          </w:r>
          <w:r w:rsidRPr="00546DDA">
            <w:rPr>
              <w:rFonts w:ascii="Arial" w:hAnsi="Arial" w:cs="Arial"/>
              <w:i/>
              <w:sz w:val="16"/>
              <w:szCs w:val="20"/>
            </w:rPr>
            <w:t>Rapport d’analyse</w:t>
          </w:r>
        </w:p>
      </w:tc>
      <w:tc>
        <w:tcPr>
          <w:tcW w:w="5039" w:type="dxa"/>
          <w:vAlign w:val="center"/>
        </w:tcPr>
        <w:p w:rsidR="003C6676" w:rsidRDefault="003C6676" w:rsidP="00976D90">
          <w:pPr>
            <w:pStyle w:val="En-tte"/>
            <w:jc w:val="right"/>
          </w:pPr>
          <w:sdt>
            <w:sdtPr>
              <w:id w:val="-443150689"/>
              <w:docPartObj>
                <w:docPartGallery w:val="Page Numbers (Top of Page)"/>
                <w:docPartUnique/>
              </w:docPartObj>
            </w:sdtPr>
            <w:sdtContent>
              <w:r w:rsidRPr="00144035">
                <w:rPr>
                  <w:rFonts w:ascii="Arial" w:hAnsi="Arial" w:cs="Arial"/>
                  <w:sz w:val="16"/>
                  <w:szCs w:val="16"/>
                </w:rPr>
                <w:t xml:space="preserve">Page </w:t>
              </w:r>
              <w:r w:rsidRPr="00144035">
                <w:rPr>
                  <w:rFonts w:ascii="Arial" w:hAnsi="Arial" w:cs="Arial"/>
                  <w:sz w:val="16"/>
                  <w:szCs w:val="16"/>
                </w:rPr>
                <w:fldChar w:fldCharType="begin"/>
              </w:r>
              <w:r w:rsidRPr="00144035">
                <w:rPr>
                  <w:rFonts w:ascii="Arial" w:hAnsi="Arial" w:cs="Arial"/>
                  <w:sz w:val="16"/>
                  <w:szCs w:val="16"/>
                </w:rPr>
                <w:instrText>PAGE</w:instrText>
              </w:r>
              <w:r w:rsidRPr="00144035">
                <w:rPr>
                  <w:rFonts w:ascii="Arial" w:hAnsi="Arial" w:cs="Arial"/>
                  <w:sz w:val="16"/>
                  <w:szCs w:val="16"/>
                </w:rPr>
                <w:fldChar w:fldCharType="separate"/>
              </w:r>
              <w:r w:rsidR="00352950">
                <w:rPr>
                  <w:rFonts w:ascii="Arial" w:hAnsi="Arial" w:cs="Arial"/>
                  <w:noProof/>
                  <w:sz w:val="16"/>
                  <w:szCs w:val="16"/>
                </w:rPr>
                <w:t>147</w:t>
              </w:r>
              <w:r w:rsidRPr="00144035">
                <w:rPr>
                  <w:rFonts w:ascii="Arial" w:hAnsi="Arial" w:cs="Arial"/>
                  <w:sz w:val="16"/>
                  <w:szCs w:val="16"/>
                </w:rPr>
                <w:fldChar w:fldCharType="end"/>
              </w:r>
              <w:r w:rsidRPr="00144035">
                <w:rPr>
                  <w:rFonts w:ascii="Arial" w:hAnsi="Arial" w:cs="Arial"/>
                  <w:sz w:val="16"/>
                  <w:szCs w:val="16"/>
                </w:rPr>
                <w:t xml:space="preserve"> / </w:t>
              </w:r>
              <w:r w:rsidRPr="00144035">
                <w:rPr>
                  <w:rFonts w:ascii="Arial" w:hAnsi="Arial" w:cs="Arial"/>
                  <w:sz w:val="16"/>
                  <w:szCs w:val="16"/>
                </w:rPr>
                <w:fldChar w:fldCharType="begin"/>
              </w:r>
              <w:r w:rsidRPr="00144035">
                <w:rPr>
                  <w:rFonts w:ascii="Arial" w:hAnsi="Arial" w:cs="Arial"/>
                  <w:sz w:val="16"/>
                  <w:szCs w:val="16"/>
                </w:rPr>
                <w:instrText>NUMPAGES</w:instrText>
              </w:r>
              <w:r w:rsidRPr="00144035">
                <w:rPr>
                  <w:rFonts w:ascii="Arial" w:hAnsi="Arial" w:cs="Arial"/>
                  <w:sz w:val="16"/>
                  <w:szCs w:val="16"/>
                </w:rPr>
                <w:fldChar w:fldCharType="separate"/>
              </w:r>
              <w:r w:rsidR="00352950">
                <w:rPr>
                  <w:rFonts w:ascii="Arial" w:hAnsi="Arial" w:cs="Arial"/>
                  <w:noProof/>
                  <w:sz w:val="16"/>
                  <w:szCs w:val="16"/>
                </w:rPr>
                <w:t>184</w:t>
              </w:r>
              <w:r w:rsidRPr="00144035">
                <w:rPr>
                  <w:rFonts w:ascii="Arial" w:hAnsi="Arial" w:cs="Arial"/>
                  <w:sz w:val="16"/>
                  <w:szCs w:val="16"/>
                </w:rPr>
                <w:fldChar w:fldCharType="end"/>
              </w:r>
            </w:sdtContent>
          </w:sdt>
        </w:p>
      </w:tc>
    </w:tr>
  </w:tbl>
  <w:p w:rsidR="003C6676" w:rsidRPr="005A38A6" w:rsidRDefault="003C6676" w:rsidP="00B46793">
    <w:pPr>
      <w:pStyle w:val="Pieddepage"/>
      <w:rPr>
        <w:rFonts w:ascii="Arial" w:hAnsi="Arial" w:cs="Arial"/>
        <w:i/>
        <w:sz w:val="2"/>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E4C" w:rsidRDefault="004D6E4C" w:rsidP="00CA594A">
      <w:r>
        <w:separator/>
      </w:r>
    </w:p>
    <w:p w:rsidR="004D6E4C" w:rsidRDefault="004D6E4C"/>
  </w:footnote>
  <w:footnote w:type="continuationSeparator" w:id="0">
    <w:p w:rsidR="004D6E4C" w:rsidRDefault="004D6E4C" w:rsidP="00CA594A">
      <w:r>
        <w:continuationSeparator/>
      </w:r>
    </w:p>
    <w:p w:rsidR="004D6E4C" w:rsidRDefault="004D6E4C"/>
  </w:footnote>
  <w:footnote w:id="1">
    <w:p w:rsidR="003C6676" w:rsidRPr="00B5568E" w:rsidRDefault="003C6676" w:rsidP="00ED1F4F">
      <w:pPr>
        <w:pStyle w:val="Notedebasdepage"/>
        <w:jc w:val="both"/>
        <w:rPr>
          <w:rFonts w:ascii="Arial" w:hAnsi="Arial" w:cs="Arial"/>
          <w:sz w:val="16"/>
          <w:szCs w:val="16"/>
        </w:rPr>
      </w:pPr>
      <w:r w:rsidRPr="00B5568E">
        <w:rPr>
          <w:rStyle w:val="Appelnotedebasdep"/>
          <w:rFonts w:ascii="Arial" w:hAnsi="Arial" w:cs="Arial"/>
          <w:sz w:val="16"/>
          <w:szCs w:val="16"/>
        </w:rPr>
        <w:footnoteRef/>
      </w:r>
      <w:r w:rsidRPr="00B5568E">
        <w:rPr>
          <w:rFonts w:ascii="Arial" w:hAnsi="Arial" w:cs="Arial"/>
          <w:sz w:val="16"/>
          <w:szCs w:val="16"/>
        </w:rPr>
        <w:t xml:space="preserve"> M. Pape </w:t>
      </w:r>
      <w:proofErr w:type="spellStart"/>
      <w:r w:rsidRPr="00B5568E">
        <w:rPr>
          <w:rFonts w:ascii="Arial" w:hAnsi="Arial" w:cs="Arial"/>
          <w:sz w:val="16"/>
          <w:szCs w:val="16"/>
        </w:rPr>
        <w:t>Seyni</w:t>
      </w:r>
      <w:proofErr w:type="spellEnd"/>
      <w:r w:rsidRPr="00B5568E">
        <w:rPr>
          <w:rFonts w:ascii="Arial" w:hAnsi="Arial" w:cs="Arial"/>
          <w:sz w:val="16"/>
          <w:szCs w:val="16"/>
        </w:rPr>
        <w:t xml:space="preserve"> THIAM, Expert Statisticien Economiste, ne faisant plus partie de l’équipe de l’OQSF, a toutefois participé à la conception et à la réalisation de cette enquête en qualité de coordonnateur jusqu’en décembre 2015.</w:t>
      </w:r>
    </w:p>
  </w:footnote>
  <w:footnote w:id="2">
    <w:p w:rsidR="003C6676" w:rsidRPr="00D746CC" w:rsidRDefault="003C6676">
      <w:pPr>
        <w:pStyle w:val="Notedebasdepage"/>
        <w:rPr>
          <w:rFonts w:ascii="Book Antiqua" w:hAnsi="Book Antiqua"/>
          <w:sz w:val="16"/>
          <w:szCs w:val="16"/>
        </w:rPr>
      </w:pPr>
      <w:r>
        <w:rPr>
          <w:rStyle w:val="Appelnotedebasdep"/>
        </w:rPr>
        <w:footnoteRef/>
      </w:r>
      <w:r w:rsidRPr="00D746CC">
        <w:rPr>
          <w:rFonts w:ascii="Book Antiqua" w:hAnsi="Book Antiqua"/>
          <w:sz w:val="16"/>
          <w:szCs w:val="16"/>
        </w:rPr>
        <w:t>Enquête de Satisfaction auprès des Usagers des Banques</w:t>
      </w:r>
    </w:p>
  </w:footnote>
  <w:footnote w:id="3">
    <w:p w:rsidR="003C6676" w:rsidRPr="00D746CC" w:rsidRDefault="003C6676">
      <w:pPr>
        <w:pStyle w:val="Notedebasdepage"/>
        <w:rPr>
          <w:rFonts w:ascii="Book Antiqua" w:hAnsi="Book Antiqua"/>
          <w:sz w:val="16"/>
          <w:szCs w:val="16"/>
        </w:rPr>
      </w:pPr>
      <w:r w:rsidRPr="00D746CC">
        <w:rPr>
          <w:rStyle w:val="Appelnotedebasdep"/>
          <w:rFonts w:ascii="Book Antiqua" w:hAnsi="Book Antiqua"/>
          <w:sz w:val="16"/>
          <w:szCs w:val="16"/>
        </w:rPr>
        <w:footnoteRef/>
      </w:r>
      <w:r w:rsidRPr="00D746CC">
        <w:rPr>
          <w:rFonts w:ascii="Book Antiqua" w:hAnsi="Book Antiqua"/>
          <w:sz w:val="16"/>
          <w:szCs w:val="16"/>
        </w:rPr>
        <w:t xml:space="preserve"> Enquête de Satisfaction auprès des Usagers des Assurances</w:t>
      </w:r>
    </w:p>
  </w:footnote>
  <w:footnote w:id="4">
    <w:p w:rsidR="003C6676" w:rsidRPr="00D746CC" w:rsidRDefault="003C6676">
      <w:pPr>
        <w:pStyle w:val="Notedebasdepage"/>
        <w:rPr>
          <w:rFonts w:ascii="Book Antiqua" w:hAnsi="Book Antiqua"/>
          <w:sz w:val="16"/>
          <w:szCs w:val="16"/>
        </w:rPr>
      </w:pPr>
      <w:r w:rsidRPr="00D746CC">
        <w:rPr>
          <w:rStyle w:val="Appelnotedebasdep"/>
          <w:rFonts w:ascii="Book Antiqua" w:hAnsi="Book Antiqua"/>
          <w:sz w:val="16"/>
          <w:szCs w:val="16"/>
        </w:rPr>
        <w:footnoteRef/>
      </w:r>
      <w:r w:rsidRPr="00D746CC">
        <w:rPr>
          <w:rFonts w:ascii="Book Antiqua" w:hAnsi="Book Antiqua"/>
          <w:sz w:val="16"/>
          <w:szCs w:val="16"/>
        </w:rPr>
        <w:t xml:space="preserve"> Enquête de Satisfaction auprès des Usagers des Services Financiers Décentralisés</w:t>
      </w:r>
    </w:p>
  </w:footnote>
  <w:footnote w:id="5">
    <w:p w:rsidR="003C6676" w:rsidRPr="00D746CC" w:rsidRDefault="003C6676">
      <w:pPr>
        <w:pStyle w:val="Notedebasdepage"/>
        <w:rPr>
          <w:rFonts w:ascii="Book Antiqua" w:hAnsi="Book Antiqua"/>
          <w:sz w:val="16"/>
          <w:szCs w:val="16"/>
        </w:rPr>
      </w:pPr>
      <w:r w:rsidRPr="00D746CC">
        <w:rPr>
          <w:rStyle w:val="Appelnotedebasdep"/>
          <w:rFonts w:ascii="Book Antiqua" w:hAnsi="Book Antiqua"/>
          <w:sz w:val="16"/>
          <w:szCs w:val="16"/>
        </w:rPr>
        <w:footnoteRef/>
      </w:r>
      <w:r w:rsidRPr="00D746CC">
        <w:rPr>
          <w:rFonts w:ascii="Book Antiqua" w:hAnsi="Book Antiqua"/>
          <w:sz w:val="16"/>
          <w:szCs w:val="16"/>
        </w:rPr>
        <w:t xml:space="preserve"> Enquête de Satisfaction auprès des Usagers de la Poste</w:t>
      </w:r>
    </w:p>
  </w:footnote>
  <w:footnote w:id="6">
    <w:p w:rsidR="003C6676" w:rsidRDefault="003C6676">
      <w:pPr>
        <w:pStyle w:val="Notedebasdepage"/>
      </w:pPr>
      <w:r w:rsidRPr="00D746CC">
        <w:rPr>
          <w:rStyle w:val="Appelnotedebasdep"/>
          <w:rFonts w:ascii="Book Antiqua" w:hAnsi="Book Antiqua"/>
          <w:sz w:val="16"/>
          <w:szCs w:val="16"/>
        </w:rPr>
        <w:footnoteRef/>
      </w:r>
      <w:r w:rsidRPr="00D746CC">
        <w:rPr>
          <w:rFonts w:ascii="Book Antiqua" w:hAnsi="Book Antiqua"/>
          <w:sz w:val="16"/>
          <w:szCs w:val="16"/>
        </w:rPr>
        <w:t xml:space="preserve"> Enquête Nationale sur les Populations Non Bancarisées</w:t>
      </w:r>
    </w:p>
  </w:footnote>
  <w:footnote w:id="7">
    <w:p w:rsidR="003C6676" w:rsidRPr="008F78AD" w:rsidRDefault="003C6676">
      <w:pPr>
        <w:pStyle w:val="Notedebasdepage"/>
        <w:rPr>
          <w:rFonts w:ascii="Book Antiqua" w:hAnsi="Book Antiqua"/>
          <w:sz w:val="16"/>
          <w:szCs w:val="16"/>
        </w:rPr>
      </w:pPr>
      <w:r w:rsidRPr="008F78AD">
        <w:rPr>
          <w:rStyle w:val="Appelnotedebasdep"/>
          <w:rFonts w:ascii="Book Antiqua" w:hAnsi="Book Antiqua"/>
          <w:sz w:val="16"/>
          <w:szCs w:val="16"/>
        </w:rPr>
        <w:footnoteRef/>
      </w:r>
      <w:r w:rsidRPr="008F78AD">
        <w:rPr>
          <w:rFonts w:ascii="Book Antiqua" w:hAnsi="Book Antiqua"/>
          <w:sz w:val="16"/>
          <w:szCs w:val="16"/>
        </w:rPr>
        <w:t xml:space="preserve"> Ces données consolidées par banque ont été recueillies à partir du rapport 2013 de la Commission bancaire de la BCEAO</w:t>
      </w:r>
    </w:p>
  </w:footnote>
  <w:footnote w:id="8">
    <w:p w:rsidR="003C6676" w:rsidRDefault="003C6676" w:rsidP="00DB1F88">
      <w:pPr>
        <w:pStyle w:val="Notedebasdepage"/>
        <w:jc w:val="both"/>
      </w:pPr>
      <w:r w:rsidRPr="008F78AD">
        <w:rPr>
          <w:rStyle w:val="Appelnotedebasdep"/>
          <w:rFonts w:ascii="Book Antiqua" w:hAnsi="Book Antiqua"/>
          <w:sz w:val="16"/>
          <w:szCs w:val="16"/>
        </w:rPr>
        <w:footnoteRef/>
      </w:r>
      <w:r w:rsidRPr="008F78AD">
        <w:rPr>
          <w:rFonts w:ascii="Book Antiqua" w:hAnsi="Book Antiqua"/>
          <w:sz w:val="16"/>
          <w:szCs w:val="16"/>
        </w:rPr>
        <w:t xml:space="preserve"> Le programme d’éducation financière des PME (PEF) est une activité issue des recommandations de la 2</w:t>
      </w:r>
      <w:r w:rsidRPr="008F78AD">
        <w:rPr>
          <w:rFonts w:ascii="Book Antiqua" w:hAnsi="Book Antiqua"/>
          <w:sz w:val="16"/>
          <w:szCs w:val="16"/>
          <w:vertAlign w:val="superscript"/>
        </w:rPr>
        <w:t>ème</w:t>
      </w:r>
      <w:r w:rsidRPr="008F78AD">
        <w:rPr>
          <w:rFonts w:ascii="Book Antiqua" w:hAnsi="Book Antiqua"/>
          <w:sz w:val="16"/>
          <w:szCs w:val="16"/>
        </w:rPr>
        <w:t xml:space="preserve"> Concertation nationale sur le Crédit dont la coordination est assurée par  l’OQSF en rapport avec d’autres acteurs institutionnels désignés. Ce programme s’articule autour de 21 modules de formation au profit des PME.</w:t>
      </w:r>
      <w:r>
        <w:t xml:space="preserve"> </w:t>
      </w:r>
    </w:p>
  </w:footnote>
  <w:footnote w:id="9">
    <w:p w:rsidR="003C6676" w:rsidRDefault="003C6676">
      <w:pPr>
        <w:pStyle w:val="Notedebasdepage"/>
      </w:pPr>
      <w:r>
        <w:rPr>
          <w:rStyle w:val="Appelnotedebasdep"/>
        </w:rPr>
        <w:footnoteRef/>
      </w:r>
      <w:r>
        <w:t xml:space="preserve"> Les formules sont présentées en Annexe 3.</w:t>
      </w:r>
    </w:p>
  </w:footnote>
  <w:footnote w:id="10">
    <w:p w:rsidR="003C6676" w:rsidRDefault="003C6676">
      <w:pPr>
        <w:pStyle w:val="Notedebasdepage"/>
      </w:pPr>
      <w:r>
        <w:rPr>
          <w:rStyle w:val="Appelnotedebasdep"/>
        </w:rPr>
        <w:footnoteRef/>
      </w:r>
      <w:r>
        <w:t xml:space="preserve"> Par compte principal, il est entendu le compte à partir duquel l’entreprise effectue le plus d’opérations bancaires.  </w:t>
      </w:r>
    </w:p>
  </w:footnote>
  <w:footnote w:id="11">
    <w:p w:rsidR="003C6676" w:rsidRDefault="003C6676" w:rsidP="000575BA">
      <w:pPr>
        <w:pStyle w:val="Notedebasdepage"/>
      </w:pPr>
      <w:r>
        <w:rPr>
          <w:rStyle w:val="Appelnotedebasdep"/>
        </w:rPr>
        <w:footnoteRef/>
      </w:r>
      <w:r>
        <w:t xml:space="preserve"> Axe Nord : Régions de Thiès, Louga, Saint-Louis et Matam</w:t>
      </w:r>
    </w:p>
  </w:footnote>
  <w:footnote w:id="12">
    <w:p w:rsidR="003C6676" w:rsidRDefault="003C6676" w:rsidP="000575BA">
      <w:pPr>
        <w:pStyle w:val="Notedebasdepage"/>
      </w:pPr>
      <w:r>
        <w:rPr>
          <w:rStyle w:val="Appelnotedebasdep"/>
        </w:rPr>
        <w:footnoteRef/>
      </w:r>
      <w:r>
        <w:t xml:space="preserve"> Axe Centre : Régions de Diourbel, Kaolack et </w:t>
      </w:r>
      <w:proofErr w:type="spellStart"/>
      <w:r>
        <w:t>Fatick</w:t>
      </w:r>
      <w:proofErr w:type="spellEnd"/>
    </w:p>
  </w:footnote>
  <w:footnote w:id="13">
    <w:p w:rsidR="003C6676" w:rsidRDefault="003C6676" w:rsidP="000575BA">
      <w:pPr>
        <w:pStyle w:val="Notedebasdepage"/>
      </w:pPr>
      <w:r>
        <w:rPr>
          <w:rStyle w:val="Appelnotedebasdep"/>
        </w:rPr>
        <w:footnoteRef/>
      </w:r>
      <w:r>
        <w:t xml:space="preserve"> Axe Sud : Régions de Ziguinchor, </w:t>
      </w:r>
      <w:proofErr w:type="spellStart"/>
      <w:r>
        <w:t>Sédhiou</w:t>
      </w:r>
      <w:proofErr w:type="spellEnd"/>
      <w:r>
        <w:t xml:space="preserve"> et Kolda</w:t>
      </w:r>
    </w:p>
  </w:footnote>
  <w:footnote w:id="14">
    <w:p w:rsidR="003C6676" w:rsidRDefault="003C6676" w:rsidP="000575BA">
      <w:pPr>
        <w:pStyle w:val="Notedebasdepage"/>
      </w:pPr>
      <w:r>
        <w:rPr>
          <w:rStyle w:val="Appelnotedebasdep"/>
        </w:rPr>
        <w:footnoteRef/>
      </w:r>
      <w:r>
        <w:t xml:space="preserve"> Axe Est : Régions de </w:t>
      </w:r>
      <w:proofErr w:type="spellStart"/>
      <w:r>
        <w:t>Kaffrine</w:t>
      </w:r>
      <w:proofErr w:type="spellEnd"/>
      <w:r>
        <w:t>, Tambacounda et Kédougou</w:t>
      </w:r>
    </w:p>
  </w:footnote>
  <w:footnote w:id="15">
    <w:p w:rsidR="003C6676" w:rsidRPr="00C50C0A" w:rsidRDefault="003C6676" w:rsidP="00915B5E">
      <w:pPr>
        <w:pStyle w:val="Notedebasdepage"/>
        <w:jc w:val="both"/>
        <w:rPr>
          <w:sz w:val="16"/>
          <w:szCs w:val="16"/>
        </w:rPr>
      </w:pPr>
      <w:r w:rsidRPr="00C50C0A">
        <w:rPr>
          <w:rFonts w:ascii="Book Antiqua" w:hAnsi="Book Antiqua"/>
          <w:sz w:val="16"/>
          <w:szCs w:val="16"/>
        </w:rPr>
        <w:t>Décret n° 2016-73 du 29 janvier 2016 relatif au service d’aide à la mobilité bancaire mentionné à l’article L. 312-1-7 du code monétaire et financier et aux plans d’épargne logement inactifs</w:t>
      </w:r>
      <w:r>
        <w:rPr>
          <w:rFonts w:ascii="Book Antiqua" w:hAnsi="Book Antiqua"/>
          <w:sz w:val="16"/>
          <w:szCs w:val="16"/>
        </w:rPr>
        <w:t>.</w:t>
      </w:r>
      <w:r w:rsidRPr="00C50C0A">
        <w:rPr>
          <w:rFonts w:ascii="Book Antiqua" w:hAnsi="Book Antiqua"/>
          <w:sz w:val="16"/>
          <w:szCs w:val="16"/>
        </w:rPr>
        <w:t xml:space="preserve"> </w:t>
      </w:r>
    </w:p>
  </w:footnote>
  <w:footnote w:id="16">
    <w:p w:rsidR="003C6676" w:rsidRPr="00DC4496" w:rsidRDefault="003C6676" w:rsidP="004A7125">
      <w:pPr>
        <w:pStyle w:val="Notedebasdepage"/>
        <w:rPr>
          <w:rFonts w:ascii="Book Antiqua" w:hAnsi="Book Antiqua"/>
        </w:rPr>
      </w:pPr>
      <w:r w:rsidRPr="00DC4496">
        <w:rPr>
          <w:rStyle w:val="Appelnotedebasdep"/>
          <w:rFonts w:ascii="Book Antiqua" w:hAnsi="Book Antiqua"/>
        </w:rPr>
        <w:footnoteRef/>
      </w:r>
      <w:r w:rsidRPr="00DC4496">
        <w:rPr>
          <w:rFonts w:ascii="Book Antiqua" w:hAnsi="Book Antiqua"/>
          <w:sz w:val="16"/>
          <w:szCs w:val="16"/>
        </w:rPr>
        <w:t>Note d’informations de la Banque Centrale d’Algérie du 26 décembre 2012</w:t>
      </w:r>
    </w:p>
  </w:footnote>
  <w:footnote w:id="17">
    <w:p w:rsidR="003C6676" w:rsidRPr="00E86AD0" w:rsidRDefault="003C6676" w:rsidP="00D15293">
      <w:pPr>
        <w:pStyle w:val="Notedebasdepage"/>
        <w:rPr>
          <w:rFonts w:ascii="Book Antiqua" w:hAnsi="Book Antiqua"/>
          <w:sz w:val="16"/>
          <w:szCs w:val="16"/>
        </w:rPr>
      </w:pPr>
      <w:r w:rsidRPr="00E86AD0">
        <w:rPr>
          <w:rStyle w:val="Appelnotedebasdep"/>
          <w:rFonts w:ascii="Book Antiqua" w:hAnsi="Book Antiqua"/>
          <w:sz w:val="16"/>
          <w:szCs w:val="16"/>
        </w:rPr>
        <w:footnoteRef/>
      </w:r>
      <w:r w:rsidRPr="00E86AD0">
        <w:rPr>
          <w:rFonts w:ascii="Book Antiqua" w:hAnsi="Book Antiqua"/>
          <w:sz w:val="16"/>
          <w:szCs w:val="16"/>
        </w:rPr>
        <w:t xml:space="preserve"> Décret 2014-1653 du 24 décembre 2014 sur la médiation-conciliation qui confère à la médiation institutionnelle dont celle de l’OQSF, la possibilité de traiter pour le compte et sous mandat de l’administration judiciaire, le contentieux économique et financier.  </w:t>
      </w:r>
    </w:p>
  </w:footnote>
  <w:footnote w:id="18">
    <w:p w:rsidR="003C6676" w:rsidRDefault="003C6676" w:rsidP="00F53A13">
      <w:pPr>
        <w:pStyle w:val="Notedebasdepage"/>
        <w:jc w:val="both"/>
      </w:pPr>
      <w:r>
        <w:rPr>
          <w:rStyle w:val="Appelnotedebasdep"/>
        </w:rPr>
        <w:footnoteRef/>
      </w:r>
      <w:r w:rsidRPr="00C96526">
        <w:t>Par compte principal, il est ente</w:t>
      </w:r>
      <w:r>
        <w:t xml:space="preserve">ndu le compte à partir duquel votre </w:t>
      </w:r>
      <w:r w:rsidRPr="00C96526">
        <w:t>entreprise effectue le plus d’opérations bancaires.</w:t>
      </w:r>
      <w:r>
        <w:t xml:space="preserve"> La banque principale est celle où est ouvert le compte principal.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676" w:rsidRDefault="003C6676" w:rsidP="00C42460">
    <w:pPr>
      <w:pStyle w:val="En-tte"/>
      <w:rPr>
        <w:rFonts w:ascii="Book Antiqua" w:hAnsi="Book Antiqua"/>
        <w:sz w:val="18"/>
        <w:szCs w:val="18"/>
      </w:rPr>
    </w:pPr>
    <w:r w:rsidRPr="004A363E">
      <w:rPr>
        <w:rFonts w:ascii="Book Antiqua" w:hAnsi="Book Antiqua"/>
        <w:noProof/>
        <w:sz w:val="18"/>
        <w:szCs w:val="18"/>
      </w:rPr>
      <w:drawing>
        <wp:inline distT="0" distB="0" distL="0" distR="0">
          <wp:extent cx="419100" cy="419100"/>
          <wp:effectExtent l="19050" t="0" r="0" b="0"/>
          <wp:docPr id="254" name="Image 1" descr="\\Srv\Administration et Finance\OQSF\Communication\Charte graphique\logo\OQSF_Logo 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Administration et Finance\OQSF\Communication\Charte graphique\logo\OQSF_Logo v1.0.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0D65F2">
      <w:rPr>
        <w:rFonts w:ascii="Book Antiqua" w:hAnsi="Book Antiqua"/>
        <w:sz w:val="18"/>
        <w:szCs w:val="18"/>
      </w:rPr>
      <w:pict>
        <v:rect id="_x0000_i1026" style="width:453.6pt;height:1.5pt" o:hralign="center" o:hrstd="t" o:hrnoshade="t" o:hr="t" fillcolor="#00b050" stroked="f"/>
      </w:pict>
    </w:r>
  </w:p>
  <w:p w:rsidR="003C6676" w:rsidRDefault="003C667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676" w:rsidRDefault="003C6676" w:rsidP="00144035">
    <w:pPr>
      <w:pStyle w:val="En-tte"/>
      <w:rPr>
        <w:rFonts w:ascii="Book Antiqua" w:hAnsi="Book Antiqua"/>
        <w:sz w:val="18"/>
        <w:szCs w:val="18"/>
      </w:rPr>
    </w:pPr>
    <w:r w:rsidRPr="004A363E">
      <w:rPr>
        <w:rFonts w:ascii="Book Antiqua" w:hAnsi="Book Antiqua"/>
        <w:noProof/>
        <w:sz w:val="18"/>
        <w:szCs w:val="18"/>
      </w:rPr>
      <w:drawing>
        <wp:inline distT="0" distB="0" distL="0" distR="0">
          <wp:extent cx="419100" cy="419100"/>
          <wp:effectExtent l="19050" t="0" r="0" b="0"/>
          <wp:docPr id="255" name="Image 1" descr="\\Srv\Administration et Finance\OQSF\Communication\Charte graphique\logo\OQSF_Logo 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Administration et Finance\OQSF\Communication\Charte graphique\logo\OQSF_Logo v1.0.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0D65F2">
      <w:rPr>
        <w:rFonts w:ascii="Book Antiqua" w:hAnsi="Book Antiqua"/>
        <w:sz w:val="18"/>
        <w:szCs w:val="18"/>
      </w:rPr>
      <w:pict>
        <v:rect id="_x0000_i1028" style="width:453.6pt;height:1.5pt" o:hralign="center" o:hrstd="t" o:hrnoshade="t" o:hr="t" fillcolor="#00b050" stroked="f"/>
      </w:pict>
    </w:r>
  </w:p>
  <w:p w:rsidR="003C6676" w:rsidRPr="005D22A9" w:rsidRDefault="003C6676" w:rsidP="00144035">
    <w:pPr>
      <w:pStyle w:val="En-tte"/>
      <w:rPr>
        <w:rFonts w:ascii="Arial" w:hAnsi="Arial" w:cs="Arial"/>
        <w:sz w:val="20"/>
        <w:szCs w:val="18"/>
      </w:rPr>
    </w:pPr>
  </w:p>
  <w:p w:rsidR="003C6676" w:rsidRPr="00955848" w:rsidRDefault="003C6676" w:rsidP="00144035">
    <w:pPr>
      <w:pStyle w:val="En-tte"/>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D684A"/>
    <w:multiLevelType w:val="multilevel"/>
    <w:tmpl w:val="378C5EFA"/>
    <w:lvl w:ilvl="0">
      <w:start w:val="1"/>
      <w:numFmt w:val="upperRoman"/>
      <w:lvlText w:val="%1."/>
      <w:lvlJc w:val="left"/>
      <w:pPr>
        <w:ind w:left="720" w:hanging="360"/>
      </w:pPr>
      <w:rPr>
        <w:rFonts w:hint="default"/>
      </w:rPr>
    </w:lvl>
    <w:lvl w:ilvl="1">
      <w:start w:val="2"/>
      <w:numFmt w:val="upperRoman"/>
      <w:lvlText w:val="%2.2."/>
      <w:lvlJc w:val="left"/>
      <w:pPr>
        <w:ind w:left="1080" w:hanging="720"/>
      </w:pPr>
      <w:rPr>
        <w:rFonts w:hint="default"/>
      </w:rPr>
    </w:lvl>
    <w:lvl w:ilvl="2">
      <w:start w:val="1"/>
      <w:numFmt w:val="decimal"/>
      <w:isLgl/>
      <w:lvlText w:val="II.%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59D0C2A"/>
    <w:multiLevelType w:val="hybridMultilevel"/>
    <w:tmpl w:val="C96CEAD6"/>
    <w:lvl w:ilvl="0" w:tplc="4A1C6F38">
      <w:numFmt w:val="bullet"/>
      <w:lvlText w:val="-"/>
      <w:lvlJc w:val="left"/>
      <w:pPr>
        <w:ind w:left="360" w:hanging="360"/>
      </w:pPr>
      <w:rPr>
        <w:rFonts w:ascii="Arial" w:eastAsiaTheme="minorHAnsi" w:hAnsi="Arial" w:cs="Aria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5BA5A0E"/>
    <w:multiLevelType w:val="hybridMultilevel"/>
    <w:tmpl w:val="B576258E"/>
    <w:lvl w:ilvl="0" w:tplc="F6D25D18">
      <w:start w:val="1"/>
      <w:numFmt w:val="upperRoman"/>
      <w:pStyle w:val="Objet"/>
      <w:lvlText w:val="%1."/>
      <w:lvlJc w:val="left"/>
      <w:pPr>
        <w:tabs>
          <w:tab w:val="num" w:pos="1080"/>
        </w:tabs>
        <w:ind w:left="1080" w:hanging="720"/>
      </w:pPr>
      <w:rPr>
        <w:rFonts w:hint="default"/>
        <w:u w:val="none"/>
      </w:rPr>
    </w:lvl>
    <w:lvl w:ilvl="1" w:tplc="D5D28EFE">
      <w:start w:val="2"/>
      <w:numFmt w:val="bullet"/>
      <w:lvlText w:val="-"/>
      <w:lvlJc w:val="left"/>
      <w:pPr>
        <w:tabs>
          <w:tab w:val="num" w:pos="1440"/>
        </w:tabs>
        <w:ind w:left="1440" w:hanging="360"/>
      </w:pPr>
      <w:rPr>
        <w:rFonts w:ascii="Times New Roman" w:eastAsia="Times New Roman" w:hAnsi="Times New Roman" w:cs="Times New Roman" w:hint="default"/>
      </w:rPr>
    </w:lvl>
    <w:lvl w:ilvl="2" w:tplc="1AEE96B0">
      <w:start w:val="1"/>
      <w:numFmt w:val="decimal"/>
      <w:lvlText w:val="%3)"/>
      <w:lvlJc w:val="left"/>
      <w:pPr>
        <w:tabs>
          <w:tab w:val="num" w:pos="2340"/>
        </w:tabs>
        <w:ind w:left="2340" w:hanging="360"/>
      </w:pPr>
      <w:rPr>
        <w:rFonts w:hint="default"/>
      </w:r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7C541F5"/>
    <w:multiLevelType w:val="multilevel"/>
    <w:tmpl w:val="59B4CB98"/>
    <w:lvl w:ilvl="0">
      <w:start w:val="1"/>
      <w:numFmt w:val="upperRoman"/>
      <w:lvlText w:val="%1."/>
      <w:lvlJc w:val="left"/>
      <w:pPr>
        <w:ind w:left="720" w:hanging="360"/>
      </w:pPr>
      <w:rPr>
        <w:rFonts w:hint="default"/>
      </w:rPr>
    </w:lvl>
    <w:lvl w:ilvl="1">
      <w:start w:val="1"/>
      <w:numFmt w:val="upperRoman"/>
      <w:lvlText w:val="%2.1."/>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B805DED"/>
    <w:multiLevelType w:val="multilevel"/>
    <w:tmpl w:val="CD107454"/>
    <w:lvl w:ilvl="0">
      <w:start w:val="1"/>
      <w:numFmt w:val="upperRoman"/>
      <w:lvlText w:val="%1."/>
      <w:lvlJc w:val="left"/>
      <w:pPr>
        <w:ind w:left="717" w:hanging="360"/>
      </w:pPr>
      <w:rPr>
        <w:rFonts w:hint="default"/>
      </w:rPr>
    </w:lvl>
    <w:lvl w:ilvl="1">
      <w:start w:val="2"/>
      <w:numFmt w:val="upperRoman"/>
      <w:pStyle w:val="Titre2"/>
      <w:lvlText w:val="%2.1."/>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5">
    <w:nsid w:val="0D396E66"/>
    <w:multiLevelType w:val="multilevel"/>
    <w:tmpl w:val="999EDF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1B03A72"/>
    <w:multiLevelType w:val="hybridMultilevel"/>
    <w:tmpl w:val="AA4464B8"/>
    <w:lvl w:ilvl="0" w:tplc="53D222D4">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54C423E"/>
    <w:multiLevelType w:val="hybridMultilevel"/>
    <w:tmpl w:val="09ECFAE8"/>
    <w:lvl w:ilvl="0" w:tplc="75608560">
      <w:start w:val="1"/>
      <w:numFmt w:val="upperRoman"/>
      <w:lvlText w:val="%1.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58005DC"/>
    <w:multiLevelType w:val="hybridMultilevel"/>
    <w:tmpl w:val="36E07A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6A61FF"/>
    <w:multiLevelType w:val="hybridMultilevel"/>
    <w:tmpl w:val="934650B0"/>
    <w:lvl w:ilvl="0" w:tplc="A23E9FBA">
      <w:start w:val="1"/>
      <w:numFmt w:val="upperRoman"/>
      <w:lvlText w:val="%1.1.4"/>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8023D46"/>
    <w:multiLevelType w:val="hybridMultilevel"/>
    <w:tmpl w:val="4D40F882"/>
    <w:lvl w:ilvl="0" w:tplc="175441F2">
      <w:start w:val="1"/>
      <w:numFmt w:val="upperRoman"/>
      <w:pStyle w:val="Titre1"/>
      <w:lvlText w:val="%1."/>
      <w:lvlJc w:val="right"/>
      <w:pPr>
        <w:tabs>
          <w:tab w:val="num" w:pos="587"/>
        </w:tabs>
        <w:ind w:left="360" w:firstLine="0"/>
      </w:pPr>
      <w:rPr>
        <w:rFonts w:ascii="Book Antiqua" w:hAnsi="Book Antiqua"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525310"/>
    <w:multiLevelType w:val="hybridMultilevel"/>
    <w:tmpl w:val="C53658A6"/>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1F9F5E24"/>
    <w:multiLevelType w:val="hybridMultilevel"/>
    <w:tmpl w:val="C80C11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D3400B"/>
    <w:multiLevelType w:val="hybridMultilevel"/>
    <w:tmpl w:val="BB3C5B0A"/>
    <w:lvl w:ilvl="0" w:tplc="4A1C6F38">
      <w:numFmt w:val="bullet"/>
      <w:lvlText w:val="-"/>
      <w:lvlJc w:val="left"/>
      <w:pPr>
        <w:ind w:left="360" w:hanging="360"/>
      </w:pPr>
      <w:rPr>
        <w:rFonts w:ascii="Arial" w:eastAsiaTheme="minorHAnsi" w:hAnsi="Arial" w:cs="Aria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7202603"/>
    <w:multiLevelType w:val="hybridMultilevel"/>
    <w:tmpl w:val="877C1BE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E41334"/>
    <w:multiLevelType w:val="hybridMultilevel"/>
    <w:tmpl w:val="B0AE7514"/>
    <w:lvl w:ilvl="0" w:tplc="071E89A6">
      <w:start w:val="4"/>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8674495"/>
    <w:multiLevelType w:val="hybridMultilevel"/>
    <w:tmpl w:val="A6DE173A"/>
    <w:lvl w:ilvl="0" w:tplc="7B445190">
      <w:start w:val="1423"/>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2F47629A"/>
    <w:multiLevelType w:val="hybridMultilevel"/>
    <w:tmpl w:val="115EA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6BB7313"/>
    <w:multiLevelType w:val="multilevel"/>
    <w:tmpl w:val="235249E8"/>
    <w:lvl w:ilvl="0">
      <w:start w:val="1"/>
      <w:numFmt w:val="upperRoman"/>
      <w:lvlText w:val="%1."/>
      <w:lvlJc w:val="left"/>
      <w:pPr>
        <w:ind w:left="720" w:hanging="360"/>
      </w:pPr>
      <w:rPr>
        <w:rFonts w:hint="default"/>
      </w:rPr>
    </w:lvl>
    <w:lvl w:ilvl="1">
      <w:start w:val="1"/>
      <w:numFmt w:val="upperRoman"/>
      <w:lvlText w:val="%2.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86E176A"/>
    <w:multiLevelType w:val="hybridMultilevel"/>
    <w:tmpl w:val="CD12D5D0"/>
    <w:lvl w:ilvl="0" w:tplc="14546202">
      <w:start w:val="1"/>
      <w:numFmt w:val="upperRoman"/>
      <w:lvlText w:val="%1.1.3"/>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91927B9"/>
    <w:multiLevelType w:val="hybridMultilevel"/>
    <w:tmpl w:val="3EB4E79C"/>
    <w:lvl w:ilvl="0" w:tplc="4A1C6F38">
      <w:numFmt w:val="bullet"/>
      <w:lvlText w:val="-"/>
      <w:lvlJc w:val="left"/>
      <w:pPr>
        <w:ind w:left="360" w:hanging="360"/>
      </w:pPr>
      <w:rPr>
        <w:rFonts w:ascii="Arial" w:eastAsiaTheme="minorHAnsi" w:hAnsi="Arial" w:cs="Aria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3ACA1B78"/>
    <w:multiLevelType w:val="multilevel"/>
    <w:tmpl w:val="BFCC772C"/>
    <w:lvl w:ilvl="0">
      <w:start w:val="1"/>
      <w:numFmt w:val="upperRoman"/>
      <w:lvlText w:val="%1."/>
      <w:lvlJc w:val="left"/>
      <w:pPr>
        <w:ind w:left="720" w:hanging="360"/>
      </w:pPr>
      <w:rPr>
        <w:rFonts w:hint="default"/>
      </w:rPr>
    </w:lvl>
    <w:lvl w:ilvl="1">
      <w:start w:val="2"/>
      <w:numFmt w:val="upperRoman"/>
      <w:lvlText w:val="%2.1."/>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C461483"/>
    <w:multiLevelType w:val="hybridMultilevel"/>
    <w:tmpl w:val="12243050"/>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nsid w:val="3D106119"/>
    <w:multiLevelType w:val="multilevel"/>
    <w:tmpl w:val="BCF0C33C"/>
    <w:lvl w:ilvl="0">
      <w:start w:val="1"/>
      <w:numFmt w:val="upperRoman"/>
      <w:lvlText w:val="%1."/>
      <w:lvlJc w:val="left"/>
      <w:pPr>
        <w:ind w:left="720" w:hanging="360"/>
      </w:pPr>
      <w:rPr>
        <w:rFonts w:hint="default"/>
      </w:rPr>
    </w:lvl>
    <w:lvl w:ilvl="1">
      <w:start w:val="2"/>
      <w:numFmt w:val="upperRoman"/>
      <w:lvlText w:val="%2.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3E2D15AA"/>
    <w:multiLevelType w:val="hybridMultilevel"/>
    <w:tmpl w:val="9DE84306"/>
    <w:lvl w:ilvl="0" w:tplc="53D222D4">
      <w:numFmt w:val="bullet"/>
      <w:lvlText w:val="-"/>
      <w:lvlJc w:val="left"/>
      <w:pPr>
        <w:ind w:left="-4635" w:hanging="360"/>
      </w:pPr>
      <w:rPr>
        <w:rFonts w:ascii="Calibri" w:eastAsia="Calibri" w:hAnsi="Calibri" w:cs="Times New Roman"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3195" w:hanging="360"/>
      </w:pPr>
      <w:rPr>
        <w:rFonts w:ascii="Wingdings" w:hAnsi="Wingdings" w:hint="default"/>
      </w:rPr>
    </w:lvl>
    <w:lvl w:ilvl="3" w:tplc="040C0001" w:tentative="1">
      <w:start w:val="1"/>
      <w:numFmt w:val="bullet"/>
      <w:lvlText w:val=""/>
      <w:lvlJc w:val="left"/>
      <w:pPr>
        <w:ind w:left="-2475" w:hanging="360"/>
      </w:pPr>
      <w:rPr>
        <w:rFonts w:ascii="Symbol" w:hAnsi="Symbol" w:hint="default"/>
      </w:rPr>
    </w:lvl>
    <w:lvl w:ilvl="4" w:tplc="040C0003" w:tentative="1">
      <w:start w:val="1"/>
      <w:numFmt w:val="bullet"/>
      <w:lvlText w:val="o"/>
      <w:lvlJc w:val="left"/>
      <w:pPr>
        <w:ind w:left="-1755" w:hanging="360"/>
      </w:pPr>
      <w:rPr>
        <w:rFonts w:ascii="Courier New" w:hAnsi="Courier New" w:cs="Courier New" w:hint="default"/>
      </w:rPr>
    </w:lvl>
    <w:lvl w:ilvl="5" w:tplc="040C0005" w:tentative="1">
      <w:start w:val="1"/>
      <w:numFmt w:val="bullet"/>
      <w:lvlText w:val=""/>
      <w:lvlJc w:val="left"/>
      <w:pPr>
        <w:ind w:left="-1035" w:hanging="360"/>
      </w:pPr>
      <w:rPr>
        <w:rFonts w:ascii="Wingdings" w:hAnsi="Wingdings" w:hint="default"/>
      </w:rPr>
    </w:lvl>
    <w:lvl w:ilvl="6" w:tplc="040C0001" w:tentative="1">
      <w:start w:val="1"/>
      <w:numFmt w:val="bullet"/>
      <w:lvlText w:val=""/>
      <w:lvlJc w:val="left"/>
      <w:pPr>
        <w:ind w:left="-315" w:hanging="360"/>
      </w:pPr>
      <w:rPr>
        <w:rFonts w:ascii="Symbol" w:hAnsi="Symbol" w:hint="default"/>
      </w:rPr>
    </w:lvl>
    <w:lvl w:ilvl="7" w:tplc="040C0003" w:tentative="1">
      <w:start w:val="1"/>
      <w:numFmt w:val="bullet"/>
      <w:lvlText w:val="o"/>
      <w:lvlJc w:val="left"/>
      <w:pPr>
        <w:ind w:left="405" w:hanging="360"/>
      </w:pPr>
      <w:rPr>
        <w:rFonts w:ascii="Courier New" w:hAnsi="Courier New" w:cs="Courier New" w:hint="default"/>
      </w:rPr>
    </w:lvl>
    <w:lvl w:ilvl="8" w:tplc="040C0005" w:tentative="1">
      <w:start w:val="1"/>
      <w:numFmt w:val="bullet"/>
      <w:lvlText w:val=""/>
      <w:lvlJc w:val="left"/>
      <w:pPr>
        <w:ind w:left="1125" w:hanging="360"/>
      </w:pPr>
      <w:rPr>
        <w:rFonts w:ascii="Wingdings" w:hAnsi="Wingdings" w:hint="default"/>
      </w:rPr>
    </w:lvl>
  </w:abstractNum>
  <w:abstractNum w:abstractNumId="25">
    <w:nsid w:val="404E37DD"/>
    <w:multiLevelType w:val="multilevel"/>
    <w:tmpl w:val="CE0656EE"/>
    <w:lvl w:ilvl="0">
      <w:start w:val="2"/>
      <w:numFmt w:val="upperRoman"/>
      <w:lvlText w:val="%1.1.2."/>
      <w:lvlJc w:val="left"/>
      <w:pPr>
        <w:ind w:left="720" w:hanging="360"/>
      </w:pPr>
      <w:rPr>
        <w:rFonts w:hint="default"/>
      </w:rPr>
    </w:lvl>
    <w:lvl w:ilvl="1">
      <w:start w:val="2"/>
      <w:numFmt w:val="upperRoman"/>
      <w:lvlText w:val="%2.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12736AD"/>
    <w:multiLevelType w:val="hybridMultilevel"/>
    <w:tmpl w:val="9A8C9948"/>
    <w:lvl w:ilvl="0" w:tplc="0FB61EF2">
      <w:start w:val="2"/>
      <w:numFmt w:val="bullet"/>
      <w:lvlText w:val="-"/>
      <w:lvlJc w:val="left"/>
      <w:pPr>
        <w:ind w:left="363" w:hanging="360"/>
      </w:pPr>
      <w:rPr>
        <w:rFonts w:ascii="Book Antiqua" w:eastAsiaTheme="minorHAnsi" w:hAnsi="Book Antiqua" w:cstheme="minorBidi"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27">
    <w:nsid w:val="413D7CE8"/>
    <w:multiLevelType w:val="hybridMultilevel"/>
    <w:tmpl w:val="289AEA1E"/>
    <w:lvl w:ilvl="0" w:tplc="4A1C6F38">
      <w:numFmt w:val="bullet"/>
      <w:lvlText w:val="-"/>
      <w:lvlJc w:val="left"/>
      <w:pPr>
        <w:ind w:left="360" w:hanging="360"/>
      </w:pPr>
      <w:rPr>
        <w:rFonts w:ascii="Arial" w:eastAsiaTheme="minorHAnsi" w:hAnsi="Arial" w:cs="Aria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41D255FA"/>
    <w:multiLevelType w:val="hybridMultilevel"/>
    <w:tmpl w:val="5DC6FD52"/>
    <w:lvl w:ilvl="0" w:tplc="4A1C6F38">
      <w:numFmt w:val="bullet"/>
      <w:lvlText w:val="-"/>
      <w:lvlJc w:val="left"/>
      <w:pPr>
        <w:ind w:left="720" w:hanging="720"/>
      </w:pPr>
      <w:rPr>
        <w:rFonts w:ascii="Arial" w:eastAsiaTheme="minorHAnsi" w:hAnsi="Arial" w:cs="Arial" w:hint="default"/>
        <w:color w:val="auto"/>
      </w:rPr>
    </w:lvl>
    <w:lvl w:ilvl="1" w:tplc="7B445190">
      <w:start w:val="1423"/>
      <w:numFmt w:val="bullet"/>
      <w:lvlText w:val="-"/>
      <w:lvlJc w:val="left"/>
      <w:pPr>
        <w:ind w:left="1080" w:hanging="360"/>
      </w:pPr>
      <w:rPr>
        <w:rFonts w:ascii="Times New Roman" w:hAnsi="Times New Roman"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430E3DCA"/>
    <w:multiLevelType w:val="hybridMultilevel"/>
    <w:tmpl w:val="1AB05686"/>
    <w:lvl w:ilvl="0" w:tplc="B7827AFA">
      <w:start w:val="2"/>
      <w:numFmt w:val="upperRoman"/>
      <w:lvlText w:val="%1.2"/>
      <w:lvlJc w:val="right"/>
      <w:pPr>
        <w:ind w:left="720" w:hanging="360"/>
      </w:pPr>
      <w:rPr>
        <w:rFonts w:asciiTheme="majorHAnsi" w:hAnsiTheme="majorHAnsi" w:hint="default"/>
        <w:b/>
        <w:i w:val="0"/>
        <w:color w:val="auto"/>
        <w:sz w:val="22"/>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3682271"/>
    <w:multiLevelType w:val="hybridMultilevel"/>
    <w:tmpl w:val="18C6E28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3B9631C"/>
    <w:multiLevelType w:val="hybridMultilevel"/>
    <w:tmpl w:val="4FAA9692"/>
    <w:lvl w:ilvl="0" w:tplc="385A37FC">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45324CE9"/>
    <w:multiLevelType w:val="hybridMultilevel"/>
    <w:tmpl w:val="8B6EA070"/>
    <w:lvl w:ilvl="0" w:tplc="7B445190">
      <w:start w:val="1423"/>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474D1342"/>
    <w:multiLevelType w:val="hybridMultilevel"/>
    <w:tmpl w:val="358C9B8C"/>
    <w:lvl w:ilvl="0" w:tplc="C09CBE2C">
      <w:start w:val="1"/>
      <w:numFmt w:val="upperRoman"/>
      <w:lvlText w:val="%1.1.2"/>
      <w:lvlJc w:val="left"/>
      <w:pPr>
        <w:ind w:left="0" w:firstLine="0"/>
      </w:pPr>
      <w:rPr>
        <w:rFonts w:hint="default"/>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34">
    <w:nsid w:val="47ED1366"/>
    <w:multiLevelType w:val="hybridMultilevel"/>
    <w:tmpl w:val="C5E0CDD8"/>
    <w:lvl w:ilvl="0" w:tplc="820C946C">
      <w:start w:val="1"/>
      <w:numFmt w:val="upperRoman"/>
      <w:lvlText w:val="%1.2.2"/>
      <w:lvlJc w:val="left"/>
      <w:pPr>
        <w:ind w:left="0" w:hanging="360"/>
      </w:pPr>
      <w:rPr>
        <w:rFonts w:hint="default"/>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35">
    <w:nsid w:val="4CA80078"/>
    <w:multiLevelType w:val="hybridMultilevel"/>
    <w:tmpl w:val="66BA74AC"/>
    <w:lvl w:ilvl="0" w:tplc="8A44DE6A">
      <w:start w:val="1423"/>
      <w:numFmt w:val="bullet"/>
      <w:lvlText w:val="-"/>
      <w:lvlJc w:val="left"/>
      <w:pPr>
        <w:ind w:left="1074" w:hanging="360"/>
      </w:pPr>
      <w:rPr>
        <w:rFonts w:ascii="Times New Roman" w:hAnsi="Times New Roman" w:hint="default"/>
        <w:b/>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36">
    <w:nsid w:val="4E05672C"/>
    <w:multiLevelType w:val="hybridMultilevel"/>
    <w:tmpl w:val="87FC3412"/>
    <w:lvl w:ilvl="0" w:tplc="7B445190">
      <w:start w:val="1423"/>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4EBC37FA"/>
    <w:multiLevelType w:val="multilevel"/>
    <w:tmpl w:val="5F3ABD0A"/>
    <w:lvl w:ilvl="0">
      <w:start w:val="1"/>
      <w:numFmt w:val="upperRoman"/>
      <w:lvlText w:val="%1."/>
      <w:lvlJc w:val="left"/>
      <w:pPr>
        <w:ind w:left="720" w:hanging="360"/>
      </w:pPr>
      <w:rPr>
        <w:rFonts w:hint="default"/>
      </w:rPr>
    </w:lvl>
    <w:lvl w:ilvl="1">
      <w:start w:val="2"/>
      <w:numFmt w:val="upperRoman"/>
      <w:lvlText w:val="%2.3."/>
      <w:lvlJc w:val="left"/>
      <w:pPr>
        <w:ind w:left="1080" w:hanging="720"/>
      </w:pPr>
      <w:rPr>
        <w:rFonts w:hint="default"/>
      </w:rPr>
    </w:lvl>
    <w:lvl w:ilvl="2">
      <w:start w:val="1"/>
      <w:numFmt w:val="decimal"/>
      <w:isLgl/>
      <w:lvlText w:val="II.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51957BB9"/>
    <w:multiLevelType w:val="hybridMultilevel"/>
    <w:tmpl w:val="7DC0BC90"/>
    <w:lvl w:ilvl="0" w:tplc="4A1C6F38">
      <w:numFmt w:val="bullet"/>
      <w:lvlText w:val="-"/>
      <w:lvlJc w:val="left"/>
      <w:pPr>
        <w:ind w:left="360" w:hanging="360"/>
      </w:pPr>
      <w:rPr>
        <w:rFonts w:ascii="Arial" w:eastAsiaTheme="minorHAnsi" w:hAnsi="Arial" w:cs="Aria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539130ED"/>
    <w:multiLevelType w:val="hybridMultilevel"/>
    <w:tmpl w:val="8F507E60"/>
    <w:lvl w:ilvl="0" w:tplc="9860FFA6">
      <w:numFmt w:val="bullet"/>
      <w:lvlText w:val="-"/>
      <w:lvlJc w:val="left"/>
      <w:pPr>
        <w:ind w:left="360" w:hanging="360"/>
      </w:pPr>
      <w:rPr>
        <w:rFonts w:ascii="Book Antiqua" w:eastAsiaTheme="minorEastAsia" w:hAnsi="Book Antiqua"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55BF379E"/>
    <w:multiLevelType w:val="multilevel"/>
    <w:tmpl w:val="A064C4B4"/>
    <w:lvl w:ilvl="0">
      <w:start w:val="1"/>
      <w:numFmt w:val="upperRoman"/>
      <w:lvlText w:val="%1."/>
      <w:lvlJc w:val="left"/>
      <w:pPr>
        <w:ind w:left="720" w:hanging="360"/>
      </w:pPr>
      <w:rPr>
        <w:rFonts w:hint="default"/>
      </w:rPr>
    </w:lvl>
    <w:lvl w:ilvl="1">
      <w:start w:val="2"/>
      <w:numFmt w:val="upperRoman"/>
      <w:lvlText w:val="%2.3."/>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5655506A"/>
    <w:multiLevelType w:val="hybridMultilevel"/>
    <w:tmpl w:val="5052B192"/>
    <w:lvl w:ilvl="0" w:tplc="53D222D4">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58D403DB"/>
    <w:multiLevelType w:val="hybridMultilevel"/>
    <w:tmpl w:val="2A5081E4"/>
    <w:lvl w:ilvl="0" w:tplc="33A82C2E">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C557295"/>
    <w:multiLevelType w:val="multilevel"/>
    <w:tmpl w:val="A1D6F65E"/>
    <w:lvl w:ilvl="0">
      <w:start w:val="1"/>
      <w:numFmt w:val="upperRoman"/>
      <w:lvlText w:val="%1."/>
      <w:lvlJc w:val="left"/>
      <w:pPr>
        <w:ind w:left="720" w:hanging="360"/>
      </w:pPr>
      <w:rPr>
        <w:rFonts w:hint="default"/>
      </w:rPr>
    </w:lvl>
    <w:lvl w:ilvl="1">
      <w:start w:val="2"/>
      <w:numFmt w:val="upperRoman"/>
      <w:lvlText w:val="%2.4."/>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5CCB10D3"/>
    <w:multiLevelType w:val="multilevel"/>
    <w:tmpl w:val="E1C02140"/>
    <w:lvl w:ilvl="0">
      <w:start w:val="1"/>
      <w:numFmt w:val="upperRoman"/>
      <w:lvlText w:val="%1."/>
      <w:lvlJc w:val="right"/>
      <w:pPr>
        <w:tabs>
          <w:tab w:val="num" w:pos="180"/>
        </w:tabs>
        <w:ind w:left="180" w:hanging="18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5D6367C2"/>
    <w:multiLevelType w:val="hybridMultilevel"/>
    <w:tmpl w:val="A2B6CB46"/>
    <w:lvl w:ilvl="0" w:tplc="4A1C6F38">
      <w:numFmt w:val="bullet"/>
      <w:lvlText w:val="-"/>
      <w:lvlJc w:val="left"/>
      <w:pPr>
        <w:ind w:left="720" w:hanging="360"/>
      </w:pPr>
      <w:rPr>
        <w:rFonts w:ascii="Arial" w:eastAsiaTheme="minorHAnsi" w:hAnsi="Arial" w:cs="Arial" w:hint="default"/>
        <w:color w:val="auto"/>
      </w:rPr>
    </w:lvl>
    <w:lvl w:ilvl="1" w:tplc="33A82C2E">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EB175FF"/>
    <w:multiLevelType w:val="hybridMultilevel"/>
    <w:tmpl w:val="18D86BA8"/>
    <w:lvl w:ilvl="0" w:tplc="D5D28EFE">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0F6081A"/>
    <w:multiLevelType w:val="hybridMultilevel"/>
    <w:tmpl w:val="E738EFEA"/>
    <w:lvl w:ilvl="0" w:tplc="AA0290BA">
      <w:start w:val="1"/>
      <w:numFmt w:val="upperRoman"/>
      <w:lvlText w:val="%1.1.3"/>
      <w:lvlJc w:val="left"/>
      <w:pPr>
        <w:ind w:left="0" w:hanging="360"/>
      </w:pPr>
      <w:rPr>
        <w:rFonts w:hint="default"/>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48">
    <w:nsid w:val="61706027"/>
    <w:multiLevelType w:val="hybridMultilevel"/>
    <w:tmpl w:val="1B68AB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2285F32"/>
    <w:multiLevelType w:val="multilevel"/>
    <w:tmpl w:val="D7849880"/>
    <w:lvl w:ilvl="0">
      <w:start w:val="1"/>
      <w:numFmt w:val="upperRoman"/>
      <w:lvlText w:val="%1."/>
      <w:lvlJc w:val="right"/>
      <w:pPr>
        <w:tabs>
          <w:tab w:val="num" w:pos="587"/>
        </w:tabs>
        <w:ind w:left="360" w:firstLine="0"/>
      </w:pPr>
      <w:rPr>
        <w:rFonts w:ascii="Book Antiqua" w:hAnsi="Book Antiqua" w:hint="default"/>
        <w:b/>
        <w:i w:val="0"/>
        <w:color w:val="auto"/>
        <w:sz w:val="22"/>
        <w:szCs w:val="22"/>
      </w:rPr>
    </w:lvl>
    <w:lvl w:ilvl="1">
      <w:start w:val="2"/>
      <w:numFmt w:val="decimal"/>
      <w:isLgl/>
      <w:lvlText w:val="%1.%2."/>
      <w:lvlJc w:val="left"/>
      <w:pPr>
        <w:ind w:left="900" w:hanging="540"/>
      </w:pPr>
      <w:rPr>
        <w:rFonts w:ascii="Times New Roman" w:hAnsi="Times New Roman" w:cs="Times New Roman" w:hint="default"/>
        <w:b w:val="0"/>
        <w:sz w:val="24"/>
      </w:rPr>
    </w:lvl>
    <w:lvl w:ilvl="2">
      <w:start w:val="2"/>
      <w:numFmt w:val="decimal"/>
      <w:isLgl/>
      <w:lvlText w:val="%1.%2.%3."/>
      <w:lvlJc w:val="left"/>
      <w:pPr>
        <w:ind w:left="1080" w:hanging="720"/>
      </w:pPr>
      <w:rPr>
        <w:rFonts w:ascii="Book Antiqua" w:hAnsi="Book Antiqua" w:cs="Times New Roman" w:hint="default"/>
        <w:b/>
        <w:sz w:val="22"/>
        <w:szCs w:val="22"/>
      </w:rPr>
    </w:lvl>
    <w:lvl w:ilvl="3">
      <w:start w:val="1"/>
      <w:numFmt w:val="decimal"/>
      <w:isLgl/>
      <w:lvlText w:val="%1.%2.%3.%4."/>
      <w:lvlJc w:val="left"/>
      <w:pPr>
        <w:ind w:left="1080" w:hanging="720"/>
      </w:pPr>
      <w:rPr>
        <w:rFonts w:ascii="Times New Roman" w:hAnsi="Times New Roman" w:cs="Times New Roman" w:hint="default"/>
        <w:b w:val="0"/>
        <w:sz w:val="24"/>
      </w:rPr>
    </w:lvl>
    <w:lvl w:ilvl="4">
      <w:start w:val="1"/>
      <w:numFmt w:val="decimal"/>
      <w:isLgl/>
      <w:lvlText w:val="%1.%2.%3.%4.%5."/>
      <w:lvlJc w:val="left"/>
      <w:pPr>
        <w:ind w:left="1440" w:hanging="1080"/>
      </w:pPr>
      <w:rPr>
        <w:rFonts w:ascii="Times New Roman" w:hAnsi="Times New Roman" w:cs="Times New Roman" w:hint="default"/>
        <w:b w:val="0"/>
        <w:sz w:val="24"/>
      </w:rPr>
    </w:lvl>
    <w:lvl w:ilvl="5">
      <w:start w:val="1"/>
      <w:numFmt w:val="decimal"/>
      <w:isLgl/>
      <w:lvlText w:val="%1.%2.%3.%4.%5.%6."/>
      <w:lvlJc w:val="left"/>
      <w:pPr>
        <w:ind w:left="1440" w:hanging="1080"/>
      </w:pPr>
      <w:rPr>
        <w:rFonts w:ascii="Times New Roman" w:hAnsi="Times New Roman" w:cs="Times New Roman" w:hint="default"/>
        <w:b w:val="0"/>
        <w:sz w:val="24"/>
      </w:rPr>
    </w:lvl>
    <w:lvl w:ilvl="6">
      <w:start w:val="1"/>
      <w:numFmt w:val="decimal"/>
      <w:isLgl/>
      <w:lvlText w:val="%1.%2.%3.%4.%5.%6.%7."/>
      <w:lvlJc w:val="left"/>
      <w:pPr>
        <w:ind w:left="1800" w:hanging="1440"/>
      </w:pPr>
      <w:rPr>
        <w:rFonts w:ascii="Times New Roman" w:hAnsi="Times New Roman" w:cs="Times New Roman" w:hint="default"/>
        <w:b w:val="0"/>
        <w:sz w:val="24"/>
      </w:rPr>
    </w:lvl>
    <w:lvl w:ilvl="7">
      <w:start w:val="1"/>
      <w:numFmt w:val="decimal"/>
      <w:isLgl/>
      <w:lvlText w:val="%1.%2.%3.%4.%5.%6.%7.%8."/>
      <w:lvlJc w:val="left"/>
      <w:pPr>
        <w:ind w:left="1800" w:hanging="1440"/>
      </w:pPr>
      <w:rPr>
        <w:rFonts w:ascii="Times New Roman" w:hAnsi="Times New Roman" w:cs="Times New Roman" w:hint="default"/>
        <w:b w:val="0"/>
        <w:sz w:val="24"/>
      </w:rPr>
    </w:lvl>
    <w:lvl w:ilvl="8">
      <w:start w:val="1"/>
      <w:numFmt w:val="decimal"/>
      <w:isLgl/>
      <w:lvlText w:val="%1.%2.%3.%4.%5.%6.%7.%8.%9."/>
      <w:lvlJc w:val="left"/>
      <w:pPr>
        <w:ind w:left="2160" w:hanging="1800"/>
      </w:pPr>
      <w:rPr>
        <w:rFonts w:ascii="Times New Roman" w:hAnsi="Times New Roman" w:cs="Times New Roman" w:hint="default"/>
        <w:b w:val="0"/>
        <w:sz w:val="24"/>
      </w:rPr>
    </w:lvl>
  </w:abstractNum>
  <w:abstractNum w:abstractNumId="50">
    <w:nsid w:val="62B86AD6"/>
    <w:multiLevelType w:val="multilevel"/>
    <w:tmpl w:val="E1C02140"/>
    <w:lvl w:ilvl="0">
      <w:start w:val="1"/>
      <w:numFmt w:val="upperRoman"/>
      <w:lvlText w:val="%1."/>
      <w:lvlJc w:val="right"/>
      <w:pPr>
        <w:tabs>
          <w:tab w:val="num" w:pos="180"/>
        </w:tabs>
        <w:ind w:left="180" w:hanging="18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62FC27D1"/>
    <w:multiLevelType w:val="hybridMultilevel"/>
    <w:tmpl w:val="67C44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3395B03"/>
    <w:multiLevelType w:val="hybridMultilevel"/>
    <w:tmpl w:val="43407760"/>
    <w:lvl w:ilvl="0" w:tplc="1EDC4F8E">
      <w:numFmt w:val="bullet"/>
      <w:lvlText w:val="-"/>
      <w:lvlJc w:val="left"/>
      <w:pPr>
        <w:ind w:left="360" w:hanging="360"/>
      </w:pPr>
      <w:rPr>
        <w:rFonts w:ascii="Arial" w:eastAsiaTheme="minorHAnsi" w:hAnsi="Arial" w:cs="Arial" w:hint="default"/>
        <w:b/>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nsid w:val="66AF23C2"/>
    <w:multiLevelType w:val="hybridMultilevel"/>
    <w:tmpl w:val="970894EA"/>
    <w:lvl w:ilvl="0" w:tplc="7B445190">
      <w:start w:val="1423"/>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67765FBD"/>
    <w:multiLevelType w:val="multilevel"/>
    <w:tmpl w:val="6D34F36A"/>
    <w:lvl w:ilvl="0">
      <w:start w:val="1"/>
      <w:numFmt w:val="upperRoman"/>
      <w:lvlText w:val="%1."/>
      <w:lvlJc w:val="left"/>
      <w:pPr>
        <w:ind w:left="720" w:hanging="360"/>
      </w:pPr>
      <w:rPr>
        <w:rFonts w:hint="default"/>
      </w:rPr>
    </w:lvl>
    <w:lvl w:ilvl="1">
      <w:start w:val="1"/>
      <w:numFmt w:val="upperRoman"/>
      <w:lvlText w:val="%2.1."/>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nsid w:val="6A2C74DA"/>
    <w:multiLevelType w:val="multilevel"/>
    <w:tmpl w:val="1A42B1D6"/>
    <w:lvl w:ilvl="0">
      <w:start w:val="1"/>
      <w:numFmt w:val="upperRoman"/>
      <w:lvlText w:val="%1."/>
      <w:lvlJc w:val="left"/>
      <w:pPr>
        <w:ind w:left="720" w:hanging="360"/>
      </w:pPr>
      <w:rPr>
        <w:rFonts w:hint="default"/>
      </w:rPr>
    </w:lvl>
    <w:lvl w:ilvl="1">
      <w:start w:val="1"/>
      <w:numFmt w:val="upperRoman"/>
      <w:lvlText w:val="%2.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nsid w:val="6AA21311"/>
    <w:multiLevelType w:val="multilevel"/>
    <w:tmpl w:val="13C0098A"/>
    <w:lvl w:ilvl="0">
      <w:start w:val="1"/>
      <w:numFmt w:val="upperRoman"/>
      <w:lvlText w:val="%1."/>
      <w:lvlJc w:val="right"/>
      <w:pPr>
        <w:tabs>
          <w:tab w:val="num" w:pos="587"/>
        </w:tabs>
        <w:ind w:left="360" w:firstLine="0"/>
      </w:pPr>
      <w:rPr>
        <w:rFonts w:ascii="Book Antiqua" w:hAnsi="Book Antiqua" w:hint="default"/>
        <w:b/>
        <w:i w:val="0"/>
        <w:color w:val="auto"/>
        <w:sz w:val="24"/>
        <w:szCs w:val="24"/>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6DA47BAF"/>
    <w:multiLevelType w:val="hybridMultilevel"/>
    <w:tmpl w:val="9CC6BED0"/>
    <w:lvl w:ilvl="0" w:tplc="7B445190">
      <w:start w:val="1423"/>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nsid w:val="745D6C8A"/>
    <w:multiLevelType w:val="hybridMultilevel"/>
    <w:tmpl w:val="76C024E6"/>
    <w:lvl w:ilvl="0" w:tplc="D5D28EFE">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753D6A79"/>
    <w:multiLevelType w:val="hybridMultilevel"/>
    <w:tmpl w:val="F440F0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75C01566"/>
    <w:multiLevelType w:val="hybridMultilevel"/>
    <w:tmpl w:val="30FC821A"/>
    <w:lvl w:ilvl="0" w:tplc="33A82C2E">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6D22F36"/>
    <w:multiLevelType w:val="multilevel"/>
    <w:tmpl w:val="58AE5E22"/>
    <w:lvl w:ilvl="0">
      <w:start w:val="1"/>
      <w:numFmt w:val="decimal"/>
      <w:lvlText w:val="%1."/>
      <w:lvlJc w:val="left"/>
      <w:pPr>
        <w:tabs>
          <w:tab w:val="num" w:pos="360"/>
        </w:tabs>
        <w:ind w:left="360" w:hanging="360"/>
      </w:pPr>
      <w:rPr>
        <w:rFonts w:hint="default"/>
        <w:b/>
        <w:sz w:val="20"/>
      </w:rPr>
    </w:lvl>
    <w:lvl w:ilvl="1">
      <w:start w:val="1"/>
      <w:numFmt w:val="decimal"/>
      <w:lvlText w:val="%1.%2."/>
      <w:lvlJc w:val="left"/>
      <w:pPr>
        <w:tabs>
          <w:tab w:val="num" w:pos="792"/>
        </w:tabs>
        <w:ind w:left="792" w:hanging="432"/>
      </w:pPr>
      <w:rPr>
        <w:rFonts w:hint="default"/>
        <w:b/>
        <w:sz w:val="18"/>
      </w:rPr>
    </w:lvl>
    <w:lvl w:ilvl="2">
      <w:start w:val="1"/>
      <w:numFmt w:val="decimal"/>
      <w:lvlText w:val="%1.%2."/>
      <w:lvlJc w:val="left"/>
      <w:pPr>
        <w:tabs>
          <w:tab w:val="num" w:pos="1440"/>
        </w:tabs>
        <w:ind w:left="1224" w:hanging="504"/>
      </w:pPr>
      <w:rPr>
        <w:rFonts w:hint="default"/>
        <w:b/>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77996B78"/>
    <w:multiLevelType w:val="hybridMultilevel"/>
    <w:tmpl w:val="26FC0E62"/>
    <w:lvl w:ilvl="0" w:tplc="35FA1F0C">
      <w:start w:val="1423"/>
      <w:numFmt w:val="bullet"/>
      <w:lvlText w:val="-"/>
      <w:lvlJc w:val="left"/>
      <w:pPr>
        <w:ind w:left="360" w:hanging="360"/>
      </w:pPr>
      <w:rPr>
        <w:rFonts w:ascii="Times New Roman" w:hAnsi="Times New Roman"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nsid w:val="784B3873"/>
    <w:multiLevelType w:val="multilevel"/>
    <w:tmpl w:val="41582716"/>
    <w:lvl w:ilvl="0">
      <w:start w:val="1"/>
      <w:numFmt w:val="upperRoman"/>
      <w:lvlText w:val="%1."/>
      <w:lvlJc w:val="left"/>
      <w:pPr>
        <w:ind w:left="720" w:hanging="360"/>
      </w:pPr>
      <w:rPr>
        <w:rFonts w:hint="default"/>
      </w:rPr>
    </w:lvl>
    <w:lvl w:ilvl="1">
      <w:start w:val="4"/>
      <w:numFmt w:val="upperRoman"/>
      <w:lvlText w:val="%2.4."/>
      <w:lvlJc w:val="left"/>
      <w:pPr>
        <w:ind w:left="1080" w:hanging="720"/>
      </w:pPr>
      <w:rPr>
        <w:rFonts w:hint="default"/>
      </w:rPr>
    </w:lvl>
    <w:lvl w:ilvl="2">
      <w:start w:val="1"/>
      <w:numFmt w:val="decimal"/>
      <w:isLgl/>
      <w:lvlText w:val="II.4.%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7AE91BDC"/>
    <w:multiLevelType w:val="multilevel"/>
    <w:tmpl w:val="58AE5E22"/>
    <w:lvl w:ilvl="0">
      <w:start w:val="1"/>
      <w:numFmt w:val="decimal"/>
      <w:lvlText w:val="%1."/>
      <w:lvlJc w:val="left"/>
      <w:pPr>
        <w:tabs>
          <w:tab w:val="num" w:pos="360"/>
        </w:tabs>
        <w:ind w:left="360" w:hanging="360"/>
      </w:pPr>
      <w:rPr>
        <w:rFonts w:hint="default"/>
        <w:b/>
        <w:sz w:val="20"/>
      </w:rPr>
    </w:lvl>
    <w:lvl w:ilvl="1">
      <w:start w:val="1"/>
      <w:numFmt w:val="decimal"/>
      <w:lvlText w:val="%1.%2."/>
      <w:lvlJc w:val="left"/>
      <w:pPr>
        <w:tabs>
          <w:tab w:val="num" w:pos="792"/>
        </w:tabs>
        <w:ind w:left="792" w:hanging="432"/>
      </w:pPr>
      <w:rPr>
        <w:rFonts w:hint="default"/>
        <w:b/>
        <w:sz w:val="18"/>
      </w:rPr>
    </w:lvl>
    <w:lvl w:ilvl="2">
      <w:start w:val="1"/>
      <w:numFmt w:val="decimal"/>
      <w:lvlText w:val="%1.%2."/>
      <w:lvlJc w:val="left"/>
      <w:pPr>
        <w:tabs>
          <w:tab w:val="num" w:pos="1440"/>
        </w:tabs>
        <w:ind w:left="1224" w:hanging="504"/>
      </w:pPr>
      <w:rPr>
        <w:rFonts w:hint="default"/>
        <w:b/>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7D0B72B5"/>
    <w:multiLevelType w:val="multilevel"/>
    <w:tmpl w:val="438EFE1C"/>
    <w:lvl w:ilvl="0">
      <w:start w:val="2"/>
      <w:numFmt w:val="upperRoman"/>
      <w:lvlText w:val="%1.1.1"/>
      <w:lvlJc w:val="left"/>
      <w:pPr>
        <w:ind w:left="720" w:hanging="360"/>
      </w:pPr>
      <w:rPr>
        <w:rFonts w:hint="default"/>
      </w:rPr>
    </w:lvl>
    <w:lvl w:ilvl="1">
      <w:start w:val="2"/>
      <w:numFmt w:val="upperRoman"/>
      <w:lvlText w:val="%2.1."/>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7F0B1B0F"/>
    <w:multiLevelType w:val="multilevel"/>
    <w:tmpl w:val="ADDC7850"/>
    <w:lvl w:ilvl="0">
      <w:start w:val="1"/>
      <w:numFmt w:val="upperRoman"/>
      <w:lvlText w:val="%1."/>
      <w:lvlJc w:val="left"/>
      <w:pPr>
        <w:ind w:left="720" w:hanging="360"/>
      </w:pPr>
      <w:rPr>
        <w:rFonts w:hint="default"/>
      </w:rPr>
    </w:lvl>
    <w:lvl w:ilvl="1">
      <w:start w:val="2"/>
      <w:numFmt w:val="upperRoman"/>
      <w:lvlText w:val="%2.3."/>
      <w:lvlJc w:val="left"/>
      <w:pPr>
        <w:ind w:left="1080" w:hanging="720"/>
      </w:pPr>
      <w:rPr>
        <w:rFonts w:hint="default"/>
      </w:rPr>
    </w:lvl>
    <w:lvl w:ilvl="2">
      <w:start w:val="2"/>
      <w:numFmt w:val="upperRoman"/>
      <w:lvlText w:val="%3.5.2"/>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4"/>
  </w:num>
  <w:num w:numId="3">
    <w:abstractNumId w:val="14"/>
  </w:num>
  <w:num w:numId="4">
    <w:abstractNumId w:val="49"/>
  </w:num>
  <w:num w:numId="5">
    <w:abstractNumId w:val="54"/>
  </w:num>
  <w:num w:numId="6">
    <w:abstractNumId w:val="33"/>
  </w:num>
  <w:num w:numId="7">
    <w:abstractNumId w:val="19"/>
  </w:num>
  <w:num w:numId="8">
    <w:abstractNumId w:val="18"/>
  </w:num>
  <w:num w:numId="9">
    <w:abstractNumId w:val="56"/>
  </w:num>
  <w:num w:numId="10">
    <w:abstractNumId w:val="3"/>
  </w:num>
  <w:num w:numId="11">
    <w:abstractNumId w:val="7"/>
  </w:num>
  <w:num w:numId="12">
    <w:abstractNumId w:val="47"/>
  </w:num>
  <w:num w:numId="13">
    <w:abstractNumId w:val="9"/>
  </w:num>
  <w:num w:numId="14">
    <w:abstractNumId w:val="55"/>
  </w:num>
  <w:num w:numId="15">
    <w:abstractNumId w:val="34"/>
  </w:num>
  <w:num w:numId="16">
    <w:abstractNumId w:val="24"/>
  </w:num>
  <w:num w:numId="17">
    <w:abstractNumId w:val="21"/>
  </w:num>
  <w:num w:numId="18">
    <w:abstractNumId w:val="65"/>
  </w:num>
  <w:num w:numId="19">
    <w:abstractNumId w:val="25"/>
  </w:num>
  <w:num w:numId="20">
    <w:abstractNumId w:val="23"/>
  </w:num>
  <w:num w:numId="21">
    <w:abstractNumId w:val="0"/>
  </w:num>
  <w:num w:numId="22">
    <w:abstractNumId w:val="40"/>
  </w:num>
  <w:num w:numId="23">
    <w:abstractNumId w:val="37"/>
  </w:num>
  <w:num w:numId="24">
    <w:abstractNumId w:val="43"/>
  </w:num>
  <w:num w:numId="25">
    <w:abstractNumId w:val="63"/>
  </w:num>
  <w:num w:numId="26">
    <w:abstractNumId w:val="66"/>
  </w:num>
  <w:num w:numId="27">
    <w:abstractNumId w:val="26"/>
  </w:num>
  <w:num w:numId="28">
    <w:abstractNumId w:val="29"/>
  </w:num>
  <w:num w:numId="29">
    <w:abstractNumId w:val="15"/>
  </w:num>
  <w:num w:numId="30">
    <w:abstractNumId w:val="30"/>
  </w:num>
  <w:num w:numId="31">
    <w:abstractNumId w:val="42"/>
  </w:num>
  <w:num w:numId="32">
    <w:abstractNumId w:val="62"/>
  </w:num>
  <w:num w:numId="33">
    <w:abstractNumId w:val="35"/>
  </w:num>
  <w:num w:numId="34">
    <w:abstractNumId w:val="8"/>
  </w:num>
  <w:num w:numId="35">
    <w:abstractNumId w:val="57"/>
  </w:num>
  <w:num w:numId="36">
    <w:abstractNumId w:val="5"/>
  </w:num>
  <w:num w:numId="37">
    <w:abstractNumId w:val="58"/>
  </w:num>
  <w:num w:numId="38">
    <w:abstractNumId w:val="32"/>
  </w:num>
  <w:num w:numId="39">
    <w:abstractNumId w:val="16"/>
  </w:num>
  <w:num w:numId="40">
    <w:abstractNumId w:val="53"/>
  </w:num>
  <w:num w:numId="41">
    <w:abstractNumId w:val="36"/>
  </w:num>
  <w:num w:numId="42">
    <w:abstractNumId w:val="13"/>
  </w:num>
  <w:num w:numId="43">
    <w:abstractNumId w:val="1"/>
  </w:num>
  <w:num w:numId="44">
    <w:abstractNumId w:val="27"/>
  </w:num>
  <w:num w:numId="45">
    <w:abstractNumId w:val="28"/>
  </w:num>
  <w:num w:numId="46">
    <w:abstractNumId w:val="20"/>
  </w:num>
  <w:num w:numId="47">
    <w:abstractNumId w:val="46"/>
  </w:num>
  <w:num w:numId="48">
    <w:abstractNumId w:val="60"/>
  </w:num>
  <w:num w:numId="49">
    <w:abstractNumId w:val="39"/>
  </w:num>
  <w:num w:numId="50">
    <w:abstractNumId w:val="12"/>
  </w:num>
  <w:num w:numId="51">
    <w:abstractNumId w:val="38"/>
  </w:num>
  <w:num w:numId="52">
    <w:abstractNumId w:val="41"/>
  </w:num>
  <w:num w:numId="53">
    <w:abstractNumId w:val="6"/>
  </w:num>
  <w:num w:numId="54">
    <w:abstractNumId w:val="45"/>
  </w:num>
  <w:num w:numId="55">
    <w:abstractNumId w:val="11"/>
  </w:num>
  <w:num w:numId="56">
    <w:abstractNumId w:val="22"/>
  </w:num>
  <w:num w:numId="57">
    <w:abstractNumId w:val="59"/>
  </w:num>
  <w:num w:numId="58">
    <w:abstractNumId w:val="51"/>
  </w:num>
  <w:num w:numId="59">
    <w:abstractNumId w:val="52"/>
  </w:num>
  <w:num w:numId="60">
    <w:abstractNumId w:val="50"/>
  </w:num>
  <w:num w:numId="61">
    <w:abstractNumId w:val="64"/>
  </w:num>
  <w:num w:numId="62">
    <w:abstractNumId w:val="17"/>
  </w:num>
  <w:num w:numId="63">
    <w:abstractNumId w:val="48"/>
  </w:num>
  <w:num w:numId="64">
    <w:abstractNumId w:val="2"/>
  </w:num>
  <w:num w:numId="65">
    <w:abstractNumId w:val="61"/>
  </w:num>
  <w:num w:numId="66">
    <w:abstractNumId w:val="44"/>
  </w:num>
  <w:num w:numId="67">
    <w:abstractNumId w:val="31"/>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73730"/>
  </w:hdrShapeDefaults>
  <w:footnotePr>
    <w:footnote w:id="-1"/>
    <w:footnote w:id="0"/>
  </w:footnotePr>
  <w:endnotePr>
    <w:endnote w:id="-1"/>
    <w:endnote w:id="0"/>
  </w:endnotePr>
  <w:compat/>
  <w:rsids>
    <w:rsidRoot w:val="00CF6E5B"/>
    <w:rsid w:val="0000031F"/>
    <w:rsid w:val="000008BC"/>
    <w:rsid w:val="0000095F"/>
    <w:rsid w:val="00000B63"/>
    <w:rsid w:val="00000D6C"/>
    <w:rsid w:val="00000F09"/>
    <w:rsid w:val="000016B0"/>
    <w:rsid w:val="00001803"/>
    <w:rsid w:val="000018C5"/>
    <w:rsid w:val="00002080"/>
    <w:rsid w:val="0000210C"/>
    <w:rsid w:val="000021FA"/>
    <w:rsid w:val="000027DA"/>
    <w:rsid w:val="00002A3F"/>
    <w:rsid w:val="00002BFF"/>
    <w:rsid w:val="00002E05"/>
    <w:rsid w:val="00003981"/>
    <w:rsid w:val="00003AA7"/>
    <w:rsid w:val="00004038"/>
    <w:rsid w:val="00004054"/>
    <w:rsid w:val="00004168"/>
    <w:rsid w:val="00004D05"/>
    <w:rsid w:val="00005125"/>
    <w:rsid w:val="000051DD"/>
    <w:rsid w:val="0000527F"/>
    <w:rsid w:val="0000554D"/>
    <w:rsid w:val="00005729"/>
    <w:rsid w:val="00005A06"/>
    <w:rsid w:val="00005D5D"/>
    <w:rsid w:val="00006315"/>
    <w:rsid w:val="00006453"/>
    <w:rsid w:val="000066C7"/>
    <w:rsid w:val="00006ABB"/>
    <w:rsid w:val="00006AE4"/>
    <w:rsid w:val="0000710D"/>
    <w:rsid w:val="000071A0"/>
    <w:rsid w:val="00007423"/>
    <w:rsid w:val="0000764A"/>
    <w:rsid w:val="00007879"/>
    <w:rsid w:val="0001035A"/>
    <w:rsid w:val="0001043D"/>
    <w:rsid w:val="00010B87"/>
    <w:rsid w:val="00011360"/>
    <w:rsid w:val="00011607"/>
    <w:rsid w:val="000116B2"/>
    <w:rsid w:val="00011738"/>
    <w:rsid w:val="0001245C"/>
    <w:rsid w:val="0001274D"/>
    <w:rsid w:val="00012AD4"/>
    <w:rsid w:val="000132F8"/>
    <w:rsid w:val="00013377"/>
    <w:rsid w:val="0001393B"/>
    <w:rsid w:val="000140C8"/>
    <w:rsid w:val="00014165"/>
    <w:rsid w:val="00014231"/>
    <w:rsid w:val="000142FB"/>
    <w:rsid w:val="000144E8"/>
    <w:rsid w:val="000144F8"/>
    <w:rsid w:val="00014A4C"/>
    <w:rsid w:val="00014F62"/>
    <w:rsid w:val="00015164"/>
    <w:rsid w:val="0001530B"/>
    <w:rsid w:val="00015643"/>
    <w:rsid w:val="0001565B"/>
    <w:rsid w:val="000156EC"/>
    <w:rsid w:val="0001580E"/>
    <w:rsid w:val="00015C6A"/>
    <w:rsid w:val="00015CFB"/>
    <w:rsid w:val="00016F74"/>
    <w:rsid w:val="00017101"/>
    <w:rsid w:val="000172D0"/>
    <w:rsid w:val="0001790A"/>
    <w:rsid w:val="00017BEF"/>
    <w:rsid w:val="00017EA2"/>
    <w:rsid w:val="00020287"/>
    <w:rsid w:val="00020740"/>
    <w:rsid w:val="00020993"/>
    <w:rsid w:val="00020CED"/>
    <w:rsid w:val="00020EB7"/>
    <w:rsid w:val="00020FAB"/>
    <w:rsid w:val="00021015"/>
    <w:rsid w:val="00021196"/>
    <w:rsid w:val="00021CBE"/>
    <w:rsid w:val="00021E21"/>
    <w:rsid w:val="000225B3"/>
    <w:rsid w:val="00022629"/>
    <w:rsid w:val="0002267A"/>
    <w:rsid w:val="00022855"/>
    <w:rsid w:val="000229CA"/>
    <w:rsid w:val="00023049"/>
    <w:rsid w:val="000231BA"/>
    <w:rsid w:val="0002323B"/>
    <w:rsid w:val="0002340F"/>
    <w:rsid w:val="00023619"/>
    <w:rsid w:val="00023B4C"/>
    <w:rsid w:val="00023C0C"/>
    <w:rsid w:val="00023F5C"/>
    <w:rsid w:val="00024252"/>
    <w:rsid w:val="000255A6"/>
    <w:rsid w:val="000255D8"/>
    <w:rsid w:val="00025B0C"/>
    <w:rsid w:val="00026153"/>
    <w:rsid w:val="00026442"/>
    <w:rsid w:val="00026685"/>
    <w:rsid w:val="00026DC9"/>
    <w:rsid w:val="00026F4A"/>
    <w:rsid w:val="00027434"/>
    <w:rsid w:val="00027945"/>
    <w:rsid w:val="00027E38"/>
    <w:rsid w:val="0003000F"/>
    <w:rsid w:val="000300C4"/>
    <w:rsid w:val="000300E9"/>
    <w:rsid w:val="00030C9C"/>
    <w:rsid w:val="00030DCC"/>
    <w:rsid w:val="00030F41"/>
    <w:rsid w:val="00030F82"/>
    <w:rsid w:val="0003111F"/>
    <w:rsid w:val="00031472"/>
    <w:rsid w:val="0003152A"/>
    <w:rsid w:val="00031758"/>
    <w:rsid w:val="00031B9E"/>
    <w:rsid w:val="00032057"/>
    <w:rsid w:val="00032631"/>
    <w:rsid w:val="000328E8"/>
    <w:rsid w:val="00032C1A"/>
    <w:rsid w:val="00032D25"/>
    <w:rsid w:val="000338DE"/>
    <w:rsid w:val="00033F29"/>
    <w:rsid w:val="00034302"/>
    <w:rsid w:val="000344A4"/>
    <w:rsid w:val="000344D3"/>
    <w:rsid w:val="000351DD"/>
    <w:rsid w:val="0003569E"/>
    <w:rsid w:val="0003576F"/>
    <w:rsid w:val="000357AB"/>
    <w:rsid w:val="00035EBB"/>
    <w:rsid w:val="00036112"/>
    <w:rsid w:val="00036143"/>
    <w:rsid w:val="000363A1"/>
    <w:rsid w:val="0003649A"/>
    <w:rsid w:val="000364F4"/>
    <w:rsid w:val="0003678B"/>
    <w:rsid w:val="000368CB"/>
    <w:rsid w:val="000368EA"/>
    <w:rsid w:val="00036EA9"/>
    <w:rsid w:val="000372ED"/>
    <w:rsid w:val="000373AA"/>
    <w:rsid w:val="00037ABE"/>
    <w:rsid w:val="00037B5B"/>
    <w:rsid w:val="00037E72"/>
    <w:rsid w:val="000403A9"/>
    <w:rsid w:val="00040ABB"/>
    <w:rsid w:val="00040BD9"/>
    <w:rsid w:val="00040CBC"/>
    <w:rsid w:val="00040E6E"/>
    <w:rsid w:val="00041799"/>
    <w:rsid w:val="00041814"/>
    <w:rsid w:val="00041833"/>
    <w:rsid w:val="00041B3E"/>
    <w:rsid w:val="00041D09"/>
    <w:rsid w:val="00041EA2"/>
    <w:rsid w:val="0004239B"/>
    <w:rsid w:val="00042CB0"/>
    <w:rsid w:val="00042ED8"/>
    <w:rsid w:val="000432F1"/>
    <w:rsid w:val="00043663"/>
    <w:rsid w:val="000436B9"/>
    <w:rsid w:val="00043786"/>
    <w:rsid w:val="00043AB6"/>
    <w:rsid w:val="00043B22"/>
    <w:rsid w:val="00043B8D"/>
    <w:rsid w:val="00043BEB"/>
    <w:rsid w:val="00044681"/>
    <w:rsid w:val="00044791"/>
    <w:rsid w:val="00044898"/>
    <w:rsid w:val="00044AC4"/>
    <w:rsid w:val="000452EE"/>
    <w:rsid w:val="00045539"/>
    <w:rsid w:val="00045C2D"/>
    <w:rsid w:val="000462B9"/>
    <w:rsid w:val="0004681E"/>
    <w:rsid w:val="000468E4"/>
    <w:rsid w:val="00046D39"/>
    <w:rsid w:val="00047050"/>
    <w:rsid w:val="00047972"/>
    <w:rsid w:val="00047994"/>
    <w:rsid w:val="00047DDD"/>
    <w:rsid w:val="00047EC2"/>
    <w:rsid w:val="00047ED1"/>
    <w:rsid w:val="00050006"/>
    <w:rsid w:val="000500C9"/>
    <w:rsid w:val="000506F3"/>
    <w:rsid w:val="000508DD"/>
    <w:rsid w:val="000517F7"/>
    <w:rsid w:val="00052116"/>
    <w:rsid w:val="000523B2"/>
    <w:rsid w:val="000523B3"/>
    <w:rsid w:val="000526A6"/>
    <w:rsid w:val="000527BE"/>
    <w:rsid w:val="00052933"/>
    <w:rsid w:val="00052BA5"/>
    <w:rsid w:val="00052CAC"/>
    <w:rsid w:val="00053317"/>
    <w:rsid w:val="0005361D"/>
    <w:rsid w:val="000537A4"/>
    <w:rsid w:val="00054082"/>
    <w:rsid w:val="000546FC"/>
    <w:rsid w:val="0005476A"/>
    <w:rsid w:val="00054A42"/>
    <w:rsid w:val="0005535E"/>
    <w:rsid w:val="00055B00"/>
    <w:rsid w:val="00055B66"/>
    <w:rsid w:val="00055C01"/>
    <w:rsid w:val="00055EBC"/>
    <w:rsid w:val="00055FA1"/>
    <w:rsid w:val="0005605F"/>
    <w:rsid w:val="00056707"/>
    <w:rsid w:val="0005676B"/>
    <w:rsid w:val="00056972"/>
    <w:rsid w:val="0005747C"/>
    <w:rsid w:val="000574BB"/>
    <w:rsid w:val="000575BA"/>
    <w:rsid w:val="0005763C"/>
    <w:rsid w:val="000576E2"/>
    <w:rsid w:val="00057829"/>
    <w:rsid w:val="00057EB4"/>
    <w:rsid w:val="0006048B"/>
    <w:rsid w:val="000609E0"/>
    <w:rsid w:val="00060EAA"/>
    <w:rsid w:val="00061016"/>
    <w:rsid w:val="000618F7"/>
    <w:rsid w:val="00061D2C"/>
    <w:rsid w:val="00061E09"/>
    <w:rsid w:val="000629BB"/>
    <w:rsid w:val="00062BE7"/>
    <w:rsid w:val="00062C5D"/>
    <w:rsid w:val="00062E33"/>
    <w:rsid w:val="00062FA7"/>
    <w:rsid w:val="00063003"/>
    <w:rsid w:val="00063951"/>
    <w:rsid w:val="00063B30"/>
    <w:rsid w:val="00063E17"/>
    <w:rsid w:val="00063E87"/>
    <w:rsid w:val="000641EB"/>
    <w:rsid w:val="000647BC"/>
    <w:rsid w:val="00064CBB"/>
    <w:rsid w:val="00064EBB"/>
    <w:rsid w:val="00064F85"/>
    <w:rsid w:val="00065875"/>
    <w:rsid w:val="000659D5"/>
    <w:rsid w:val="00065D1B"/>
    <w:rsid w:val="00066520"/>
    <w:rsid w:val="000667EE"/>
    <w:rsid w:val="00066B07"/>
    <w:rsid w:val="000672F6"/>
    <w:rsid w:val="0006774D"/>
    <w:rsid w:val="00067774"/>
    <w:rsid w:val="00067797"/>
    <w:rsid w:val="00067941"/>
    <w:rsid w:val="00067C4D"/>
    <w:rsid w:val="00067FE0"/>
    <w:rsid w:val="00070067"/>
    <w:rsid w:val="000702A7"/>
    <w:rsid w:val="000704AB"/>
    <w:rsid w:val="00070620"/>
    <w:rsid w:val="0007075E"/>
    <w:rsid w:val="00070DBE"/>
    <w:rsid w:val="00070E16"/>
    <w:rsid w:val="00070F65"/>
    <w:rsid w:val="00071406"/>
    <w:rsid w:val="00071415"/>
    <w:rsid w:val="00071B81"/>
    <w:rsid w:val="00071C1C"/>
    <w:rsid w:val="00071CF8"/>
    <w:rsid w:val="00071D0A"/>
    <w:rsid w:val="00071DBF"/>
    <w:rsid w:val="000720BB"/>
    <w:rsid w:val="00072163"/>
    <w:rsid w:val="00072210"/>
    <w:rsid w:val="00072235"/>
    <w:rsid w:val="000723C5"/>
    <w:rsid w:val="000723DD"/>
    <w:rsid w:val="000723FC"/>
    <w:rsid w:val="000728E2"/>
    <w:rsid w:val="00072AEE"/>
    <w:rsid w:val="00073B93"/>
    <w:rsid w:val="00074089"/>
    <w:rsid w:val="000740FA"/>
    <w:rsid w:val="0007419C"/>
    <w:rsid w:val="00074251"/>
    <w:rsid w:val="00074314"/>
    <w:rsid w:val="00074623"/>
    <w:rsid w:val="00074896"/>
    <w:rsid w:val="00074C31"/>
    <w:rsid w:val="00075009"/>
    <w:rsid w:val="000750CB"/>
    <w:rsid w:val="000758E5"/>
    <w:rsid w:val="000758EC"/>
    <w:rsid w:val="00075E92"/>
    <w:rsid w:val="000763BA"/>
    <w:rsid w:val="000764D0"/>
    <w:rsid w:val="00076563"/>
    <w:rsid w:val="00076774"/>
    <w:rsid w:val="00076B88"/>
    <w:rsid w:val="00076C5C"/>
    <w:rsid w:val="0007747D"/>
    <w:rsid w:val="00077595"/>
    <w:rsid w:val="00077774"/>
    <w:rsid w:val="000777B7"/>
    <w:rsid w:val="0007780C"/>
    <w:rsid w:val="0007783A"/>
    <w:rsid w:val="00077EE1"/>
    <w:rsid w:val="0008046D"/>
    <w:rsid w:val="000807AD"/>
    <w:rsid w:val="00080933"/>
    <w:rsid w:val="000809DF"/>
    <w:rsid w:val="00080B23"/>
    <w:rsid w:val="00080E5B"/>
    <w:rsid w:val="0008109A"/>
    <w:rsid w:val="00081635"/>
    <w:rsid w:val="00081B2F"/>
    <w:rsid w:val="00081D21"/>
    <w:rsid w:val="000822A3"/>
    <w:rsid w:val="00082346"/>
    <w:rsid w:val="00082CAA"/>
    <w:rsid w:val="00083EB8"/>
    <w:rsid w:val="00083F02"/>
    <w:rsid w:val="000843AF"/>
    <w:rsid w:val="00084F89"/>
    <w:rsid w:val="000852E8"/>
    <w:rsid w:val="00085612"/>
    <w:rsid w:val="000856BA"/>
    <w:rsid w:val="00085C72"/>
    <w:rsid w:val="00086007"/>
    <w:rsid w:val="0008694C"/>
    <w:rsid w:val="00086A63"/>
    <w:rsid w:val="00087011"/>
    <w:rsid w:val="00087245"/>
    <w:rsid w:val="000876CF"/>
    <w:rsid w:val="0009020E"/>
    <w:rsid w:val="00090612"/>
    <w:rsid w:val="00091850"/>
    <w:rsid w:val="000918AA"/>
    <w:rsid w:val="00091F30"/>
    <w:rsid w:val="0009238D"/>
    <w:rsid w:val="000923E4"/>
    <w:rsid w:val="000924E2"/>
    <w:rsid w:val="000924E4"/>
    <w:rsid w:val="0009260B"/>
    <w:rsid w:val="000926D3"/>
    <w:rsid w:val="0009278A"/>
    <w:rsid w:val="000928AE"/>
    <w:rsid w:val="00093535"/>
    <w:rsid w:val="0009365A"/>
    <w:rsid w:val="00093C8C"/>
    <w:rsid w:val="00093DE2"/>
    <w:rsid w:val="00093E88"/>
    <w:rsid w:val="000948EA"/>
    <w:rsid w:val="00094BD0"/>
    <w:rsid w:val="00094C0C"/>
    <w:rsid w:val="00094FE2"/>
    <w:rsid w:val="000957C0"/>
    <w:rsid w:val="00095938"/>
    <w:rsid w:val="00095A49"/>
    <w:rsid w:val="00096127"/>
    <w:rsid w:val="0009614D"/>
    <w:rsid w:val="000964CD"/>
    <w:rsid w:val="0009689B"/>
    <w:rsid w:val="00097002"/>
    <w:rsid w:val="00097609"/>
    <w:rsid w:val="00097B4C"/>
    <w:rsid w:val="00097E79"/>
    <w:rsid w:val="00097EA1"/>
    <w:rsid w:val="00097FCB"/>
    <w:rsid w:val="000A00DB"/>
    <w:rsid w:val="000A00ED"/>
    <w:rsid w:val="000A0466"/>
    <w:rsid w:val="000A0975"/>
    <w:rsid w:val="000A0A15"/>
    <w:rsid w:val="000A0ADA"/>
    <w:rsid w:val="000A0DC7"/>
    <w:rsid w:val="000A0F2E"/>
    <w:rsid w:val="000A11FA"/>
    <w:rsid w:val="000A1241"/>
    <w:rsid w:val="000A145B"/>
    <w:rsid w:val="000A17D9"/>
    <w:rsid w:val="000A204C"/>
    <w:rsid w:val="000A2103"/>
    <w:rsid w:val="000A2213"/>
    <w:rsid w:val="000A267B"/>
    <w:rsid w:val="000A2700"/>
    <w:rsid w:val="000A2F60"/>
    <w:rsid w:val="000A393B"/>
    <w:rsid w:val="000A3CF9"/>
    <w:rsid w:val="000A466C"/>
    <w:rsid w:val="000A566B"/>
    <w:rsid w:val="000A5826"/>
    <w:rsid w:val="000A5BF2"/>
    <w:rsid w:val="000A6036"/>
    <w:rsid w:val="000A6755"/>
    <w:rsid w:val="000A67FC"/>
    <w:rsid w:val="000A6AF7"/>
    <w:rsid w:val="000A6B9B"/>
    <w:rsid w:val="000A703D"/>
    <w:rsid w:val="000A7230"/>
    <w:rsid w:val="000A78CC"/>
    <w:rsid w:val="000A7A11"/>
    <w:rsid w:val="000A7D36"/>
    <w:rsid w:val="000A7E20"/>
    <w:rsid w:val="000B00E6"/>
    <w:rsid w:val="000B022A"/>
    <w:rsid w:val="000B04EC"/>
    <w:rsid w:val="000B064D"/>
    <w:rsid w:val="000B0A7E"/>
    <w:rsid w:val="000B0B0C"/>
    <w:rsid w:val="000B0CA3"/>
    <w:rsid w:val="000B1808"/>
    <w:rsid w:val="000B1B91"/>
    <w:rsid w:val="000B1C30"/>
    <w:rsid w:val="000B1D26"/>
    <w:rsid w:val="000B1D3F"/>
    <w:rsid w:val="000B2006"/>
    <w:rsid w:val="000B21A6"/>
    <w:rsid w:val="000B2EB1"/>
    <w:rsid w:val="000B2FFD"/>
    <w:rsid w:val="000B3470"/>
    <w:rsid w:val="000B349A"/>
    <w:rsid w:val="000B38FD"/>
    <w:rsid w:val="000B3B6D"/>
    <w:rsid w:val="000B3CE6"/>
    <w:rsid w:val="000B3FCA"/>
    <w:rsid w:val="000B4712"/>
    <w:rsid w:val="000B48AA"/>
    <w:rsid w:val="000B494E"/>
    <w:rsid w:val="000B4B8D"/>
    <w:rsid w:val="000B4BAF"/>
    <w:rsid w:val="000B4CBF"/>
    <w:rsid w:val="000B4EF3"/>
    <w:rsid w:val="000B5160"/>
    <w:rsid w:val="000B544F"/>
    <w:rsid w:val="000B5DA4"/>
    <w:rsid w:val="000B5F52"/>
    <w:rsid w:val="000B62B6"/>
    <w:rsid w:val="000B6319"/>
    <w:rsid w:val="000B63DE"/>
    <w:rsid w:val="000B644E"/>
    <w:rsid w:val="000B65C7"/>
    <w:rsid w:val="000B6B01"/>
    <w:rsid w:val="000B73CF"/>
    <w:rsid w:val="000B76FE"/>
    <w:rsid w:val="000B78B4"/>
    <w:rsid w:val="000B78D3"/>
    <w:rsid w:val="000B7955"/>
    <w:rsid w:val="000B7A99"/>
    <w:rsid w:val="000C004E"/>
    <w:rsid w:val="000C01D0"/>
    <w:rsid w:val="000C04A3"/>
    <w:rsid w:val="000C0863"/>
    <w:rsid w:val="000C0910"/>
    <w:rsid w:val="000C0AC2"/>
    <w:rsid w:val="000C0D8F"/>
    <w:rsid w:val="000C0E32"/>
    <w:rsid w:val="000C0FB1"/>
    <w:rsid w:val="000C11C4"/>
    <w:rsid w:val="000C124E"/>
    <w:rsid w:val="000C1290"/>
    <w:rsid w:val="000C1542"/>
    <w:rsid w:val="000C1615"/>
    <w:rsid w:val="000C174F"/>
    <w:rsid w:val="000C22D0"/>
    <w:rsid w:val="000C23DC"/>
    <w:rsid w:val="000C288B"/>
    <w:rsid w:val="000C2947"/>
    <w:rsid w:val="000C3C9E"/>
    <w:rsid w:val="000C3CF6"/>
    <w:rsid w:val="000C4657"/>
    <w:rsid w:val="000C488A"/>
    <w:rsid w:val="000C49D6"/>
    <w:rsid w:val="000C4B1F"/>
    <w:rsid w:val="000C5086"/>
    <w:rsid w:val="000C5103"/>
    <w:rsid w:val="000C5169"/>
    <w:rsid w:val="000C5500"/>
    <w:rsid w:val="000C5946"/>
    <w:rsid w:val="000C5D38"/>
    <w:rsid w:val="000C6028"/>
    <w:rsid w:val="000C60D2"/>
    <w:rsid w:val="000C63E8"/>
    <w:rsid w:val="000C66A1"/>
    <w:rsid w:val="000C6884"/>
    <w:rsid w:val="000C68AE"/>
    <w:rsid w:val="000C697C"/>
    <w:rsid w:val="000C6B35"/>
    <w:rsid w:val="000C6ED2"/>
    <w:rsid w:val="000C7048"/>
    <w:rsid w:val="000C7238"/>
    <w:rsid w:val="000C734F"/>
    <w:rsid w:val="000C7400"/>
    <w:rsid w:val="000C7403"/>
    <w:rsid w:val="000D0648"/>
    <w:rsid w:val="000D07D3"/>
    <w:rsid w:val="000D08CD"/>
    <w:rsid w:val="000D0AE3"/>
    <w:rsid w:val="000D0B71"/>
    <w:rsid w:val="000D0CE9"/>
    <w:rsid w:val="000D0D56"/>
    <w:rsid w:val="000D0D97"/>
    <w:rsid w:val="000D10B2"/>
    <w:rsid w:val="000D12A1"/>
    <w:rsid w:val="000D136D"/>
    <w:rsid w:val="000D13D9"/>
    <w:rsid w:val="000D163E"/>
    <w:rsid w:val="000D195D"/>
    <w:rsid w:val="000D19E6"/>
    <w:rsid w:val="000D2369"/>
    <w:rsid w:val="000D284D"/>
    <w:rsid w:val="000D2F5C"/>
    <w:rsid w:val="000D2F99"/>
    <w:rsid w:val="000D30EB"/>
    <w:rsid w:val="000D42A5"/>
    <w:rsid w:val="000D455B"/>
    <w:rsid w:val="000D4EE2"/>
    <w:rsid w:val="000D4F67"/>
    <w:rsid w:val="000D55D5"/>
    <w:rsid w:val="000D5C23"/>
    <w:rsid w:val="000D5C62"/>
    <w:rsid w:val="000D609A"/>
    <w:rsid w:val="000D609F"/>
    <w:rsid w:val="000D6549"/>
    <w:rsid w:val="000D65F2"/>
    <w:rsid w:val="000D66B8"/>
    <w:rsid w:val="000D66BB"/>
    <w:rsid w:val="000D68BE"/>
    <w:rsid w:val="000D6A5B"/>
    <w:rsid w:val="000D6ACC"/>
    <w:rsid w:val="000D6E6D"/>
    <w:rsid w:val="000D7093"/>
    <w:rsid w:val="000E04D0"/>
    <w:rsid w:val="000E04E8"/>
    <w:rsid w:val="000E0662"/>
    <w:rsid w:val="000E08BA"/>
    <w:rsid w:val="000E0AD7"/>
    <w:rsid w:val="000E0FA2"/>
    <w:rsid w:val="000E0FF3"/>
    <w:rsid w:val="000E12E5"/>
    <w:rsid w:val="000E1335"/>
    <w:rsid w:val="000E15D0"/>
    <w:rsid w:val="000E1626"/>
    <w:rsid w:val="000E16BA"/>
    <w:rsid w:val="000E1CA0"/>
    <w:rsid w:val="000E22E6"/>
    <w:rsid w:val="000E2798"/>
    <w:rsid w:val="000E2CFA"/>
    <w:rsid w:val="000E2E8A"/>
    <w:rsid w:val="000E314F"/>
    <w:rsid w:val="000E32E3"/>
    <w:rsid w:val="000E34AC"/>
    <w:rsid w:val="000E41A4"/>
    <w:rsid w:val="000E4792"/>
    <w:rsid w:val="000E4A9B"/>
    <w:rsid w:val="000E4B8E"/>
    <w:rsid w:val="000E4B9E"/>
    <w:rsid w:val="000E4BF1"/>
    <w:rsid w:val="000E4C9F"/>
    <w:rsid w:val="000E4E45"/>
    <w:rsid w:val="000E5BBD"/>
    <w:rsid w:val="000E5CA3"/>
    <w:rsid w:val="000E663A"/>
    <w:rsid w:val="000E692E"/>
    <w:rsid w:val="000E69F7"/>
    <w:rsid w:val="000E6AAE"/>
    <w:rsid w:val="000E6B03"/>
    <w:rsid w:val="000E6BC5"/>
    <w:rsid w:val="000E6E6A"/>
    <w:rsid w:val="000E724F"/>
    <w:rsid w:val="000E741E"/>
    <w:rsid w:val="000E77B5"/>
    <w:rsid w:val="000E7846"/>
    <w:rsid w:val="000E7A30"/>
    <w:rsid w:val="000E7B2E"/>
    <w:rsid w:val="000E7D90"/>
    <w:rsid w:val="000E7FD6"/>
    <w:rsid w:val="000F032E"/>
    <w:rsid w:val="000F0509"/>
    <w:rsid w:val="000F059C"/>
    <w:rsid w:val="000F0655"/>
    <w:rsid w:val="000F07AF"/>
    <w:rsid w:val="000F08D5"/>
    <w:rsid w:val="000F1017"/>
    <w:rsid w:val="000F1500"/>
    <w:rsid w:val="000F1798"/>
    <w:rsid w:val="000F185C"/>
    <w:rsid w:val="000F1870"/>
    <w:rsid w:val="000F1AD1"/>
    <w:rsid w:val="000F1CA7"/>
    <w:rsid w:val="000F1FD9"/>
    <w:rsid w:val="000F23F6"/>
    <w:rsid w:val="000F25CE"/>
    <w:rsid w:val="000F25DD"/>
    <w:rsid w:val="000F3881"/>
    <w:rsid w:val="000F3906"/>
    <w:rsid w:val="000F3BDD"/>
    <w:rsid w:val="000F3E77"/>
    <w:rsid w:val="000F4307"/>
    <w:rsid w:val="000F43B9"/>
    <w:rsid w:val="000F44C4"/>
    <w:rsid w:val="000F4AD5"/>
    <w:rsid w:val="000F4E0D"/>
    <w:rsid w:val="000F56AD"/>
    <w:rsid w:val="000F56C9"/>
    <w:rsid w:val="000F5837"/>
    <w:rsid w:val="000F5BC6"/>
    <w:rsid w:val="000F6183"/>
    <w:rsid w:val="000F640A"/>
    <w:rsid w:val="000F7571"/>
    <w:rsid w:val="000F780F"/>
    <w:rsid w:val="000F7D4F"/>
    <w:rsid w:val="000F7F3F"/>
    <w:rsid w:val="000F7F5E"/>
    <w:rsid w:val="001003C9"/>
    <w:rsid w:val="00100631"/>
    <w:rsid w:val="00100896"/>
    <w:rsid w:val="00100E10"/>
    <w:rsid w:val="00101016"/>
    <w:rsid w:val="001013A0"/>
    <w:rsid w:val="001013C8"/>
    <w:rsid w:val="00101752"/>
    <w:rsid w:val="00102557"/>
    <w:rsid w:val="001028AD"/>
    <w:rsid w:val="00102AD4"/>
    <w:rsid w:val="00103D51"/>
    <w:rsid w:val="001046D5"/>
    <w:rsid w:val="00104EDD"/>
    <w:rsid w:val="00105134"/>
    <w:rsid w:val="0010544D"/>
    <w:rsid w:val="00105BDB"/>
    <w:rsid w:val="00105E80"/>
    <w:rsid w:val="00106109"/>
    <w:rsid w:val="00106A5F"/>
    <w:rsid w:val="00106C3B"/>
    <w:rsid w:val="00106CA0"/>
    <w:rsid w:val="00106D16"/>
    <w:rsid w:val="00106D6E"/>
    <w:rsid w:val="00106EA3"/>
    <w:rsid w:val="001072C2"/>
    <w:rsid w:val="0010744E"/>
    <w:rsid w:val="00107468"/>
    <w:rsid w:val="001076FA"/>
    <w:rsid w:val="00107865"/>
    <w:rsid w:val="00107932"/>
    <w:rsid w:val="001079D3"/>
    <w:rsid w:val="00107D20"/>
    <w:rsid w:val="001109A9"/>
    <w:rsid w:val="00110CA2"/>
    <w:rsid w:val="00110E2B"/>
    <w:rsid w:val="001110C8"/>
    <w:rsid w:val="0011131F"/>
    <w:rsid w:val="001116D2"/>
    <w:rsid w:val="00111876"/>
    <w:rsid w:val="00111A92"/>
    <w:rsid w:val="00111AC5"/>
    <w:rsid w:val="00111C44"/>
    <w:rsid w:val="001124C7"/>
    <w:rsid w:val="00112CD7"/>
    <w:rsid w:val="00112F66"/>
    <w:rsid w:val="00113477"/>
    <w:rsid w:val="001134F7"/>
    <w:rsid w:val="001135D6"/>
    <w:rsid w:val="00113937"/>
    <w:rsid w:val="00114449"/>
    <w:rsid w:val="0011461A"/>
    <w:rsid w:val="001148F6"/>
    <w:rsid w:val="00114976"/>
    <w:rsid w:val="00114D31"/>
    <w:rsid w:val="00114E46"/>
    <w:rsid w:val="00115444"/>
    <w:rsid w:val="0011550F"/>
    <w:rsid w:val="00115633"/>
    <w:rsid w:val="00115651"/>
    <w:rsid w:val="0011598D"/>
    <w:rsid w:val="00115E4A"/>
    <w:rsid w:val="00115F06"/>
    <w:rsid w:val="00115FBB"/>
    <w:rsid w:val="0011603F"/>
    <w:rsid w:val="001160E2"/>
    <w:rsid w:val="001162BE"/>
    <w:rsid w:val="001165B7"/>
    <w:rsid w:val="001166A8"/>
    <w:rsid w:val="0011674D"/>
    <w:rsid w:val="001169AB"/>
    <w:rsid w:val="001169F8"/>
    <w:rsid w:val="00116ECE"/>
    <w:rsid w:val="0011730D"/>
    <w:rsid w:val="00117D8B"/>
    <w:rsid w:val="001204ED"/>
    <w:rsid w:val="001204F7"/>
    <w:rsid w:val="001204F9"/>
    <w:rsid w:val="001206A6"/>
    <w:rsid w:val="00120941"/>
    <w:rsid w:val="00120C34"/>
    <w:rsid w:val="00120FDD"/>
    <w:rsid w:val="00121599"/>
    <w:rsid w:val="00121987"/>
    <w:rsid w:val="00121BD8"/>
    <w:rsid w:val="0012259E"/>
    <w:rsid w:val="00122DFD"/>
    <w:rsid w:val="001238FE"/>
    <w:rsid w:val="00123ED7"/>
    <w:rsid w:val="00123F4B"/>
    <w:rsid w:val="00124AD8"/>
    <w:rsid w:val="001253B3"/>
    <w:rsid w:val="001253B9"/>
    <w:rsid w:val="0012541F"/>
    <w:rsid w:val="001259EB"/>
    <w:rsid w:val="00125AFD"/>
    <w:rsid w:val="00125D96"/>
    <w:rsid w:val="0012605F"/>
    <w:rsid w:val="00126294"/>
    <w:rsid w:val="001262AD"/>
    <w:rsid w:val="001265BB"/>
    <w:rsid w:val="001268A5"/>
    <w:rsid w:val="00126A3B"/>
    <w:rsid w:val="001272EF"/>
    <w:rsid w:val="001274EC"/>
    <w:rsid w:val="001277C1"/>
    <w:rsid w:val="00127915"/>
    <w:rsid w:val="00127CE3"/>
    <w:rsid w:val="00130A95"/>
    <w:rsid w:val="00130B8B"/>
    <w:rsid w:val="00130E87"/>
    <w:rsid w:val="001310D0"/>
    <w:rsid w:val="00131489"/>
    <w:rsid w:val="001314FF"/>
    <w:rsid w:val="001317A0"/>
    <w:rsid w:val="00131865"/>
    <w:rsid w:val="00131BAB"/>
    <w:rsid w:val="00131CEF"/>
    <w:rsid w:val="00132182"/>
    <w:rsid w:val="001322D5"/>
    <w:rsid w:val="00132338"/>
    <w:rsid w:val="00132392"/>
    <w:rsid w:val="00132413"/>
    <w:rsid w:val="001324D8"/>
    <w:rsid w:val="00132CF4"/>
    <w:rsid w:val="00133629"/>
    <w:rsid w:val="00133755"/>
    <w:rsid w:val="00133BA8"/>
    <w:rsid w:val="001340E6"/>
    <w:rsid w:val="001341C2"/>
    <w:rsid w:val="001346E0"/>
    <w:rsid w:val="00134876"/>
    <w:rsid w:val="001348D9"/>
    <w:rsid w:val="001351A8"/>
    <w:rsid w:val="00135342"/>
    <w:rsid w:val="00135385"/>
    <w:rsid w:val="00135884"/>
    <w:rsid w:val="0013595D"/>
    <w:rsid w:val="0013648E"/>
    <w:rsid w:val="00136B1C"/>
    <w:rsid w:val="00136C75"/>
    <w:rsid w:val="00137165"/>
    <w:rsid w:val="00137CB2"/>
    <w:rsid w:val="0014016A"/>
    <w:rsid w:val="00140324"/>
    <w:rsid w:val="00140575"/>
    <w:rsid w:val="00140969"/>
    <w:rsid w:val="00141386"/>
    <w:rsid w:val="00141675"/>
    <w:rsid w:val="0014178F"/>
    <w:rsid w:val="001418F8"/>
    <w:rsid w:val="001422C5"/>
    <w:rsid w:val="001423F5"/>
    <w:rsid w:val="001428E2"/>
    <w:rsid w:val="00142E4D"/>
    <w:rsid w:val="00142EEB"/>
    <w:rsid w:val="00143111"/>
    <w:rsid w:val="00143561"/>
    <w:rsid w:val="0014362E"/>
    <w:rsid w:val="00143D96"/>
    <w:rsid w:val="00144035"/>
    <w:rsid w:val="0014411C"/>
    <w:rsid w:val="001441B5"/>
    <w:rsid w:val="00144A43"/>
    <w:rsid w:val="00144DB6"/>
    <w:rsid w:val="0014503B"/>
    <w:rsid w:val="001452E1"/>
    <w:rsid w:val="00145432"/>
    <w:rsid w:val="00145500"/>
    <w:rsid w:val="001457BB"/>
    <w:rsid w:val="00145C5C"/>
    <w:rsid w:val="00145D0A"/>
    <w:rsid w:val="00145D0F"/>
    <w:rsid w:val="00145D64"/>
    <w:rsid w:val="00145DBC"/>
    <w:rsid w:val="00146162"/>
    <w:rsid w:val="00146582"/>
    <w:rsid w:val="001476B0"/>
    <w:rsid w:val="00147800"/>
    <w:rsid w:val="00147BB4"/>
    <w:rsid w:val="00147F42"/>
    <w:rsid w:val="001504F4"/>
    <w:rsid w:val="001508CE"/>
    <w:rsid w:val="001509EB"/>
    <w:rsid w:val="00150A9D"/>
    <w:rsid w:val="00150E2A"/>
    <w:rsid w:val="00150F7E"/>
    <w:rsid w:val="00151130"/>
    <w:rsid w:val="00151168"/>
    <w:rsid w:val="00151A00"/>
    <w:rsid w:val="0015211D"/>
    <w:rsid w:val="00152133"/>
    <w:rsid w:val="0015220E"/>
    <w:rsid w:val="001528F8"/>
    <w:rsid w:val="00152F61"/>
    <w:rsid w:val="00153608"/>
    <w:rsid w:val="0015381C"/>
    <w:rsid w:val="00154439"/>
    <w:rsid w:val="0015502E"/>
    <w:rsid w:val="001554BC"/>
    <w:rsid w:val="00155D22"/>
    <w:rsid w:val="00155F37"/>
    <w:rsid w:val="00155F53"/>
    <w:rsid w:val="00155FA2"/>
    <w:rsid w:val="0015631C"/>
    <w:rsid w:val="001566D1"/>
    <w:rsid w:val="001568CB"/>
    <w:rsid w:val="00156918"/>
    <w:rsid w:val="0015695F"/>
    <w:rsid w:val="00156BEB"/>
    <w:rsid w:val="00156C30"/>
    <w:rsid w:val="0015707B"/>
    <w:rsid w:val="001575BE"/>
    <w:rsid w:val="001577AD"/>
    <w:rsid w:val="001577F3"/>
    <w:rsid w:val="00157B03"/>
    <w:rsid w:val="00157CCA"/>
    <w:rsid w:val="00157D58"/>
    <w:rsid w:val="00157E03"/>
    <w:rsid w:val="00160508"/>
    <w:rsid w:val="00160A62"/>
    <w:rsid w:val="00160DA1"/>
    <w:rsid w:val="001611E8"/>
    <w:rsid w:val="00161460"/>
    <w:rsid w:val="00161CDF"/>
    <w:rsid w:val="00162497"/>
    <w:rsid w:val="0016294F"/>
    <w:rsid w:val="00162D33"/>
    <w:rsid w:val="00162E3D"/>
    <w:rsid w:val="0016321E"/>
    <w:rsid w:val="001634C8"/>
    <w:rsid w:val="001637AB"/>
    <w:rsid w:val="00163B2D"/>
    <w:rsid w:val="00163C3D"/>
    <w:rsid w:val="0016480F"/>
    <w:rsid w:val="00165571"/>
    <w:rsid w:val="001663A8"/>
    <w:rsid w:val="00166635"/>
    <w:rsid w:val="00166A04"/>
    <w:rsid w:val="00166A5D"/>
    <w:rsid w:val="00166B52"/>
    <w:rsid w:val="00166E20"/>
    <w:rsid w:val="00166EFB"/>
    <w:rsid w:val="001671B1"/>
    <w:rsid w:val="00167425"/>
    <w:rsid w:val="00167634"/>
    <w:rsid w:val="00167A67"/>
    <w:rsid w:val="00167AA5"/>
    <w:rsid w:val="00167B04"/>
    <w:rsid w:val="00167BAD"/>
    <w:rsid w:val="0017000A"/>
    <w:rsid w:val="00170107"/>
    <w:rsid w:val="00170256"/>
    <w:rsid w:val="00170295"/>
    <w:rsid w:val="00170519"/>
    <w:rsid w:val="00170533"/>
    <w:rsid w:val="00170561"/>
    <w:rsid w:val="00170D4A"/>
    <w:rsid w:val="00170FF4"/>
    <w:rsid w:val="001711AE"/>
    <w:rsid w:val="00171727"/>
    <w:rsid w:val="00171BEC"/>
    <w:rsid w:val="00171C43"/>
    <w:rsid w:val="0017221E"/>
    <w:rsid w:val="0017225E"/>
    <w:rsid w:val="0017279E"/>
    <w:rsid w:val="00172D31"/>
    <w:rsid w:val="00173227"/>
    <w:rsid w:val="00173326"/>
    <w:rsid w:val="001733E3"/>
    <w:rsid w:val="00173631"/>
    <w:rsid w:val="00174003"/>
    <w:rsid w:val="0017422E"/>
    <w:rsid w:val="0017458C"/>
    <w:rsid w:val="001748B2"/>
    <w:rsid w:val="00174BCA"/>
    <w:rsid w:val="00174F77"/>
    <w:rsid w:val="00175179"/>
    <w:rsid w:val="00175346"/>
    <w:rsid w:val="001756CB"/>
    <w:rsid w:val="00175A37"/>
    <w:rsid w:val="00176E88"/>
    <w:rsid w:val="00176EF5"/>
    <w:rsid w:val="00176F3A"/>
    <w:rsid w:val="00177905"/>
    <w:rsid w:val="001801D4"/>
    <w:rsid w:val="00181665"/>
    <w:rsid w:val="001817B0"/>
    <w:rsid w:val="00181EC7"/>
    <w:rsid w:val="00181F8A"/>
    <w:rsid w:val="001821A0"/>
    <w:rsid w:val="001828EC"/>
    <w:rsid w:val="00182B48"/>
    <w:rsid w:val="0018308D"/>
    <w:rsid w:val="00183183"/>
    <w:rsid w:val="001833CD"/>
    <w:rsid w:val="00183428"/>
    <w:rsid w:val="00183675"/>
    <w:rsid w:val="001837B4"/>
    <w:rsid w:val="00183874"/>
    <w:rsid w:val="00183D3C"/>
    <w:rsid w:val="00183E69"/>
    <w:rsid w:val="001840D4"/>
    <w:rsid w:val="00184195"/>
    <w:rsid w:val="001844BA"/>
    <w:rsid w:val="00184509"/>
    <w:rsid w:val="00184BAD"/>
    <w:rsid w:val="00184E83"/>
    <w:rsid w:val="00185552"/>
    <w:rsid w:val="00185A35"/>
    <w:rsid w:val="00185B37"/>
    <w:rsid w:val="00186648"/>
    <w:rsid w:val="00186CEB"/>
    <w:rsid w:val="001876DF"/>
    <w:rsid w:val="0018780D"/>
    <w:rsid w:val="001879DD"/>
    <w:rsid w:val="00187A5E"/>
    <w:rsid w:val="00187B55"/>
    <w:rsid w:val="00190005"/>
    <w:rsid w:val="00190CC4"/>
    <w:rsid w:val="00190ED1"/>
    <w:rsid w:val="0019104A"/>
    <w:rsid w:val="0019215B"/>
    <w:rsid w:val="001923FD"/>
    <w:rsid w:val="00192D23"/>
    <w:rsid w:val="0019329D"/>
    <w:rsid w:val="00193557"/>
    <w:rsid w:val="00193882"/>
    <w:rsid w:val="00193922"/>
    <w:rsid w:val="0019397B"/>
    <w:rsid w:val="00193CC4"/>
    <w:rsid w:val="00193D65"/>
    <w:rsid w:val="00193D85"/>
    <w:rsid w:val="00193F91"/>
    <w:rsid w:val="0019407F"/>
    <w:rsid w:val="00194092"/>
    <w:rsid w:val="0019449C"/>
    <w:rsid w:val="00194618"/>
    <w:rsid w:val="00194666"/>
    <w:rsid w:val="001946E8"/>
    <w:rsid w:val="001954C8"/>
    <w:rsid w:val="0019594D"/>
    <w:rsid w:val="00195CE8"/>
    <w:rsid w:val="00195EC9"/>
    <w:rsid w:val="00196124"/>
    <w:rsid w:val="00196B93"/>
    <w:rsid w:val="00197496"/>
    <w:rsid w:val="00197658"/>
    <w:rsid w:val="0019768B"/>
    <w:rsid w:val="00197A30"/>
    <w:rsid w:val="00197DC5"/>
    <w:rsid w:val="001A0151"/>
    <w:rsid w:val="001A0339"/>
    <w:rsid w:val="001A066B"/>
    <w:rsid w:val="001A098F"/>
    <w:rsid w:val="001A103F"/>
    <w:rsid w:val="001A1539"/>
    <w:rsid w:val="001A15B4"/>
    <w:rsid w:val="001A17D8"/>
    <w:rsid w:val="001A18B3"/>
    <w:rsid w:val="001A1A33"/>
    <w:rsid w:val="001A1A8B"/>
    <w:rsid w:val="001A1F6A"/>
    <w:rsid w:val="001A21EC"/>
    <w:rsid w:val="001A2418"/>
    <w:rsid w:val="001A2447"/>
    <w:rsid w:val="001A2977"/>
    <w:rsid w:val="001A2BA6"/>
    <w:rsid w:val="001A2F39"/>
    <w:rsid w:val="001A3007"/>
    <w:rsid w:val="001A38BA"/>
    <w:rsid w:val="001A3943"/>
    <w:rsid w:val="001A3F4E"/>
    <w:rsid w:val="001A462E"/>
    <w:rsid w:val="001A4D5C"/>
    <w:rsid w:val="001A5B44"/>
    <w:rsid w:val="001A5DCD"/>
    <w:rsid w:val="001A6055"/>
    <w:rsid w:val="001A65CA"/>
    <w:rsid w:val="001A6615"/>
    <w:rsid w:val="001A69E7"/>
    <w:rsid w:val="001A6B8E"/>
    <w:rsid w:val="001A7735"/>
    <w:rsid w:val="001A7C94"/>
    <w:rsid w:val="001A7DF3"/>
    <w:rsid w:val="001B00D0"/>
    <w:rsid w:val="001B03C2"/>
    <w:rsid w:val="001B04D5"/>
    <w:rsid w:val="001B0756"/>
    <w:rsid w:val="001B0835"/>
    <w:rsid w:val="001B09E9"/>
    <w:rsid w:val="001B0B06"/>
    <w:rsid w:val="001B1276"/>
    <w:rsid w:val="001B1497"/>
    <w:rsid w:val="001B15ED"/>
    <w:rsid w:val="001B19F3"/>
    <w:rsid w:val="001B1A8C"/>
    <w:rsid w:val="001B1C52"/>
    <w:rsid w:val="001B1EC9"/>
    <w:rsid w:val="001B238F"/>
    <w:rsid w:val="001B260C"/>
    <w:rsid w:val="001B2888"/>
    <w:rsid w:val="001B2B31"/>
    <w:rsid w:val="001B2BEC"/>
    <w:rsid w:val="001B3669"/>
    <w:rsid w:val="001B3C52"/>
    <w:rsid w:val="001B4111"/>
    <w:rsid w:val="001B4E3C"/>
    <w:rsid w:val="001B4FDB"/>
    <w:rsid w:val="001B529B"/>
    <w:rsid w:val="001B5368"/>
    <w:rsid w:val="001B58A4"/>
    <w:rsid w:val="001B598B"/>
    <w:rsid w:val="001B5A63"/>
    <w:rsid w:val="001B6052"/>
    <w:rsid w:val="001B6314"/>
    <w:rsid w:val="001B6339"/>
    <w:rsid w:val="001B691D"/>
    <w:rsid w:val="001B69E1"/>
    <w:rsid w:val="001B717E"/>
    <w:rsid w:val="001B71B6"/>
    <w:rsid w:val="001B7383"/>
    <w:rsid w:val="001B771F"/>
    <w:rsid w:val="001B779E"/>
    <w:rsid w:val="001B7985"/>
    <w:rsid w:val="001B7C05"/>
    <w:rsid w:val="001B7C18"/>
    <w:rsid w:val="001C0358"/>
    <w:rsid w:val="001C0D00"/>
    <w:rsid w:val="001C1381"/>
    <w:rsid w:val="001C15CB"/>
    <w:rsid w:val="001C1773"/>
    <w:rsid w:val="001C1B9E"/>
    <w:rsid w:val="001C1BCE"/>
    <w:rsid w:val="001C1E26"/>
    <w:rsid w:val="001C294D"/>
    <w:rsid w:val="001C2965"/>
    <w:rsid w:val="001C2C8B"/>
    <w:rsid w:val="001C333E"/>
    <w:rsid w:val="001C34B8"/>
    <w:rsid w:val="001C3F65"/>
    <w:rsid w:val="001C43A8"/>
    <w:rsid w:val="001C4E1F"/>
    <w:rsid w:val="001C4E4B"/>
    <w:rsid w:val="001C4F56"/>
    <w:rsid w:val="001C52AA"/>
    <w:rsid w:val="001C5BA2"/>
    <w:rsid w:val="001C5E90"/>
    <w:rsid w:val="001C66A9"/>
    <w:rsid w:val="001C6A1F"/>
    <w:rsid w:val="001C6F52"/>
    <w:rsid w:val="001C7443"/>
    <w:rsid w:val="001C79CC"/>
    <w:rsid w:val="001C7D4B"/>
    <w:rsid w:val="001C7E8C"/>
    <w:rsid w:val="001C7E93"/>
    <w:rsid w:val="001D0086"/>
    <w:rsid w:val="001D0501"/>
    <w:rsid w:val="001D0705"/>
    <w:rsid w:val="001D0881"/>
    <w:rsid w:val="001D0FEA"/>
    <w:rsid w:val="001D11AC"/>
    <w:rsid w:val="001D1442"/>
    <w:rsid w:val="001D14E4"/>
    <w:rsid w:val="001D16D9"/>
    <w:rsid w:val="001D1CBB"/>
    <w:rsid w:val="001D2584"/>
    <w:rsid w:val="001D2637"/>
    <w:rsid w:val="001D26D4"/>
    <w:rsid w:val="001D29AF"/>
    <w:rsid w:val="001D34B8"/>
    <w:rsid w:val="001D46EB"/>
    <w:rsid w:val="001D4919"/>
    <w:rsid w:val="001D52DA"/>
    <w:rsid w:val="001D551E"/>
    <w:rsid w:val="001D5863"/>
    <w:rsid w:val="001D5C12"/>
    <w:rsid w:val="001D5E72"/>
    <w:rsid w:val="001D6097"/>
    <w:rsid w:val="001D664A"/>
    <w:rsid w:val="001D68C1"/>
    <w:rsid w:val="001D69A9"/>
    <w:rsid w:val="001D6B40"/>
    <w:rsid w:val="001D6DFF"/>
    <w:rsid w:val="001D763C"/>
    <w:rsid w:val="001D7A87"/>
    <w:rsid w:val="001D7CC3"/>
    <w:rsid w:val="001D7E3B"/>
    <w:rsid w:val="001E021A"/>
    <w:rsid w:val="001E0A4C"/>
    <w:rsid w:val="001E0CE8"/>
    <w:rsid w:val="001E11B7"/>
    <w:rsid w:val="001E1F9B"/>
    <w:rsid w:val="001E2358"/>
    <w:rsid w:val="001E2F59"/>
    <w:rsid w:val="001E3125"/>
    <w:rsid w:val="001E33C4"/>
    <w:rsid w:val="001E34FC"/>
    <w:rsid w:val="001E36E4"/>
    <w:rsid w:val="001E39F7"/>
    <w:rsid w:val="001E3B36"/>
    <w:rsid w:val="001E3F80"/>
    <w:rsid w:val="001E428F"/>
    <w:rsid w:val="001E44AF"/>
    <w:rsid w:val="001E471B"/>
    <w:rsid w:val="001E4868"/>
    <w:rsid w:val="001E48FD"/>
    <w:rsid w:val="001E4A49"/>
    <w:rsid w:val="001E4A60"/>
    <w:rsid w:val="001E4ABE"/>
    <w:rsid w:val="001E54E4"/>
    <w:rsid w:val="001E5544"/>
    <w:rsid w:val="001E5677"/>
    <w:rsid w:val="001E5823"/>
    <w:rsid w:val="001E5890"/>
    <w:rsid w:val="001E58ED"/>
    <w:rsid w:val="001E61BB"/>
    <w:rsid w:val="001E6280"/>
    <w:rsid w:val="001E6594"/>
    <w:rsid w:val="001E6B4B"/>
    <w:rsid w:val="001E6BE8"/>
    <w:rsid w:val="001E6D0E"/>
    <w:rsid w:val="001E7797"/>
    <w:rsid w:val="001F0037"/>
    <w:rsid w:val="001F036F"/>
    <w:rsid w:val="001F0D4D"/>
    <w:rsid w:val="001F0DAF"/>
    <w:rsid w:val="001F0E36"/>
    <w:rsid w:val="001F16DD"/>
    <w:rsid w:val="001F1CCF"/>
    <w:rsid w:val="001F22C9"/>
    <w:rsid w:val="001F22D6"/>
    <w:rsid w:val="001F2484"/>
    <w:rsid w:val="001F24BD"/>
    <w:rsid w:val="001F276C"/>
    <w:rsid w:val="001F2998"/>
    <w:rsid w:val="001F2C30"/>
    <w:rsid w:val="001F2E58"/>
    <w:rsid w:val="001F2F3D"/>
    <w:rsid w:val="001F30D1"/>
    <w:rsid w:val="001F338F"/>
    <w:rsid w:val="001F33B7"/>
    <w:rsid w:val="001F3AF9"/>
    <w:rsid w:val="001F3C23"/>
    <w:rsid w:val="001F47FB"/>
    <w:rsid w:val="001F4BE1"/>
    <w:rsid w:val="001F56D2"/>
    <w:rsid w:val="001F587C"/>
    <w:rsid w:val="001F59BA"/>
    <w:rsid w:val="001F5B86"/>
    <w:rsid w:val="001F6593"/>
    <w:rsid w:val="001F65E4"/>
    <w:rsid w:val="001F694C"/>
    <w:rsid w:val="001F73A5"/>
    <w:rsid w:val="001F7E05"/>
    <w:rsid w:val="001F7F14"/>
    <w:rsid w:val="002000C2"/>
    <w:rsid w:val="0020067A"/>
    <w:rsid w:val="002006E4"/>
    <w:rsid w:val="00200A43"/>
    <w:rsid w:val="0020148B"/>
    <w:rsid w:val="0020158A"/>
    <w:rsid w:val="00201663"/>
    <w:rsid w:val="0020181C"/>
    <w:rsid w:val="002019CF"/>
    <w:rsid w:val="00202A44"/>
    <w:rsid w:val="00203005"/>
    <w:rsid w:val="0020339C"/>
    <w:rsid w:val="002033BA"/>
    <w:rsid w:val="00203696"/>
    <w:rsid w:val="00203907"/>
    <w:rsid w:val="00203B2B"/>
    <w:rsid w:val="00203F74"/>
    <w:rsid w:val="00204004"/>
    <w:rsid w:val="002045C6"/>
    <w:rsid w:val="002045E2"/>
    <w:rsid w:val="00204843"/>
    <w:rsid w:val="0020499D"/>
    <w:rsid w:val="00204B03"/>
    <w:rsid w:val="002050CD"/>
    <w:rsid w:val="00205234"/>
    <w:rsid w:val="0020572C"/>
    <w:rsid w:val="0020635A"/>
    <w:rsid w:val="0020684E"/>
    <w:rsid w:val="00206974"/>
    <w:rsid w:val="0020699D"/>
    <w:rsid w:val="00206B2E"/>
    <w:rsid w:val="0020712E"/>
    <w:rsid w:val="0020724E"/>
    <w:rsid w:val="00207378"/>
    <w:rsid w:val="00207948"/>
    <w:rsid w:val="00207C98"/>
    <w:rsid w:val="00207D4E"/>
    <w:rsid w:val="00210155"/>
    <w:rsid w:val="002104D1"/>
    <w:rsid w:val="00210740"/>
    <w:rsid w:val="00210C10"/>
    <w:rsid w:val="00210E34"/>
    <w:rsid w:val="00211278"/>
    <w:rsid w:val="00211676"/>
    <w:rsid w:val="0021167B"/>
    <w:rsid w:val="0021236D"/>
    <w:rsid w:val="00212933"/>
    <w:rsid w:val="00212B4E"/>
    <w:rsid w:val="00212E29"/>
    <w:rsid w:val="00212E69"/>
    <w:rsid w:val="00213238"/>
    <w:rsid w:val="00213254"/>
    <w:rsid w:val="00213ABD"/>
    <w:rsid w:val="00213C90"/>
    <w:rsid w:val="00213D1B"/>
    <w:rsid w:val="00213DE8"/>
    <w:rsid w:val="00214838"/>
    <w:rsid w:val="002148E3"/>
    <w:rsid w:val="00214D78"/>
    <w:rsid w:val="002159D8"/>
    <w:rsid w:val="00215A2E"/>
    <w:rsid w:val="00216E04"/>
    <w:rsid w:val="002174C4"/>
    <w:rsid w:val="002175AF"/>
    <w:rsid w:val="0021780F"/>
    <w:rsid w:val="00217E7D"/>
    <w:rsid w:val="00220108"/>
    <w:rsid w:val="00220202"/>
    <w:rsid w:val="00220279"/>
    <w:rsid w:val="00220427"/>
    <w:rsid w:val="002204A1"/>
    <w:rsid w:val="00220728"/>
    <w:rsid w:val="0022085A"/>
    <w:rsid w:val="0022089F"/>
    <w:rsid w:val="00220C92"/>
    <w:rsid w:val="00220ECD"/>
    <w:rsid w:val="00221295"/>
    <w:rsid w:val="002212C0"/>
    <w:rsid w:val="00221529"/>
    <w:rsid w:val="00221672"/>
    <w:rsid w:val="00221F56"/>
    <w:rsid w:val="002223D1"/>
    <w:rsid w:val="002226D3"/>
    <w:rsid w:val="00222A57"/>
    <w:rsid w:val="00222AAE"/>
    <w:rsid w:val="00222C34"/>
    <w:rsid w:val="00222C97"/>
    <w:rsid w:val="00223084"/>
    <w:rsid w:val="002234E6"/>
    <w:rsid w:val="0022350F"/>
    <w:rsid w:val="0022373C"/>
    <w:rsid w:val="00223740"/>
    <w:rsid w:val="00223A58"/>
    <w:rsid w:val="002243EC"/>
    <w:rsid w:val="00224579"/>
    <w:rsid w:val="002245CE"/>
    <w:rsid w:val="00224603"/>
    <w:rsid w:val="002248FD"/>
    <w:rsid w:val="00224E24"/>
    <w:rsid w:val="00224F7A"/>
    <w:rsid w:val="002251AD"/>
    <w:rsid w:val="00225837"/>
    <w:rsid w:val="00225EFC"/>
    <w:rsid w:val="00226429"/>
    <w:rsid w:val="00226C65"/>
    <w:rsid w:val="00226DC1"/>
    <w:rsid w:val="00226F80"/>
    <w:rsid w:val="00226F83"/>
    <w:rsid w:val="00227045"/>
    <w:rsid w:val="002272A5"/>
    <w:rsid w:val="0022789F"/>
    <w:rsid w:val="0022790A"/>
    <w:rsid w:val="002301E4"/>
    <w:rsid w:val="002303A4"/>
    <w:rsid w:val="00230F74"/>
    <w:rsid w:val="002311C0"/>
    <w:rsid w:val="00231314"/>
    <w:rsid w:val="002319D7"/>
    <w:rsid w:val="00231AE0"/>
    <w:rsid w:val="00231B4A"/>
    <w:rsid w:val="00231B68"/>
    <w:rsid w:val="00231C13"/>
    <w:rsid w:val="00232254"/>
    <w:rsid w:val="002326DE"/>
    <w:rsid w:val="00232B80"/>
    <w:rsid w:val="00232D36"/>
    <w:rsid w:val="00233082"/>
    <w:rsid w:val="002337A4"/>
    <w:rsid w:val="002337D9"/>
    <w:rsid w:val="00233D87"/>
    <w:rsid w:val="002340FD"/>
    <w:rsid w:val="0023431E"/>
    <w:rsid w:val="00234913"/>
    <w:rsid w:val="00234EB5"/>
    <w:rsid w:val="00235608"/>
    <w:rsid w:val="0023592B"/>
    <w:rsid w:val="00235A58"/>
    <w:rsid w:val="00235B0B"/>
    <w:rsid w:val="00235BB8"/>
    <w:rsid w:val="00235E18"/>
    <w:rsid w:val="002361BE"/>
    <w:rsid w:val="00236378"/>
    <w:rsid w:val="002369C4"/>
    <w:rsid w:val="00236A61"/>
    <w:rsid w:val="0023705C"/>
    <w:rsid w:val="0023790E"/>
    <w:rsid w:val="00237BE7"/>
    <w:rsid w:val="00237CFF"/>
    <w:rsid w:val="002401C3"/>
    <w:rsid w:val="00240D35"/>
    <w:rsid w:val="002412B7"/>
    <w:rsid w:val="002413DA"/>
    <w:rsid w:val="00241883"/>
    <w:rsid w:val="00241C6A"/>
    <w:rsid w:val="00241D07"/>
    <w:rsid w:val="00241F5A"/>
    <w:rsid w:val="00241FA9"/>
    <w:rsid w:val="002422E6"/>
    <w:rsid w:val="00243A56"/>
    <w:rsid w:val="00243CE9"/>
    <w:rsid w:val="00243D52"/>
    <w:rsid w:val="00243D92"/>
    <w:rsid w:val="00243F8D"/>
    <w:rsid w:val="00243FD2"/>
    <w:rsid w:val="00244CD1"/>
    <w:rsid w:val="00245060"/>
    <w:rsid w:val="00245D71"/>
    <w:rsid w:val="00245E01"/>
    <w:rsid w:val="00245F0A"/>
    <w:rsid w:val="0024659A"/>
    <w:rsid w:val="00246A5C"/>
    <w:rsid w:val="00246C2B"/>
    <w:rsid w:val="00246D83"/>
    <w:rsid w:val="00246E79"/>
    <w:rsid w:val="002471E8"/>
    <w:rsid w:val="002473BC"/>
    <w:rsid w:val="0024745E"/>
    <w:rsid w:val="00247D0C"/>
    <w:rsid w:val="00247F27"/>
    <w:rsid w:val="00247FDC"/>
    <w:rsid w:val="00250131"/>
    <w:rsid w:val="0025019A"/>
    <w:rsid w:val="002505F9"/>
    <w:rsid w:val="00250898"/>
    <w:rsid w:val="00250B27"/>
    <w:rsid w:val="00250B98"/>
    <w:rsid w:val="00250D09"/>
    <w:rsid w:val="0025121B"/>
    <w:rsid w:val="0025167C"/>
    <w:rsid w:val="00251A57"/>
    <w:rsid w:val="00251CEC"/>
    <w:rsid w:val="00251E80"/>
    <w:rsid w:val="002521FE"/>
    <w:rsid w:val="00252447"/>
    <w:rsid w:val="002525AB"/>
    <w:rsid w:val="00252B05"/>
    <w:rsid w:val="0025316A"/>
    <w:rsid w:val="00253708"/>
    <w:rsid w:val="0025388E"/>
    <w:rsid w:val="00253922"/>
    <w:rsid w:val="00253A63"/>
    <w:rsid w:val="0025427B"/>
    <w:rsid w:val="002546B9"/>
    <w:rsid w:val="00254736"/>
    <w:rsid w:val="0025489F"/>
    <w:rsid w:val="00255178"/>
    <w:rsid w:val="00255674"/>
    <w:rsid w:val="00255865"/>
    <w:rsid w:val="00255A02"/>
    <w:rsid w:val="00255E87"/>
    <w:rsid w:val="00256424"/>
    <w:rsid w:val="0025659A"/>
    <w:rsid w:val="002570D2"/>
    <w:rsid w:val="002576D2"/>
    <w:rsid w:val="00257D7B"/>
    <w:rsid w:val="00257FAC"/>
    <w:rsid w:val="0026006F"/>
    <w:rsid w:val="0026075F"/>
    <w:rsid w:val="00260A69"/>
    <w:rsid w:val="002611DC"/>
    <w:rsid w:val="00261564"/>
    <w:rsid w:val="00261792"/>
    <w:rsid w:val="002618AE"/>
    <w:rsid w:val="002619A8"/>
    <w:rsid w:val="00261F2E"/>
    <w:rsid w:val="00261FBC"/>
    <w:rsid w:val="0026201C"/>
    <w:rsid w:val="0026231D"/>
    <w:rsid w:val="0026256E"/>
    <w:rsid w:val="00262C2B"/>
    <w:rsid w:val="00262CD7"/>
    <w:rsid w:val="0026324D"/>
    <w:rsid w:val="0026377F"/>
    <w:rsid w:val="00263BCA"/>
    <w:rsid w:val="00263E66"/>
    <w:rsid w:val="00264619"/>
    <w:rsid w:val="00264722"/>
    <w:rsid w:val="00264B09"/>
    <w:rsid w:val="0026507C"/>
    <w:rsid w:val="002658E2"/>
    <w:rsid w:val="00265BC4"/>
    <w:rsid w:val="00265D9D"/>
    <w:rsid w:val="00265E20"/>
    <w:rsid w:val="00265F02"/>
    <w:rsid w:val="00265F8C"/>
    <w:rsid w:val="002660AA"/>
    <w:rsid w:val="002661AD"/>
    <w:rsid w:val="002663DD"/>
    <w:rsid w:val="002664CC"/>
    <w:rsid w:val="00266819"/>
    <w:rsid w:val="0026695F"/>
    <w:rsid w:val="00266B50"/>
    <w:rsid w:val="002670C9"/>
    <w:rsid w:val="0026730C"/>
    <w:rsid w:val="0026734D"/>
    <w:rsid w:val="002677D6"/>
    <w:rsid w:val="002677D8"/>
    <w:rsid w:val="00267EFB"/>
    <w:rsid w:val="00270228"/>
    <w:rsid w:val="0027027F"/>
    <w:rsid w:val="0027044F"/>
    <w:rsid w:val="002704FE"/>
    <w:rsid w:val="002707F0"/>
    <w:rsid w:val="002707F3"/>
    <w:rsid w:val="002708B0"/>
    <w:rsid w:val="00270B44"/>
    <w:rsid w:val="00270D79"/>
    <w:rsid w:val="00271150"/>
    <w:rsid w:val="002711A6"/>
    <w:rsid w:val="002717E0"/>
    <w:rsid w:val="0027250A"/>
    <w:rsid w:val="002732E5"/>
    <w:rsid w:val="00273683"/>
    <w:rsid w:val="00273899"/>
    <w:rsid w:val="00273F7C"/>
    <w:rsid w:val="0027449C"/>
    <w:rsid w:val="002746FE"/>
    <w:rsid w:val="002747A3"/>
    <w:rsid w:val="002748DC"/>
    <w:rsid w:val="00274979"/>
    <w:rsid w:val="00274BAA"/>
    <w:rsid w:val="00274BF7"/>
    <w:rsid w:val="00275E86"/>
    <w:rsid w:val="002767EB"/>
    <w:rsid w:val="00276BBE"/>
    <w:rsid w:val="0027700D"/>
    <w:rsid w:val="002775E1"/>
    <w:rsid w:val="002779C7"/>
    <w:rsid w:val="00277B73"/>
    <w:rsid w:val="00280431"/>
    <w:rsid w:val="00280DBA"/>
    <w:rsid w:val="00280F81"/>
    <w:rsid w:val="00281717"/>
    <w:rsid w:val="00281948"/>
    <w:rsid w:val="00281B3F"/>
    <w:rsid w:val="00281F1C"/>
    <w:rsid w:val="00281F58"/>
    <w:rsid w:val="00282193"/>
    <w:rsid w:val="00282617"/>
    <w:rsid w:val="00282B63"/>
    <w:rsid w:val="00282DAE"/>
    <w:rsid w:val="002831DE"/>
    <w:rsid w:val="002833C1"/>
    <w:rsid w:val="0028373E"/>
    <w:rsid w:val="00283ADF"/>
    <w:rsid w:val="00283BB9"/>
    <w:rsid w:val="00283F4F"/>
    <w:rsid w:val="00284057"/>
    <w:rsid w:val="00284723"/>
    <w:rsid w:val="0028485B"/>
    <w:rsid w:val="00284B41"/>
    <w:rsid w:val="00284C8F"/>
    <w:rsid w:val="00285004"/>
    <w:rsid w:val="0028534A"/>
    <w:rsid w:val="0028546A"/>
    <w:rsid w:val="002856B7"/>
    <w:rsid w:val="0028583A"/>
    <w:rsid w:val="0028604D"/>
    <w:rsid w:val="00286161"/>
    <w:rsid w:val="00286626"/>
    <w:rsid w:val="00286E71"/>
    <w:rsid w:val="00286E77"/>
    <w:rsid w:val="00286EEF"/>
    <w:rsid w:val="0028717F"/>
    <w:rsid w:val="00287E18"/>
    <w:rsid w:val="0029029F"/>
    <w:rsid w:val="00290818"/>
    <w:rsid w:val="00290996"/>
    <w:rsid w:val="00290A45"/>
    <w:rsid w:val="00290FFC"/>
    <w:rsid w:val="00291121"/>
    <w:rsid w:val="00291190"/>
    <w:rsid w:val="002914CF"/>
    <w:rsid w:val="0029154E"/>
    <w:rsid w:val="002917FA"/>
    <w:rsid w:val="002919A5"/>
    <w:rsid w:val="002919E1"/>
    <w:rsid w:val="00291BEF"/>
    <w:rsid w:val="00291D75"/>
    <w:rsid w:val="00291F71"/>
    <w:rsid w:val="00291FB6"/>
    <w:rsid w:val="002920A3"/>
    <w:rsid w:val="0029249B"/>
    <w:rsid w:val="00292832"/>
    <w:rsid w:val="00292904"/>
    <w:rsid w:val="00292AF9"/>
    <w:rsid w:val="00292BD7"/>
    <w:rsid w:val="00293182"/>
    <w:rsid w:val="00293245"/>
    <w:rsid w:val="0029330C"/>
    <w:rsid w:val="002935A0"/>
    <w:rsid w:val="002936AB"/>
    <w:rsid w:val="002938D2"/>
    <w:rsid w:val="00294214"/>
    <w:rsid w:val="00294585"/>
    <w:rsid w:val="002945DD"/>
    <w:rsid w:val="0029471E"/>
    <w:rsid w:val="0029583A"/>
    <w:rsid w:val="00297144"/>
    <w:rsid w:val="0029737B"/>
    <w:rsid w:val="00297460"/>
    <w:rsid w:val="002974BE"/>
    <w:rsid w:val="00297536"/>
    <w:rsid w:val="00297576"/>
    <w:rsid w:val="0029795A"/>
    <w:rsid w:val="00297A9C"/>
    <w:rsid w:val="00297B6C"/>
    <w:rsid w:val="002A0262"/>
    <w:rsid w:val="002A093C"/>
    <w:rsid w:val="002A0A17"/>
    <w:rsid w:val="002A0ECA"/>
    <w:rsid w:val="002A16D9"/>
    <w:rsid w:val="002A1759"/>
    <w:rsid w:val="002A1AD7"/>
    <w:rsid w:val="002A21CF"/>
    <w:rsid w:val="002A2270"/>
    <w:rsid w:val="002A2614"/>
    <w:rsid w:val="002A2646"/>
    <w:rsid w:val="002A275F"/>
    <w:rsid w:val="002A2A4E"/>
    <w:rsid w:val="002A2C5A"/>
    <w:rsid w:val="002A2F05"/>
    <w:rsid w:val="002A333E"/>
    <w:rsid w:val="002A33FD"/>
    <w:rsid w:val="002A3669"/>
    <w:rsid w:val="002A378D"/>
    <w:rsid w:val="002A3B84"/>
    <w:rsid w:val="002A409B"/>
    <w:rsid w:val="002A43D5"/>
    <w:rsid w:val="002A499A"/>
    <w:rsid w:val="002A50D2"/>
    <w:rsid w:val="002A54FF"/>
    <w:rsid w:val="002A59A1"/>
    <w:rsid w:val="002A647B"/>
    <w:rsid w:val="002A668C"/>
    <w:rsid w:val="002A67C3"/>
    <w:rsid w:val="002A6CAE"/>
    <w:rsid w:val="002A726E"/>
    <w:rsid w:val="002A747E"/>
    <w:rsid w:val="002A7C94"/>
    <w:rsid w:val="002A7EA5"/>
    <w:rsid w:val="002B0A1D"/>
    <w:rsid w:val="002B1057"/>
    <w:rsid w:val="002B1117"/>
    <w:rsid w:val="002B19B3"/>
    <w:rsid w:val="002B1A37"/>
    <w:rsid w:val="002B1BAE"/>
    <w:rsid w:val="002B2579"/>
    <w:rsid w:val="002B26DF"/>
    <w:rsid w:val="002B276B"/>
    <w:rsid w:val="002B2B2B"/>
    <w:rsid w:val="002B2CE4"/>
    <w:rsid w:val="002B3254"/>
    <w:rsid w:val="002B392B"/>
    <w:rsid w:val="002B41C9"/>
    <w:rsid w:val="002B4346"/>
    <w:rsid w:val="002B4540"/>
    <w:rsid w:val="002B4811"/>
    <w:rsid w:val="002B51D2"/>
    <w:rsid w:val="002B5367"/>
    <w:rsid w:val="002B53D8"/>
    <w:rsid w:val="002B54AA"/>
    <w:rsid w:val="002B584A"/>
    <w:rsid w:val="002B6159"/>
    <w:rsid w:val="002B642D"/>
    <w:rsid w:val="002B6AFD"/>
    <w:rsid w:val="002B7679"/>
    <w:rsid w:val="002B77BD"/>
    <w:rsid w:val="002B7A57"/>
    <w:rsid w:val="002B7C67"/>
    <w:rsid w:val="002C0274"/>
    <w:rsid w:val="002C094C"/>
    <w:rsid w:val="002C13CE"/>
    <w:rsid w:val="002C1406"/>
    <w:rsid w:val="002C142C"/>
    <w:rsid w:val="002C1B35"/>
    <w:rsid w:val="002C1CB1"/>
    <w:rsid w:val="002C22A2"/>
    <w:rsid w:val="002C241F"/>
    <w:rsid w:val="002C2908"/>
    <w:rsid w:val="002C2C43"/>
    <w:rsid w:val="002C31C2"/>
    <w:rsid w:val="002C323E"/>
    <w:rsid w:val="002C373A"/>
    <w:rsid w:val="002C4405"/>
    <w:rsid w:val="002C47C4"/>
    <w:rsid w:val="002C481A"/>
    <w:rsid w:val="002C4A1C"/>
    <w:rsid w:val="002C4BCE"/>
    <w:rsid w:val="002C4CC4"/>
    <w:rsid w:val="002C4E78"/>
    <w:rsid w:val="002C4F8F"/>
    <w:rsid w:val="002C506E"/>
    <w:rsid w:val="002C5EEC"/>
    <w:rsid w:val="002C646A"/>
    <w:rsid w:val="002C65D1"/>
    <w:rsid w:val="002C67CB"/>
    <w:rsid w:val="002C6D8F"/>
    <w:rsid w:val="002C6F2E"/>
    <w:rsid w:val="002C6F44"/>
    <w:rsid w:val="002C74FB"/>
    <w:rsid w:val="002C7A8C"/>
    <w:rsid w:val="002C7D67"/>
    <w:rsid w:val="002D0F69"/>
    <w:rsid w:val="002D18EC"/>
    <w:rsid w:val="002D1A79"/>
    <w:rsid w:val="002D1B2D"/>
    <w:rsid w:val="002D1CA0"/>
    <w:rsid w:val="002D2105"/>
    <w:rsid w:val="002D214B"/>
    <w:rsid w:val="002D23ED"/>
    <w:rsid w:val="002D283F"/>
    <w:rsid w:val="002D2B2B"/>
    <w:rsid w:val="002D2E2F"/>
    <w:rsid w:val="002D2E85"/>
    <w:rsid w:val="002D30CE"/>
    <w:rsid w:val="002D34E8"/>
    <w:rsid w:val="002D3792"/>
    <w:rsid w:val="002D3D0A"/>
    <w:rsid w:val="002D5376"/>
    <w:rsid w:val="002D55F3"/>
    <w:rsid w:val="002D5CB8"/>
    <w:rsid w:val="002D5D76"/>
    <w:rsid w:val="002D5DDC"/>
    <w:rsid w:val="002D62C9"/>
    <w:rsid w:val="002D65DB"/>
    <w:rsid w:val="002D68BB"/>
    <w:rsid w:val="002D6EEA"/>
    <w:rsid w:val="002D727E"/>
    <w:rsid w:val="002D74DB"/>
    <w:rsid w:val="002D75C0"/>
    <w:rsid w:val="002D7B8D"/>
    <w:rsid w:val="002D7E15"/>
    <w:rsid w:val="002E0083"/>
    <w:rsid w:val="002E0D86"/>
    <w:rsid w:val="002E0F92"/>
    <w:rsid w:val="002E0FB6"/>
    <w:rsid w:val="002E116A"/>
    <w:rsid w:val="002E19B9"/>
    <w:rsid w:val="002E1A08"/>
    <w:rsid w:val="002E1D96"/>
    <w:rsid w:val="002E1F6A"/>
    <w:rsid w:val="002E2280"/>
    <w:rsid w:val="002E2510"/>
    <w:rsid w:val="002E25EC"/>
    <w:rsid w:val="002E260C"/>
    <w:rsid w:val="002E26F0"/>
    <w:rsid w:val="002E29E0"/>
    <w:rsid w:val="002E2B12"/>
    <w:rsid w:val="002E2BC8"/>
    <w:rsid w:val="002E2FE3"/>
    <w:rsid w:val="002E30E1"/>
    <w:rsid w:val="002E33DC"/>
    <w:rsid w:val="002E33E7"/>
    <w:rsid w:val="002E3F65"/>
    <w:rsid w:val="002E432E"/>
    <w:rsid w:val="002E454E"/>
    <w:rsid w:val="002E4992"/>
    <w:rsid w:val="002E4AD5"/>
    <w:rsid w:val="002E4CC4"/>
    <w:rsid w:val="002E56BB"/>
    <w:rsid w:val="002E5F34"/>
    <w:rsid w:val="002E6191"/>
    <w:rsid w:val="002E69A5"/>
    <w:rsid w:val="002E6AA8"/>
    <w:rsid w:val="002E7170"/>
    <w:rsid w:val="002E7231"/>
    <w:rsid w:val="002E7271"/>
    <w:rsid w:val="002E7D04"/>
    <w:rsid w:val="002E7FC0"/>
    <w:rsid w:val="002F0284"/>
    <w:rsid w:val="002F11BB"/>
    <w:rsid w:val="002F1608"/>
    <w:rsid w:val="002F170A"/>
    <w:rsid w:val="002F19A7"/>
    <w:rsid w:val="002F22CB"/>
    <w:rsid w:val="002F2A33"/>
    <w:rsid w:val="002F2FAA"/>
    <w:rsid w:val="002F30E1"/>
    <w:rsid w:val="002F3B8A"/>
    <w:rsid w:val="002F3DBA"/>
    <w:rsid w:val="002F44E4"/>
    <w:rsid w:val="002F450C"/>
    <w:rsid w:val="002F4A5B"/>
    <w:rsid w:val="002F4AA1"/>
    <w:rsid w:val="002F50AC"/>
    <w:rsid w:val="002F5807"/>
    <w:rsid w:val="002F582D"/>
    <w:rsid w:val="002F5A43"/>
    <w:rsid w:val="002F5BBA"/>
    <w:rsid w:val="002F5E81"/>
    <w:rsid w:val="002F5F41"/>
    <w:rsid w:val="002F6271"/>
    <w:rsid w:val="002F648B"/>
    <w:rsid w:val="002F675F"/>
    <w:rsid w:val="002F6AFF"/>
    <w:rsid w:val="002F6E09"/>
    <w:rsid w:val="002F6E81"/>
    <w:rsid w:val="002F7787"/>
    <w:rsid w:val="002F7CD4"/>
    <w:rsid w:val="00300479"/>
    <w:rsid w:val="00300822"/>
    <w:rsid w:val="003009BB"/>
    <w:rsid w:val="00301D57"/>
    <w:rsid w:val="00302209"/>
    <w:rsid w:val="0030234D"/>
    <w:rsid w:val="003030F6"/>
    <w:rsid w:val="00303181"/>
    <w:rsid w:val="0030442B"/>
    <w:rsid w:val="0030453F"/>
    <w:rsid w:val="00304C4B"/>
    <w:rsid w:val="00304D45"/>
    <w:rsid w:val="00304FC3"/>
    <w:rsid w:val="00305575"/>
    <w:rsid w:val="0030590B"/>
    <w:rsid w:val="00305D47"/>
    <w:rsid w:val="00305FD3"/>
    <w:rsid w:val="00305FD5"/>
    <w:rsid w:val="00306446"/>
    <w:rsid w:val="0030687D"/>
    <w:rsid w:val="00306F92"/>
    <w:rsid w:val="003077EE"/>
    <w:rsid w:val="00307B8A"/>
    <w:rsid w:val="00307D87"/>
    <w:rsid w:val="00307ECE"/>
    <w:rsid w:val="00307FEA"/>
    <w:rsid w:val="0031020E"/>
    <w:rsid w:val="00310383"/>
    <w:rsid w:val="0031048B"/>
    <w:rsid w:val="00310D0C"/>
    <w:rsid w:val="00310D8E"/>
    <w:rsid w:val="00310E03"/>
    <w:rsid w:val="00311036"/>
    <w:rsid w:val="00311045"/>
    <w:rsid w:val="00311B80"/>
    <w:rsid w:val="00311F3C"/>
    <w:rsid w:val="0031211F"/>
    <w:rsid w:val="0031251C"/>
    <w:rsid w:val="00312614"/>
    <w:rsid w:val="00312753"/>
    <w:rsid w:val="00312B3C"/>
    <w:rsid w:val="003131D6"/>
    <w:rsid w:val="00313D41"/>
    <w:rsid w:val="00313D6A"/>
    <w:rsid w:val="00314339"/>
    <w:rsid w:val="003147CE"/>
    <w:rsid w:val="00314904"/>
    <w:rsid w:val="00314AAA"/>
    <w:rsid w:val="0031523B"/>
    <w:rsid w:val="003153E9"/>
    <w:rsid w:val="00315C31"/>
    <w:rsid w:val="00315D75"/>
    <w:rsid w:val="00315F58"/>
    <w:rsid w:val="00316651"/>
    <w:rsid w:val="00316A99"/>
    <w:rsid w:val="0031751F"/>
    <w:rsid w:val="00317B67"/>
    <w:rsid w:val="00317C71"/>
    <w:rsid w:val="00317E96"/>
    <w:rsid w:val="0032026B"/>
    <w:rsid w:val="00320603"/>
    <w:rsid w:val="00320841"/>
    <w:rsid w:val="00320D16"/>
    <w:rsid w:val="00320E8E"/>
    <w:rsid w:val="00320F88"/>
    <w:rsid w:val="003214B5"/>
    <w:rsid w:val="003219AE"/>
    <w:rsid w:val="00321C4B"/>
    <w:rsid w:val="00321CC9"/>
    <w:rsid w:val="00321E66"/>
    <w:rsid w:val="0032220F"/>
    <w:rsid w:val="00322384"/>
    <w:rsid w:val="00322452"/>
    <w:rsid w:val="003225BB"/>
    <w:rsid w:val="0032274D"/>
    <w:rsid w:val="003228F1"/>
    <w:rsid w:val="00322DD5"/>
    <w:rsid w:val="003234A2"/>
    <w:rsid w:val="003236B3"/>
    <w:rsid w:val="00323D7A"/>
    <w:rsid w:val="003241CB"/>
    <w:rsid w:val="0032446A"/>
    <w:rsid w:val="003247D5"/>
    <w:rsid w:val="00324925"/>
    <w:rsid w:val="00324C8D"/>
    <w:rsid w:val="00324F30"/>
    <w:rsid w:val="0032570A"/>
    <w:rsid w:val="003257B8"/>
    <w:rsid w:val="003257E4"/>
    <w:rsid w:val="00325861"/>
    <w:rsid w:val="00325A46"/>
    <w:rsid w:val="00325D80"/>
    <w:rsid w:val="003260FF"/>
    <w:rsid w:val="00326206"/>
    <w:rsid w:val="003264DE"/>
    <w:rsid w:val="003268EA"/>
    <w:rsid w:val="00326B21"/>
    <w:rsid w:val="00326D13"/>
    <w:rsid w:val="00326D45"/>
    <w:rsid w:val="00326D4B"/>
    <w:rsid w:val="00326EB7"/>
    <w:rsid w:val="00326FE7"/>
    <w:rsid w:val="003270DD"/>
    <w:rsid w:val="00327438"/>
    <w:rsid w:val="0032774C"/>
    <w:rsid w:val="00327797"/>
    <w:rsid w:val="003278AA"/>
    <w:rsid w:val="003278EF"/>
    <w:rsid w:val="00327A42"/>
    <w:rsid w:val="00327AAC"/>
    <w:rsid w:val="003303A2"/>
    <w:rsid w:val="003307F1"/>
    <w:rsid w:val="003309D0"/>
    <w:rsid w:val="00331116"/>
    <w:rsid w:val="003314CD"/>
    <w:rsid w:val="00331635"/>
    <w:rsid w:val="003326D3"/>
    <w:rsid w:val="00332769"/>
    <w:rsid w:val="003329C2"/>
    <w:rsid w:val="00333856"/>
    <w:rsid w:val="003338D4"/>
    <w:rsid w:val="00333978"/>
    <w:rsid w:val="00333BE6"/>
    <w:rsid w:val="0033465D"/>
    <w:rsid w:val="00334A0D"/>
    <w:rsid w:val="00334B4B"/>
    <w:rsid w:val="00335181"/>
    <w:rsid w:val="0033523E"/>
    <w:rsid w:val="0033569F"/>
    <w:rsid w:val="003358F8"/>
    <w:rsid w:val="00335B0E"/>
    <w:rsid w:val="00335E47"/>
    <w:rsid w:val="00335F1E"/>
    <w:rsid w:val="003360C6"/>
    <w:rsid w:val="003361CA"/>
    <w:rsid w:val="003362B7"/>
    <w:rsid w:val="003362F2"/>
    <w:rsid w:val="00336485"/>
    <w:rsid w:val="00336765"/>
    <w:rsid w:val="00336B58"/>
    <w:rsid w:val="00336C2E"/>
    <w:rsid w:val="00336C64"/>
    <w:rsid w:val="003377E9"/>
    <w:rsid w:val="00337CE0"/>
    <w:rsid w:val="003401E1"/>
    <w:rsid w:val="003402DD"/>
    <w:rsid w:val="003402F3"/>
    <w:rsid w:val="00340C10"/>
    <w:rsid w:val="0034153F"/>
    <w:rsid w:val="003415AD"/>
    <w:rsid w:val="00342438"/>
    <w:rsid w:val="00342C44"/>
    <w:rsid w:val="00343220"/>
    <w:rsid w:val="00343532"/>
    <w:rsid w:val="003435B7"/>
    <w:rsid w:val="0034369E"/>
    <w:rsid w:val="00343D53"/>
    <w:rsid w:val="00343F4C"/>
    <w:rsid w:val="00344649"/>
    <w:rsid w:val="003446F6"/>
    <w:rsid w:val="00344BD7"/>
    <w:rsid w:val="003450E1"/>
    <w:rsid w:val="00345265"/>
    <w:rsid w:val="00345D33"/>
    <w:rsid w:val="00345E6E"/>
    <w:rsid w:val="00346D3C"/>
    <w:rsid w:val="00346FAC"/>
    <w:rsid w:val="00347129"/>
    <w:rsid w:val="00347450"/>
    <w:rsid w:val="003502E3"/>
    <w:rsid w:val="00350D56"/>
    <w:rsid w:val="00351066"/>
    <w:rsid w:val="00351A6D"/>
    <w:rsid w:val="0035260D"/>
    <w:rsid w:val="00352807"/>
    <w:rsid w:val="00352950"/>
    <w:rsid w:val="00352A94"/>
    <w:rsid w:val="00352AEF"/>
    <w:rsid w:val="00352FEE"/>
    <w:rsid w:val="00353402"/>
    <w:rsid w:val="00353B67"/>
    <w:rsid w:val="003541B7"/>
    <w:rsid w:val="003550B6"/>
    <w:rsid w:val="00355121"/>
    <w:rsid w:val="003554AB"/>
    <w:rsid w:val="00355B60"/>
    <w:rsid w:val="0035614B"/>
    <w:rsid w:val="00356349"/>
    <w:rsid w:val="00356426"/>
    <w:rsid w:val="003565C8"/>
    <w:rsid w:val="003566CB"/>
    <w:rsid w:val="0035695D"/>
    <w:rsid w:val="003569F1"/>
    <w:rsid w:val="00356D53"/>
    <w:rsid w:val="00356F72"/>
    <w:rsid w:val="003573AD"/>
    <w:rsid w:val="003573EA"/>
    <w:rsid w:val="003575F5"/>
    <w:rsid w:val="00357791"/>
    <w:rsid w:val="003577FA"/>
    <w:rsid w:val="00357982"/>
    <w:rsid w:val="00360051"/>
    <w:rsid w:val="003600C2"/>
    <w:rsid w:val="00360618"/>
    <w:rsid w:val="00360FD3"/>
    <w:rsid w:val="0036105B"/>
    <w:rsid w:val="00361553"/>
    <w:rsid w:val="003615C7"/>
    <w:rsid w:val="0036275C"/>
    <w:rsid w:val="00362BC4"/>
    <w:rsid w:val="00362E16"/>
    <w:rsid w:val="00362ED8"/>
    <w:rsid w:val="00363260"/>
    <w:rsid w:val="003636EA"/>
    <w:rsid w:val="0036431A"/>
    <w:rsid w:val="00364884"/>
    <w:rsid w:val="00364B50"/>
    <w:rsid w:val="00364DA8"/>
    <w:rsid w:val="00364DFE"/>
    <w:rsid w:val="003653F9"/>
    <w:rsid w:val="003666C3"/>
    <w:rsid w:val="00366744"/>
    <w:rsid w:val="003676A7"/>
    <w:rsid w:val="003676FC"/>
    <w:rsid w:val="00367778"/>
    <w:rsid w:val="0036779B"/>
    <w:rsid w:val="00367D23"/>
    <w:rsid w:val="00367D75"/>
    <w:rsid w:val="00370042"/>
    <w:rsid w:val="0037040B"/>
    <w:rsid w:val="00370529"/>
    <w:rsid w:val="00370626"/>
    <w:rsid w:val="00370978"/>
    <w:rsid w:val="00370A3E"/>
    <w:rsid w:val="00370DA8"/>
    <w:rsid w:val="00370EE9"/>
    <w:rsid w:val="003714D9"/>
    <w:rsid w:val="00371845"/>
    <w:rsid w:val="00371972"/>
    <w:rsid w:val="00371C76"/>
    <w:rsid w:val="00371EEB"/>
    <w:rsid w:val="00372116"/>
    <w:rsid w:val="00372461"/>
    <w:rsid w:val="003725F8"/>
    <w:rsid w:val="00373037"/>
    <w:rsid w:val="0037314B"/>
    <w:rsid w:val="0037358F"/>
    <w:rsid w:val="003739EB"/>
    <w:rsid w:val="00374A55"/>
    <w:rsid w:val="00374D02"/>
    <w:rsid w:val="00374D5D"/>
    <w:rsid w:val="0037503F"/>
    <w:rsid w:val="00375669"/>
    <w:rsid w:val="003759D3"/>
    <w:rsid w:val="00375B6B"/>
    <w:rsid w:val="00375BA2"/>
    <w:rsid w:val="00375DA5"/>
    <w:rsid w:val="00376056"/>
    <w:rsid w:val="00376336"/>
    <w:rsid w:val="00376386"/>
    <w:rsid w:val="003769BF"/>
    <w:rsid w:val="00376C63"/>
    <w:rsid w:val="00376D66"/>
    <w:rsid w:val="00377267"/>
    <w:rsid w:val="003773B7"/>
    <w:rsid w:val="003776C6"/>
    <w:rsid w:val="00377D24"/>
    <w:rsid w:val="0038018B"/>
    <w:rsid w:val="00380210"/>
    <w:rsid w:val="0038042F"/>
    <w:rsid w:val="0038055F"/>
    <w:rsid w:val="00380ACA"/>
    <w:rsid w:val="00380F97"/>
    <w:rsid w:val="003810A2"/>
    <w:rsid w:val="00381812"/>
    <w:rsid w:val="00381AC1"/>
    <w:rsid w:val="00381E4A"/>
    <w:rsid w:val="00381ED6"/>
    <w:rsid w:val="00381F4F"/>
    <w:rsid w:val="00382609"/>
    <w:rsid w:val="0038266D"/>
    <w:rsid w:val="003829FD"/>
    <w:rsid w:val="00382E70"/>
    <w:rsid w:val="00383394"/>
    <w:rsid w:val="00383C95"/>
    <w:rsid w:val="003849CB"/>
    <w:rsid w:val="00384D17"/>
    <w:rsid w:val="003850E5"/>
    <w:rsid w:val="00385A5E"/>
    <w:rsid w:val="00385C20"/>
    <w:rsid w:val="00385CBE"/>
    <w:rsid w:val="003862AD"/>
    <w:rsid w:val="003865AD"/>
    <w:rsid w:val="003869DA"/>
    <w:rsid w:val="00386B36"/>
    <w:rsid w:val="00386BC8"/>
    <w:rsid w:val="00386D1A"/>
    <w:rsid w:val="003876DA"/>
    <w:rsid w:val="00387EB0"/>
    <w:rsid w:val="003900F0"/>
    <w:rsid w:val="00390196"/>
    <w:rsid w:val="003902F5"/>
    <w:rsid w:val="003902FF"/>
    <w:rsid w:val="003906BD"/>
    <w:rsid w:val="003908A7"/>
    <w:rsid w:val="00390B2E"/>
    <w:rsid w:val="00390B33"/>
    <w:rsid w:val="00390B6D"/>
    <w:rsid w:val="003913C0"/>
    <w:rsid w:val="00391971"/>
    <w:rsid w:val="003919FD"/>
    <w:rsid w:val="00391BDF"/>
    <w:rsid w:val="00391E13"/>
    <w:rsid w:val="0039280F"/>
    <w:rsid w:val="00392CCB"/>
    <w:rsid w:val="00392E04"/>
    <w:rsid w:val="00392FEC"/>
    <w:rsid w:val="003931AF"/>
    <w:rsid w:val="00393578"/>
    <w:rsid w:val="00393635"/>
    <w:rsid w:val="003936D1"/>
    <w:rsid w:val="00393768"/>
    <w:rsid w:val="0039381A"/>
    <w:rsid w:val="0039385A"/>
    <w:rsid w:val="00393DB8"/>
    <w:rsid w:val="00394130"/>
    <w:rsid w:val="003942A9"/>
    <w:rsid w:val="003942DA"/>
    <w:rsid w:val="00394800"/>
    <w:rsid w:val="003951F4"/>
    <w:rsid w:val="00395249"/>
    <w:rsid w:val="00395288"/>
    <w:rsid w:val="00395620"/>
    <w:rsid w:val="0039597A"/>
    <w:rsid w:val="0039598A"/>
    <w:rsid w:val="00395FC9"/>
    <w:rsid w:val="003960DE"/>
    <w:rsid w:val="003962B9"/>
    <w:rsid w:val="003968E0"/>
    <w:rsid w:val="0039697A"/>
    <w:rsid w:val="0039761B"/>
    <w:rsid w:val="003977A5"/>
    <w:rsid w:val="003A0100"/>
    <w:rsid w:val="003A0433"/>
    <w:rsid w:val="003A0830"/>
    <w:rsid w:val="003A0A14"/>
    <w:rsid w:val="003A0CDB"/>
    <w:rsid w:val="003A0EA5"/>
    <w:rsid w:val="003A1386"/>
    <w:rsid w:val="003A155B"/>
    <w:rsid w:val="003A1633"/>
    <w:rsid w:val="003A17DE"/>
    <w:rsid w:val="003A1CAF"/>
    <w:rsid w:val="003A2347"/>
    <w:rsid w:val="003A247C"/>
    <w:rsid w:val="003A26FF"/>
    <w:rsid w:val="003A2C59"/>
    <w:rsid w:val="003A2C8C"/>
    <w:rsid w:val="003A3130"/>
    <w:rsid w:val="003A366D"/>
    <w:rsid w:val="003A392B"/>
    <w:rsid w:val="003A3E23"/>
    <w:rsid w:val="003A42CD"/>
    <w:rsid w:val="003A44A6"/>
    <w:rsid w:val="003A4522"/>
    <w:rsid w:val="003A4810"/>
    <w:rsid w:val="003A4DE6"/>
    <w:rsid w:val="003A50BB"/>
    <w:rsid w:val="003A50EE"/>
    <w:rsid w:val="003A5163"/>
    <w:rsid w:val="003A518C"/>
    <w:rsid w:val="003A5684"/>
    <w:rsid w:val="003A57B7"/>
    <w:rsid w:val="003A58B1"/>
    <w:rsid w:val="003A59E0"/>
    <w:rsid w:val="003A5B97"/>
    <w:rsid w:val="003A5DB9"/>
    <w:rsid w:val="003A60C7"/>
    <w:rsid w:val="003A63B2"/>
    <w:rsid w:val="003A65D4"/>
    <w:rsid w:val="003A66CD"/>
    <w:rsid w:val="003A6703"/>
    <w:rsid w:val="003A6918"/>
    <w:rsid w:val="003A694E"/>
    <w:rsid w:val="003A6C7E"/>
    <w:rsid w:val="003A6F45"/>
    <w:rsid w:val="003A73E3"/>
    <w:rsid w:val="003A7656"/>
    <w:rsid w:val="003A779C"/>
    <w:rsid w:val="003A7AC3"/>
    <w:rsid w:val="003A7B77"/>
    <w:rsid w:val="003A7CE8"/>
    <w:rsid w:val="003A7F57"/>
    <w:rsid w:val="003B0058"/>
    <w:rsid w:val="003B0352"/>
    <w:rsid w:val="003B04BC"/>
    <w:rsid w:val="003B0A10"/>
    <w:rsid w:val="003B0DC7"/>
    <w:rsid w:val="003B0F62"/>
    <w:rsid w:val="003B0F97"/>
    <w:rsid w:val="003B14F0"/>
    <w:rsid w:val="003B1574"/>
    <w:rsid w:val="003B17EB"/>
    <w:rsid w:val="003B1800"/>
    <w:rsid w:val="003B1F86"/>
    <w:rsid w:val="003B20D2"/>
    <w:rsid w:val="003B25DE"/>
    <w:rsid w:val="003B2688"/>
    <w:rsid w:val="003B27AE"/>
    <w:rsid w:val="003B2839"/>
    <w:rsid w:val="003B29BC"/>
    <w:rsid w:val="003B2C99"/>
    <w:rsid w:val="003B2E60"/>
    <w:rsid w:val="003B31DB"/>
    <w:rsid w:val="003B3A47"/>
    <w:rsid w:val="003B3A53"/>
    <w:rsid w:val="003B3A69"/>
    <w:rsid w:val="003B3D78"/>
    <w:rsid w:val="003B4617"/>
    <w:rsid w:val="003B469F"/>
    <w:rsid w:val="003B47C5"/>
    <w:rsid w:val="003B4BE9"/>
    <w:rsid w:val="003B4E67"/>
    <w:rsid w:val="003B5055"/>
    <w:rsid w:val="003B53AA"/>
    <w:rsid w:val="003B55CD"/>
    <w:rsid w:val="003B58FE"/>
    <w:rsid w:val="003B5E06"/>
    <w:rsid w:val="003B62B6"/>
    <w:rsid w:val="003B64B7"/>
    <w:rsid w:val="003B69F5"/>
    <w:rsid w:val="003B6A1C"/>
    <w:rsid w:val="003B75CF"/>
    <w:rsid w:val="003B76C3"/>
    <w:rsid w:val="003B76CC"/>
    <w:rsid w:val="003B7ABC"/>
    <w:rsid w:val="003B7C0F"/>
    <w:rsid w:val="003B7DA3"/>
    <w:rsid w:val="003C017E"/>
    <w:rsid w:val="003C0187"/>
    <w:rsid w:val="003C03EA"/>
    <w:rsid w:val="003C06D1"/>
    <w:rsid w:val="003C0C34"/>
    <w:rsid w:val="003C0EA1"/>
    <w:rsid w:val="003C1098"/>
    <w:rsid w:val="003C12EA"/>
    <w:rsid w:val="003C146D"/>
    <w:rsid w:val="003C18CD"/>
    <w:rsid w:val="003C1CD6"/>
    <w:rsid w:val="003C2D82"/>
    <w:rsid w:val="003C2EDD"/>
    <w:rsid w:val="003C308A"/>
    <w:rsid w:val="003C3122"/>
    <w:rsid w:val="003C3202"/>
    <w:rsid w:val="003C3523"/>
    <w:rsid w:val="003C37BF"/>
    <w:rsid w:val="003C398B"/>
    <w:rsid w:val="003C3DC2"/>
    <w:rsid w:val="003C4A93"/>
    <w:rsid w:val="003C4BAF"/>
    <w:rsid w:val="003C4BBF"/>
    <w:rsid w:val="003C4E2C"/>
    <w:rsid w:val="003C5156"/>
    <w:rsid w:val="003C53AC"/>
    <w:rsid w:val="003C5800"/>
    <w:rsid w:val="003C5A27"/>
    <w:rsid w:val="003C5CBB"/>
    <w:rsid w:val="003C5F1C"/>
    <w:rsid w:val="003C635A"/>
    <w:rsid w:val="003C6545"/>
    <w:rsid w:val="003C6676"/>
    <w:rsid w:val="003C69A4"/>
    <w:rsid w:val="003C6A43"/>
    <w:rsid w:val="003C6A80"/>
    <w:rsid w:val="003C6B73"/>
    <w:rsid w:val="003C6DF2"/>
    <w:rsid w:val="003C7267"/>
    <w:rsid w:val="003C73C3"/>
    <w:rsid w:val="003C7407"/>
    <w:rsid w:val="003C76C1"/>
    <w:rsid w:val="003C7772"/>
    <w:rsid w:val="003C77BA"/>
    <w:rsid w:val="003C7898"/>
    <w:rsid w:val="003C7AEF"/>
    <w:rsid w:val="003C7BB4"/>
    <w:rsid w:val="003C7E79"/>
    <w:rsid w:val="003D071C"/>
    <w:rsid w:val="003D0B45"/>
    <w:rsid w:val="003D0E32"/>
    <w:rsid w:val="003D0E78"/>
    <w:rsid w:val="003D109E"/>
    <w:rsid w:val="003D12D6"/>
    <w:rsid w:val="003D12ED"/>
    <w:rsid w:val="003D1817"/>
    <w:rsid w:val="003D1965"/>
    <w:rsid w:val="003D20B2"/>
    <w:rsid w:val="003D2290"/>
    <w:rsid w:val="003D2683"/>
    <w:rsid w:val="003D2A34"/>
    <w:rsid w:val="003D2AB8"/>
    <w:rsid w:val="003D2F84"/>
    <w:rsid w:val="003D30CF"/>
    <w:rsid w:val="003D35D5"/>
    <w:rsid w:val="003D3754"/>
    <w:rsid w:val="003D3D0D"/>
    <w:rsid w:val="003D3F83"/>
    <w:rsid w:val="003D44C4"/>
    <w:rsid w:val="003D453E"/>
    <w:rsid w:val="003D45F5"/>
    <w:rsid w:val="003D4CC0"/>
    <w:rsid w:val="003D4E0C"/>
    <w:rsid w:val="003D53BB"/>
    <w:rsid w:val="003D5415"/>
    <w:rsid w:val="003D5445"/>
    <w:rsid w:val="003D5672"/>
    <w:rsid w:val="003D56D5"/>
    <w:rsid w:val="003D5B0C"/>
    <w:rsid w:val="003D5B50"/>
    <w:rsid w:val="003D6194"/>
    <w:rsid w:val="003D6420"/>
    <w:rsid w:val="003D6483"/>
    <w:rsid w:val="003D6819"/>
    <w:rsid w:val="003D6B33"/>
    <w:rsid w:val="003D70E6"/>
    <w:rsid w:val="003D7322"/>
    <w:rsid w:val="003D73B5"/>
    <w:rsid w:val="003D75AA"/>
    <w:rsid w:val="003D76F2"/>
    <w:rsid w:val="003D7B53"/>
    <w:rsid w:val="003D7B9C"/>
    <w:rsid w:val="003D7D75"/>
    <w:rsid w:val="003E01B8"/>
    <w:rsid w:val="003E01DA"/>
    <w:rsid w:val="003E045C"/>
    <w:rsid w:val="003E058B"/>
    <w:rsid w:val="003E07BC"/>
    <w:rsid w:val="003E08CF"/>
    <w:rsid w:val="003E09EE"/>
    <w:rsid w:val="003E0A01"/>
    <w:rsid w:val="003E0CB3"/>
    <w:rsid w:val="003E0D1D"/>
    <w:rsid w:val="003E1507"/>
    <w:rsid w:val="003E2688"/>
    <w:rsid w:val="003E287A"/>
    <w:rsid w:val="003E292D"/>
    <w:rsid w:val="003E2FE9"/>
    <w:rsid w:val="003E3527"/>
    <w:rsid w:val="003E3B4B"/>
    <w:rsid w:val="003E43E5"/>
    <w:rsid w:val="003E473D"/>
    <w:rsid w:val="003E48AF"/>
    <w:rsid w:val="003E4EB9"/>
    <w:rsid w:val="003E5326"/>
    <w:rsid w:val="003E5480"/>
    <w:rsid w:val="003E5841"/>
    <w:rsid w:val="003E59B8"/>
    <w:rsid w:val="003E5CC9"/>
    <w:rsid w:val="003E611C"/>
    <w:rsid w:val="003E61BE"/>
    <w:rsid w:val="003E63DD"/>
    <w:rsid w:val="003E6D47"/>
    <w:rsid w:val="003E7299"/>
    <w:rsid w:val="003E73CF"/>
    <w:rsid w:val="003E7561"/>
    <w:rsid w:val="003E7584"/>
    <w:rsid w:val="003E780D"/>
    <w:rsid w:val="003E796D"/>
    <w:rsid w:val="003E7BF2"/>
    <w:rsid w:val="003E7E32"/>
    <w:rsid w:val="003E7FF3"/>
    <w:rsid w:val="003F0275"/>
    <w:rsid w:val="003F0390"/>
    <w:rsid w:val="003F0818"/>
    <w:rsid w:val="003F12A3"/>
    <w:rsid w:val="003F12E5"/>
    <w:rsid w:val="003F19F2"/>
    <w:rsid w:val="003F1D8C"/>
    <w:rsid w:val="003F20E9"/>
    <w:rsid w:val="003F21A2"/>
    <w:rsid w:val="003F23F6"/>
    <w:rsid w:val="003F26A1"/>
    <w:rsid w:val="003F27D7"/>
    <w:rsid w:val="003F2D3B"/>
    <w:rsid w:val="003F306A"/>
    <w:rsid w:val="003F32D1"/>
    <w:rsid w:val="003F3632"/>
    <w:rsid w:val="003F3D91"/>
    <w:rsid w:val="003F442D"/>
    <w:rsid w:val="003F443B"/>
    <w:rsid w:val="003F4A57"/>
    <w:rsid w:val="003F4C62"/>
    <w:rsid w:val="003F4F19"/>
    <w:rsid w:val="003F51E4"/>
    <w:rsid w:val="003F5CD3"/>
    <w:rsid w:val="003F60E6"/>
    <w:rsid w:val="003F64A6"/>
    <w:rsid w:val="003F6500"/>
    <w:rsid w:val="003F672F"/>
    <w:rsid w:val="003F688D"/>
    <w:rsid w:val="003F69D1"/>
    <w:rsid w:val="003F7688"/>
    <w:rsid w:val="003F7841"/>
    <w:rsid w:val="003F7D76"/>
    <w:rsid w:val="003F7E1A"/>
    <w:rsid w:val="00400425"/>
    <w:rsid w:val="0040047A"/>
    <w:rsid w:val="004007E0"/>
    <w:rsid w:val="00400886"/>
    <w:rsid w:val="00400C7A"/>
    <w:rsid w:val="00401131"/>
    <w:rsid w:val="0040134E"/>
    <w:rsid w:val="00401458"/>
    <w:rsid w:val="00401D71"/>
    <w:rsid w:val="00401F2D"/>
    <w:rsid w:val="0040225D"/>
    <w:rsid w:val="004022A4"/>
    <w:rsid w:val="004024E4"/>
    <w:rsid w:val="004025D4"/>
    <w:rsid w:val="0040266A"/>
    <w:rsid w:val="00402B1C"/>
    <w:rsid w:val="00402D19"/>
    <w:rsid w:val="00403073"/>
    <w:rsid w:val="0040313A"/>
    <w:rsid w:val="0040346E"/>
    <w:rsid w:val="0040350D"/>
    <w:rsid w:val="004039E2"/>
    <w:rsid w:val="00403C4B"/>
    <w:rsid w:val="00403FFD"/>
    <w:rsid w:val="0040417B"/>
    <w:rsid w:val="004044A0"/>
    <w:rsid w:val="0040484E"/>
    <w:rsid w:val="00404A2F"/>
    <w:rsid w:val="00404ACF"/>
    <w:rsid w:val="00404AE4"/>
    <w:rsid w:val="00404C24"/>
    <w:rsid w:val="00404DBB"/>
    <w:rsid w:val="0040647E"/>
    <w:rsid w:val="00406F04"/>
    <w:rsid w:val="00407034"/>
    <w:rsid w:val="00407892"/>
    <w:rsid w:val="004078E7"/>
    <w:rsid w:val="00410248"/>
    <w:rsid w:val="00410277"/>
    <w:rsid w:val="004102B1"/>
    <w:rsid w:val="00410587"/>
    <w:rsid w:val="00410591"/>
    <w:rsid w:val="004105F3"/>
    <w:rsid w:val="004108B4"/>
    <w:rsid w:val="00410CEB"/>
    <w:rsid w:val="00410E64"/>
    <w:rsid w:val="00411025"/>
    <w:rsid w:val="00411351"/>
    <w:rsid w:val="00411ED3"/>
    <w:rsid w:val="00411F8A"/>
    <w:rsid w:val="0041215D"/>
    <w:rsid w:val="00412341"/>
    <w:rsid w:val="004123DD"/>
    <w:rsid w:val="0041250D"/>
    <w:rsid w:val="004129C4"/>
    <w:rsid w:val="00412B06"/>
    <w:rsid w:val="00413534"/>
    <w:rsid w:val="0041361B"/>
    <w:rsid w:val="00413872"/>
    <w:rsid w:val="00413F78"/>
    <w:rsid w:val="0041461E"/>
    <w:rsid w:val="004146E0"/>
    <w:rsid w:val="004149A8"/>
    <w:rsid w:val="00414D29"/>
    <w:rsid w:val="00414D66"/>
    <w:rsid w:val="00414F3B"/>
    <w:rsid w:val="00414FF3"/>
    <w:rsid w:val="004150A7"/>
    <w:rsid w:val="00415335"/>
    <w:rsid w:val="004153A2"/>
    <w:rsid w:val="0041541C"/>
    <w:rsid w:val="00415443"/>
    <w:rsid w:val="00415726"/>
    <w:rsid w:val="00415736"/>
    <w:rsid w:val="00415834"/>
    <w:rsid w:val="00415EB7"/>
    <w:rsid w:val="00415F63"/>
    <w:rsid w:val="004166B1"/>
    <w:rsid w:val="00416895"/>
    <w:rsid w:val="0041693C"/>
    <w:rsid w:val="004176ED"/>
    <w:rsid w:val="00417771"/>
    <w:rsid w:val="0041779C"/>
    <w:rsid w:val="004201F3"/>
    <w:rsid w:val="004204AC"/>
    <w:rsid w:val="004205B4"/>
    <w:rsid w:val="00420E2C"/>
    <w:rsid w:val="00420F93"/>
    <w:rsid w:val="0042106F"/>
    <w:rsid w:val="00421119"/>
    <w:rsid w:val="004217CB"/>
    <w:rsid w:val="004223AC"/>
    <w:rsid w:val="0042246E"/>
    <w:rsid w:val="00422480"/>
    <w:rsid w:val="004226FF"/>
    <w:rsid w:val="00422BDC"/>
    <w:rsid w:val="004232C0"/>
    <w:rsid w:val="00423494"/>
    <w:rsid w:val="0042383B"/>
    <w:rsid w:val="0042392B"/>
    <w:rsid w:val="00423E8D"/>
    <w:rsid w:val="00423FE5"/>
    <w:rsid w:val="00424441"/>
    <w:rsid w:val="00424A2B"/>
    <w:rsid w:val="00424C74"/>
    <w:rsid w:val="00424FA1"/>
    <w:rsid w:val="004254B4"/>
    <w:rsid w:val="00425666"/>
    <w:rsid w:val="0042722C"/>
    <w:rsid w:val="004272B8"/>
    <w:rsid w:val="0042799C"/>
    <w:rsid w:val="004279A3"/>
    <w:rsid w:val="004279E6"/>
    <w:rsid w:val="00427D52"/>
    <w:rsid w:val="004306D6"/>
    <w:rsid w:val="0043071C"/>
    <w:rsid w:val="00430FB2"/>
    <w:rsid w:val="00431073"/>
    <w:rsid w:val="00431309"/>
    <w:rsid w:val="0043146C"/>
    <w:rsid w:val="00431868"/>
    <w:rsid w:val="00431AB0"/>
    <w:rsid w:val="00431FEF"/>
    <w:rsid w:val="00432148"/>
    <w:rsid w:val="004329C2"/>
    <w:rsid w:val="00432AC1"/>
    <w:rsid w:val="00432E86"/>
    <w:rsid w:val="00433089"/>
    <w:rsid w:val="004330F7"/>
    <w:rsid w:val="00433195"/>
    <w:rsid w:val="00433850"/>
    <w:rsid w:val="004339E9"/>
    <w:rsid w:val="00433BF8"/>
    <w:rsid w:val="00433F83"/>
    <w:rsid w:val="00434163"/>
    <w:rsid w:val="00434405"/>
    <w:rsid w:val="0043495F"/>
    <w:rsid w:val="00434B5C"/>
    <w:rsid w:val="00434CD2"/>
    <w:rsid w:val="00434D89"/>
    <w:rsid w:val="004354DF"/>
    <w:rsid w:val="00435568"/>
    <w:rsid w:val="0043567A"/>
    <w:rsid w:val="00435723"/>
    <w:rsid w:val="00435943"/>
    <w:rsid w:val="004361AF"/>
    <w:rsid w:val="0043680B"/>
    <w:rsid w:val="004368F8"/>
    <w:rsid w:val="00436AEA"/>
    <w:rsid w:val="00436DD4"/>
    <w:rsid w:val="00437212"/>
    <w:rsid w:val="00437905"/>
    <w:rsid w:val="0043797A"/>
    <w:rsid w:val="004379B1"/>
    <w:rsid w:val="00437A22"/>
    <w:rsid w:val="00437A7B"/>
    <w:rsid w:val="00437C99"/>
    <w:rsid w:val="00440153"/>
    <w:rsid w:val="004404AD"/>
    <w:rsid w:val="004405E5"/>
    <w:rsid w:val="004406C8"/>
    <w:rsid w:val="00440BE6"/>
    <w:rsid w:val="00440D67"/>
    <w:rsid w:val="00440EF7"/>
    <w:rsid w:val="004410FA"/>
    <w:rsid w:val="00441311"/>
    <w:rsid w:val="0044199F"/>
    <w:rsid w:val="00441B15"/>
    <w:rsid w:val="00441D4E"/>
    <w:rsid w:val="00441DF1"/>
    <w:rsid w:val="00441E7D"/>
    <w:rsid w:val="00441ED9"/>
    <w:rsid w:val="0044213D"/>
    <w:rsid w:val="00442297"/>
    <w:rsid w:val="00442A6D"/>
    <w:rsid w:val="00442D39"/>
    <w:rsid w:val="00442E74"/>
    <w:rsid w:val="00443935"/>
    <w:rsid w:val="00443BE9"/>
    <w:rsid w:val="004440E9"/>
    <w:rsid w:val="00444350"/>
    <w:rsid w:val="00444A8B"/>
    <w:rsid w:val="00445253"/>
    <w:rsid w:val="00445388"/>
    <w:rsid w:val="004456BF"/>
    <w:rsid w:val="00445AFD"/>
    <w:rsid w:val="00445D73"/>
    <w:rsid w:val="00445DC4"/>
    <w:rsid w:val="00445E1A"/>
    <w:rsid w:val="00445EC6"/>
    <w:rsid w:val="004460B7"/>
    <w:rsid w:val="0044612B"/>
    <w:rsid w:val="00446246"/>
    <w:rsid w:val="004462DA"/>
    <w:rsid w:val="0044647F"/>
    <w:rsid w:val="004467D4"/>
    <w:rsid w:val="00446C34"/>
    <w:rsid w:val="00446CBD"/>
    <w:rsid w:val="0044714E"/>
    <w:rsid w:val="00447273"/>
    <w:rsid w:val="004477CB"/>
    <w:rsid w:val="00447A3A"/>
    <w:rsid w:val="00447DBB"/>
    <w:rsid w:val="0045074B"/>
    <w:rsid w:val="00450A3C"/>
    <w:rsid w:val="00450BAF"/>
    <w:rsid w:val="004511C8"/>
    <w:rsid w:val="004511D1"/>
    <w:rsid w:val="004516DC"/>
    <w:rsid w:val="0045188A"/>
    <w:rsid w:val="0045199D"/>
    <w:rsid w:val="00451BE0"/>
    <w:rsid w:val="00451F78"/>
    <w:rsid w:val="0045211B"/>
    <w:rsid w:val="004529D3"/>
    <w:rsid w:val="00452CEA"/>
    <w:rsid w:val="00452E7E"/>
    <w:rsid w:val="00453398"/>
    <w:rsid w:val="004535C2"/>
    <w:rsid w:val="004536F6"/>
    <w:rsid w:val="004537A1"/>
    <w:rsid w:val="004537C6"/>
    <w:rsid w:val="004539FF"/>
    <w:rsid w:val="00453B08"/>
    <w:rsid w:val="00453B8C"/>
    <w:rsid w:val="004545BA"/>
    <w:rsid w:val="00454F75"/>
    <w:rsid w:val="00454FFC"/>
    <w:rsid w:val="004550E9"/>
    <w:rsid w:val="0045548B"/>
    <w:rsid w:val="004562BD"/>
    <w:rsid w:val="004562F4"/>
    <w:rsid w:val="00456456"/>
    <w:rsid w:val="004566E2"/>
    <w:rsid w:val="00456B35"/>
    <w:rsid w:val="00456E9E"/>
    <w:rsid w:val="00456EA1"/>
    <w:rsid w:val="004574EA"/>
    <w:rsid w:val="00457BE1"/>
    <w:rsid w:val="00457CB7"/>
    <w:rsid w:val="00457FBB"/>
    <w:rsid w:val="00460041"/>
    <w:rsid w:val="004601D3"/>
    <w:rsid w:val="0046026D"/>
    <w:rsid w:val="00460B6E"/>
    <w:rsid w:val="00460C23"/>
    <w:rsid w:val="0046164C"/>
    <w:rsid w:val="00461869"/>
    <w:rsid w:val="004618EA"/>
    <w:rsid w:val="004619AD"/>
    <w:rsid w:val="00461E11"/>
    <w:rsid w:val="00462091"/>
    <w:rsid w:val="00462DA1"/>
    <w:rsid w:val="00462DD4"/>
    <w:rsid w:val="0046302C"/>
    <w:rsid w:val="00463054"/>
    <w:rsid w:val="004631ED"/>
    <w:rsid w:val="0046322C"/>
    <w:rsid w:val="00463369"/>
    <w:rsid w:val="0046342A"/>
    <w:rsid w:val="004636C1"/>
    <w:rsid w:val="00463A1E"/>
    <w:rsid w:val="00463ABD"/>
    <w:rsid w:val="00463D99"/>
    <w:rsid w:val="00463FCE"/>
    <w:rsid w:val="004640A6"/>
    <w:rsid w:val="0046418B"/>
    <w:rsid w:val="00464532"/>
    <w:rsid w:val="00464DEB"/>
    <w:rsid w:val="0046530B"/>
    <w:rsid w:val="00465589"/>
    <w:rsid w:val="00465D29"/>
    <w:rsid w:val="00465FBF"/>
    <w:rsid w:val="004665E5"/>
    <w:rsid w:val="0046662D"/>
    <w:rsid w:val="00466AA0"/>
    <w:rsid w:val="00466B37"/>
    <w:rsid w:val="0046712E"/>
    <w:rsid w:val="004673BF"/>
    <w:rsid w:val="00470470"/>
    <w:rsid w:val="0047186C"/>
    <w:rsid w:val="00471E85"/>
    <w:rsid w:val="00471E86"/>
    <w:rsid w:val="004722AF"/>
    <w:rsid w:val="0047245F"/>
    <w:rsid w:val="00472578"/>
    <w:rsid w:val="0047290A"/>
    <w:rsid w:val="00472AFA"/>
    <w:rsid w:val="00472B6D"/>
    <w:rsid w:val="00473E33"/>
    <w:rsid w:val="00473FC7"/>
    <w:rsid w:val="00474202"/>
    <w:rsid w:val="0047445F"/>
    <w:rsid w:val="004747D8"/>
    <w:rsid w:val="00474B86"/>
    <w:rsid w:val="0047545C"/>
    <w:rsid w:val="00475D0F"/>
    <w:rsid w:val="00475FFF"/>
    <w:rsid w:val="0047624A"/>
    <w:rsid w:val="00476450"/>
    <w:rsid w:val="00476788"/>
    <w:rsid w:val="0047696B"/>
    <w:rsid w:val="00476FCA"/>
    <w:rsid w:val="00477640"/>
    <w:rsid w:val="00477C05"/>
    <w:rsid w:val="00477C28"/>
    <w:rsid w:val="00477E97"/>
    <w:rsid w:val="00477F80"/>
    <w:rsid w:val="00480114"/>
    <w:rsid w:val="0048015E"/>
    <w:rsid w:val="004801CF"/>
    <w:rsid w:val="004802C1"/>
    <w:rsid w:val="00480698"/>
    <w:rsid w:val="0048073D"/>
    <w:rsid w:val="0048075E"/>
    <w:rsid w:val="00480A45"/>
    <w:rsid w:val="00480F3D"/>
    <w:rsid w:val="00480F92"/>
    <w:rsid w:val="0048154F"/>
    <w:rsid w:val="004820E6"/>
    <w:rsid w:val="004823E1"/>
    <w:rsid w:val="004833B6"/>
    <w:rsid w:val="004833DB"/>
    <w:rsid w:val="004838E2"/>
    <w:rsid w:val="00483A3C"/>
    <w:rsid w:val="00483C8D"/>
    <w:rsid w:val="004844E5"/>
    <w:rsid w:val="004845DC"/>
    <w:rsid w:val="00484E14"/>
    <w:rsid w:val="00485160"/>
    <w:rsid w:val="00485247"/>
    <w:rsid w:val="0048534D"/>
    <w:rsid w:val="0048535C"/>
    <w:rsid w:val="00485719"/>
    <w:rsid w:val="00485977"/>
    <w:rsid w:val="00485B88"/>
    <w:rsid w:val="00486AA8"/>
    <w:rsid w:val="00486AD3"/>
    <w:rsid w:val="00486AEC"/>
    <w:rsid w:val="00486BF0"/>
    <w:rsid w:val="00486FC8"/>
    <w:rsid w:val="00487346"/>
    <w:rsid w:val="0048766C"/>
    <w:rsid w:val="00487CDF"/>
    <w:rsid w:val="00487E55"/>
    <w:rsid w:val="004901A4"/>
    <w:rsid w:val="00490350"/>
    <w:rsid w:val="00490811"/>
    <w:rsid w:val="00490BAD"/>
    <w:rsid w:val="00491094"/>
    <w:rsid w:val="004910C7"/>
    <w:rsid w:val="00491257"/>
    <w:rsid w:val="00491C7B"/>
    <w:rsid w:val="00491CA6"/>
    <w:rsid w:val="00491CE5"/>
    <w:rsid w:val="00491E4B"/>
    <w:rsid w:val="004921E4"/>
    <w:rsid w:val="00492242"/>
    <w:rsid w:val="004925B2"/>
    <w:rsid w:val="00492791"/>
    <w:rsid w:val="00492B1D"/>
    <w:rsid w:val="00492B61"/>
    <w:rsid w:val="004935D4"/>
    <w:rsid w:val="004937EF"/>
    <w:rsid w:val="004939B2"/>
    <w:rsid w:val="00493E63"/>
    <w:rsid w:val="00494001"/>
    <w:rsid w:val="00494412"/>
    <w:rsid w:val="00494765"/>
    <w:rsid w:val="00494AD7"/>
    <w:rsid w:val="00494D56"/>
    <w:rsid w:val="00494FAD"/>
    <w:rsid w:val="004953C6"/>
    <w:rsid w:val="00495719"/>
    <w:rsid w:val="0049629A"/>
    <w:rsid w:val="0049629D"/>
    <w:rsid w:val="0049661C"/>
    <w:rsid w:val="00497CD2"/>
    <w:rsid w:val="00497D7A"/>
    <w:rsid w:val="00497DDD"/>
    <w:rsid w:val="004A01E6"/>
    <w:rsid w:val="004A028A"/>
    <w:rsid w:val="004A0985"/>
    <w:rsid w:val="004A0C88"/>
    <w:rsid w:val="004A0C8E"/>
    <w:rsid w:val="004A0C90"/>
    <w:rsid w:val="004A100F"/>
    <w:rsid w:val="004A12AB"/>
    <w:rsid w:val="004A142C"/>
    <w:rsid w:val="004A164B"/>
    <w:rsid w:val="004A182D"/>
    <w:rsid w:val="004A18F5"/>
    <w:rsid w:val="004A1FB7"/>
    <w:rsid w:val="004A2056"/>
    <w:rsid w:val="004A2429"/>
    <w:rsid w:val="004A27FE"/>
    <w:rsid w:val="004A294C"/>
    <w:rsid w:val="004A2AD4"/>
    <w:rsid w:val="004A2E4C"/>
    <w:rsid w:val="004A2F9F"/>
    <w:rsid w:val="004A327E"/>
    <w:rsid w:val="004A32A5"/>
    <w:rsid w:val="004A352C"/>
    <w:rsid w:val="004A3561"/>
    <w:rsid w:val="004A363E"/>
    <w:rsid w:val="004A367F"/>
    <w:rsid w:val="004A3746"/>
    <w:rsid w:val="004A3894"/>
    <w:rsid w:val="004A3A31"/>
    <w:rsid w:val="004A3CE7"/>
    <w:rsid w:val="004A4218"/>
    <w:rsid w:val="004A42C0"/>
    <w:rsid w:val="004A4847"/>
    <w:rsid w:val="004A4930"/>
    <w:rsid w:val="004A4E04"/>
    <w:rsid w:val="004A4EB4"/>
    <w:rsid w:val="004A5336"/>
    <w:rsid w:val="004A5417"/>
    <w:rsid w:val="004A5C4F"/>
    <w:rsid w:val="004A62BD"/>
    <w:rsid w:val="004A6447"/>
    <w:rsid w:val="004A644D"/>
    <w:rsid w:val="004A649B"/>
    <w:rsid w:val="004A66CD"/>
    <w:rsid w:val="004A67C9"/>
    <w:rsid w:val="004A7125"/>
    <w:rsid w:val="004A7276"/>
    <w:rsid w:val="004A7461"/>
    <w:rsid w:val="004B0B31"/>
    <w:rsid w:val="004B10A5"/>
    <w:rsid w:val="004B1279"/>
    <w:rsid w:val="004B1287"/>
    <w:rsid w:val="004B18D1"/>
    <w:rsid w:val="004B1D9F"/>
    <w:rsid w:val="004B2095"/>
    <w:rsid w:val="004B2E2A"/>
    <w:rsid w:val="004B333E"/>
    <w:rsid w:val="004B39CD"/>
    <w:rsid w:val="004B3D2B"/>
    <w:rsid w:val="004B457B"/>
    <w:rsid w:val="004B48DA"/>
    <w:rsid w:val="004B4BBB"/>
    <w:rsid w:val="004B5268"/>
    <w:rsid w:val="004B52EE"/>
    <w:rsid w:val="004B595D"/>
    <w:rsid w:val="004B5D57"/>
    <w:rsid w:val="004B5DB5"/>
    <w:rsid w:val="004B5F0F"/>
    <w:rsid w:val="004B5F52"/>
    <w:rsid w:val="004B6135"/>
    <w:rsid w:val="004B6139"/>
    <w:rsid w:val="004B62A5"/>
    <w:rsid w:val="004B6364"/>
    <w:rsid w:val="004B66C6"/>
    <w:rsid w:val="004B66FD"/>
    <w:rsid w:val="004B6B0E"/>
    <w:rsid w:val="004B6D8D"/>
    <w:rsid w:val="004B70CD"/>
    <w:rsid w:val="004B7161"/>
    <w:rsid w:val="004B7209"/>
    <w:rsid w:val="004B7752"/>
    <w:rsid w:val="004B7D6B"/>
    <w:rsid w:val="004C0350"/>
    <w:rsid w:val="004C04BF"/>
    <w:rsid w:val="004C08D3"/>
    <w:rsid w:val="004C0948"/>
    <w:rsid w:val="004C0D2B"/>
    <w:rsid w:val="004C0E10"/>
    <w:rsid w:val="004C0EEE"/>
    <w:rsid w:val="004C125D"/>
    <w:rsid w:val="004C1875"/>
    <w:rsid w:val="004C18B6"/>
    <w:rsid w:val="004C1A94"/>
    <w:rsid w:val="004C1B53"/>
    <w:rsid w:val="004C20DC"/>
    <w:rsid w:val="004C2D4D"/>
    <w:rsid w:val="004C312A"/>
    <w:rsid w:val="004C3273"/>
    <w:rsid w:val="004C3AC0"/>
    <w:rsid w:val="004C4761"/>
    <w:rsid w:val="004C4965"/>
    <w:rsid w:val="004C4B3F"/>
    <w:rsid w:val="004C4B92"/>
    <w:rsid w:val="004C4F11"/>
    <w:rsid w:val="004C559E"/>
    <w:rsid w:val="004C5B28"/>
    <w:rsid w:val="004C5F29"/>
    <w:rsid w:val="004C5F3D"/>
    <w:rsid w:val="004C5FA8"/>
    <w:rsid w:val="004C62D7"/>
    <w:rsid w:val="004C66B7"/>
    <w:rsid w:val="004C6718"/>
    <w:rsid w:val="004C735E"/>
    <w:rsid w:val="004C7A53"/>
    <w:rsid w:val="004C7E5B"/>
    <w:rsid w:val="004D0D29"/>
    <w:rsid w:val="004D0E97"/>
    <w:rsid w:val="004D1010"/>
    <w:rsid w:val="004D10CA"/>
    <w:rsid w:val="004D111A"/>
    <w:rsid w:val="004D1291"/>
    <w:rsid w:val="004D15FE"/>
    <w:rsid w:val="004D1963"/>
    <w:rsid w:val="004D1B02"/>
    <w:rsid w:val="004D207E"/>
    <w:rsid w:val="004D2507"/>
    <w:rsid w:val="004D2706"/>
    <w:rsid w:val="004D27B3"/>
    <w:rsid w:val="004D2839"/>
    <w:rsid w:val="004D2A00"/>
    <w:rsid w:val="004D2AB3"/>
    <w:rsid w:val="004D2B4F"/>
    <w:rsid w:val="004D2C86"/>
    <w:rsid w:val="004D2D27"/>
    <w:rsid w:val="004D31D5"/>
    <w:rsid w:val="004D3E60"/>
    <w:rsid w:val="004D4218"/>
    <w:rsid w:val="004D45AF"/>
    <w:rsid w:val="004D4B0E"/>
    <w:rsid w:val="004D4B61"/>
    <w:rsid w:val="004D4D60"/>
    <w:rsid w:val="004D5300"/>
    <w:rsid w:val="004D547E"/>
    <w:rsid w:val="004D57CE"/>
    <w:rsid w:val="004D58F0"/>
    <w:rsid w:val="004D5BAE"/>
    <w:rsid w:val="004D5C17"/>
    <w:rsid w:val="004D60CE"/>
    <w:rsid w:val="004D61AB"/>
    <w:rsid w:val="004D6218"/>
    <w:rsid w:val="004D6252"/>
    <w:rsid w:val="004D6253"/>
    <w:rsid w:val="004D654F"/>
    <w:rsid w:val="004D6675"/>
    <w:rsid w:val="004D6BEE"/>
    <w:rsid w:val="004D6D86"/>
    <w:rsid w:val="004D6DE3"/>
    <w:rsid w:val="004D6E4C"/>
    <w:rsid w:val="004D6E99"/>
    <w:rsid w:val="004D712D"/>
    <w:rsid w:val="004D752C"/>
    <w:rsid w:val="004D7616"/>
    <w:rsid w:val="004D7AB6"/>
    <w:rsid w:val="004D7B84"/>
    <w:rsid w:val="004E06BE"/>
    <w:rsid w:val="004E0AD4"/>
    <w:rsid w:val="004E10F5"/>
    <w:rsid w:val="004E12D3"/>
    <w:rsid w:val="004E1338"/>
    <w:rsid w:val="004E1666"/>
    <w:rsid w:val="004E1721"/>
    <w:rsid w:val="004E1920"/>
    <w:rsid w:val="004E1BB9"/>
    <w:rsid w:val="004E1C2A"/>
    <w:rsid w:val="004E1D87"/>
    <w:rsid w:val="004E20D2"/>
    <w:rsid w:val="004E2142"/>
    <w:rsid w:val="004E21A2"/>
    <w:rsid w:val="004E2214"/>
    <w:rsid w:val="004E2BAD"/>
    <w:rsid w:val="004E2BC4"/>
    <w:rsid w:val="004E2DC7"/>
    <w:rsid w:val="004E31BA"/>
    <w:rsid w:val="004E330F"/>
    <w:rsid w:val="004E3415"/>
    <w:rsid w:val="004E3418"/>
    <w:rsid w:val="004E3483"/>
    <w:rsid w:val="004E3A3D"/>
    <w:rsid w:val="004E45B8"/>
    <w:rsid w:val="004E4C58"/>
    <w:rsid w:val="004E4E32"/>
    <w:rsid w:val="004E501D"/>
    <w:rsid w:val="004E5218"/>
    <w:rsid w:val="004E521D"/>
    <w:rsid w:val="004E5226"/>
    <w:rsid w:val="004E557A"/>
    <w:rsid w:val="004E56E4"/>
    <w:rsid w:val="004E5DEE"/>
    <w:rsid w:val="004E6722"/>
    <w:rsid w:val="004E6B05"/>
    <w:rsid w:val="004E72E9"/>
    <w:rsid w:val="004E7945"/>
    <w:rsid w:val="004E7CB4"/>
    <w:rsid w:val="004E7DA0"/>
    <w:rsid w:val="004E7E60"/>
    <w:rsid w:val="004E7E96"/>
    <w:rsid w:val="004F00A3"/>
    <w:rsid w:val="004F013D"/>
    <w:rsid w:val="004F0467"/>
    <w:rsid w:val="004F0849"/>
    <w:rsid w:val="004F10C5"/>
    <w:rsid w:val="004F12F2"/>
    <w:rsid w:val="004F14AE"/>
    <w:rsid w:val="004F15A0"/>
    <w:rsid w:val="004F183A"/>
    <w:rsid w:val="004F1A1B"/>
    <w:rsid w:val="004F1E93"/>
    <w:rsid w:val="004F2284"/>
    <w:rsid w:val="004F22A2"/>
    <w:rsid w:val="004F235E"/>
    <w:rsid w:val="004F23BA"/>
    <w:rsid w:val="004F2519"/>
    <w:rsid w:val="004F26F7"/>
    <w:rsid w:val="004F2798"/>
    <w:rsid w:val="004F2819"/>
    <w:rsid w:val="004F31CA"/>
    <w:rsid w:val="004F31FA"/>
    <w:rsid w:val="004F3499"/>
    <w:rsid w:val="004F3B89"/>
    <w:rsid w:val="004F40D2"/>
    <w:rsid w:val="004F4199"/>
    <w:rsid w:val="004F4214"/>
    <w:rsid w:val="004F4499"/>
    <w:rsid w:val="004F462C"/>
    <w:rsid w:val="004F56E9"/>
    <w:rsid w:val="004F5870"/>
    <w:rsid w:val="004F65CE"/>
    <w:rsid w:val="004F6A9F"/>
    <w:rsid w:val="004F74BD"/>
    <w:rsid w:val="004F7F2E"/>
    <w:rsid w:val="00500005"/>
    <w:rsid w:val="0050064C"/>
    <w:rsid w:val="00500E49"/>
    <w:rsid w:val="00500F86"/>
    <w:rsid w:val="0050199F"/>
    <w:rsid w:val="00501B40"/>
    <w:rsid w:val="00501C59"/>
    <w:rsid w:val="00501EC6"/>
    <w:rsid w:val="00501FF7"/>
    <w:rsid w:val="00502267"/>
    <w:rsid w:val="00502919"/>
    <w:rsid w:val="00503749"/>
    <w:rsid w:val="00503A31"/>
    <w:rsid w:val="00503CEC"/>
    <w:rsid w:val="00503CF4"/>
    <w:rsid w:val="0050408B"/>
    <w:rsid w:val="00504311"/>
    <w:rsid w:val="00504690"/>
    <w:rsid w:val="00505906"/>
    <w:rsid w:val="00505B36"/>
    <w:rsid w:val="00505E57"/>
    <w:rsid w:val="00506051"/>
    <w:rsid w:val="00506510"/>
    <w:rsid w:val="005067AC"/>
    <w:rsid w:val="00506977"/>
    <w:rsid w:val="005069AA"/>
    <w:rsid w:val="00506AA0"/>
    <w:rsid w:val="00506EA4"/>
    <w:rsid w:val="00506EF7"/>
    <w:rsid w:val="005070CF"/>
    <w:rsid w:val="005070E3"/>
    <w:rsid w:val="0050710E"/>
    <w:rsid w:val="00507278"/>
    <w:rsid w:val="00507577"/>
    <w:rsid w:val="005075D0"/>
    <w:rsid w:val="00507DF9"/>
    <w:rsid w:val="00510252"/>
    <w:rsid w:val="00510390"/>
    <w:rsid w:val="00510527"/>
    <w:rsid w:val="005106A1"/>
    <w:rsid w:val="00510B6D"/>
    <w:rsid w:val="00510C93"/>
    <w:rsid w:val="00510EF8"/>
    <w:rsid w:val="00511368"/>
    <w:rsid w:val="0051138E"/>
    <w:rsid w:val="00511426"/>
    <w:rsid w:val="00511519"/>
    <w:rsid w:val="00511876"/>
    <w:rsid w:val="0051196C"/>
    <w:rsid w:val="00511A3C"/>
    <w:rsid w:val="00512C12"/>
    <w:rsid w:val="00513084"/>
    <w:rsid w:val="00513229"/>
    <w:rsid w:val="005133E1"/>
    <w:rsid w:val="00513864"/>
    <w:rsid w:val="00513A9C"/>
    <w:rsid w:val="00513FBD"/>
    <w:rsid w:val="00514294"/>
    <w:rsid w:val="00514466"/>
    <w:rsid w:val="00514848"/>
    <w:rsid w:val="0051539E"/>
    <w:rsid w:val="00515594"/>
    <w:rsid w:val="00515610"/>
    <w:rsid w:val="00515896"/>
    <w:rsid w:val="0051598D"/>
    <w:rsid w:val="00515A9A"/>
    <w:rsid w:val="00515CDB"/>
    <w:rsid w:val="0051610F"/>
    <w:rsid w:val="00516196"/>
    <w:rsid w:val="00516656"/>
    <w:rsid w:val="0051708F"/>
    <w:rsid w:val="0051713A"/>
    <w:rsid w:val="00517674"/>
    <w:rsid w:val="00517931"/>
    <w:rsid w:val="00517D37"/>
    <w:rsid w:val="005204C2"/>
    <w:rsid w:val="005207B8"/>
    <w:rsid w:val="00520886"/>
    <w:rsid w:val="00520955"/>
    <w:rsid w:val="00520E06"/>
    <w:rsid w:val="00520F3E"/>
    <w:rsid w:val="005212B8"/>
    <w:rsid w:val="00521D20"/>
    <w:rsid w:val="0052223E"/>
    <w:rsid w:val="0052239C"/>
    <w:rsid w:val="005223EB"/>
    <w:rsid w:val="005224CF"/>
    <w:rsid w:val="0052312A"/>
    <w:rsid w:val="005231FE"/>
    <w:rsid w:val="005233C5"/>
    <w:rsid w:val="00523685"/>
    <w:rsid w:val="00523ACD"/>
    <w:rsid w:val="00523BE3"/>
    <w:rsid w:val="00523FE5"/>
    <w:rsid w:val="005244D2"/>
    <w:rsid w:val="005245E1"/>
    <w:rsid w:val="005248F8"/>
    <w:rsid w:val="00524B0C"/>
    <w:rsid w:val="00524E86"/>
    <w:rsid w:val="005250E9"/>
    <w:rsid w:val="0052534D"/>
    <w:rsid w:val="00525350"/>
    <w:rsid w:val="005255C1"/>
    <w:rsid w:val="005256B9"/>
    <w:rsid w:val="005258E7"/>
    <w:rsid w:val="0052604D"/>
    <w:rsid w:val="00526175"/>
    <w:rsid w:val="00526212"/>
    <w:rsid w:val="005262FC"/>
    <w:rsid w:val="00526551"/>
    <w:rsid w:val="005265DE"/>
    <w:rsid w:val="00526D36"/>
    <w:rsid w:val="00526F30"/>
    <w:rsid w:val="00527AF2"/>
    <w:rsid w:val="00527D14"/>
    <w:rsid w:val="005301E1"/>
    <w:rsid w:val="0053023A"/>
    <w:rsid w:val="005303DE"/>
    <w:rsid w:val="00530891"/>
    <w:rsid w:val="00530F8A"/>
    <w:rsid w:val="00530FA3"/>
    <w:rsid w:val="0053109F"/>
    <w:rsid w:val="0053118D"/>
    <w:rsid w:val="005312CE"/>
    <w:rsid w:val="005314F4"/>
    <w:rsid w:val="005317D7"/>
    <w:rsid w:val="005318C9"/>
    <w:rsid w:val="005318D0"/>
    <w:rsid w:val="00531A78"/>
    <w:rsid w:val="00531C35"/>
    <w:rsid w:val="0053263A"/>
    <w:rsid w:val="00532A33"/>
    <w:rsid w:val="00533014"/>
    <w:rsid w:val="00533316"/>
    <w:rsid w:val="00533A08"/>
    <w:rsid w:val="00533C37"/>
    <w:rsid w:val="005344F1"/>
    <w:rsid w:val="005346D8"/>
    <w:rsid w:val="005349FE"/>
    <w:rsid w:val="00534B07"/>
    <w:rsid w:val="00534F0F"/>
    <w:rsid w:val="00535032"/>
    <w:rsid w:val="005355BD"/>
    <w:rsid w:val="005355BE"/>
    <w:rsid w:val="00535876"/>
    <w:rsid w:val="00535A2A"/>
    <w:rsid w:val="00535C7C"/>
    <w:rsid w:val="00535D72"/>
    <w:rsid w:val="00535F7B"/>
    <w:rsid w:val="00536267"/>
    <w:rsid w:val="005363FC"/>
    <w:rsid w:val="00536620"/>
    <w:rsid w:val="00537562"/>
    <w:rsid w:val="005375EB"/>
    <w:rsid w:val="005377B3"/>
    <w:rsid w:val="00537E97"/>
    <w:rsid w:val="00537F29"/>
    <w:rsid w:val="00540109"/>
    <w:rsid w:val="00540C57"/>
    <w:rsid w:val="00541051"/>
    <w:rsid w:val="00541453"/>
    <w:rsid w:val="0054149C"/>
    <w:rsid w:val="0054150E"/>
    <w:rsid w:val="00541655"/>
    <w:rsid w:val="00541697"/>
    <w:rsid w:val="00542091"/>
    <w:rsid w:val="005430F0"/>
    <w:rsid w:val="00543373"/>
    <w:rsid w:val="005433FC"/>
    <w:rsid w:val="00543411"/>
    <w:rsid w:val="005437E1"/>
    <w:rsid w:val="00544A26"/>
    <w:rsid w:val="00544F7C"/>
    <w:rsid w:val="00544FFF"/>
    <w:rsid w:val="00545590"/>
    <w:rsid w:val="00545E5F"/>
    <w:rsid w:val="00546AF8"/>
    <w:rsid w:val="00546DDA"/>
    <w:rsid w:val="005472E6"/>
    <w:rsid w:val="0054799F"/>
    <w:rsid w:val="00547A5B"/>
    <w:rsid w:val="005502D7"/>
    <w:rsid w:val="005504DA"/>
    <w:rsid w:val="0055053A"/>
    <w:rsid w:val="00550E08"/>
    <w:rsid w:val="00550FE1"/>
    <w:rsid w:val="00551040"/>
    <w:rsid w:val="0055106F"/>
    <w:rsid w:val="005510BB"/>
    <w:rsid w:val="0055149D"/>
    <w:rsid w:val="0055188D"/>
    <w:rsid w:val="0055199E"/>
    <w:rsid w:val="00551BE7"/>
    <w:rsid w:val="00551CAB"/>
    <w:rsid w:val="00551D2E"/>
    <w:rsid w:val="00551D51"/>
    <w:rsid w:val="00551DCB"/>
    <w:rsid w:val="00551DD3"/>
    <w:rsid w:val="00551DD9"/>
    <w:rsid w:val="00552EBD"/>
    <w:rsid w:val="00553391"/>
    <w:rsid w:val="00553464"/>
    <w:rsid w:val="00553570"/>
    <w:rsid w:val="0055383B"/>
    <w:rsid w:val="005538ED"/>
    <w:rsid w:val="00553AD5"/>
    <w:rsid w:val="00554316"/>
    <w:rsid w:val="005543D6"/>
    <w:rsid w:val="0055440E"/>
    <w:rsid w:val="005544B1"/>
    <w:rsid w:val="005549BF"/>
    <w:rsid w:val="0055516D"/>
    <w:rsid w:val="00555EAE"/>
    <w:rsid w:val="0055632C"/>
    <w:rsid w:val="00556345"/>
    <w:rsid w:val="00556376"/>
    <w:rsid w:val="00556645"/>
    <w:rsid w:val="00556730"/>
    <w:rsid w:val="00556868"/>
    <w:rsid w:val="005572C2"/>
    <w:rsid w:val="00557890"/>
    <w:rsid w:val="00557A57"/>
    <w:rsid w:val="00557E06"/>
    <w:rsid w:val="005607EA"/>
    <w:rsid w:val="00560923"/>
    <w:rsid w:val="00560967"/>
    <w:rsid w:val="00560B93"/>
    <w:rsid w:val="00560C2A"/>
    <w:rsid w:val="00560EE8"/>
    <w:rsid w:val="0056126C"/>
    <w:rsid w:val="00561792"/>
    <w:rsid w:val="00561860"/>
    <w:rsid w:val="00561A0D"/>
    <w:rsid w:val="00561AFB"/>
    <w:rsid w:val="00561D4D"/>
    <w:rsid w:val="005621C5"/>
    <w:rsid w:val="00562878"/>
    <w:rsid w:val="00562F79"/>
    <w:rsid w:val="00563535"/>
    <w:rsid w:val="0056364F"/>
    <w:rsid w:val="005638BC"/>
    <w:rsid w:val="00563F24"/>
    <w:rsid w:val="0056459E"/>
    <w:rsid w:val="00564684"/>
    <w:rsid w:val="00564943"/>
    <w:rsid w:val="00565079"/>
    <w:rsid w:val="00565178"/>
    <w:rsid w:val="00565203"/>
    <w:rsid w:val="00565ED0"/>
    <w:rsid w:val="00565F9D"/>
    <w:rsid w:val="0056616F"/>
    <w:rsid w:val="0056621A"/>
    <w:rsid w:val="0056649B"/>
    <w:rsid w:val="005664FE"/>
    <w:rsid w:val="005667B7"/>
    <w:rsid w:val="00566853"/>
    <w:rsid w:val="00566DED"/>
    <w:rsid w:val="00566EBC"/>
    <w:rsid w:val="00566F68"/>
    <w:rsid w:val="00567238"/>
    <w:rsid w:val="005672E8"/>
    <w:rsid w:val="0056765A"/>
    <w:rsid w:val="005676B0"/>
    <w:rsid w:val="00567862"/>
    <w:rsid w:val="00567A46"/>
    <w:rsid w:val="00567ED9"/>
    <w:rsid w:val="005705A4"/>
    <w:rsid w:val="005705DB"/>
    <w:rsid w:val="005709BE"/>
    <w:rsid w:val="00570C25"/>
    <w:rsid w:val="00570CA3"/>
    <w:rsid w:val="005711DD"/>
    <w:rsid w:val="0057131D"/>
    <w:rsid w:val="005715F2"/>
    <w:rsid w:val="00571728"/>
    <w:rsid w:val="0057188C"/>
    <w:rsid w:val="005719D4"/>
    <w:rsid w:val="00571C0C"/>
    <w:rsid w:val="005736FC"/>
    <w:rsid w:val="005741EC"/>
    <w:rsid w:val="005745DD"/>
    <w:rsid w:val="005749DF"/>
    <w:rsid w:val="00574AB6"/>
    <w:rsid w:val="00574BAC"/>
    <w:rsid w:val="00574E9E"/>
    <w:rsid w:val="00574FE9"/>
    <w:rsid w:val="00575255"/>
    <w:rsid w:val="005753AE"/>
    <w:rsid w:val="0057598E"/>
    <w:rsid w:val="00575B92"/>
    <w:rsid w:val="00575F85"/>
    <w:rsid w:val="005762DE"/>
    <w:rsid w:val="005762FF"/>
    <w:rsid w:val="00576466"/>
    <w:rsid w:val="005764A5"/>
    <w:rsid w:val="00576964"/>
    <w:rsid w:val="00577170"/>
    <w:rsid w:val="0057741E"/>
    <w:rsid w:val="0057797D"/>
    <w:rsid w:val="0058025E"/>
    <w:rsid w:val="00580416"/>
    <w:rsid w:val="00580C26"/>
    <w:rsid w:val="00580C8C"/>
    <w:rsid w:val="00580D9B"/>
    <w:rsid w:val="00580DB8"/>
    <w:rsid w:val="00580EBB"/>
    <w:rsid w:val="00581544"/>
    <w:rsid w:val="00581B0A"/>
    <w:rsid w:val="00581F79"/>
    <w:rsid w:val="0058232C"/>
    <w:rsid w:val="00582544"/>
    <w:rsid w:val="0058283F"/>
    <w:rsid w:val="005828CC"/>
    <w:rsid w:val="00582937"/>
    <w:rsid w:val="005829B4"/>
    <w:rsid w:val="00582DBC"/>
    <w:rsid w:val="00583FBC"/>
    <w:rsid w:val="00583FF9"/>
    <w:rsid w:val="00584115"/>
    <w:rsid w:val="0058411E"/>
    <w:rsid w:val="00584540"/>
    <w:rsid w:val="0058469F"/>
    <w:rsid w:val="00584933"/>
    <w:rsid w:val="0058498F"/>
    <w:rsid w:val="00584EAD"/>
    <w:rsid w:val="00584FBB"/>
    <w:rsid w:val="0058519E"/>
    <w:rsid w:val="005853D3"/>
    <w:rsid w:val="00585625"/>
    <w:rsid w:val="005856A5"/>
    <w:rsid w:val="00585872"/>
    <w:rsid w:val="00585AAC"/>
    <w:rsid w:val="00585AD0"/>
    <w:rsid w:val="00585B78"/>
    <w:rsid w:val="00585DD6"/>
    <w:rsid w:val="00586F61"/>
    <w:rsid w:val="00587CAC"/>
    <w:rsid w:val="00587FF5"/>
    <w:rsid w:val="0059018A"/>
    <w:rsid w:val="0059075F"/>
    <w:rsid w:val="00590932"/>
    <w:rsid w:val="00591F64"/>
    <w:rsid w:val="005921D4"/>
    <w:rsid w:val="00592582"/>
    <w:rsid w:val="00592D2B"/>
    <w:rsid w:val="00592E9A"/>
    <w:rsid w:val="00593307"/>
    <w:rsid w:val="0059394B"/>
    <w:rsid w:val="005939F0"/>
    <w:rsid w:val="00593AB7"/>
    <w:rsid w:val="00593FFE"/>
    <w:rsid w:val="0059438E"/>
    <w:rsid w:val="005945BF"/>
    <w:rsid w:val="005946AB"/>
    <w:rsid w:val="005946EE"/>
    <w:rsid w:val="005949F6"/>
    <w:rsid w:val="00594C8D"/>
    <w:rsid w:val="00594E69"/>
    <w:rsid w:val="005952A4"/>
    <w:rsid w:val="005952CA"/>
    <w:rsid w:val="0059583B"/>
    <w:rsid w:val="00595C17"/>
    <w:rsid w:val="00596EC0"/>
    <w:rsid w:val="00597461"/>
    <w:rsid w:val="005977DB"/>
    <w:rsid w:val="0059790F"/>
    <w:rsid w:val="005A0179"/>
    <w:rsid w:val="005A02B3"/>
    <w:rsid w:val="005A0DD9"/>
    <w:rsid w:val="005A130A"/>
    <w:rsid w:val="005A13A4"/>
    <w:rsid w:val="005A16D7"/>
    <w:rsid w:val="005A175D"/>
    <w:rsid w:val="005A2677"/>
    <w:rsid w:val="005A275B"/>
    <w:rsid w:val="005A2AC4"/>
    <w:rsid w:val="005A2B52"/>
    <w:rsid w:val="005A2FBA"/>
    <w:rsid w:val="005A317D"/>
    <w:rsid w:val="005A38A6"/>
    <w:rsid w:val="005A3914"/>
    <w:rsid w:val="005A3B00"/>
    <w:rsid w:val="005A3D91"/>
    <w:rsid w:val="005A3E98"/>
    <w:rsid w:val="005A3EBF"/>
    <w:rsid w:val="005A3EC8"/>
    <w:rsid w:val="005A40A2"/>
    <w:rsid w:val="005A4534"/>
    <w:rsid w:val="005A4B84"/>
    <w:rsid w:val="005A4BB8"/>
    <w:rsid w:val="005A4BC4"/>
    <w:rsid w:val="005A4F31"/>
    <w:rsid w:val="005A53E6"/>
    <w:rsid w:val="005A5DCA"/>
    <w:rsid w:val="005A5FC6"/>
    <w:rsid w:val="005A616F"/>
    <w:rsid w:val="005A66C6"/>
    <w:rsid w:val="005A68D5"/>
    <w:rsid w:val="005A6A02"/>
    <w:rsid w:val="005A6BE3"/>
    <w:rsid w:val="005A73F4"/>
    <w:rsid w:val="005A74AB"/>
    <w:rsid w:val="005A77E7"/>
    <w:rsid w:val="005A7A43"/>
    <w:rsid w:val="005B012A"/>
    <w:rsid w:val="005B02C6"/>
    <w:rsid w:val="005B0835"/>
    <w:rsid w:val="005B0996"/>
    <w:rsid w:val="005B0B92"/>
    <w:rsid w:val="005B103D"/>
    <w:rsid w:val="005B1560"/>
    <w:rsid w:val="005B15E9"/>
    <w:rsid w:val="005B1867"/>
    <w:rsid w:val="005B1A43"/>
    <w:rsid w:val="005B1D29"/>
    <w:rsid w:val="005B2A4F"/>
    <w:rsid w:val="005B2E92"/>
    <w:rsid w:val="005B2F23"/>
    <w:rsid w:val="005B31A9"/>
    <w:rsid w:val="005B36BB"/>
    <w:rsid w:val="005B3999"/>
    <w:rsid w:val="005B3FF3"/>
    <w:rsid w:val="005B42AC"/>
    <w:rsid w:val="005B44FC"/>
    <w:rsid w:val="005B4595"/>
    <w:rsid w:val="005B4707"/>
    <w:rsid w:val="005B471F"/>
    <w:rsid w:val="005B495B"/>
    <w:rsid w:val="005B4B09"/>
    <w:rsid w:val="005B4DAC"/>
    <w:rsid w:val="005B53B5"/>
    <w:rsid w:val="005B5430"/>
    <w:rsid w:val="005B5A08"/>
    <w:rsid w:val="005B5BAB"/>
    <w:rsid w:val="005B5C06"/>
    <w:rsid w:val="005B641A"/>
    <w:rsid w:val="005B686C"/>
    <w:rsid w:val="005B6A11"/>
    <w:rsid w:val="005B6AA7"/>
    <w:rsid w:val="005B74C6"/>
    <w:rsid w:val="005B781E"/>
    <w:rsid w:val="005B7EE0"/>
    <w:rsid w:val="005C0A22"/>
    <w:rsid w:val="005C0AFA"/>
    <w:rsid w:val="005C126A"/>
    <w:rsid w:val="005C1300"/>
    <w:rsid w:val="005C1735"/>
    <w:rsid w:val="005C1766"/>
    <w:rsid w:val="005C187F"/>
    <w:rsid w:val="005C20BB"/>
    <w:rsid w:val="005C212B"/>
    <w:rsid w:val="005C2A6C"/>
    <w:rsid w:val="005C2ABE"/>
    <w:rsid w:val="005C2E81"/>
    <w:rsid w:val="005C34A4"/>
    <w:rsid w:val="005C3719"/>
    <w:rsid w:val="005C3DD6"/>
    <w:rsid w:val="005C3E9C"/>
    <w:rsid w:val="005C4353"/>
    <w:rsid w:val="005C43A7"/>
    <w:rsid w:val="005C45E9"/>
    <w:rsid w:val="005C47DC"/>
    <w:rsid w:val="005C48E2"/>
    <w:rsid w:val="005C4A89"/>
    <w:rsid w:val="005C4AEC"/>
    <w:rsid w:val="005C4CD5"/>
    <w:rsid w:val="005C4E18"/>
    <w:rsid w:val="005C5A5B"/>
    <w:rsid w:val="005C5CE2"/>
    <w:rsid w:val="005C657D"/>
    <w:rsid w:val="005C678A"/>
    <w:rsid w:val="005C67EB"/>
    <w:rsid w:val="005C6A8F"/>
    <w:rsid w:val="005C728D"/>
    <w:rsid w:val="005C739F"/>
    <w:rsid w:val="005C7D62"/>
    <w:rsid w:val="005D0191"/>
    <w:rsid w:val="005D0242"/>
    <w:rsid w:val="005D09AC"/>
    <w:rsid w:val="005D0BB0"/>
    <w:rsid w:val="005D0D27"/>
    <w:rsid w:val="005D1605"/>
    <w:rsid w:val="005D1A4E"/>
    <w:rsid w:val="005D2017"/>
    <w:rsid w:val="005D20E9"/>
    <w:rsid w:val="005D22A9"/>
    <w:rsid w:val="005D24A1"/>
    <w:rsid w:val="005D2A6B"/>
    <w:rsid w:val="005D2B50"/>
    <w:rsid w:val="005D308F"/>
    <w:rsid w:val="005D3196"/>
    <w:rsid w:val="005D35A6"/>
    <w:rsid w:val="005D3774"/>
    <w:rsid w:val="005D3A6F"/>
    <w:rsid w:val="005D3E5E"/>
    <w:rsid w:val="005D3FF5"/>
    <w:rsid w:val="005D453C"/>
    <w:rsid w:val="005D45EF"/>
    <w:rsid w:val="005D4D06"/>
    <w:rsid w:val="005D5922"/>
    <w:rsid w:val="005D5F4A"/>
    <w:rsid w:val="005D666F"/>
    <w:rsid w:val="005D6E35"/>
    <w:rsid w:val="005D701B"/>
    <w:rsid w:val="005D720F"/>
    <w:rsid w:val="005D75A8"/>
    <w:rsid w:val="005D7606"/>
    <w:rsid w:val="005D77CA"/>
    <w:rsid w:val="005D7AB5"/>
    <w:rsid w:val="005D7C55"/>
    <w:rsid w:val="005D7D20"/>
    <w:rsid w:val="005D7DD4"/>
    <w:rsid w:val="005E012D"/>
    <w:rsid w:val="005E04B1"/>
    <w:rsid w:val="005E0600"/>
    <w:rsid w:val="005E06A9"/>
    <w:rsid w:val="005E0E08"/>
    <w:rsid w:val="005E0E78"/>
    <w:rsid w:val="005E0ECA"/>
    <w:rsid w:val="005E1567"/>
    <w:rsid w:val="005E1813"/>
    <w:rsid w:val="005E1DC4"/>
    <w:rsid w:val="005E20C5"/>
    <w:rsid w:val="005E2491"/>
    <w:rsid w:val="005E2C3C"/>
    <w:rsid w:val="005E2D21"/>
    <w:rsid w:val="005E2F50"/>
    <w:rsid w:val="005E2FD4"/>
    <w:rsid w:val="005E3075"/>
    <w:rsid w:val="005E3346"/>
    <w:rsid w:val="005E348B"/>
    <w:rsid w:val="005E352D"/>
    <w:rsid w:val="005E3900"/>
    <w:rsid w:val="005E3B4D"/>
    <w:rsid w:val="005E461C"/>
    <w:rsid w:val="005E4BF0"/>
    <w:rsid w:val="005E4CCA"/>
    <w:rsid w:val="005E5015"/>
    <w:rsid w:val="005E5BD1"/>
    <w:rsid w:val="005E5D6A"/>
    <w:rsid w:val="005E5E83"/>
    <w:rsid w:val="005E5F43"/>
    <w:rsid w:val="005E611A"/>
    <w:rsid w:val="005E61DE"/>
    <w:rsid w:val="005E6948"/>
    <w:rsid w:val="005E73C7"/>
    <w:rsid w:val="005E75AE"/>
    <w:rsid w:val="005E777E"/>
    <w:rsid w:val="005F01B9"/>
    <w:rsid w:val="005F0465"/>
    <w:rsid w:val="005F087E"/>
    <w:rsid w:val="005F14E6"/>
    <w:rsid w:val="005F1644"/>
    <w:rsid w:val="005F1872"/>
    <w:rsid w:val="005F1D4D"/>
    <w:rsid w:val="005F21D1"/>
    <w:rsid w:val="005F2780"/>
    <w:rsid w:val="005F27C6"/>
    <w:rsid w:val="005F3865"/>
    <w:rsid w:val="005F3AB6"/>
    <w:rsid w:val="005F3E50"/>
    <w:rsid w:val="005F403E"/>
    <w:rsid w:val="005F4412"/>
    <w:rsid w:val="005F4D3B"/>
    <w:rsid w:val="005F4E11"/>
    <w:rsid w:val="005F50B4"/>
    <w:rsid w:val="005F50D8"/>
    <w:rsid w:val="005F5521"/>
    <w:rsid w:val="005F5996"/>
    <w:rsid w:val="005F5EA5"/>
    <w:rsid w:val="005F606E"/>
    <w:rsid w:val="005F60A8"/>
    <w:rsid w:val="005F6215"/>
    <w:rsid w:val="005F665F"/>
    <w:rsid w:val="005F6749"/>
    <w:rsid w:val="005F6A78"/>
    <w:rsid w:val="005F6EB0"/>
    <w:rsid w:val="005F72B9"/>
    <w:rsid w:val="005F75E0"/>
    <w:rsid w:val="005F766F"/>
    <w:rsid w:val="005F7DB2"/>
    <w:rsid w:val="00600176"/>
    <w:rsid w:val="00600204"/>
    <w:rsid w:val="006004E0"/>
    <w:rsid w:val="00600506"/>
    <w:rsid w:val="0060050E"/>
    <w:rsid w:val="00600887"/>
    <w:rsid w:val="00600B07"/>
    <w:rsid w:val="006013BB"/>
    <w:rsid w:val="006015D5"/>
    <w:rsid w:val="006017C3"/>
    <w:rsid w:val="00602506"/>
    <w:rsid w:val="0060254E"/>
    <w:rsid w:val="006029E6"/>
    <w:rsid w:val="00602A95"/>
    <w:rsid w:val="00602DA7"/>
    <w:rsid w:val="006037D0"/>
    <w:rsid w:val="006037E8"/>
    <w:rsid w:val="00603B6F"/>
    <w:rsid w:val="006041C2"/>
    <w:rsid w:val="00604223"/>
    <w:rsid w:val="006047C6"/>
    <w:rsid w:val="006047F7"/>
    <w:rsid w:val="00604A49"/>
    <w:rsid w:val="00604D41"/>
    <w:rsid w:val="0060502E"/>
    <w:rsid w:val="00605034"/>
    <w:rsid w:val="00605601"/>
    <w:rsid w:val="0060560F"/>
    <w:rsid w:val="00605882"/>
    <w:rsid w:val="00605DC2"/>
    <w:rsid w:val="00606738"/>
    <w:rsid w:val="006067BA"/>
    <w:rsid w:val="00606A15"/>
    <w:rsid w:val="00606BEB"/>
    <w:rsid w:val="00607120"/>
    <w:rsid w:val="006072CC"/>
    <w:rsid w:val="00607FD0"/>
    <w:rsid w:val="006102F1"/>
    <w:rsid w:val="00610CAB"/>
    <w:rsid w:val="0061123A"/>
    <w:rsid w:val="006113B7"/>
    <w:rsid w:val="006115BF"/>
    <w:rsid w:val="006117BE"/>
    <w:rsid w:val="0061183A"/>
    <w:rsid w:val="00611982"/>
    <w:rsid w:val="00611D8C"/>
    <w:rsid w:val="0061234E"/>
    <w:rsid w:val="00612976"/>
    <w:rsid w:val="00612F51"/>
    <w:rsid w:val="006131CF"/>
    <w:rsid w:val="006134D3"/>
    <w:rsid w:val="006135E0"/>
    <w:rsid w:val="006138A3"/>
    <w:rsid w:val="006138CB"/>
    <w:rsid w:val="00613A1B"/>
    <w:rsid w:val="00614015"/>
    <w:rsid w:val="006146E1"/>
    <w:rsid w:val="00614C35"/>
    <w:rsid w:val="00614CC7"/>
    <w:rsid w:val="006152BA"/>
    <w:rsid w:val="00615323"/>
    <w:rsid w:val="006160C5"/>
    <w:rsid w:val="006164F5"/>
    <w:rsid w:val="00616576"/>
    <w:rsid w:val="0061681B"/>
    <w:rsid w:val="00616F0D"/>
    <w:rsid w:val="00617162"/>
    <w:rsid w:val="00620268"/>
    <w:rsid w:val="006203B7"/>
    <w:rsid w:val="00620831"/>
    <w:rsid w:val="00621149"/>
    <w:rsid w:val="006215E1"/>
    <w:rsid w:val="0062214E"/>
    <w:rsid w:val="00622641"/>
    <w:rsid w:val="00622A54"/>
    <w:rsid w:val="00622A95"/>
    <w:rsid w:val="00622D65"/>
    <w:rsid w:val="00622F2E"/>
    <w:rsid w:val="006235A8"/>
    <w:rsid w:val="0062367F"/>
    <w:rsid w:val="006236EE"/>
    <w:rsid w:val="00623820"/>
    <w:rsid w:val="006239F0"/>
    <w:rsid w:val="00623E9A"/>
    <w:rsid w:val="0062401A"/>
    <w:rsid w:val="0062449B"/>
    <w:rsid w:val="006245CA"/>
    <w:rsid w:val="00624CB0"/>
    <w:rsid w:val="006255D6"/>
    <w:rsid w:val="00625626"/>
    <w:rsid w:val="00625867"/>
    <w:rsid w:val="00626080"/>
    <w:rsid w:val="00626B81"/>
    <w:rsid w:val="00626D27"/>
    <w:rsid w:val="00627095"/>
    <w:rsid w:val="00627147"/>
    <w:rsid w:val="00627409"/>
    <w:rsid w:val="006277C3"/>
    <w:rsid w:val="006278F8"/>
    <w:rsid w:val="006301E8"/>
    <w:rsid w:val="00630205"/>
    <w:rsid w:val="006306F2"/>
    <w:rsid w:val="00630C77"/>
    <w:rsid w:val="00630F8C"/>
    <w:rsid w:val="006319A2"/>
    <w:rsid w:val="006319D3"/>
    <w:rsid w:val="00631CC3"/>
    <w:rsid w:val="00631E02"/>
    <w:rsid w:val="006324C6"/>
    <w:rsid w:val="0063251A"/>
    <w:rsid w:val="00633070"/>
    <w:rsid w:val="00633145"/>
    <w:rsid w:val="00633632"/>
    <w:rsid w:val="00633A58"/>
    <w:rsid w:val="00633A7D"/>
    <w:rsid w:val="00633B97"/>
    <w:rsid w:val="006345ED"/>
    <w:rsid w:val="0063559D"/>
    <w:rsid w:val="00635F95"/>
    <w:rsid w:val="00635FDE"/>
    <w:rsid w:val="006361F5"/>
    <w:rsid w:val="006363F7"/>
    <w:rsid w:val="00636418"/>
    <w:rsid w:val="006366F4"/>
    <w:rsid w:val="00636E61"/>
    <w:rsid w:val="00636EFA"/>
    <w:rsid w:val="00636F37"/>
    <w:rsid w:val="0063700E"/>
    <w:rsid w:val="00637795"/>
    <w:rsid w:val="00637981"/>
    <w:rsid w:val="006379D0"/>
    <w:rsid w:val="00637B9C"/>
    <w:rsid w:val="006402AC"/>
    <w:rsid w:val="006403F5"/>
    <w:rsid w:val="006407DB"/>
    <w:rsid w:val="00640989"/>
    <w:rsid w:val="0064133A"/>
    <w:rsid w:val="00641DD9"/>
    <w:rsid w:val="00642104"/>
    <w:rsid w:val="00642151"/>
    <w:rsid w:val="0064217F"/>
    <w:rsid w:val="006426BE"/>
    <w:rsid w:val="00642B81"/>
    <w:rsid w:val="00643453"/>
    <w:rsid w:val="00643911"/>
    <w:rsid w:val="00643B4F"/>
    <w:rsid w:val="00644366"/>
    <w:rsid w:val="00644447"/>
    <w:rsid w:val="006444AE"/>
    <w:rsid w:val="006445A5"/>
    <w:rsid w:val="00644776"/>
    <w:rsid w:val="006449CD"/>
    <w:rsid w:val="00644A61"/>
    <w:rsid w:val="00644C9F"/>
    <w:rsid w:val="00644DDF"/>
    <w:rsid w:val="006456C7"/>
    <w:rsid w:val="00645A1E"/>
    <w:rsid w:val="00646330"/>
    <w:rsid w:val="006463A1"/>
    <w:rsid w:val="00646464"/>
    <w:rsid w:val="00646643"/>
    <w:rsid w:val="0064677D"/>
    <w:rsid w:val="00646C0B"/>
    <w:rsid w:val="00647030"/>
    <w:rsid w:val="00647773"/>
    <w:rsid w:val="0065105C"/>
    <w:rsid w:val="006513EF"/>
    <w:rsid w:val="00651D49"/>
    <w:rsid w:val="006523DD"/>
    <w:rsid w:val="0065245F"/>
    <w:rsid w:val="006526E0"/>
    <w:rsid w:val="006527AE"/>
    <w:rsid w:val="0065287E"/>
    <w:rsid w:val="00652A96"/>
    <w:rsid w:val="00652D1D"/>
    <w:rsid w:val="00653656"/>
    <w:rsid w:val="006536E7"/>
    <w:rsid w:val="00653A4F"/>
    <w:rsid w:val="00653BF5"/>
    <w:rsid w:val="00653C50"/>
    <w:rsid w:val="00653EC2"/>
    <w:rsid w:val="006543B0"/>
    <w:rsid w:val="0065477E"/>
    <w:rsid w:val="006548BA"/>
    <w:rsid w:val="00654DCD"/>
    <w:rsid w:val="00654E55"/>
    <w:rsid w:val="00655222"/>
    <w:rsid w:val="006554CA"/>
    <w:rsid w:val="006558E7"/>
    <w:rsid w:val="006559BA"/>
    <w:rsid w:val="00655D93"/>
    <w:rsid w:val="00656354"/>
    <w:rsid w:val="00656418"/>
    <w:rsid w:val="0065653D"/>
    <w:rsid w:val="00656707"/>
    <w:rsid w:val="006568D5"/>
    <w:rsid w:val="00656DA0"/>
    <w:rsid w:val="00656F3A"/>
    <w:rsid w:val="00656F49"/>
    <w:rsid w:val="00657943"/>
    <w:rsid w:val="00657C28"/>
    <w:rsid w:val="006603B1"/>
    <w:rsid w:val="00660A5F"/>
    <w:rsid w:val="00660D09"/>
    <w:rsid w:val="00660E66"/>
    <w:rsid w:val="00660FA7"/>
    <w:rsid w:val="00661069"/>
    <w:rsid w:val="00661574"/>
    <w:rsid w:val="00661756"/>
    <w:rsid w:val="00661BE5"/>
    <w:rsid w:val="00661D0A"/>
    <w:rsid w:val="00661DB9"/>
    <w:rsid w:val="006622FF"/>
    <w:rsid w:val="00662555"/>
    <w:rsid w:val="00662615"/>
    <w:rsid w:val="006626C8"/>
    <w:rsid w:val="0066271C"/>
    <w:rsid w:val="00662825"/>
    <w:rsid w:val="00662848"/>
    <w:rsid w:val="006628C3"/>
    <w:rsid w:val="00662E7B"/>
    <w:rsid w:val="006630BE"/>
    <w:rsid w:val="00663886"/>
    <w:rsid w:val="00663A00"/>
    <w:rsid w:val="00663C6C"/>
    <w:rsid w:val="00663CA9"/>
    <w:rsid w:val="00663F6A"/>
    <w:rsid w:val="00664AB4"/>
    <w:rsid w:val="00664EDD"/>
    <w:rsid w:val="006651C7"/>
    <w:rsid w:val="006658C0"/>
    <w:rsid w:val="00665CEF"/>
    <w:rsid w:val="00665DB9"/>
    <w:rsid w:val="0066697B"/>
    <w:rsid w:val="00666DC0"/>
    <w:rsid w:val="00666EA6"/>
    <w:rsid w:val="00667B22"/>
    <w:rsid w:val="00670217"/>
    <w:rsid w:val="006702AD"/>
    <w:rsid w:val="006702FD"/>
    <w:rsid w:val="00670391"/>
    <w:rsid w:val="00670685"/>
    <w:rsid w:val="0067080A"/>
    <w:rsid w:val="0067147B"/>
    <w:rsid w:val="00671C96"/>
    <w:rsid w:val="00672402"/>
    <w:rsid w:val="00672822"/>
    <w:rsid w:val="00672A73"/>
    <w:rsid w:val="00672F18"/>
    <w:rsid w:val="0067314D"/>
    <w:rsid w:val="00673360"/>
    <w:rsid w:val="006735A0"/>
    <w:rsid w:val="0067387F"/>
    <w:rsid w:val="00673882"/>
    <w:rsid w:val="00673A2F"/>
    <w:rsid w:val="00673F40"/>
    <w:rsid w:val="0067413B"/>
    <w:rsid w:val="006741F0"/>
    <w:rsid w:val="006742F7"/>
    <w:rsid w:val="006746AF"/>
    <w:rsid w:val="00674736"/>
    <w:rsid w:val="006749D0"/>
    <w:rsid w:val="006753E3"/>
    <w:rsid w:val="00675503"/>
    <w:rsid w:val="00675648"/>
    <w:rsid w:val="00675BA7"/>
    <w:rsid w:val="00675FD4"/>
    <w:rsid w:val="00676034"/>
    <w:rsid w:val="00677767"/>
    <w:rsid w:val="006802EB"/>
    <w:rsid w:val="00680471"/>
    <w:rsid w:val="006804C0"/>
    <w:rsid w:val="00680750"/>
    <w:rsid w:val="006807B3"/>
    <w:rsid w:val="00680C1C"/>
    <w:rsid w:val="006812EC"/>
    <w:rsid w:val="006815A0"/>
    <w:rsid w:val="006818E2"/>
    <w:rsid w:val="00681C49"/>
    <w:rsid w:val="00681E4E"/>
    <w:rsid w:val="006824EA"/>
    <w:rsid w:val="00682B1D"/>
    <w:rsid w:val="0068306B"/>
    <w:rsid w:val="006832E7"/>
    <w:rsid w:val="00683306"/>
    <w:rsid w:val="006834B1"/>
    <w:rsid w:val="006838A1"/>
    <w:rsid w:val="00683B4E"/>
    <w:rsid w:val="00683D27"/>
    <w:rsid w:val="006848C1"/>
    <w:rsid w:val="00684A32"/>
    <w:rsid w:val="00684BB3"/>
    <w:rsid w:val="00684DC5"/>
    <w:rsid w:val="00684F24"/>
    <w:rsid w:val="00684F2A"/>
    <w:rsid w:val="00684F53"/>
    <w:rsid w:val="006850CC"/>
    <w:rsid w:val="00685954"/>
    <w:rsid w:val="00685D8D"/>
    <w:rsid w:val="006864DE"/>
    <w:rsid w:val="00686604"/>
    <w:rsid w:val="00686651"/>
    <w:rsid w:val="00686816"/>
    <w:rsid w:val="00686EC8"/>
    <w:rsid w:val="006872B0"/>
    <w:rsid w:val="006872FD"/>
    <w:rsid w:val="00687579"/>
    <w:rsid w:val="006878F1"/>
    <w:rsid w:val="006879FC"/>
    <w:rsid w:val="00687A05"/>
    <w:rsid w:val="00687BC9"/>
    <w:rsid w:val="006902E9"/>
    <w:rsid w:val="006902FE"/>
    <w:rsid w:val="006909E0"/>
    <w:rsid w:val="006909E5"/>
    <w:rsid w:val="00690D07"/>
    <w:rsid w:val="00690F2D"/>
    <w:rsid w:val="00691038"/>
    <w:rsid w:val="006917C4"/>
    <w:rsid w:val="00691C15"/>
    <w:rsid w:val="00691C63"/>
    <w:rsid w:val="00691FA0"/>
    <w:rsid w:val="0069215F"/>
    <w:rsid w:val="0069257E"/>
    <w:rsid w:val="0069270D"/>
    <w:rsid w:val="00692963"/>
    <w:rsid w:val="00692F49"/>
    <w:rsid w:val="00692FC9"/>
    <w:rsid w:val="0069344B"/>
    <w:rsid w:val="006937CD"/>
    <w:rsid w:val="00693C12"/>
    <w:rsid w:val="00693E92"/>
    <w:rsid w:val="00694000"/>
    <w:rsid w:val="0069446D"/>
    <w:rsid w:val="006944A8"/>
    <w:rsid w:val="006944CF"/>
    <w:rsid w:val="0069451C"/>
    <w:rsid w:val="00694C1E"/>
    <w:rsid w:val="00694F35"/>
    <w:rsid w:val="00695909"/>
    <w:rsid w:val="006959C2"/>
    <w:rsid w:val="00695B16"/>
    <w:rsid w:val="00695D9B"/>
    <w:rsid w:val="00696070"/>
    <w:rsid w:val="0069616E"/>
    <w:rsid w:val="00696842"/>
    <w:rsid w:val="00696E2E"/>
    <w:rsid w:val="00697162"/>
    <w:rsid w:val="00697C06"/>
    <w:rsid w:val="00697C2C"/>
    <w:rsid w:val="006A005B"/>
    <w:rsid w:val="006A05F4"/>
    <w:rsid w:val="006A1082"/>
    <w:rsid w:val="006A1253"/>
    <w:rsid w:val="006A16AE"/>
    <w:rsid w:val="006A17C0"/>
    <w:rsid w:val="006A1BB6"/>
    <w:rsid w:val="006A2156"/>
    <w:rsid w:val="006A2AB3"/>
    <w:rsid w:val="006A2E9F"/>
    <w:rsid w:val="006A46B0"/>
    <w:rsid w:val="006A4AB9"/>
    <w:rsid w:val="006A4FC5"/>
    <w:rsid w:val="006A5492"/>
    <w:rsid w:val="006A58CA"/>
    <w:rsid w:val="006A5A01"/>
    <w:rsid w:val="006A5A26"/>
    <w:rsid w:val="006A6470"/>
    <w:rsid w:val="006A6476"/>
    <w:rsid w:val="006A6553"/>
    <w:rsid w:val="006A67EE"/>
    <w:rsid w:val="006A6C5D"/>
    <w:rsid w:val="006A7150"/>
    <w:rsid w:val="006A7457"/>
    <w:rsid w:val="006A7666"/>
    <w:rsid w:val="006A7728"/>
    <w:rsid w:val="006A7850"/>
    <w:rsid w:val="006A79D6"/>
    <w:rsid w:val="006A7F9C"/>
    <w:rsid w:val="006B016D"/>
    <w:rsid w:val="006B0194"/>
    <w:rsid w:val="006B02A7"/>
    <w:rsid w:val="006B03FF"/>
    <w:rsid w:val="006B05B2"/>
    <w:rsid w:val="006B06DC"/>
    <w:rsid w:val="006B0B49"/>
    <w:rsid w:val="006B0F5B"/>
    <w:rsid w:val="006B109B"/>
    <w:rsid w:val="006B122C"/>
    <w:rsid w:val="006B1811"/>
    <w:rsid w:val="006B1A7A"/>
    <w:rsid w:val="006B1D05"/>
    <w:rsid w:val="006B212F"/>
    <w:rsid w:val="006B2435"/>
    <w:rsid w:val="006B2C47"/>
    <w:rsid w:val="006B2D3A"/>
    <w:rsid w:val="006B30F2"/>
    <w:rsid w:val="006B31FB"/>
    <w:rsid w:val="006B36AF"/>
    <w:rsid w:val="006B3805"/>
    <w:rsid w:val="006B3F79"/>
    <w:rsid w:val="006B3F7F"/>
    <w:rsid w:val="006B4416"/>
    <w:rsid w:val="006B441E"/>
    <w:rsid w:val="006B4A8F"/>
    <w:rsid w:val="006B4B7B"/>
    <w:rsid w:val="006B4CCD"/>
    <w:rsid w:val="006B520B"/>
    <w:rsid w:val="006B5240"/>
    <w:rsid w:val="006B560C"/>
    <w:rsid w:val="006B5E6E"/>
    <w:rsid w:val="006B5E8D"/>
    <w:rsid w:val="006B606E"/>
    <w:rsid w:val="006B62A4"/>
    <w:rsid w:val="006B6835"/>
    <w:rsid w:val="006B69FE"/>
    <w:rsid w:val="006B6A01"/>
    <w:rsid w:val="006B6BAF"/>
    <w:rsid w:val="006B7804"/>
    <w:rsid w:val="006B7B73"/>
    <w:rsid w:val="006C007C"/>
    <w:rsid w:val="006C1989"/>
    <w:rsid w:val="006C1B13"/>
    <w:rsid w:val="006C1D73"/>
    <w:rsid w:val="006C2147"/>
    <w:rsid w:val="006C24AB"/>
    <w:rsid w:val="006C2628"/>
    <w:rsid w:val="006C2B5D"/>
    <w:rsid w:val="006C2D2A"/>
    <w:rsid w:val="006C3233"/>
    <w:rsid w:val="006C34D0"/>
    <w:rsid w:val="006C373B"/>
    <w:rsid w:val="006C3A65"/>
    <w:rsid w:val="006C40BD"/>
    <w:rsid w:val="006C4A6C"/>
    <w:rsid w:val="006C4A99"/>
    <w:rsid w:val="006C508E"/>
    <w:rsid w:val="006C5242"/>
    <w:rsid w:val="006C5550"/>
    <w:rsid w:val="006C56E2"/>
    <w:rsid w:val="006C596E"/>
    <w:rsid w:val="006C5BAB"/>
    <w:rsid w:val="006C5EDF"/>
    <w:rsid w:val="006C6000"/>
    <w:rsid w:val="006C60AC"/>
    <w:rsid w:val="006C6128"/>
    <w:rsid w:val="006C6275"/>
    <w:rsid w:val="006C6A07"/>
    <w:rsid w:val="006C6DFB"/>
    <w:rsid w:val="006C76C8"/>
    <w:rsid w:val="006C7944"/>
    <w:rsid w:val="006C7AE1"/>
    <w:rsid w:val="006C7F66"/>
    <w:rsid w:val="006D05A7"/>
    <w:rsid w:val="006D0AE2"/>
    <w:rsid w:val="006D0B33"/>
    <w:rsid w:val="006D0D3F"/>
    <w:rsid w:val="006D199C"/>
    <w:rsid w:val="006D2020"/>
    <w:rsid w:val="006D2C09"/>
    <w:rsid w:val="006D33AA"/>
    <w:rsid w:val="006D354A"/>
    <w:rsid w:val="006D3662"/>
    <w:rsid w:val="006D384C"/>
    <w:rsid w:val="006D3B4C"/>
    <w:rsid w:val="006D3E95"/>
    <w:rsid w:val="006D3EEC"/>
    <w:rsid w:val="006D3FD9"/>
    <w:rsid w:val="006D4A46"/>
    <w:rsid w:val="006D4F94"/>
    <w:rsid w:val="006D5603"/>
    <w:rsid w:val="006D5974"/>
    <w:rsid w:val="006D5F73"/>
    <w:rsid w:val="006D6382"/>
    <w:rsid w:val="006D6511"/>
    <w:rsid w:val="006D6A6C"/>
    <w:rsid w:val="006D6CDD"/>
    <w:rsid w:val="006D7237"/>
    <w:rsid w:val="006D7599"/>
    <w:rsid w:val="006D76F0"/>
    <w:rsid w:val="006D7DF0"/>
    <w:rsid w:val="006D7F6B"/>
    <w:rsid w:val="006D7FFE"/>
    <w:rsid w:val="006E0371"/>
    <w:rsid w:val="006E06F3"/>
    <w:rsid w:val="006E0865"/>
    <w:rsid w:val="006E08A8"/>
    <w:rsid w:val="006E0F4E"/>
    <w:rsid w:val="006E0F58"/>
    <w:rsid w:val="006E0FF2"/>
    <w:rsid w:val="006E1059"/>
    <w:rsid w:val="006E1539"/>
    <w:rsid w:val="006E17BA"/>
    <w:rsid w:val="006E19DD"/>
    <w:rsid w:val="006E1C48"/>
    <w:rsid w:val="006E230A"/>
    <w:rsid w:val="006E2717"/>
    <w:rsid w:val="006E29B0"/>
    <w:rsid w:val="006E2C6E"/>
    <w:rsid w:val="006E2D57"/>
    <w:rsid w:val="006E3493"/>
    <w:rsid w:val="006E36DD"/>
    <w:rsid w:val="006E3CFD"/>
    <w:rsid w:val="006E3F9C"/>
    <w:rsid w:val="006E4094"/>
    <w:rsid w:val="006E4492"/>
    <w:rsid w:val="006E46F4"/>
    <w:rsid w:val="006E4A1A"/>
    <w:rsid w:val="006E4AEA"/>
    <w:rsid w:val="006E52C3"/>
    <w:rsid w:val="006E5E90"/>
    <w:rsid w:val="006E5F89"/>
    <w:rsid w:val="006E5FFD"/>
    <w:rsid w:val="006E6599"/>
    <w:rsid w:val="006E6DF7"/>
    <w:rsid w:val="006E719A"/>
    <w:rsid w:val="006E721E"/>
    <w:rsid w:val="006E75E9"/>
    <w:rsid w:val="006E7B25"/>
    <w:rsid w:val="006E7F6A"/>
    <w:rsid w:val="006F01D5"/>
    <w:rsid w:val="006F0449"/>
    <w:rsid w:val="006F0469"/>
    <w:rsid w:val="006F04D0"/>
    <w:rsid w:val="006F0847"/>
    <w:rsid w:val="006F0F9B"/>
    <w:rsid w:val="006F10C7"/>
    <w:rsid w:val="006F1226"/>
    <w:rsid w:val="006F1519"/>
    <w:rsid w:val="006F1555"/>
    <w:rsid w:val="006F1B68"/>
    <w:rsid w:val="006F20D3"/>
    <w:rsid w:val="006F2142"/>
    <w:rsid w:val="006F22D1"/>
    <w:rsid w:val="006F2BE0"/>
    <w:rsid w:val="006F31C3"/>
    <w:rsid w:val="006F3243"/>
    <w:rsid w:val="006F37E3"/>
    <w:rsid w:val="006F3CB2"/>
    <w:rsid w:val="006F40F5"/>
    <w:rsid w:val="006F4207"/>
    <w:rsid w:val="006F435E"/>
    <w:rsid w:val="006F4433"/>
    <w:rsid w:val="006F44E7"/>
    <w:rsid w:val="006F4ED4"/>
    <w:rsid w:val="006F50AD"/>
    <w:rsid w:val="006F5388"/>
    <w:rsid w:val="006F539E"/>
    <w:rsid w:val="006F56D4"/>
    <w:rsid w:val="006F5934"/>
    <w:rsid w:val="006F5FA1"/>
    <w:rsid w:val="006F64D6"/>
    <w:rsid w:val="006F6B02"/>
    <w:rsid w:val="006F7809"/>
    <w:rsid w:val="006F78EA"/>
    <w:rsid w:val="006F7D13"/>
    <w:rsid w:val="007005CA"/>
    <w:rsid w:val="007007E7"/>
    <w:rsid w:val="00700AF4"/>
    <w:rsid w:val="007010A1"/>
    <w:rsid w:val="00701A34"/>
    <w:rsid w:val="00701B92"/>
    <w:rsid w:val="00702019"/>
    <w:rsid w:val="007020CE"/>
    <w:rsid w:val="0070234A"/>
    <w:rsid w:val="007024F9"/>
    <w:rsid w:val="00702E17"/>
    <w:rsid w:val="007030BD"/>
    <w:rsid w:val="007033E5"/>
    <w:rsid w:val="007035EC"/>
    <w:rsid w:val="00703741"/>
    <w:rsid w:val="00703B0B"/>
    <w:rsid w:val="00703DFF"/>
    <w:rsid w:val="00703EF6"/>
    <w:rsid w:val="007041A5"/>
    <w:rsid w:val="0070423E"/>
    <w:rsid w:val="007043BD"/>
    <w:rsid w:val="007043E3"/>
    <w:rsid w:val="00704409"/>
    <w:rsid w:val="00704427"/>
    <w:rsid w:val="00704560"/>
    <w:rsid w:val="00704A1A"/>
    <w:rsid w:val="00704A66"/>
    <w:rsid w:val="00705339"/>
    <w:rsid w:val="0070535F"/>
    <w:rsid w:val="00705680"/>
    <w:rsid w:val="007057B4"/>
    <w:rsid w:val="00705AD2"/>
    <w:rsid w:val="00705B8C"/>
    <w:rsid w:val="00705D65"/>
    <w:rsid w:val="00705F5A"/>
    <w:rsid w:val="0070679E"/>
    <w:rsid w:val="007068FD"/>
    <w:rsid w:val="0070691B"/>
    <w:rsid w:val="00706A25"/>
    <w:rsid w:val="00706A74"/>
    <w:rsid w:val="00706ACC"/>
    <w:rsid w:val="00706AE9"/>
    <w:rsid w:val="00706E1B"/>
    <w:rsid w:val="007070BE"/>
    <w:rsid w:val="0070719C"/>
    <w:rsid w:val="0070770F"/>
    <w:rsid w:val="00707CC6"/>
    <w:rsid w:val="00707E7F"/>
    <w:rsid w:val="007100F5"/>
    <w:rsid w:val="00710D91"/>
    <w:rsid w:val="0071181B"/>
    <w:rsid w:val="00711948"/>
    <w:rsid w:val="00711ABA"/>
    <w:rsid w:val="00711F91"/>
    <w:rsid w:val="00712413"/>
    <w:rsid w:val="00712ABE"/>
    <w:rsid w:val="00712BB5"/>
    <w:rsid w:val="00712D76"/>
    <w:rsid w:val="00712F20"/>
    <w:rsid w:val="00712F3F"/>
    <w:rsid w:val="007130B9"/>
    <w:rsid w:val="007131CC"/>
    <w:rsid w:val="00713648"/>
    <w:rsid w:val="00713650"/>
    <w:rsid w:val="00713730"/>
    <w:rsid w:val="00713C1A"/>
    <w:rsid w:val="00714198"/>
    <w:rsid w:val="00714402"/>
    <w:rsid w:val="00714409"/>
    <w:rsid w:val="007144D9"/>
    <w:rsid w:val="00714584"/>
    <w:rsid w:val="0071462D"/>
    <w:rsid w:val="007148A1"/>
    <w:rsid w:val="00714958"/>
    <w:rsid w:val="00714E9E"/>
    <w:rsid w:val="00714F2A"/>
    <w:rsid w:val="0071507D"/>
    <w:rsid w:val="00715B98"/>
    <w:rsid w:val="00716283"/>
    <w:rsid w:val="007168B7"/>
    <w:rsid w:val="0071694C"/>
    <w:rsid w:val="00716D8D"/>
    <w:rsid w:val="00716D91"/>
    <w:rsid w:val="00717371"/>
    <w:rsid w:val="00717621"/>
    <w:rsid w:val="00717B03"/>
    <w:rsid w:val="00717DCC"/>
    <w:rsid w:val="00717F4A"/>
    <w:rsid w:val="0072014C"/>
    <w:rsid w:val="00720224"/>
    <w:rsid w:val="007203BC"/>
    <w:rsid w:val="00720451"/>
    <w:rsid w:val="0072087F"/>
    <w:rsid w:val="007208EF"/>
    <w:rsid w:val="007214DA"/>
    <w:rsid w:val="0072152F"/>
    <w:rsid w:val="00721846"/>
    <w:rsid w:val="00721989"/>
    <w:rsid w:val="00721BAB"/>
    <w:rsid w:val="00721F3D"/>
    <w:rsid w:val="00722946"/>
    <w:rsid w:val="00722ADA"/>
    <w:rsid w:val="00723075"/>
    <w:rsid w:val="0072330B"/>
    <w:rsid w:val="00723745"/>
    <w:rsid w:val="007240FA"/>
    <w:rsid w:val="007244A3"/>
    <w:rsid w:val="007246EB"/>
    <w:rsid w:val="00724730"/>
    <w:rsid w:val="00724891"/>
    <w:rsid w:val="00725214"/>
    <w:rsid w:val="00725DB8"/>
    <w:rsid w:val="00725EA1"/>
    <w:rsid w:val="0072628A"/>
    <w:rsid w:val="0072629A"/>
    <w:rsid w:val="00726397"/>
    <w:rsid w:val="00726634"/>
    <w:rsid w:val="00726C54"/>
    <w:rsid w:val="00726D0D"/>
    <w:rsid w:val="007270C7"/>
    <w:rsid w:val="007301DC"/>
    <w:rsid w:val="00730F48"/>
    <w:rsid w:val="00731ED1"/>
    <w:rsid w:val="007321C1"/>
    <w:rsid w:val="00732493"/>
    <w:rsid w:val="007325C7"/>
    <w:rsid w:val="007325F6"/>
    <w:rsid w:val="007326AC"/>
    <w:rsid w:val="007327B1"/>
    <w:rsid w:val="00733065"/>
    <w:rsid w:val="00733B83"/>
    <w:rsid w:val="00733BB9"/>
    <w:rsid w:val="00733F87"/>
    <w:rsid w:val="00734051"/>
    <w:rsid w:val="00734174"/>
    <w:rsid w:val="007342B9"/>
    <w:rsid w:val="00734851"/>
    <w:rsid w:val="0073489C"/>
    <w:rsid w:val="00735220"/>
    <w:rsid w:val="0073598D"/>
    <w:rsid w:val="00735C8C"/>
    <w:rsid w:val="00735E99"/>
    <w:rsid w:val="00735EB5"/>
    <w:rsid w:val="00736324"/>
    <w:rsid w:val="00736698"/>
    <w:rsid w:val="00736BEF"/>
    <w:rsid w:val="00736DF4"/>
    <w:rsid w:val="00737428"/>
    <w:rsid w:val="007374DD"/>
    <w:rsid w:val="00737E64"/>
    <w:rsid w:val="007403AD"/>
    <w:rsid w:val="00740625"/>
    <w:rsid w:val="00740C87"/>
    <w:rsid w:val="007410F3"/>
    <w:rsid w:val="0074199A"/>
    <w:rsid w:val="00741C51"/>
    <w:rsid w:val="00742101"/>
    <w:rsid w:val="0074224D"/>
    <w:rsid w:val="00742639"/>
    <w:rsid w:val="00742CA5"/>
    <w:rsid w:val="00742D52"/>
    <w:rsid w:val="00742D8E"/>
    <w:rsid w:val="00742DB5"/>
    <w:rsid w:val="00742DB6"/>
    <w:rsid w:val="00743E61"/>
    <w:rsid w:val="00743F8E"/>
    <w:rsid w:val="007443BF"/>
    <w:rsid w:val="0074446E"/>
    <w:rsid w:val="007444FB"/>
    <w:rsid w:val="00744943"/>
    <w:rsid w:val="007449DC"/>
    <w:rsid w:val="00744D6A"/>
    <w:rsid w:val="00745346"/>
    <w:rsid w:val="00745930"/>
    <w:rsid w:val="00745B44"/>
    <w:rsid w:val="0074663E"/>
    <w:rsid w:val="00746AAE"/>
    <w:rsid w:val="00746B2F"/>
    <w:rsid w:val="00747063"/>
    <w:rsid w:val="00747123"/>
    <w:rsid w:val="00747468"/>
    <w:rsid w:val="00747C54"/>
    <w:rsid w:val="00747D18"/>
    <w:rsid w:val="0075002E"/>
    <w:rsid w:val="00750660"/>
    <w:rsid w:val="00750CEF"/>
    <w:rsid w:val="007515FA"/>
    <w:rsid w:val="00751695"/>
    <w:rsid w:val="0075175A"/>
    <w:rsid w:val="00751AB7"/>
    <w:rsid w:val="00751ED2"/>
    <w:rsid w:val="00752249"/>
    <w:rsid w:val="007522F5"/>
    <w:rsid w:val="0075254F"/>
    <w:rsid w:val="007526EB"/>
    <w:rsid w:val="0075277B"/>
    <w:rsid w:val="00752A65"/>
    <w:rsid w:val="00752BB0"/>
    <w:rsid w:val="00752DD4"/>
    <w:rsid w:val="00752E1C"/>
    <w:rsid w:val="007532FC"/>
    <w:rsid w:val="007534D2"/>
    <w:rsid w:val="00753621"/>
    <w:rsid w:val="00753A12"/>
    <w:rsid w:val="00753D2B"/>
    <w:rsid w:val="00753DA0"/>
    <w:rsid w:val="00753E42"/>
    <w:rsid w:val="00753E80"/>
    <w:rsid w:val="00753ECE"/>
    <w:rsid w:val="00753F8D"/>
    <w:rsid w:val="00754331"/>
    <w:rsid w:val="007548B2"/>
    <w:rsid w:val="00754A87"/>
    <w:rsid w:val="00754AA4"/>
    <w:rsid w:val="00754C6E"/>
    <w:rsid w:val="00754EA1"/>
    <w:rsid w:val="007550DE"/>
    <w:rsid w:val="007553A9"/>
    <w:rsid w:val="00755B94"/>
    <w:rsid w:val="007561F3"/>
    <w:rsid w:val="007563E1"/>
    <w:rsid w:val="00756518"/>
    <w:rsid w:val="00756603"/>
    <w:rsid w:val="00756779"/>
    <w:rsid w:val="00756DCC"/>
    <w:rsid w:val="007573AB"/>
    <w:rsid w:val="00757417"/>
    <w:rsid w:val="007576F6"/>
    <w:rsid w:val="00757752"/>
    <w:rsid w:val="00757B50"/>
    <w:rsid w:val="0076080B"/>
    <w:rsid w:val="00760C8B"/>
    <w:rsid w:val="00761045"/>
    <w:rsid w:val="00761830"/>
    <w:rsid w:val="00762300"/>
    <w:rsid w:val="00762A7E"/>
    <w:rsid w:val="00762B13"/>
    <w:rsid w:val="00762B6D"/>
    <w:rsid w:val="00762CA9"/>
    <w:rsid w:val="0076303A"/>
    <w:rsid w:val="00763902"/>
    <w:rsid w:val="00765698"/>
    <w:rsid w:val="007656E9"/>
    <w:rsid w:val="0076596A"/>
    <w:rsid w:val="00765BBB"/>
    <w:rsid w:val="007664F0"/>
    <w:rsid w:val="00766937"/>
    <w:rsid w:val="00766E08"/>
    <w:rsid w:val="0076722F"/>
    <w:rsid w:val="00767ED8"/>
    <w:rsid w:val="007700EE"/>
    <w:rsid w:val="00770478"/>
    <w:rsid w:val="00770879"/>
    <w:rsid w:val="00770985"/>
    <w:rsid w:val="00770BB3"/>
    <w:rsid w:val="00770F00"/>
    <w:rsid w:val="007714A2"/>
    <w:rsid w:val="0077153F"/>
    <w:rsid w:val="00771603"/>
    <w:rsid w:val="007722B3"/>
    <w:rsid w:val="007725BA"/>
    <w:rsid w:val="007727D5"/>
    <w:rsid w:val="00772C67"/>
    <w:rsid w:val="0077327F"/>
    <w:rsid w:val="007733E4"/>
    <w:rsid w:val="007733F6"/>
    <w:rsid w:val="00775450"/>
    <w:rsid w:val="0077559A"/>
    <w:rsid w:val="0077561F"/>
    <w:rsid w:val="00775BF9"/>
    <w:rsid w:val="00775E8E"/>
    <w:rsid w:val="0077688D"/>
    <w:rsid w:val="00776A1B"/>
    <w:rsid w:val="00777353"/>
    <w:rsid w:val="00777396"/>
    <w:rsid w:val="00777425"/>
    <w:rsid w:val="00777431"/>
    <w:rsid w:val="0077752F"/>
    <w:rsid w:val="007776EF"/>
    <w:rsid w:val="0077787D"/>
    <w:rsid w:val="00777992"/>
    <w:rsid w:val="00777CD9"/>
    <w:rsid w:val="00777DFD"/>
    <w:rsid w:val="00777E2D"/>
    <w:rsid w:val="00777E7B"/>
    <w:rsid w:val="00780205"/>
    <w:rsid w:val="00780218"/>
    <w:rsid w:val="00780533"/>
    <w:rsid w:val="00780D6A"/>
    <w:rsid w:val="00780F7D"/>
    <w:rsid w:val="0078145F"/>
    <w:rsid w:val="007819A4"/>
    <w:rsid w:val="007819D9"/>
    <w:rsid w:val="00781E75"/>
    <w:rsid w:val="00781EA6"/>
    <w:rsid w:val="00781F7F"/>
    <w:rsid w:val="007825C9"/>
    <w:rsid w:val="00782C58"/>
    <w:rsid w:val="00782FBD"/>
    <w:rsid w:val="00783926"/>
    <w:rsid w:val="00783C7A"/>
    <w:rsid w:val="00783CEA"/>
    <w:rsid w:val="00784026"/>
    <w:rsid w:val="007844B7"/>
    <w:rsid w:val="00784AF0"/>
    <w:rsid w:val="00784D31"/>
    <w:rsid w:val="00785426"/>
    <w:rsid w:val="00785897"/>
    <w:rsid w:val="007858D0"/>
    <w:rsid w:val="00785A83"/>
    <w:rsid w:val="00785C64"/>
    <w:rsid w:val="00785DBE"/>
    <w:rsid w:val="00785E1B"/>
    <w:rsid w:val="00785E61"/>
    <w:rsid w:val="00786023"/>
    <w:rsid w:val="00786045"/>
    <w:rsid w:val="00786206"/>
    <w:rsid w:val="007863CC"/>
    <w:rsid w:val="0078666E"/>
    <w:rsid w:val="00786ADA"/>
    <w:rsid w:val="00786C15"/>
    <w:rsid w:val="00787010"/>
    <w:rsid w:val="00787408"/>
    <w:rsid w:val="007877BE"/>
    <w:rsid w:val="00787BAA"/>
    <w:rsid w:val="00790011"/>
    <w:rsid w:val="00790722"/>
    <w:rsid w:val="007908A2"/>
    <w:rsid w:val="007908F7"/>
    <w:rsid w:val="00790E37"/>
    <w:rsid w:val="00790F30"/>
    <w:rsid w:val="00790F42"/>
    <w:rsid w:val="00791017"/>
    <w:rsid w:val="007912B2"/>
    <w:rsid w:val="00791313"/>
    <w:rsid w:val="007917B2"/>
    <w:rsid w:val="00791B77"/>
    <w:rsid w:val="007922BC"/>
    <w:rsid w:val="00792748"/>
    <w:rsid w:val="00792974"/>
    <w:rsid w:val="00792B58"/>
    <w:rsid w:val="00793253"/>
    <w:rsid w:val="007934CE"/>
    <w:rsid w:val="007935F3"/>
    <w:rsid w:val="00793672"/>
    <w:rsid w:val="007937D6"/>
    <w:rsid w:val="00793FD3"/>
    <w:rsid w:val="0079402A"/>
    <w:rsid w:val="007940D0"/>
    <w:rsid w:val="00794206"/>
    <w:rsid w:val="0079443D"/>
    <w:rsid w:val="007951E6"/>
    <w:rsid w:val="007951FE"/>
    <w:rsid w:val="00795942"/>
    <w:rsid w:val="00795A64"/>
    <w:rsid w:val="00795C9E"/>
    <w:rsid w:val="00796135"/>
    <w:rsid w:val="00796230"/>
    <w:rsid w:val="007962DE"/>
    <w:rsid w:val="00796437"/>
    <w:rsid w:val="00796448"/>
    <w:rsid w:val="007965C3"/>
    <w:rsid w:val="0079715B"/>
    <w:rsid w:val="00797C85"/>
    <w:rsid w:val="007A0287"/>
    <w:rsid w:val="007A05CB"/>
    <w:rsid w:val="007A064A"/>
    <w:rsid w:val="007A0892"/>
    <w:rsid w:val="007A0DD9"/>
    <w:rsid w:val="007A110C"/>
    <w:rsid w:val="007A120B"/>
    <w:rsid w:val="007A1F4C"/>
    <w:rsid w:val="007A218D"/>
    <w:rsid w:val="007A2D7A"/>
    <w:rsid w:val="007A391D"/>
    <w:rsid w:val="007A3B44"/>
    <w:rsid w:val="007A42FC"/>
    <w:rsid w:val="007A467A"/>
    <w:rsid w:val="007A5064"/>
    <w:rsid w:val="007A5255"/>
    <w:rsid w:val="007A55C9"/>
    <w:rsid w:val="007A5AC0"/>
    <w:rsid w:val="007A5C8E"/>
    <w:rsid w:val="007A60DE"/>
    <w:rsid w:val="007A6A8E"/>
    <w:rsid w:val="007A6AFE"/>
    <w:rsid w:val="007A6DE3"/>
    <w:rsid w:val="007A6FDB"/>
    <w:rsid w:val="007A707D"/>
    <w:rsid w:val="007A716F"/>
    <w:rsid w:val="007A7955"/>
    <w:rsid w:val="007B0491"/>
    <w:rsid w:val="007B0725"/>
    <w:rsid w:val="007B0A01"/>
    <w:rsid w:val="007B0BBC"/>
    <w:rsid w:val="007B0FF6"/>
    <w:rsid w:val="007B1945"/>
    <w:rsid w:val="007B1AA0"/>
    <w:rsid w:val="007B1B3C"/>
    <w:rsid w:val="007B1D65"/>
    <w:rsid w:val="007B1E27"/>
    <w:rsid w:val="007B2269"/>
    <w:rsid w:val="007B22AD"/>
    <w:rsid w:val="007B2558"/>
    <w:rsid w:val="007B3435"/>
    <w:rsid w:val="007B3449"/>
    <w:rsid w:val="007B36AA"/>
    <w:rsid w:val="007B37FD"/>
    <w:rsid w:val="007B3945"/>
    <w:rsid w:val="007B3984"/>
    <w:rsid w:val="007B3AF9"/>
    <w:rsid w:val="007B440F"/>
    <w:rsid w:val="007B4573"/>
    <w:rsid w:val="007B4DC1"/>
    <w:rsid w:val="007B4EC8"/>
    <w:rsid w:val="007B4EDA"/>
    <w:rsid w:val="007B4F65"/>
    <w:rsid w:val="007B5000"/>
    <w:rsid w:val="007B513F"/>
    <w:rsid w:val="007B53A6"/>
    <w:rsid w:val="007B57AD"/>
    <w:rsid w:val="007B5CDE"/>
    <w:rsid w:val="007B5D64"/>
    <w:rsid w:val="007B5EF3"/>
    <w:rsid w:val="007B643F"/>
    <w:rsid w:val="007B6541"/>
    <w:rsid w:val="007B6C84"/>
    <w:rsid w:val="007B7397"/>
    <w:rsid w:val="007B73EA"/>
    <w:rsid w:val="007B7466"/>
    <w:rsid w:val="007B7529"/>
    <w:rsid w:val="007B79BC"/>
    <w:rsid w:val="007B7A25"/>
    <w:rsid w:val="007B7DBB"/>
    <w:rsid w:val="007B7F50"/>
    <w:rsid w:val="007C03BD"/>
    <w:rsid w:val="007C069C"/>
    <w:rsid w:val="007C0A15"/>
    <w:rsid w:val="007C0D75"/>
    <w:rsid w:val="007C0DAE"/>
    <w:rsid w:val="007C1195"/>
    <w:rsid w:val="007C12BF"/>
    <w:rsid w:val="007C188B"/>
    <w:rsid w:val="007C23F9"/>
    <w:rsid w:val="007C2562"/>
    <w:rsid w:val="007C2696"/>
    <w:rsid w:val="007C2AD5"/>
    <w:rsid w:val="007C2B1C"/>
    <w:rsid w:val="007C2B68"/>
    <w:rsid w:val="007C2C2E"/>
    <w:rsid w:val="007C4527"/>
    <w:rsid w:val="007C4816"/>
    <w:rsid w:val="007C4BF2"/>
    <w:rsid w:val="007C4C46"/>
    <w:rsid w:val="007C4EFA"/>
    <w:rsid w:val="007C4F78"/>
    <w:rsid w:val="007C4FA9"/>
    <w:rsid w:val="007C506C"/>
    <w:rsid w:val="007C50A4"/>
    <w:rsid w:val="007C5226"/>
    <w:rsid w:val="007C52D9"/>
    <w:rsid w:val="007C55BE"/>
    <w:rsid w:val="007C5989"/>
    <w:rsid w:val="007C5B06"/>
    <w:rsid w:val="007C5B97"/>
    <w:rsid w:val="007C5FA0"/>
    <w:rsid w:val="007C60FE"/>
    <w:rsid w:val="007C62FF"/>
    <w:rsid w:val="007C638F"/>
    <w:rsid w:val="007C64E7"/>
    <w:rsid w:val="007C6568"/>
    <w:rsid w:val="007C6ADF"/>
    <w:rsid w:val="007C6E36"/>
    <w:rsid w:val="007C6EBC"/>
    <w:rsid w:val="007C6EC5"/>
    <w:rsid w:val="007C703A"/>
    <w:rsid w:val="007C72F0"/>
    <w:rsid w:val="007C746E"/>
    <w:rsid w:val="007C75BE"/>
    <w:rsid w:val="007C7B45"/>
    <w:rsid w:val="007C7D07"/>
    <w:rsid w:val="007C7F9E"/>
    <w:rsid w:val="007D0029"/>
    <w:rsid w:val="007D09B0"/>
    <w:rsid w:val="007D0CB6"/>
    <w:rsid w:val="007D0D9F"/>
    <w:rsid w:val="007D10CA"/>
    <w:rsid w:val="007D145D"/>
    <w:rsid w:val="007D164B"/>
    <w:rsid w:val="007D17F0"/>
    <w:rsid w:val="007D1808"/>
    <w:rsid w:val="007D1BE1"/>
    <w:rsid w:val="007D2203"/>
    <w:rsid w:val="007D224C"/>
    <w:rsid w:val="007D23AE"/>
    <w:rsid w:val="007D241F"/>
    <w:rsid w:val="007D24C5"/>
    <w:rsid w:val="007D293A"/>
    <w:rsid w:val="007D2961"/>
    <w:rsid w:val="007D29AF"/>
    <w:rsid w:val="007D2F9B"/>
    <w:rsid w:val="007D339B"/>
    <w:rsid w:val="007D3B35"/>
    <w:rsid w:val="007D4319"/>
    <w:rsid w:val="007D4498"/>
    <w:rsid w:val="007D450A"/>
    <w:rsid w:val="007D47C2"/>
    <w:rsid w:val="007D49E8"/>
    <w:rsid w:val="007D4A9C"/>
    <w:rsid w:val="007D5316"/>
    <w:rsid w:val="007D5698"/>
    <w:rsid w:val="007D56F5"/>
    <w:rsid w:val="007D5B44"/>
    <w:rsid w:val="007D5B85"/>
    <w:rsid w:val="007D5BD5"/>
    <w:rsid w:val="007D5E99"/>
    <w:rsid w:val="007D62FB"/>
    <w:rsid w:val="007D6634"/>
    <w:rsid w:val="007D6799"/>
    <w:rsid w:val="007D738A"/>
    <w:rsid w:val="007D772A"/>
    <w:rsid w:val="007D7BE0"/>
    <w:rsid w:val="007D7D24"/>
    <w:rsid w:val="007E0C14"/>
    <w:rsid w:val="007E0DEC"/>
    <w:rsid w:val="007E0E89"/>
    <w:rsid w:val="007E0F90"/>
    <w:rsid w:val="007E18F1"/>
    <w:rsid w:val="007E1C21"/>
    <w:rsid w:val="007E1C3F"/>
    <w:rsid w:val="007E1C8D"/>
    <w:rsid w:val="007E1DAB"/>
    <w:rsid w:val="007E1E49"/>
    <w:rsid w:val="007E20E4"/>
    <w:rsid w:val="007E2601"/>
    <w:rsid w:val="007E289C"/>
    <w:rsid w:val="007E28BB"/>
    <w:rsid w:val="007E2984"/>
    <w:rsid w:val="007E29F7"/>
    <w:rsid w:val="007E2E7A"/>
    <w:rsid w:val="007E31AF"/>
    <w:rsid w:val="007E3661"/>
    <w:rsid w:val="007E37F0"/>
    <w:rsid w:val="007E3FDF"/>
    <w:rsid w:val="007E46DD"/>
    <w:rsid w:val="007E4E73"/>
    <w:rsid w:val="007E4F8F"/>
    <w:rsid w:val="007E4FD1"/>
    <w:rsid w:val="007E50C5"/>
    <w:rsid w:val="007E50FF"/>
    <w:rsid w:val="007E52C8"/>
    <w:rsid w:val="007E537B"/>
    <w:rsid w:val="007E5460"/>
    <w:rsid w:val="007E54A2"/>
    <w:rsid w:val="007E54C4"/>
    <w:rsid w:val="007E5573"/>
    <w:rsid w:val="007E5816"/>
    <w:rsid w:val="007E5FA5"/>
    <w:rsid w:val="007E62E0"/>
    <w:rsid w:val="007E636B"/>
    <w:rsid w:val="007E665A"/>
    <w:rsid w:val="007E684A"/>
    <w:rsid w:val="007E693E"/>
    <w:rsid w:val="007E6E6D"/>
    <w:rsid w:val="007E7239"/>
    <w:rsid w:val="007E7453"/>
    <w:rsid w:val="007E7E83"/>
    <w:rsid w:val="007F064B"/>
    <w:rsid w:val="007F08C6"/>
    <w:rsid w:val="007F0962"/>
    <w:rsid w:val="007F0DC0"/>
    <w:rsid w:val="007F29EC"/>
    <w:rsid w:val="007F2A79"/>
    <w:rsid w:val="007F2CA1"/>
    <w:rsid w:val="007F2D22"/>
    <w:rsid w:val="007F2E18"/>
    <w:rsid w:val="007F37D6"/>
    <w:rsid w:val="007F39D3"/>
    <w:rsid w:val="007F3AA8"/>
    <w:rsid w:val="007F3AEB"/>
    <w:rsid w:val="007F4184"/>
    <w:rsid w:val="007F4267"/>
    <w:rsid w:val="007F4291"/>
    <w:rsid w:val="007F42DA"/>
    <w:rsid w:val="007F4358"/>
    <w:rsid w:val="007F4589"/>
    <w:rsid w:val="007F4649"/>
    <w:rsid w:val="007F46FF"/>
    <w:rsid w:val="007F4762"/>
    <w:rsid w:val="007F49CB"/>
    <w:rsid w:val="007F49E3"/>
    <w:rsid w:val="007F4A0F"/>
    <w:rsid w:val="007F4F5E"/>
    <w:rsid w:val="007F5200"/>
    <w:rsid w:val="007F536E"/>
    <w:rsid w:val="007F5C2D"/>
    <w:rsid w:val="007F6283"/>
    <w:rsid w:val="007F62EE"/>
    <w:rsid w:val="007F666E"/>
    <w:rsid w:val="007F6884"/>
    <w:rsid w:val="007F6D7B"/>
    <w:rsid w:val="007F71E3"/>
    <w:rsid w:val="007F7248"/>
    <w:rsid w:val="007F75AC"/>
    <w:rsid w:val="007F7AED"/>
    <w:rsid w:val="007F7DAE"/>
    <w:rsid w:val="007F7F24"/>
    <w:rsid w:val="007F7F8C"/>
    <w:rsid w:val="0080011E"/>
    <w:rsid w:val="00800280"/>
    <w:rsid w:val="008003C7"/>
    <w:rsid w:val="00800534"/>
    <w:rsid w:val="008007E1"/>
    <w:rsid w:val="0080082F"/>
    <w:rsid w:val="00800F9A"/>
    <w:rsid w:val="00801517"/>
    <w:rsid w:val="008015FF"/>
    <w:rsid w:val="00801B4E"/>
    <w:rsid w:val="00801B61"/>
    <w:rsid w:val="0080222E"/>
    <w:rsid w:val="00802642"/>
    <w:rsid w:val="0080289A"/>
    <w:rsid w:val="00802CF4"/>
    <w:rsid w:val="008035DA"/>
    <w:rsid w:val="008037B7"/>
    <w:rsid w:val="0080479E"/>
    <w:rsid w:val="00804917"/>
    <w:rsid w:val="00804A2B"/>
    <w:rsid w:val="00804B1D"/>
    <w:rsid w:val="00804C31"/>
    <w:rsid w:val="00804F76"/>
    <w:rsid w:val="00804FA2"/>
    <w:rsid w:val="0080577B"/>
    <w:rsid w:val="00805DB3"/>
    <w:rsid w:val="008061BB"/>
    <w:rsid w:val="008063DA"/>
    <w:rsid w:val="00806586"/>
    <w:rsid w:val="008065CC"/>
    <w:rsid w:val="00806630"/>
    <w:rsid w:val="00807348"/>
    <w:rsid w:val="00807A47"/>
    <w:rsid w:val="0081024A"/>
    <w:rsid w:val="00810285"/>
    <w:rsid w:val="0081034A"/>
    <w:rsid w:val="0081077F"/>
    <w:rsid w:val="008107C1"/>
    <w:rsid w:val="00810A93"/>
    <w:rsid w:val="00810AB5"/>
    <w:rsid w:val="00810D86"/>
    <w:rsid w:val="00810EFA"/>
    <w:rsid w:val="008111F7"/>
    <w:rsid w:val="00811243"/>
    <w:rsid w:val="008113EB"/>
    <w:rsid w:val="0081146A"/>
    <w:rsid w:val="00811B14"/>
    <w:rsid w:val="00811FA5"/>
    <w:rsid w:val="0081242C"/>
    <w:rsid w:val="0081270D"/>
    <w:rsid w:val="008127F2"/>
    <w:rsid w:val="00812A66"/>
    <w:rsid w:val="00812F8F"/>
    <w:rsid w:val="00813365"/>
    <w:rsid w:val="0081362D"/>
    <w:rsid w:val="00813D08"/>
    <w:rsid w:val="00813DA9"/>
    <w:rsid w:val="00814666"/>
    <w:rsid w:val="008146CC"/>
    <w:rsid w:val="008149C6"/>
    <w:rsid w:val="00814DD8"/>
    <w:rsid w:val="008153B4"/>
    <w:rsid w:val="008155F0"/>
    <w:rsid w:val="00815718"/>
    <w:rsid w:val="00815F61"/>
    <w:rsid w:val="008160EB"/>
    <w:rsid w:val="00816705"/>
    <w:rsid w:val="00817150"/>
    <w:rsid w:val="00817359"/>
    <w:rsid w:val="00817527"/>
    <w:rsid w:val="00817920"/>
    <w:rsid w:val="00817B99"/>
    <w:rsid w:val="00820084"/>
    <w:rsid w:val="00820102"/>
    <w:rsid w:val="008208CA"/>
    <w:rsid w:val="00820FCA"/>
    <w:rsid w:val="00821068"/>
    <w:rsid w:val="00821205"/>
    <w:rsid w:val="00821362"/>
    <w:rsid w:val="0082158C"/>
    <w:rsid w:val="008217E0"/>
    <w:rsid w:val="00821D1B"/>
    <w:rsid w:val="0082220C"/>
    <w:rsid w:val="0082259E"/>
    <w:rsid w:val="00822617"/>
    <w:rsid w:val="00822E57"/>
    <w:rsid w:val="008230A6"/>
    <w:rsid w:val="008232AE"/>
    <w:rsid w:val="0082387E"/>
    <w:rsid w:val="00823FF5"/>
    <w:rsid w:val="00824365"/>
    <w:rsid w:val="00824A4C"/>
    <w:rsid w:val="00825264"/>
    <w:rsid w:val="0082536C"/>
    <w:rsid w:val="008259CE"/>
    <w:rsid w:val="008264E2"/>
    <w:rsid w:val="0082667C"/>
    <w:rsid w:val="00826891"/>
    <w:rsid w:val="0082692C"/>
    <w:rsid w:val="00827406"/>
    <w:rsid w:val="00827557"/>
    <w:rsid w:val="00827A77"/>
    <w:rsid w:val="00827DC0"/>
    <w:rsid w:val="00827E8F"/>
    <w:rsid w:val="008300BA"/>
    <w:rsid w:val="00830101"/>
    <w:rsid w:val="0083029A"/>
    <w:rsid w:val="0083046E"/>
    <w:rsid w:val="00830649"/>
    <w:rsid w:val="00830696"/>
    <w:rsid w:val="0083093E"/>
    <w:rsid w:val="00830A13"/>
    <w:rsid w:val="00830BEC"/>
    <w:rsid w:val="00830DE4"/>
    <w:rsid w:val="00830E2F"/>
    <w:rsid w:val="00831113"/>
    <w:rsid w:val="0083143A"/>
    <w:rsid w:val="008318D2"/>
    <w:rsid w:val="008321EF"/>
    <w:rsid w:val="0083275C"/>
    <w:rsid w:val="008328A7"/>
    <w:rsid w:val="00832A94"/>
    <w:rsid w:val="0083316A"/>
    <w:rsid w:val="008331AB"/>
    <w:rsid w:val="00833DDE"/>
    <w:rsid w:val="00833FC7"/>
    <w:rsid w:val="008342F4"/>
    <w:rsid w:val="00834914"/>
    <w:rsid w:val="00834E45"/>
    <w:rsid w:val="00835367"/>
    <w:rsid w:val="0083556F"/>
    <w:rsid w:val="00835954"/>
    <w:rsid w:val="008359B9"/>
    <w:rsid w:val="00835A23"/>
    <w:rsid w:val="00835F76"/>
    <w:rsid w:val="0083644E"/>
    <w:rsid w:val="00836524"/>
    <w:rsid w:val="00836732"/>
    <w:rsid w:val="00837750"/>
    <w:rsid w:val="00837BE5"/>
    <w:rsid w:val="00837F8B"/>
    <w:rsid w:val="0084016A"/>
    <w:rsid w:val="00840172"/>
    <w:rsid w:val="00840188"/>
    <w:rsid w:val="0084041C"/>
    <w:rsid w:val="00840635"/>
    <w:rsid w:val="00840711"/>
    <w:rsid w:val="00840760"/>
    <w:rsid w:val="0084097B"/>
    <w:rsid w:val="00840E8B"/>
    <w:rsid w:val="00840EDC"/>
    <w:rsid w:val="00841073"/>
    <w:rsid w:val="0084117F"/>
    <w:rsid w:val="0084141D"/>
    <w:rsid w:val="00841BF3"/>
    <w:rsid w:val="00841E1A"/>
    <w:rsid w:val="00841E79"/>
    <w:rsid w:val="00842654"/>
    <w:rsid w:val="00842716"/>
    <w:rsid w:val="00842CF6"/>
    <w:rsid w:val="00842EF1"/>
    <w:rsid w:val="00843362"/>
    <w:rsid w:val="00843678"/>
    <w:rsid w:val="00843F85"/>
    <w:rsid w:val="00844115"/>
    <w:rsid w:val="00844140"/>
    <w:rsid w:val="00844321"/>
    <w:rsid w:val="0084459D"/>
    <w:rsid w:val="008449C9"/>
    <w:rsid w:val="0084501F"/>
    <w:rsid w:val="00845053"/>
    <w:rsid w:val="008451CA"/>
    <w:rsid w:val="008451F6"/>
    <w:rsid w:val="00845320"/>
    <w:rsid w:val="0084534C"/>
    <w:rsid w:val="008453B0"/>
    <w:rsid w:val="008454BF"/>
    <w:rsid w:val="00845AF2"/>
    <w:rsid w:val="00846408"/>
    <w:rsid w:val="0084660B"/>
    <w:rsid w:val="008469C7"/>
    <w:rsid w:val="00846F4E"/>
    <w:rsid w:val="008472D9"/>
    <w:rsid w:val="00847423"/>
    <w:rsid w:val="008476AB"/>
    <w:rsid w:val="00847ECA"/>
    <w:rsid w:val="0085044C"/>
    <w:rsid w:val="0085080A"/>
    <w:rsid w:val="00850FD8"/>
    <w:rsid w:val="008511C7"/>
    <w:rsid w:val="0085137B"/>
    <w:rsid w:val="00851698"/>
    <w:rsid w:val="00852298"/>
    <w:rsid w:val="008524C0"/>
    <w:rsid w:val="00852651"/>
    <w:rsid w:val="008526D0"/>
    <w:rsid w:val="00852CA8"/>
    <w:rsid w:val="00852F9A"/>
    <w:rsid w:val="0085303F"/>
    <w:rsid w:val="00853072"/>
    <w:rsid w:val="00853A8C"/>
    <w:rsid w:val="00853AC8"/>
    <w:rsid w:val="00853C64"/>
    <w:rsid w:val="00854009"/>
    <w:rsid w:val="00854195"/>
    <w:rsid w:val="0085444A"/>
    <w:rsid w:val="008548D9"/>
    <w:rsid w:val="008548F4"/>
    <w:rsid w:val="00854AC2"/>
    <w:rsid w:val="008553F5"/>
    <w:rsid w:val="0085585C"/>
    <w:rsid w:val="00855AA3"/>
    <w:rsid w:val="00855CE9"/>
    <w:rsid w:val="008566F3"/>
    <w:rsid w:val="008568EC"/>
    <w:rsid w:val="00856A41"/>
    <w:rsid w:val="00856FA2"/>
    <w:rsid w:val="00857216"/>
    <w:rsid w:val="00857286"/>
    <w:rsid w:val="00857538"/>
    <w:rsid w:val="008576EB"/>
    <w:rsid w:val="0085782E"/>
    <w:rsid w:val="008578BF"/>
    <w:rsid w:val="00857F1C"/>
    <w:rsid w:val="008601D3"/>
    <w:rsid w:val="00860A74"/>
    <w:rsid w:val="00860B4F"/>
    <w:rsid w:val="00860E6D"/>
    <w:rsid w:val="00860F69"/>
    <w:rsid w:val="00860FD3"/>
    <w:rsid w:val="00860FDA"/>
    <w:rsid w:val="008617BE"/>
    <w:rsid w:val="008618CB"/>
    <w:rsid w:val="008621A6"/>
    <w:rsid w:val="0086238B"/>
    <w:rsid w:val="0086244F"/>
    <w:rsid w:val="00862D54"/>
    <w:rsid w:val="00862EAA"/>
    <w:rsid w:val="00863463"/>
    <w:rsid w:val="008634FF"/>
    <w:rsid w:val="00863857"/>
    <w:rsid w:val="00863C5F"/>
    <w:rsid w:val="0086450F"/>
    <w:rsid w:val="00864A3F"/>
    <w:rsid w:val="00864AAA"/>
    <w:rsid w:val="00864AD9"/>
    <w:rsid w:val="00864FBF"/>
    <w:rsid w:val="008650DF"/>
    <w:rsid w:val="00865A59"/>
    <w:rsid w:val="00865B98"/>
    <w:rsid w:val="00865D07"/>
    <w:rsid w:val="00866323"/>
    <w:rsid w:val="00866717"/>
    <w:rsid w:val="00866963"/>
    <w:rsid w:val="00866C6E"/>
    <w:rsid w:val="008677AA"/>
    <w:rsid w:val="008678FE"/>
    <w:rsid w:val="008679DA"/>
    <w:rsid w:val="00870091"/>
    <w:rsid w:val="00870650"/>
    <w:rsid w:val="00870694"/>
    <w:rsid w:val="008709BC"/>
    <w:rsid w:val="00872209"/>
    <w:rsid w:val="00872356"/>
    <w:rsid w:val="008728C2"/>
    <w:rsid w:val="00872906"/>
    <w:rsid w:val="00872F76"/>
    <w:rsid w:val="00872FB3"/>
    <w:rsid w:val="00873318"/>
    <w:rsid w:val="008733A7"/>
    <w:rsid w:val="00873809"/>
    <w:rsid w:val="008738EE"/>
    <w:rsid w:val="0087496E"/>
    <w:rsid w:val="00874D47"/>
    <w:rsid w:val="00875A24"/>
    <w:rsid w:val="00875BF4"/>
    <w:rsid w:val="00876737"/>
    <w:rsid w:val="00877427"/>
    <w:rsid w:val="008774A2"/>
    <w:rsid w:val="008776B7"/>
    <w:rsid w:val="0087780C"/>
    <w:rsid w:val="00877B8F"/>
    <w:rsid w:val="00877B95"/>
    <w:rsid w:val="00877BD0"/>
    <w:rsid w:val="00877BE4"/>
    <w:rsid w:val="00880605"/>
    <w:rsid w:val="00880A14"/>
    <w:rsid w:val="00880B58"/>
    <w:rsid w:val="008815C1"/>
    <w:rsid w:val="00881DBE"/>
    <w:rsid w:val="00881EEA"/>
    <w:rsid w:val="0088218B"/>
    <w:rsid w:val="0088239B"/>
    <w:rsid w:val="008823D9"/>
    <w:rsid w:val="0088255F"/>
    <w:rsid w:val="0088294A"/>
    <w:rsid w:val="0088316C"/>
    <w:rsid w:val="0088362A"/>
    <w:rsid w:val="008836E6"/>
    <w:rsid w:val="00883810"/>
    <w:rsid w:val="00883954"/>
    <w:rsid w:val="00884332"/>
    <w:rsid w:val="00884741"/>
    <w:rsid w:val="00884A3A"/>
    <w:rsid w:val="00884C28"/>
    <w:rsid w:val="00884C51"/>
    <w:rsid w:val="00884F75"/>
    <w:rsid w:val="00884FDB"/>
    <w:rsid w:val="00885078"/>
    <w:rsid w:val="008850F4"/>
    <w:rsid w:val="00885114"/>
    <w:rsid w:val="008852CB"/>
    <w:rsid w:val="008854AD"/>
    <w:rsid w:val="0088572D"/>
    <w:rsid w:val="0088605F"/>
    <w:rsid w:val="008860BE"/>
    <w:rsid w:val="00886ADE"/>
    <w:rsid w:val="00886B06"/>
    <w:rsid w:val="00886E75"/>
    <w:rsid w:val="00887337"/>
    <w:rsid w:val="0088734B"/>
    <w:rsid w:val="0088769D"/>
    <w:rsid w:val="00887761"/>
    <w:rsid w:val="0088782F"/>
    <w:rsid w:val="008879D3"/>
    <w:rsid w:val="008879EE"/>
    <w:rsid w:val="008903AB"/>
    <w:rsid w:val="008903EA"/>
    <w:rsid w:val="008905CA"/>
    <w:rsid w:val="00891045"/>
    <w:rsid w:val="0089146C"/>
    <w:rsid w:val="008915EF"/>
    <w:rsid w:val="00891894"/>
    <w:rsid w:val="00891A93"/>
    <w:rsid w:val="00891DB7"/>
    <w:rsid w:val="008923C9"/>
    <w:rsid w:val="00892759"/>
    <w:rsid w:val="0089287A"/>
    <w:rsid w:val="00892B65"/>
    <w:rsid w:val="0089363B"/>
    <w:rsid w:val="00893D2D"/>
    <w:rsid w:val="00894422"/>
    <w:rsid w:val="0089457F"/>
    <w:rsid w:val="00894755"/>
    <w:rsid w:val="00895045"/>
    <w:rsid w:val="00895112"/>
    <w:rsid w:val="0089563F"/>
    <w:rsid w:val="0089564D"/>
    <w:rsid w:val="0089585A"/>
    <w:rsid w:val="0089606C"/>
    <w:rsid w:val="00896436"/>
    <w:rsid w:val="008964C3"/>
    <w:rsid w:val="00896A2C"/>
    <w:rsid w:val="00896D8D"/>
    <w:rsid w:val="00897381"/>
    <w:rsid w:val="00897EAB"/>
    <w:rsid w:val="008A04AD"/>
    <w:rsid w:val="008A0986"/>
    <w:rsid w:val="008A09DF"/>
    <w:rsid w:val="008A0EF3"/>
    <w:rsid w:val="008A1286"/>
    <w:rsid w:val="008A12FF"/>
    <w:rsid w:val="008A16E8"/>
    <w:rsid w:val="008A188B"/>
    <w:rsid w:val="008A1990"/>
    <w:rsid w:val="008A1B80"/>
    <w:rsid w:val="008A1EE6"/>
    <w:rsid w:val="008A21D6"/>
    <w:rsid w:val="008A2213"/>
    <w:rsid w:val="008A2347"/>
    <w:rsid w:val="008A254A"/>
    <w:rsid w:val="008A2761"/>
    <w:rsid w:val="008A2C56"/>
    <w:rsid w:val="008A2EA9"/>
    <w:rsid w:val="008A39DC"/>
    <w:rsid w:val="008A3AF0"/>
    <w:rsid w:val="008A3BC2"/>
    <w:rsid w:val="008A3D54"/>
    <w:rsid w:val="008A3D8C"/>
    <w:rsid w:val="008A3DC2"/>
    <w:rsid w:val="008A4077"/>
    <w:rsid w:val="008A40C5"/>
    <w:rsid w:val="008A4349"/>
    <w:rsid w:val="008A4489"/>
    <w:rsid w:val="008A45DD"/>
    <w:rsid w:val="008A46A9"/>
    <w:rsid w:val="008A4A13"/>
    <w:rsid w:val="008A4AEF"/>
    <w:rsid w:val="008A4CB5"/>
    <w:rsid w:val="008A4DBA"/>
    <w:rsid w:val="008A4E34"/>
    <w:rsid w:val="008A535F"/>
    <w:rsid w:val="008A549D"/>
    <w:rsid w:val="008A576F"/>
    <w:rsid w:val="008A5C57"/>
    <w:rsid w:val="008A5ED2"/>
    <w:rsid w:val="008A63E8"/>
    <w:rsid w:val="008A657E"/>
    <w:rsid w:val="008A69B0"/>
    <w:rsid w:val="008A7026"/>
    <w:rsid w:val="008A7415"/>
    <w:rsid w:val="008A771D"/>
    <w:rsid w:val="008A7907"/>
    <w:rsid w:val="008A79C2"/>
    <w:rsid w:val="008A7D99"/>
    <w:rsid w:val="008B01BD"/>
    <w:rsid w:val="008B08D3"/>
    <w:rsid w:val="008B0AF0"/>
    <w:rsid w:val="008B0B99"/>
    <w:rsid w:val="008B1299"/>
    <w:rsid w:val="008B141E"/>
    <w:rsid w:val="008B1433"/>
    <w:rsid w:val="008B1464"/>
    <w:rsid w:val="008B1587"/>
    <w:rsid w:val="008B15BC"/>
    <w:rsid w:val="008B15F7"/>
    <w:rsid w:val="008B17CB"/>
    <w:rsid w:val="008B1BD6"/>
    <w:rsid w:val="008B1CE6"/>
    <w:rsid w:val="008B205F"/>
    <w:rsid w:val="008B2487"/>
    <w:rsid w:val="008B26D3"/>
    <w:rsid w:val="008B279A"/>
    <w:rsid w:val="008B299F"/>
    <w:rsid w:val="008B2BBA"/>
    <w:rsid w:val="008B303C"/>
    <w:rsid w:val="008B3078"/>
    <w:rsid w:val="008B347C"/>
    <w:rsid w:val="008B425D"/>
    <w:rsid w:val="008B46CA"/>
    <w:rsid w:val="008B47F9"/>
    <w:rsid w:val="008B4FAC"/>
    <w:rsid w:val="008B5546"/>
    <w:rsid w:val="008B5548"/>
    <w:rsid w:val="008B56CA"/>
    <w:rsid w:val="008B5753"/>
    <w:rsid w:val="008B5D0D"/>
    <w:rsid w:val="008B5ECF"/>
    <w:rsid w:val="008B61EE"/>
    <w:rsid w:val="008B636D"/>
    <w:rsid w:val="008B68DF"/>
    <w:rsid w:val="008B6A99"/>
    <w:rsid w:val="008B6C63"/>
    <w:rsid w:val="008B6DF5"/>
    <w:rsid w:val="008B70E3"/>
    <w:rsid w:val="008B78FE"/>
    <w:rsid w:val="008B7A7A"/>
    <w:rsid w:val="008B7BD8"/>
    <w:rsid w:val="008B7F0C"/>
    <w:rsid w:val="008C00C4"/>
    <w:rsid w:val="008C021E"/>
    <w:rsid w:val="008C097B"/>
    <w:rsid w:val="008C1474"/>
    <w:rsid w:val="008C1504"/>
    <w:rsid w:val="008C19C7"/>
    <w:rsid w:val="008C1A04"/>
    <w:rsid w:val="008C25B0"/>
    <w:rsid w:val="008C2732"/>
    <w:rsid w:val="008C2760"/>
    <w:rsid w:val="008C2A3B"/>
    <w:rsid w:val="008C2A7C"/>
    <w:rsid w:val="008C322E"/>
    <w:rsid w:val="008C329F"/>
    <w:rsid w:val="008C3763"/>
    <w:rsid w:val="008C3E81"/>
    <w:rsid w:val="008C490B"/>
    <w:rsid w:val="008C5116"/>
    <w:rsid w:val="008C51A0"/>
    <w:rsid w:val="008C5545"/>
    <w:rsid w:val="008C55D7"/>
    <w:rsid w:val="008C5751"/>
    <w:rsid w:val="008C5F8D"/>
    <w:rsid w:val="008C61FA"/>
    <w:rsid w:val="008C6462"/>
    <w:rsid w:val="008C6759"/>
    <w:rsid w:val="008C6BA3"/>
    <w:rsid w:val="008C6BC0"/>
    <w:rsid w:val="008C6CB3"/>
    <w:rsid w:val="008C6DC3"/>
    <w:rsid w:val="008C6FC2"/>
    <w:rsid w:val="008C7022"/>
    <w:rsid w:val="008C708D"/>
    <w:rsid w:val="008C710D"/>
    <w:rsid w:val="008C75E3"/>
    <w:rsid w:val="008C7B97"/>
    <w:rsid w:val="008D0416"/>
    <w:rsid w:val="008D0461"/>
    <w:rsid w:val="008D0519"/>
    <w:rsid w:val="008D0C10"/>
    <w:rsid w:val="008D0D24"/>
    <w:rsid w:val="008D149C"/>
    <w:rsid w:val="008D17F6"/>
    <w:rsid w:val="008D1A0A"/>
    <w:rsid w:val="008D1FA2"/>
    <w:rsid w:val="008D225C"/>
    <w:rsid w:val="008D2CE3"/>
    <w:rsid w:val="008D2F6E"/>
    <w:rsid w:val="008D326D"/>
    <w:rsid w:val="008D3393"/>
    <w:rsid w:val="008D389B"/>
    <w:rsid w:val="008D40C4"/>
    <w:rsid w:val="008D480D"/>
    <w:rsid w:val="008D4826"/>
    <w:rsid w:val="008D4A03"/>
    <w:rsid w:val="008D4A9C"/>
    <w:rsid w:val="008D4AB3"/>
    <w:rsid w:val="008D4FDC"/>
    <w:rsid w:val="008D5C76"/>
    <w:rsid w:val="008D6055"/>
    <w:rsid w:val="008D60E5"/>
    <w:rsid w:val="008D610B"/>
    <w:rsid w:val="008D67C0"/>
    <w:rsid w:val="008D6935"/>
    <w:rsid w:val="008D6F45"/>
    <w:rsid w:val="008D705A"/>
    <w:rsid w:val="008D717E"/>
    <w:rsid w:val="008D73A9"/>
    <w:rsid w:val="008E0000"/>
    <w:rsid w:val="008E0614"/>
    <w:rsid w:val="008E0B23"/>
    <w:rsid w:val="008E0C13"/>
    <w:rsid w:val="008E1224"/>
    <w:rsid w:val="008E19DC"/>
    <w:rsid w:val="008E2205"/>
    <w:rsid w:val="008E24C0"/>
    <w:rsid w:val="008E33E5"/>
    <w:rsid w:val="008E3453"/>
    <w:rsid w:val="008E3A33"/>
    <w:rsid w:val="008E3BFB"/>
    <w:rsid w:val="008E3D54"/>
    <w:rsid w:val="008E41DF"/>
    <w:rsid w:val="008E4339"/>
    <w:rsid w:val="008E46C0"/>
    <w:rsid w:val="008E4BAC"/>
    <w:rsid w:val="008E4CD3"/>
    <w:rsid w:val="008E4E6D"/>
    <w:rsid w:val="008E5103"/>
    <w:rsid w:val="008E51EE"/>
    <w:rsid w:val="008E53DE"/>
    <w:rsid w:val="008E5ECD"/>
    <w:rsid w:val="008E5ECE"/>
    <w:rsid w:val="008E61FA"/>
    <w:rsid w:val="008E6411"/>
    <w:rsid w:val="008E670F"/>
    <w:rsid w:val="008E6761"/>
    <w:rsid w:val="008E6863"/>
    <w:rsid w:val="008E6B0D"/>
    <w:rsid w:val="008E6B88"/>
    <w:rsid w:val="008E6D87"/>
    <w:rsid w:val="008F0151"/>
    <w:rsid w:val="008F0702"/>
    <w:rsid w:val="008F0F83"/>
    <w:rsid w:val="008F1289"/>
    <w:rsid w:val="008F12DC"/>
    <w:rsid w:val="008F1347"/>
    <w:rsid w:val="008F141C"/>
    <w:rsid w:val="008F1603"/>
    <w:rsid w:val="008F1642"/>
    <w:rsid w:val="008F1E57"/>
    <w:rsid w:val="008F219E"/>
    <w:rsid w:val="008F26D6"/>
    <w:rsid w:val="008F325B"/>
    <w:rsid w:val="008F346C"/>
    <w:rsid w:val="008F43C3"/>
    <w:rsid w:val="008F4628"/>
    <w:rsid w:val="008F470D"/>
    <w:rsid w:val="008F473B"/>
    <w:rsid w:val="008F4A60"/>
    <w:rsid w:val="008F4BEB"/>
    <w:rsid w:val="008F545F"/>
    <w:rsid w:val="008F561A"/>
    <w:rsid w:val="008F56F1"/>
    <w:rsid w:val="008F591F"/>
    <w:rsid w:val="008F5B34"/>
    <w:rsid w:val="008F5E94"/>
    <w:rsid w:val="008F602A"/>
    <w:rsid w:val="008F64BF"/>
    <w:rsid w:val="008F64C2"/>
    <w:rsid w:val="008F688E"/>
    <w:rsid w:val="008F7164"/>
    <w:rsid w:val="008F7443"/>
    <w:rsid w:val="008F760B"/>
    <w:rsid w:val="008F78AD"/>
    <w:rsid w:val="008F7AA4"/>
    <w:rsid w:val="0090041B"/>
    <w:rsid w:val="00900429"/>
    <w:rsid w:val="009004C0"/>
    <w:rsid w:val="0090054B"/>
    <w:rsid w:val="00900610"/>
    <w:rsid w:val="0090065A"/>
    <w:rsid w:val="00900A36"/>
    <w:rsid w:val="00900E6D"/>
    <w:rsid w:val="00900FCC"/>
    <w:rsid w:val="00901266"/>
    <w:rsid w:val="0090137A"/>
    <w:rsid w:val="0090164F"/>
    <w:rsid w:val="009019B8"/>
    <w:rsid w:val="009020AD"/>
    <w:rsid w:val="009021F5"/>
    <w:rsid w:val="0090224B"/>
    <w:rsid w:val="009027B4"/>
    <w:rsid w:val="009029BD"/>
    <w:rsid w:val="009029DD"/>
    <w:rsid w:val="00902E23"/>
    <w:rsid w:val="0090337B"/>
    <w:rsid w:val="00903493"/>
    <w:rsid w:val="0090380D"/>
    <w:rsid w:val="00903B6B"/>
    <w:rsid w:val="00903BF5"/>
    <w:rsid w:val="0090450F"/>
    <w:rsid w:val="00904685"/>
    <w:rsid w:val="009047FA"/>
    <w:rsid w:val="00904A6E"/>
    <w:rsid w:val="00904DC6"/>
    <w:rsid w:val="00904E72"/>
    <w:rsid w:val="00905810"/>
    <w:rsid w:val="00905A4D"/>
    <w:rsid w:val="00905F1A"/>
    <w:rsid w:val="0090613C"/>
    <w:rsid w:val="0090658B"/>
    <w:rsid w:val="0090694F"/>
    <w:rsid w:val="00906C92"/>
    <w:rsid w:val="0090712F"/>
    <w:rsid w:val="009074AD"/>
    <w:rsid w:val="00907549"/>
    <w:rsid w:val="0090767E"/>
    <w:rsid w:val="009077A1"/>
    <w:rsid w:val="009105D1"/>
    <w:rsid w:val="0091069E"/>
    <w:rsid w:val="009108A8"/>
    <w:rsid w:val="00910AF3"/>
    <w:rsid w:val="00910CDE"/>
    <w:rsid w:val="009111C1"/>
    <w:rsid w:val="009113A3"/>
    <w:rsid w:val="009116C7"/>
    <w:rsid w:val="00911D7C"/>
    <w:rsid w:val="00911E3E"/>
    <w:rsid w:val="00911F0B"/>
    <w:rsid w:val="00911F81"/>
    <w:rsid w:val="0091228C"/>
    <w:rsid w:val="00912A42"/>
    <w:rsid w:val="00912AEA"/>
    <w:rsid w:val="00912B9D"/>
    <w:rsid w:val="00912CDF"/>
    <w:rsid w:val="00912F3F"/>
    <w:rsid w:val="009130ED"/>
    <w:rsid w:val="009132E7"/>
    <w:rsid w:val="00913FA5"/>
    <w:rsid w:val="0091416E"/>
    <w:rsid w:val="00914265"/>
    <w:rsid w:val="00914367"/>
    <w:rsid w:val="009147FE"/>
    <w:rsid w:val="00914838"/>
    <w:rsid w:val="00915270"/>
    <w:rsid w:val="009153BB"/>
    <w:rsid w:val="009155AB"/>
    <w:rsid w:val="009158F8"/>
    <w:rsid w:val="00915B5E"/>
    <w:rsid w:val="00915DB5"/>
    <w:rsid w:val="00916577"/>
    <w:rsid w:val="00916D8A"/>
    <w:rsid w:val="00916DDF"/>
    <w:rsid w:val="00917012"/>
    <w:rsid w:val="00917B06"/>
    <w:rsid w:val="00917C7F"/>
    <w:rsid w:val="00920A96"/>
    <w:rsid w:val="00920B3B"/>
    <w:rsid w:val="00920FB5"/>
    <w:rsid w:val="009217AB"/>
    <w:rsid w:val="00921FE8"/>
    <w:rsid w:val="009220D7"/>
    <w:rsid w:val="009220ED"/>
    <w:rsid w:val="00922854"/>
    <w:rsid w:val="009229CA"/>
    <w:rsid w:val="009229F1"/>
    <w:rsid w:val="00922C65"/>
    <w:rsid w:val="00922D16"/>
    <w:rsid w:val="00922E08"/>
    <w:rsid w:val="00922FE7"/>
    <w:rsid w:val="009230DE"/>
    <w:rsid w:val="00923187"/>
    <w:rsid w:val="00923473"/>
    <w:rsid w:val="0092366D"/>
    <w:rsid w:val="009237EA"/>
    <w:rsid w:val="00923863"/>
    <w:rsid w:val="009239B7"/>
    <w:rsid w:val="00924731"/>
    <w:rsid w:val="0092489C"/>
    <w:rsid w:val="00924F33"/>
    <w:rsid w:val="009254DC"/>
    <w:rsid w:val="0092555C"/>
    <w:rsid w:val="009256A3"/>
    <w:rsid w:val="00925A10"/>
    <w:rsid w:val="00925FE5"/>
    <w:rsid w:val="009260C9"/>
    <w:rsid w:val="00927435"/>
    <w:rsid w:val="009276B2"/>
    <w:rsid w:val="009277A0"/>
    <w:rsid w:val="0093018C"/>
    <w:rsid w:val="00930345"/>
    <w:rsid w:val="00930645"/>
    <w:rsid w:val="00930801"/>
    <w:rsid w:val="00930A41"/>
    <w:rsid w:val="00930B5C"/>
    <w:rsid w:val="00930D3D"/>
    <w:rsid w:val="00930D9F"/>
    <w:rsid w:val="00930F3F"/>
    <w:rsid w:val="00930F5D"/>
    <w:rsid w:val="00930FC6"/>
    <w:rsid w:val="00931068"/>
    <w:rsid w:val="0093117A"/>
    <w:rsid w:val="009314B8"/>
    <w:rsid w:val="00931644"/>
    <w:rsid w:val="009318B7"/>
    <w:rsid w:val="00931AEC"/>
    <w:rsid w:val="00931ED1"/>
    <w:rsid w:val="00931F18"/>
    <w:rsid w:val="0093211C"/>
    <w:rsid w:val="00932142"/>
    <w:rsid w:val="009322BA"/>
    <w:rsid w:val="00932555"/>
    <w:rsid w:val="00932626"/>
    <w:rsid w:val="0093278F"/>
    <w:rsid w:val="00932A72"/>
    <w:rsid w:val="00932EA4"/>
    <w:rsid w:val="00933314"/>
    <w:rsid w:val="00933696"/>
    <w:rsid w:val="00933AC8"/>
    <w:rsid w:val="00933D5C"/>
    <w:rsid w:val="00933D9A"/>
    <w:rsid w:val="00933F2B"/>
    <w:rsid w:val="00934069"/>
    <w:rsid w:val="0093416C"/>
    <w:rsid w:val="009344F8"/>
    <w:rsid w:val="009346B5"/>
    <w:rsid w:val="00934AE2"/>
    <w:rsid w:val="00934E94"/>
    <w:rsid w:val="009352D5"/>
    <w:rsid w:val="0093545C"/>
    <w:rsid w:val="0093565C"/>
    <w:rsid w:val="00935A55"/>
    <w:rsid w:val="00935A5F"/>
    <w:rsid w:val="00935C9D"/>
    <w:rsid w:val="009364D7"/>
    <w:rsid w:val="00936607"/>
    <w:rsid w:val="0093688C"/>
    <w:rsid w:val="00936D15"/>
    <w:rsid w:val="00936D16"/>
    <w:rsid w:val="00936F68"/>
    <w:rsid w:val="00937134"/>
    <w:rsid w:val="00937252"/>
    <w:rsid w:val="009373CB"/>
    <w:rsid w:val="00937A58"/>
    <w:rsid w:val="00937D5B"/>
    <w:rsid w:val="00940318"/>
    <w:rsid w:val="009407DD"/>
    <w:rsid w:val="0094096F"/>
    <w:rsid w:val="009411F3"/>
    <w:rsid w:val="0094147E"/>
    <w:rsid w:val="009416D4"/>
    <w:rsid w:val="009418A1"/>
    <w:rsid w:val="00941B3F"/>
    <w:rsid w:val="00942874"/>
    <w:rsid w:val="00942B4E"/>
    <w:rsid w:val="00942C6C"/>
    <w:rsid w:val="0094314D"/>
    <w:rsid w:val="009434EF"/>
    <w:rsid w:val="00943977"/>
    <w:rsid w:val="00943D2B"/>
    <w:rsid w:val="00943F63"/>
    <w:rsid w:val="00944040"/>
    <w:rsid w:val="00944135"/>
    <w:rsid w:val="009444EC"/>
    <w:rsid w:val="00944571"/>
    <w:rsid w:val="00944AD4"/>
    <w:rsid w:val="00944B5F"/>
    <w:rsid w:val="00945064"/>
    <w:rsid w:val="0094506E"/>
    <w:rsid w:val="00945271"/>
    <w:rsid w:val="00945564"/>
    <w:rsid w:val="00945C68"/>
    <w:rsid w:val="00945DC1"/>
    <w:rsid w:val="00945DD4"/>
    <w:rsid w:val="009462FA"/>
    <w:rsid w:val="009463BC"/>
    <w:rsid w:val="009468D4"/>
    <w:rsid w:val="009469B8"/>
    <w:rsid w:val="00946C46"/>
    <w:rsid w:val="00946CBD"/>
    <w:rsid w:val="009474DA"/>
    <w:rsid w:val="00947EBA"/>
    <w:rsid w:val="00947F3E"/>
    <w:rsid w:val="00947FA8"/>
    <w:rsid w:val="00950345"/>
    <w:rsid w:val="009503B0"/>
    <w:rsid w:val="00950615"/>
    <w:rsid w:val="00950A22"/>
    <w:rsid w:val="00950B6A"/>
    <w:rsid w:val="00950C51"/>
    <w:rsid w:val="009512CF"/>
    <w:rsid w:val="00951736"/>
    <w:rsid w:val="00951972"/>
    <w:rsid w:val="0095197F"/>
    <w:rsid w:val="00951C10"/>
    <w:rsid w:val="00951C21"/>
    <w:rsid w:val="00951E02"/>
    <w:rsid w:val="00951E2C"/>
    <w:rsid w:val="00952075"/>
    <w:rsid w:val="0095236B"/>
    <w:rsid w:val="00953BCA"/>
    <w:rsid w:val="00953D49"/>
    <w:rsid w:val="009541A3"/>
    <w:rsid w:val="00954930"/>
    <w:rsid w:val="00954E1D"/>
    <w:rsid w:val="009551FB"/>
    <w:rsid w:val="009556DB"/>
    <w:rsid w:val="009556DF"/>
    <w:rsid w:val="00955848"/>
    <w:rsid w:val="009558BB"/>
    <w:rsid w:val="00956926"/>
    <w:rsid w:val="00956A9D"/>
    <w:rsid w:val="00957283"/>
    <w:rsid w:val="00957724"/>
    <w:rsid w:val="00957810"/>
    <w:rsid w:val="009579FB"/>
    <w:rsid w:val="009604F1"/>
    <w:rsid w:val="00961228"/>
    <w:rsid w:val="009614F1"/>
    <w:rsid w:val="0096172A"/>
    <w:rsid w:val="00961D9A"/>
    <w:rsid w:val="0096256F"/>
    <w:rsid w:val="00962806"/>
    <w:rsid w:val="00962831"/>
    <w:rsid w:val="0096288A"/>
    <w:rsid w:val="00962C5B"/>
    <w:rsid w:val="00964340"/>
    <w:rsid w:val="009648C6"/>
    <w:rsid w:val="00964C42"/>
    <w:rsid w:val="00964EF0"/>
    <w:rsid w:val="009650A2"/>
    <w:rsid w:val="00965302"/>
    <w:rsid w:val="009656AA"/>
    <w:rsid w:val="00965783"/>
    <w:rsid w:val="009658F1"/>
    <w:rsid w:val="00966017"/>
    <w:rsid w:val="009662A3"/>
    <w:rsid w:val="00966634"/>
    <w:rsid w:val="009669D6"/>
    <w:rsid w:val="00966FED"/>
    <w:rsid w:val="009671B2"/>
    <w:rsid w:val="009672D9"/>
    <w:rsid w:val="009676C1"/>
    <w:rsid w:val="00967790"/>
    <w:rsid w:val="00967AD7"/>
    <w:rsid w:val="00967B8C"/>
    <w:rsid w:val="00967E06"/>
    <w:rsid w:val="009713CE"/>
    <w:rsid w:val="009718DA"/>
    <w:rsid w:val="009719D9"/>
    <w:rsid w:val="009728E2"/>
    <w:rsid w:val="0097293D"/>
    <w:rsid w:val="00972CC8"/>
    <w:rsid w:val="00972D00"/>
    <w:rsid w:val="00972E41"/>
    <w:rsid w:val="0097344A"/>
    <w:rsid w:val="0097347B"/>
    <w:rsid w:val="00973A4E"/>
    <w:rsid w:val="009753C2"/>
    <w:rsid w:val="00975887"/>
    <w:rsid w:val="009759AA"/>
    <w:rsid w:val="00975B69"/>
    <w:rsid w:val="009764D6"/>
    <w:rsid w:val="009764EC"/>
    <w:rsid w:val="00976711"/>
    <w:rsid w:val="00976855"/>
    <w:rsid w:val="00976B32"/>
    <w:rsid w:val="00976BBB"/>
    <w:rsid w:val="00976D21"/>
    <w:rsid w:val="00976D90"/>
    <w:rsid w:val="009773A4"/>
    <w:rsid w:val="00977601"/>
    <w:rsid w:val="00977689"/>
    <w:rsid w:val="009776C5"/>
    <w:rsid w:val="00980062"/>
    <w:rsid w:val="009800FE"/>
    <w:rsid w:val="00980829"/>
    <w:rsid w:val="00980925"/>
    <w:rsid w:val="00981061"/>
    <w:rsid w:val="009811FE"/>
    <w:rsid w:val="009812D5"/>
    <w:rsid w:val="0098134F"/>
    <w:rsid w:val="009814D8"/>
    <w:rsid w:val="00981623"/>
    <w:rsid w:val="0098198A"/>
    <w:rsid w:val="00981D38"/>
    <w:rsid w:val="00981F59"/>
    <w:rsid w:val="009823BB"/>
    <w:rsid w:val="00982797"/>
    <w:rsid w:val="00982A07"/>
    <w:rsid w:val="00982AED"/>
    <w:rsid w:val="00982C58"/>
    <w:rsid w:val="0098300F"/>
    <w:rsid w:val="0098349A"/>
    <w:rsid w:val="0098398C"/>
    <w:rsid w:val="009839AF"/>
    <w:rsid w:val="00984495"/>
    <w:rsid w:val="00984CF8"/>
    <w:rsid w:val="00984F5E"/>
    <w:rsid w:val="00985079"/>
    <w:rsid w:val="0098604F"/>
    <w:rsid w:val="00986055"/>
    <w:rsid w:val="009867D7"/>
    <w:rsid w:val="00986A89"/>
    <w:rsid w:val="00986AA9"/>
    <w:rsid w:val="00986D34"/>
    <w:rsid w:val="009877EB"/>
    <w:rsid w:val="00987C9F"/>
    <w:rsid w:val="00987EE0"/>
    <w:rsid w:val="009901C5"/>
    <w:rsid w:val="009905C1"/>
    <w:rsid w:val="00990869"/>
    <w:rsid w:val="00990ADE"/>
    <w:rsid w:val="00990BDA"/>
    <w:rsid w:val="00990C1B"/>
    <w:rsid w:val="00990E5F"/>
    <w:rsid w:val="00991552"/>
    <w:rsid w:val="00991558"/>
    <w:rsid w:val="00991617"/>
    <w:rsid w:val="009916F5"/>
    <w:rsid w:val="0099180F"/>
    <w:rsid w:val="00991A13"/>
    <w:rsid w:val="00991F13"/>
    <w:rsid w:val="009921D2"/>
    <w:rsid w:val="0099269D"/>
    <w:rsid w:val="00992908"/>
    <w:rsid w:val="00992E7E"/>
    <w:rsid w:val="00992F86"/>
    <w:rsid w:val="00993616"/>
    <w:rsid w:val="00993642"/>
    <w:rsid w:val="00993BC0"/>
    <w:rsid w:val="00993C81"/>
    <w:rsid w:val="009946E2"/>
    <w:rsid w:val="00994FFA"/>
    <w:rsid w:val="0099574F"/>
    <w:rsid w:val="00995BAE"/>
    <w:rsid w:val="00995CC0"/>
    <w:rsid w:val="00996304"/>
    <w:rsid w:val="00996439"/>
    <w:rsid w:val="00996458"/>
    <w:rsid w:val="00996664"/>
    <w:rsid w:val="00996A2C"/>
    <w:rsid w:val="00996E04"/>
    <w:rsid w:val="00997034"/>
    <w:rsid w:val="00997134"/>
    <w:rsid w:val="0099715D"/>
    <w:rsid w:val="009972D2"/>
    <w:rsid w:val="009972DD"/>
    <w:rsid w:val="0099745F"/>
    <w:rsid w:val="0099793F"/>
    <w:rsid w:val="00997ACA"/>
    <w:rsid w:val="00997BBD"/>
    <w:rsid w:val="00997DD3"/>
    <w:rsid w:val="00997E27"/>
    <w:rsid w:val="00997F59"/>
    <w:rsid w:val="00997FF3"/>
    <w:rsid w:val="009A00BD"/>
    <w:rsid w:val="009A0343"/>
    <w:rsid w:val="009A1272"/>
    <w:rsid w:val="009A1C65"/>
    <w:rsid w:val="009A1F19"/>
    <w:rsid w:val="009A2024"/>
    <w:rsid w:val="009A2460"/>
    <w:rsid w:val="009A27CE"/>
    <w:rsid w:val="009A27F7"/>
    <w:rsid w:val="009A3282"/>
    <w:rsid w:val="009A33DD"/>
    <w:rsid w:val="009A3931"/>
    <w:rsid w:val="009A3AC0"/>
    <w:rsid w:val="009A3D31"/>
    <w:rsid w:val="009A3D3C"/>
    <w:rsid w:val="009A4466"/>
    <w:rsid w:val="009A4718"/>
    <w:rsid w:val="009A48EB"/>
    <w:rsid w:val="009A4CF0"/>
    <w:rsid w:val="009A4D89"/>
    <w:rsid w:val="009A5440"/>
    <w:rsid w:val="009A54FD"/>
    <w:rsid w:val="009A5662"/>
    <w:rsid w:val="009A5774"/>
    <w:rsid w:val="009A578F"/>
    <w:rsid w:val="009A5BCA"/>
    <w:rsid w:val="009A5CF2"/>
    <w:rsid w:val="009A65AC"/>
    <w:rsid w:val="009A6A80"/>
    <w:rsid w:val="009A6E18"/>
    <w:rsid w:val="009A6EBE"/>
    <w:rsid w:val="009A7067"/>
    <w:rsid w:val="009A7180"/>
    <w:rsid w:val="009A73BE"/>
    <w:rsid w:val="009A75A0"/>
    <w:rsid w:val="009A7A48"/>
    <w:rsid w:val="009A7DD2"/>
    <w:rsid w:val="009B0683"/>
    <w:rsid w:val="009B06E8"/>
    <w:rsid w:val="009B0736"/>
    <w:rsid w:val="009B0A12"/>
    <w:rsid w:val="009B0CD6"/>
    <w:rsid w:val="009B1172"/>
    <w:rsid w:val="009B1D98"/>
    <w:rsid w:val="009B1F70"/>
    <w:rsid w:val="009B229F"/>
    <w:rsid w:val="009B235B"/>
    <w:rsid w:val="009B26F2"/>
    <w:rsid w:val="009B2DBD"/>
    <w:rsid w:val="009B323D"/>
    <w:rsid w:val="009B39A2"/>
    <w:rsid w:val="009B3A96"/>
    <w:rsid w:val="009B3B6D"/>
    <w:rsid w:val="009B3D8A"/>
    <w:rsid w:val="009B40DA"/>
    <w:rsid w:val="009B4302"/>
    <w:rsid w:val="009B442B"/>
    <w:rsid w:val="009B4543"/>
    <w:rsid w:val="009B4D1F"/>
    <w:rsid w:val="009B4FF5"/>
    <w:rsid w:val="009B5691"/>
    <w:rsid w:val="009B5712"/>
    <w:rsid w:val="009B5772"/>
    <w:rsid w:val="009B5C19"/>
    <w:rsid w:val="009B5D01"/>
    <w:rsid w:val="009B5F8C"/>
    <w:rsid w:val="009B67A5"/>
    <w:rsid w:val="009B6A50"/>
    <w:rsid w:val="009B794C"/>
    <w:rsid w:val="009B7BC8"/>
    <w:rsid w:val="009B7D67"/>
    <w:rsid w:val="009B7DC5"/>
    <w:rsid w:val="009C08D1"/>
    <w:rsid w:val="009C11BE"/>
    <w:rsid w:val="009C138C"/>
    <w:rsid w:val="009C16F5"/>
    <w:rsid w:val="009C202F"/>
    <w:rsid w:val="009C210F"/>
    <w:rsid w:val="009C2269"/>
    <w:rsid w:val="009C2391"/>
    <w:rsid w:val="009C2418"/>
    <w:rsid w:val="009C248A"/>
    <w:rsid w:val="009C25B5"/>
    <w:rsid w:val="009C2873"/>
    <w:rsid w:val="009C2A67"/>
    <w:rsid w:val="009C2D05"/>
    <w:rsid w:val="009C3339"/>
    <w:rsid w:val="009C33D9"/>
    <w:rsid w:val="009C391D"/>
    <w:rsid w:val="009C4051"/>
    <w:rsid w:val="009C4435"/>
    <w:rsid w:val="009C4442"/>
    <w:rsid w:val="009C4B74"/>
    <w:rsid w:val="009C5D19"/>
    <w:rsid w:val="009C63C8"/>
    <w:rsid w:val="009C657C"/>
    <w:rsid w:val="009C65E7"/>
    <w:rsid w:val="009C6AB5"/>
    <w:rsid w:val="009C6AF2"/>
    <w:rsid w:val="009C7009"/>
    <w:rsid w:val="009C7059"/>
    <w:rsid w:val="009C73AE"/>
    <w:rsid w:val="009C7EE7"/>
    <w:rsid w:val="009D0128"/>
    <w:rsid w:val="009D01D9"/>
    <w:rsid w:val="009D04EE"/>
    <w:rsid w:val="009D09DE"/>
    <w:rsid w:val="009D1404"/>
    <w:rsid w:val="009D1425"/>
    <w:rsid w:val="009D15B6"/>
    <w:rsid w:val="009D167A"/>
    <w:rsid w:val="009D1F34"/>
    <w:rsid w:val="009D200A"/>
    <w:rsid w:val="009D2170"/>
    <w:rsid w:val="009D2293"/>
    <w:rsid w:val="009D2407"/>
    <w:rsid w:val="009D2511"/>
    <w:rsid w:val="009D299A"/>
    <w:rsid w:val="009D2AB2"/>
    <w:rsid w:val="009D2CB7"/>
    <w:rsid w:val="009D2DA7"/>
    <w:rsid w:val="009D2DF2"/>
    <w:rsid w:val="009D34E6"/>
    <w:rsid w:val="009D350E"/>
    <w:rsid w:val="009D35DE"/>
    <w:rsid w:val="009D3DE1"/>
    <w:rsid w:val="009D4000"/>
    <w:rsid w:val="009D4F7D"/>
    <w:rsid w:val="009D542D"/>
    <w:rsid w:val="009D57D3"/>
    <w:rsid w:val="009D5B2B"/>
    <w:rsid w:val="009D5B48"/>
    <w:rsid w:val="009D5D4B"/>
    <w:rsid w:val="009D6092"/>
    <w:rsid w:val="009D63F2"/>
    <w:rsid w:val="009D63F5"/>
    <w:rsid w:val="009D65E8"/>
    <w:rsid w:val="009D6858"/>
    <w:rsid w:val="009D6EAE"/>
    <w:rsid w:val="009D727A"/>
    <w:rsid w:val="009D7B3F"/>
    <w:rsid w:val="009D7BD1"/>
    <w:rsid w:val="009D7C8F"/>
    <w:rsid w:val="009D7DD0"/>
    <w:rsid w:val="009D7DE6"/>
    <w:rsid w:val="009E0117"/>
    <w:rsid w:val="009E05A6"/>
    <w:rsid w:val="009E08DC"/>
    <w:rsid w:val="009E0AF8"/>
    <w:rsid w:val="009E0DAA"/>
    <w:rsid w:val="009E0EA1"/>
    <w:rsid w:val="009E1141"/>
    <w:rsid w:val="009E13DE"/>
    <w:rsid w:val="009E1A7A"/>
    <w:rsid w:val="009E1B0A"/>
    <w:rsid w:val="009E1F14"/>
    <w:rsid w:val="009E23C6"/>
    <w:rsid w:val="009E24A5"/>
    <w:rsid w:val="009E267C"/>
    <w:rsid w:val="009E280F"/>
    <w:rsid w:val="009E2BC1"/>
    <w:rsid w:val="009E2C42"/>
    <w:rsid w:val="009E2F13"/>
    <w:rsid w:val="009E322B"/>
    <w:rsid w:val="009E385E"/>
    <w:rsid w:val="009E3A0E"/>
    <w:rsid w:val="009E3A1B"/>
    <w:rsid w:val="009E3B8B"/>
    <w:rsid w:val="009E3BD8"/>
    <w:rsid w:val="009E3F06"/>
    <w:rsid w:val="009E400D"/>
    <w:rsid w:val="009E4320"/>
    <w:rsid w:val="009E4479"/>
    <w:rsid w:val="009E45A3"/>
    <w:rsid w:val="009E46A7"/>
    <w:rsid w:val="009E475F"/>
    <w:rsid w:val="009E4A48"/>
    <w:rsid w:val="009E4AD8"/>
    <w:rsid w:val="009E4F03"/>
    <w:rsid w:val="009E51B9"/>
    <w:rsid w:val="009E540F"/>
    <w:rsid w:val="009E548E"/>
    <w:rsid w:val="009E559D"/>
    <w:rsid w:val="009E55DE"/>
    <w:rsid w:val="009E5902"/>
    <w:rsid w:val="009E59B5"/>
    <w:rsid w:val="009E5B4E"/>
    <w:rsid w:val="009E62A7"/>
    <w:rsid w:val="009E649B"/>
    <w:rsid w:val="009E64D7"/>
    <w:rsid w:val="009E6654"/>
    <w:rsid w:val="009E668C"/>
    <w:rsid w:val="009E69A4"/>
    <w:rsid w:val="009E6A46"/>
    <w:rsid w:val="009E6C61"/>
    <w:rsid w:val="009E6E01"/>
    <w:rsid w:val="009E7034"/>
    <w:rsid w:val="009E77D3"/>
    <w:rsid w:val="009E796D"/>
    <w:rsid w:val="009F01D5"/>
    <w:rsid w:val="009F02F8"/>
    <w:rsid w:val="009F0758"/>
    <w:rsid w:val="009F0E9F"/>
    <w:rsid w:val="009F1651"/>
    <w:rsid w:val="009F1AA3"/>
    <w:rsid w:val="009F225C"/>
    <w:rsid w:val="009F23E0"/>
    <w:rsid w:val="009F2A9D"/>
    <w:rsid w:val="009F3C89"/>
    <w:rsid w:val="009F458D"/>
    <w:rsid w:val="009F45DF"/>
    <w:rsid w:val="009F464C"/>
    <w:rsid w:val="009F4C62"/>
    <w:rsid w:val="009F5001"/>
    <w:rsid w:val="009F530E"/>
    <w:rsid w:val="009F5D7D"/>
    <w:rsid w:val="009F60FA"/>
    <w:rsid w:val="009F6A99"/>
    <w:rsid w:val="009F73F4"/>
    <w:rsid w:val="009F7633"/>
    <w:rsid w:val="009F7820"/>
    <w:rsid w:val="009F78FA"/>
    <w:rsid w:val="009F7A67"/>
    <w:rsid w:val="009F7E54"/>
    <w:rsid w:val="009F7F0F"/>
    <w:rsid w:val="00A00085"/>
    <w:rsid w:val="00A004D4"/>
    <w:rsid w:val="00A0056A"/>
    <w:rsid w:val="00A00581"/>
    <w:rsid w:val="00A0089C"/>
    <w:rsid w:val="00A00A5A"/>
    <w:rsid w:val="00A00E17"/>
    <w:rsid w:val="00A0118E"/>
    <w:rsid w:val="00A0145E"/>
    <w:rsid w:val="00A01956"/>
    <w:rsid w:val="00A01BE8"/>
    <w:rsid w:val="00A01D94"/>
    <w:rsid w:val="00A02A73"/>
    <w:rsid w:val="00A02AAF"/>
    <w:rsid w:val="00A02C37"/>
    <w:rsid w:val="00A031FE"/>
    <w:rsid w:val="00A03519"/>
    <w:rsid w:val="00A03525"/>
    <w:rsid w:val="00A0439D"/>
    <w:rsid w:val="00A04565"/>
    <w:rsid w:val="00A046C7"/>
    <w:rsid w:val="00A0495C"/>
    <w:rsid w:val="00A04EC1"/>
    <w:rsid w:val="00A05136"/>
    <w:rsid w:val="00A054A9"/>
    <w:rsid w:val="00A05A1F"/>
    <w:rsid w:val="00A05A46"/>
    <w:rsid w:val="00A05DBB"/>
    <w:rsid w:val="00A0688C"/>
    <w:rsid w:val="00A06A1E"/>
    <w:rsid w:val="00A06B5F"/>
    <w:rsid w:val="00A0749F"/>
    <w:rsid w:val="00A076B9"/>
    <w:rsid w:val="00A07B3A"/>
    <w:rsid w:val="00A07D72"/>
    <w:rsid w:val="00A102BC"/>
    <w:rsid w:val="00A107A1"/>
    <w:rsid w:val="00A10CB9"/>
    <w:rsid w:val="00A112B9"/>
    <w:rsid w:val="00A11D73"/>
    <w:rsid w:val="00A11F81"/>
    <w:rsid w:val="00A11FBD"/>
    <w:rsid w:val="00A12359"/>
    <w:rsid w:val="00A12A85"/>
    <w:rsid w:val="00A12ADC"/>
    <w:rsid w:val="00A12F70"/>
    <w:rsid w:val="00A13195"/>
    <w:rsid w:val="00A13A27"/>
    <w:rsid w:val="00A13A85"/>
    <w:rsid w:val="00A13B06"/>
    <w:rsid w:val="00A13F75"/>
    <w:rsid w:val="00A14A39"/>
    <w:rsid w:val="00A14C56"/>
    <w:rsid w:val="00A14C62"/>
    <w:rsid w:val="00A15004"/>
    <w:rsid w:val="00A1505C"/>
    <w:rsid w:val="00A15539"/>
    <w:rsid w:val="00A15C1A"/>
    <w:rsid w:val="00A15DFE"/>
    <w:rsid w:val="00A161F8"/>
    <w:rsid w:val="00A1666F"/>
    <w:rsid w:val="00A166EE"/>
    <w:rsid w:val="00A170C1"/>
    <w:rsid w:val="00A1723B"/>
    <w:rsid w:val="00A1776E"/>
    <w:rsid w:val="00A1778C"/>
    <w:rsid w:val="00A17B49"/>
    <w:rsid w:val="00A17C40"/>
    <w:rsid w:val="00A17CB9"/>
    <w:rsid w:val="00A17FBC"/>
    <w:rsid w:val="00A20494"/>
    <w:rsid w:val="00A20548"/>
    <w:rsid w:val="00A2063D"/>
    <w:rsid w:val="00A20656"/>
    <w:rsid w:val="00A20955"/>
    <w:rsid w:val="00A209BF"/>
    <w:rsid w:val="00A20CCC"/>
    <w:rsid w:val="00A21404"/>
    <w:rsid w:val="00A21408"/>
    <w:rsid w:val="00A21484"/>
    <w:rsid w:val="00A214F0"/>
    <w:rsid w:val="00A215C0"/>
    <w:rsid w:val="00A2221E"/>
    <w:rsid w:val="00A22509"/>
    <w:rsid w:val="00A2286F"/>
    <w:rsid w:val="00A229F6"/>
    <w:rsid w:val="00A22DCD"/>
    <w:rsid w:val="00A22DD6"/>
    <w:rsid w:val="00A23260"/>
    <w:rsid w:val="00A233EA"/>
    <w:rsid w:val="00A2363C"/>
    <w:rsid w:val="00A23BB4"/>
    <w:rsid w:val="00A241BF"/>
    <w:rsid w:val="00A24FCF"/>
    <w:rsid w:val="00A250A1"/>
    <w:rsid w:val="00A25293"/>
    <w:rsid w:val="00A25354"/>
    <w:rsid w:val="00A2553D"/>
    <w:rsid w:val="00A25889"/>
    <w:rsid w:val="00A25C82"/>
    <w:rsid w:val="00A26073"/>
    <w:rsid w:val="00A26560"/>
    <w:rsid w:val="00A274D8"/>
    <w:rsid w:val="00A2773E"/>
    <w:rsid w:val="00A27DA7"/>
    <w:rsid w:val="00A27DEC"/>
    <w:rsid w:val="00A27E10"/>
    <w:rsid w:val="00A30188"/>
    <w:rsid w:val="00A306C4"/>
    <w:rsid w:val="00A30DC1"/>
    <w:rsid w:val="00A31082"/>
    <w:rsid w:val="00A31778"/>
    <w:rsid w:val="00A318E3"/>
    <w:rsid w:val="00A319A0"/>
    <w:rsid w:val="00A31EBD"/>
    <w:rsid w:val="00A320DD"/>
    <w:rsid w:val="00A323DD"/>
    <w:rsid w:val="00A3249F"/>
    <w:rsid w:val="00A324DA"/>
    <w:rsid w:val="00A32711"/>
    <w:rsid w:val="00A3274B"/>
    <w:rsid w:val="00A32779"/>
    <w:rsid w:val="00A32788"/>
    <w:rsid w:val="00A32830"/>
    <w:rsid w:val="00A32BB5"/>
    <w:rsid w:val="00A32D15"/>
    <w:rsid w:val="00A3302F"/>
    <w:rsid w:val="00A333F2"/>
    <w:rsid w:val="00A33BB9"/>
    <w:rsid w:val="00A3439A"/>
    <w:rsid w:val="00A34EA1"/>
    <w:rsid w:val="00A34EB8"/>
    <w:rsid w:val="00A34F89"/>
    <w:rsid w:val="00A35B86"/>
    <w:rsid w:val="00A35D59"/>
    <w:rsid w:val="00A36943"/>
    <w:rsid w:val="00A3694E"/>
    <w:rsid w:val="00A36D30"/>
    <w:rsid w:val="00A36E05"/>
    <w:rsid w:val="00A36E35"/>
    <w:rsid w:val="00A36F0D"/>
    <w:rsid w:val="00A37145"/>
    <w:rsid w:val="00A37295"/>
    <w:rsid w:val="00A3783A"/>
    <w:rsid w:val="00A378A4"/>
    <w:rsid w:val="00A378F0"/>
    <w:rsid w:val="00A37A16"/>
    <w:rsid w:val="00A40148"/>
    <w:rsid w:val="00A40C78"/>
    <w:rsid w:val="00A40FCA"/>
    <w:rsid w:val="00A410D9"/>
    <w:rsid w:val="00A4150D"/>
    <w:rsid w:val="00A416C3"/>
    <w:rsid w:val="00A41BD6"/>
    <w:rsid w:val="00A41F20"/>
    <w:rsid w:val="00A429D7"/>
    <w:rsid w:val="00A42A41"/>
    <w:rsid w:val="00A42FF3"/>
    <w:rsid w:val="00A436A0"/>
    <w:rsid w:val="00A436F9"/>
    <w:rsid w:val="00A43BA3"/>
    <w:rsid w:val="00A43EFD"/>
    <w:rsid w:val="00A43F9E"/>
    <w:rsid w:val="00A44369"/>
    <w:rsid w:val="00A445EB"/>
    <w:rsid w:val="00A44758"/>
    <w:rsid w:val="00A4475A"/>
    <w:rsid w:val="00A44AAF"/>
    <w:rsid w:val="00A44F20"/>
    <w:rsid w:val="00A45B0A"/>
    <w:rsid w:val="00A45D23"/>
    <w:rsid w:val="00A45DBB"/>
    <w:rsid w:val="00A460EE"/>
    <w:rsid w:val="00A46268"/>
    <w:rsid w:val="00A462A2"/>
    <w:rsid w:val="00A4695C"/>
    <w:rsid w:val="00A46C71"/>
    <w:rsid w:val="00A46D4C"/>
    <w:rsid w:val="00A46F7D"/>
    <w:rsid w:val="00A46FE7"/>
    <w:rsid w:val="00A47483"/>
    <w:rsid w:val="00A477A8"/>
    <w:rsid w:val="00A47B01"/>
    <w:rsid w:val="00A5009A"/>
    <w:rsid w:val="00A501CF"/>
    <w:rsid w:val="00A5021B"/>
    <w:rsid w:val="00A5064A"/>
    <w:rsid w:val="00A5069F"/>
    <w:rsid w:val="00A5070A"/>
    <w:rsid w:val="00A50F3D"/>
    <w:rsid w:val="00A5178D"/>
    <w:rsid w:val="00A52140"/>
    <w:rsid w:val="00A522B4"/>
    <w:rsid w:val="00A522F1"/>
    <w:rsid w:val="00A526EA"/>
    <w:rsid w:val="00A52BE6"/>
    <w:rsid w:val="00A53473"/>
    <w:rsid w:val="00A534A3"/>
    <w:rsid w:val="00A537FC"/>
    <w:rsid w:val="00A53BC6"/>
    <w:rsid w:val="00A53DD7"/>
    <w:rsid w:val="00A5415E"/>
    <w:rsid w:val="00A541AD"/>
    <w:rsid w:val="00A5429A"/>
    <w:rsid w:val="00A54B81"/>
    <w:rsid w:val="00A54D23"/>
    <w:rsid w:val="00A54DE2"/>
    <w:rsid w:val="00A553D7"/>
    <w:rsid w:val="00A55767"/>
    <w:rsid w:val="00A55818"/>
    <w:rsid w:val="00A559B7"/>
    <w:rsid w:val="00A55D5B"/>
    <w:rsid w:val="00A56426"/>
    <w:rsid w:val="00A567DF"/>
    <w:rsid w:val="00A56B7B"/>
    <w:rsid w:val="00A56D62"/>
    <w:rsid w:val="00A56EB4"/>
    <w:rsid w:val="00A5729C"/>
    <w:rsid w:val="00A572A2"/>
    <w:rsid w:val="00A575D9"/>
    <w:rsid w:val="00A57FD0"/>
    <w:rsid w:val="00A60457"/>
    <w:rsid w:val="00A606D6"/>
    <w:rsid w:val="00A60BEE"/>
    <w:rsid w:val="00A60FBC"/>
    <w:rsid w:val="00A61110"/>
    <w:rsid w:val="00A6121B"/>
    <w:rsid w:val="00A618AB"/>
    <w:rsid w:val="00A61B7E"/>
    <w:rsid w:val="00A61CD4"/>
    <w:rsid w:val="00A61E5E"/>
    <w:rsid w:val="00A61EE6"/>
    <w:rsid w:val="00A620E6"/>
    <w:rsid w:val="00A62147"/>
    <w:rsid w:val="00A621DE"/>
    <w:rsid w:val="00A62690"/>
    <w:rsid w:val="00A62935"/>
    <w:rsid w:val="00A62FDF"/>
    <w:rsid w:val="00A6388D"/>
    <w:rsid w:val="00A63985"/>
    <w:rsid w:val="00A639D4"/>
    <w:rsid w:val="00A64996"/>
    <w:rsid w:val="00A64EF1"/>
    <w:rsid w:val="00A65274"/>
    <w:rsid w:val="00A65508"/>
    <w:rsid w:val="00A66A08"/>
    <w:rsid w:val="00A66F3E"/>
    <w:rsid w:val="00A6708A"/>
    <w:rsid w:val="00A670FF"/>
    <w:rsid w:val="00A671A7"/>
    <w:rsid w:val="00A6727A"/>
    <w:rsid w:val="00A67664"/>
    <w:rsid w:val="00A677D0"/>
    <w:rsid w:val="00A67DDA"/>
    <w:rsid w:val="00A67FBB"/>
    <w:rsid w:val="00A7004D"/>
    <w:rsid w:val="00A70069"/>
    <w:rsid w:val="00A7031C"/>
    <w:rsid w:val="00A704D8"/>
    <w:rsid w:val="00A7207B"/>
    <w:rsid w:val="00A721F7"/>
    <w:rsid w:val="00A724E3"/>
    <w:rsid w:val="00A72B50"/>
    <w:rsid w:val="00A732B0"/>
    <w:rsid w:val="00A7334D"/>
    <w:rsid w:val="00A73366"/>
    <w:rsid w:val="00A73390"/>
    <w:rsid w:val="00A73542"/>
    <w:rsid w:val="00A73A7A"/>
    <w:rsid w:val="00A73E96"/>
    <w:rsid w:val="00A74103"/>
    <w:rsid w:val="00A7418D"/>
    <w:rsid w:val="00A749EA"/>
    <w:rsid w:val="00A74A74"/>
    <w:rsid w:val="00A74FD0"/>
    <w:rsid w:val="00A75095"/>
    <w:rsid w:val="00A75633"/>
    <w:rsid w:val="00A757AE"/>
    <w:rsid w:val="00A75C8E"/>
    <w:rsid w:val="00A75F0B"/>
    <w:rsid w:val="00A76537"/>
    <w:rsid w:val="00A76939"/>
    <w:rsid w:val="00A76B97"/>
    <w:rsid w:val="00A76BCB"/>
    <w:rsid w:val="00A76C20"/>
    <w:rsid w:val="00A76D42"/>
    <w:rsid w:val="00A771CA"/>
    <w:rsid w:val="00A77843"/>
    <w:rsid w:val="00A77BC1"/>
    <w:rsid w:val="00A804A6"/>
    <w:rsid w:val="00A805D2"/>
    <w:rsid w:val="00A809AA"/>
    <w:rsid w:val="00A80B48"/>
    <w:rsid w:val="00A80C20"/>
    <w:rsid w:val="00A80E6B"/>
    <w:rsid w:val="00A8104A"/>
    <w:rsid w:val="00A8115C"/>
    <w:rsid w:val="00A8116C"/>
    <w:rsid w:val="00A8132C"/>
    <w:rsid w:val="00A81409"/>
    <w:rsid w:val="00A8141F"/>
    <w:rsid w:val="00A81609"/>
    <w:rsid w:val="00A819BE"/>
    <w:rsid w:val="00A81CE2"/>
    <w:rsid w:val="00A81E5F"/>
    <w:rsid w:val="00A826A6"/>
    <w:rsid w:val="00A829D6"/>
    <w:rsid w:val="00A831EE"/>
    <w:rsid w:val="00A8335F"/>
    <w:rsid w:val="00A835BE"/>
    <w:rsid w:val="00A83AE5"/>
    <w:rsid w:val="00A84118"/>
    <w:rsid w:val="00A842AD"/>
    <w:rsid w:val="00A842F1"/>
    <w:rsid w:val="00A84312"/>
    <w:rsid w:val="00A84570"/>
    <w:rsid w:val="00A84A13"/>
    <w:rsid w:val="00A852FE"/>
    <w:rsid w:val="00A85467"/>
    <w:rsid w:val="00A86475"/>
    <w:rsid w:val="00A8674F"/>
    <w:rsid w:val="00A86995"/>
    <w:rsid w:val="00A87609"/>
    <w:rsid w:val="00A87676"/>
    <w:rsid w:val="00A87D14"/>
    <w:rsid w:val="00A9021F"/>
    <w:rsid w:val="00A90387"/>
    <w:rsid w:val="00A90812"/>
    <w:rsid w:val="00A90A7D"/>
    <w:rsid w:val="00A90C0E"/>
    <w:rsid w:val="00A910CF"/>
    <w:rsid w:val="00A913BA"/>
    <w:rsid w:val="00A91AA3"/>
    <w:rsid w:val="00A92383"/>
    <w:rsid w:val="00A92583"/>
    <w:rsid w:val="00A92C92"/>
    <w:rsid w:val="00A92E7C"/>
    <w:rsid w:val="00A93016"/>
    <w:rsid w:val="00A933AC"/>
    <w:rsid w:val="00A93469"/>
    <w:rsid w:val="00A93954"/>
    <w:rsid w:val="00A93C60"/>
    <w:rsid w:val="00A93C88"/>
    <w:rsid w:val="00A93E7D"/>
    <w:rsid w:val="00A93FB1"/>
    <w:rsid w:val="00A941F6"/>
    <w:rsid w:val="00A9423E"/>
    <w:rsid w:val="00A94696"/>
    <w:rsid w:val="00A946FE"/>
    <w:rsid w:val="00A94CE3"/>
    <w:rsid w:val="00A94F85"/>
    <w:rsid w:val="00A95412"/>
    <w:rsid w:val="00A95761"/>
    <w:rsid w:val="00A958D4"/>
    <w:rsid w:val="00A95AD6"/>
    <w:rsid w:val="00A95C3D"/>
    <w:rsid w:val="00A95C98"/>
    <w:rsid w:val="00A95E32"/>
    <w:rsid w:val="00A95E5D"/>
    <w:rsid w:val="00A95E87"/>
    <w:rsid w:val="00A96034"/>
    <w:rsid w:val="00A960C7"/>
    <w:rsid w:val="00A96623"/>
    <w:rsid w:val="00A96957"/>
    <w:rsid w:val="00A96A9D"/>
    <w:rsid w:val="00A96B2F"/>
    <w:rsid w:val="00A96CD9"/>
    <w:rsid w:val="00A96EEC"/>
    <w:rsid w:val="00A9743F"/>
    <w:rsid w:val="00A97547"/>
    <w:rsid w:val="00A977A7"/>
    <w:rsid w:val="00A97806"/>
    <w:rsid w:val="00A97B1F"/>
    <w:rsid w:val="00A97E12"/>
    <w:rsid w:val="00AA0103"/>
    <w:rsid w:val="00AA02AE"/>
    <w:rsid w:val="00AA031B"/>
    <w:rsid w:val="00AA0F24"/>
    <w:rsid w:val="00AA1286"/>
    <w:rsid w:val="00AA15EE"/>
    <w:rsid w:val="00AA19DB"/>
    <w:rsid w:val="00AA1ABB"/>
    <w:rsid w:val="00AA1B75"/>
    <w:rsid w:val="00AA1E7F"/>
    <w:rsid w:val="00AA24FA"/>
    <w:rsid w:val="00AA2638"/>
    <w:rsid w:val="00AA2ACC"/>
    <w:rsid w:val="00AA2B93"/>
    <w:rsid w:val="00AA2DD2"/>
    <w:rsid w:val="00AA2DEB"/>
    <w:rsid w:val="00AA324E"/>
    <w:rsid w:val="00AA3FF2"/>
    <w:rsid w:val="00AA4090"/>
    <w:rsid w:val="00AA42CC"/>
    <w:rsid w:val="00AA4461"/>
    <w:rsid w:val="00AA4529"/>
    <w:rsid w:val="00AA49C5"/>
    <w:rsid w:val="00AA59A1"/>
    <w:rsid w:val="00AA59E0"/>
    <w:rsid w:val="00AA5A08"/>
    <w:rsid w:val="00AA5A3B"/>
    <w:rsid w:val="00AA5F0F"/>
    <w:rsid w:val="00AA6175"/>
    <w:rsid w:val="00AA61C2"/>
    <w:rsid w:val="00AA63E5"/>
    <w:rsid w:val="00AA64F3"/>
    <w:rsid w:val="00AA651C"/>
    <w:rsid w:val="00AA6C7C"/>
    <w:rsid w:val="00AA7362"/>
    <w:rsid w:val="00AA73D9"/>
    <w:rsid w:val="00AA7DAB"/>
    <w:rsid w:val="00AB00FB"/>
    <w:rsid w:val="00AB04C0"/>
    <w:rsid w:val="00AB04D9"/>
    <w:rsid w:val="00AB0793"/>
    <w:rsid w:val="00AB0837"/>
    <w:rsid w:val="00AB0942"/>
    <w:rsid w:val="00AB0973"/>
    <w:rsid w:val="00AB102B"/>
    <w:rsid w:val="00AB118F"/>
    <w:rsid w:val="00AB129C"/>
    <w:rsid w:val="00AB13BE"/>
    <w:rsid w:val="00AB18C7"/>
    <w:rsid w:val="00AB1AFA"/>
    <w:rsid w:val="00AB1D5A"/>
    <w:rsid w:val="00AB2089"/>
    <w:rsid w:val="00AB21D3"/>
    <w:rsid w:val="00AB22F2"/>
    <w:rsid w:val="00AB2441"/>
    <w:rsid w:val="00AB251C"/>
    <w:rsid w:val="00AB2E08"/>
    <w:rsid w:val="00AB2FA2"/>
    <w:rsid w:val="00AB35EB"/>
    <w:rsid w:val="00AB3883"/>
    <w:rsid w:val="00AB3D39"/>
    <w:rsid w:val="00AB3DC7"/>
    <w:rsid w:val="00AB3EDD"/>
    <w:rsid w:val="00AB41EE"/>
    <w:rsid w:val="00AB4477"/>
    <w:rsid w:val="00AB44B5"/>
    <w:rsid w:val="00AB45FB"/>
    <w:rsid w:val="00AB4E8E"/>
    <w:rsid w:val="00AB5016"/>
    <w:rsid w:val="00AB5991"/>
    <w:rsid w:val="00AB59E2"/>
    <w:rsid w:val="00AB5AFB"/>
    <w:rsid w:val="00AB5E4E"/>
    <w:rsid w:val="00AB5EC7"/>
    <w:rsid w:val="00AB6691"/>
    <w:rsid w:val="00AB6976"/>
    <w:rsid w:val="00AB749B"/>
    <w:rsid w:val="00AC05E0"/>
    <w:rsid w:val="00AC0B76"/>
    <w:rsid w:val="00AC0CC8"/>
    <w:rsid w:val="00AC13C1"/>
    <w:rsid w:val="00AC1A6D"/>
    <w:rsid w:val="00AC21CB"/>
    <w:rsid w:val="00AC2662"/>
    <w:rsid w:val="00AC29FC"/>
    <w:rsid w:val="00AC2B36"/>
    <w:rsid w:val="00AC2F33"/>
    <w:rsid w:val="00AC3044"/>
    <w:rsid w:val="00AC3326"/>
    <w:rsid w:val="00AC390C"/>
    <w:rsid w:val="00AC4007"/>
    <w:rsid w:val="00AC4079"/>
    <w:rsid w:val="00AC40FC"/>
    <w:rsid w:val="00AC4238"/>
    <w:rsid w:val="00AC45A0"/>
    <w:rsid w:val="00AC46CF"/>
    <w:rsid w:val="00AC4886"/>
    <w:rsid w:val="00AC4B85"/>
    <w:rsid w:val="00AC4C93"/>
    <w:rsid w:val="00AC4D18"/>
    <w:rsid w:val="00AC5035"/>
    <w:rsid w:val="00AC57BF"/>
    <w:rsid w:val="00AC580B"/>
    <w:rsid w:val="00AC587C"/>
    <w:rsid w:val="00AC5C3E"/>
    <w:rsid w:val="00AC5E14"/>
    <w:rsid w:val="00AC5FDE"/>
    <w:rsid w:val="00AC6060"/>
    <w:rsid w:val="00AC61DE"/>
    <w:rsid w:val="00AC6344"/>
    <w:rsid w:val="00AD00E1"/>
    <w:rsid w:val="00AD100C"/>
    <w:rsid w:val="00AD126E"/>
    <w:rsid w:val="00AD1475"/>
    <w:rsid w:val="00AD2314"/>
    <w:rsid w:val="00AD2931"/>
    <w:rsid w:val="00AD2FA8"/>
    <w:rsid w:val="00AD32E1"/>
    <w:rsid w:val="00AD3467"/>
    <w:rsid w:val="00AD37F8"/>
    <w:rsid w:val="00AD3B2E"/>
    <w:rsid w:val="00AD48F0"/>
    <w:rsid w:val="00AD56F7"/>
    <w:rsid w:val="00AD5F29"/>
    <w:rsid w:val="00AD6140"/>
    <w:rsid w:val="00AD62F4"/>
    <w:rsid w:val="00AD66B1"/>
    <w:rsid w:val="00AD757D"/>
    <w:rsid w:val="00AD769B"/>
    <w:rsid w:val="00AD772B"/>
    <w:rsid w:val="00AD7815"/>
    <w:rsid w:val="00AD7830"/>
    <w:rsid w:val="00AD7CAD"/>
    <w:rsid w:val="00AD7EF9"/>
    <w:rsid w:val="00AD7FD8"/>
    <w:rsid w:val="00AE00EC"/>
    <w:rsid w:val="00AE0739"/>
    <w:rsid w:val="00AE0A9F"/>
    <w:rsid w:val="00AE0C22"/>
    <w:rsid w:val="00AE1286"/>
    <w:rsid w:val="00AE12CC"/>
    <w:rsid w:val="00AE1675"/>
    <w:rsid w:val="00AE17BE"/>
    <w:rsid w:val="00AE1B14"/>
    <w:rsid w:val="00AE2130"/>
    <w:rsid w:val="00AE21D0"/>
    <w:rsid w:val="00AE23E9"/>
    <w:rsid w:val="00AE2523"/>
    <w:rsid w:val="00AE25AC"/>
    <w:rsid w:val="00AE25DA"/>
    <w:rsid w:val="00AE2B63"/>
    <w:rsid w:val="00AE2DF3"/>
    <w:rsid w:val="00AE3570"/>
    <w:rsid w:val="00AE3DF1"/>
    <w:rsid w:val="00AE3E05"/>
    <w:rsid w:val="00AE3E2D"/>
    <w:rsid w:val="00AE3E61"/>
    <w:rsid w:val="00AE4482"/>
    <w:rsid w:val="00AE4696"/>
    <w:rsid w:val="00AE48FA"/>
    <w:rsid w:val="00AE4C99"/>
    <w:rsid w:val="00AE5164"/>
    <w:rsid w:val="00AE5433"/>
    <w:rsid w:val="00AE5A93"/>
    <w:rsid w:val="00AE6500"/>
    <w:rsid w:val="00AE6614"/>
    <w:rsid w:val="00AE6B70"/>
    <w:rsid w:val="00AE6D2C"/>
    <w:rsid w:val="00AE6F18"/>
    <w:rsid w:val="00AE7323"/>
    <w:rsid w:val="00AE74D2"/>
    <w:rsid w:val="00AE7626"/>
    <w:rsid w:val="00AE76B2"/>
    <w:rsid w:val="00AE7BDA"/>
    <w:rsid w:val="00AF0377"/>
    <w:rsid w:val="00AF0866"/>
    <w:rsid w:val="00AF0969"/>
    <w:rsid w:val="00AF0995"/>
    <w:rsid w:val="00AF0D87"/>
    <w:rsid w:val="00AF170F"/>
    <w:rsid w:val="00AF1AAA"/>
    <w:rsid w:val="00AF1AE3"/>
    <w:rsid w:val="00AF2392"/>
    <w:rsid w:val="00AF26B5"/>
    <w:rsid w:val="00AF28E1"/>
    <w:rsid w:val="00AF29B0"/>
    <w:rsid w:val="00AF29B3"/>
    <w:rsid w:val="00AF2EE7"/>
    <w:rsid w:val="00AF3033"/>
    <w:rsid w:val="00AF3102"/>
    <w:rsid w:val="00AF3270"/>
    <w:rsid w:val="00AF3360"/>
    <w:rsid w:val="00AF3ECB"/>
    <w:rsid w:val="00AF4061"/>
    <w:rsid w:val="00AF43CC"/>
    <w:rsid w:val="00AF45BA"/>
    <w:rsid w:val="00AF48FC"/>
    <w:rsid w:val="00AF4A11"/>
    <w:rsid w:val="00AF4A58"/>
    <w:rsid w:val="00AF4B10"/>
    <w:rsid w:val="00AF4B23"/>
    <w:rsid w:val="00AF4C13"/>
    <w:rsid w:val="00AF4EAB"/>
    <w:rsid w:val="00AF575A"/>
    <w:rsid w:val="00AF5C45"/>
    <w:rsid w:val="00AF5EBF"/>
    <w:rsid w:val="00AF62F3"/>
    <w:rsid w:val="00AF630F"/>
    <w:rsid w:val="00AF6342"/>
    <w:rsid w:val="00AF6836"/>
    <w:rsid w:val="00AF6904"/>
    <w:rsid w:val="00AF6BFB"/>
    <w:rsid w:val="00AF78F1"/>
    <w:rsid w:val="00B00257"/>
    <w:rsid w:val="00B00475"/>
    <w:rsid w:val="00B02535"/>
    <w:rsid w:val="00B0273B"/>
    <w:rsid w:val="00B02AFF"/>
    <w:rsid w:val="00B02D07"/>
    <w:rsid w:val="00B02DC8"/>
    <w:rsid w:val="00B02EC5"/>
    <w:rsid w:val="00B03725"/>
    <w:rsid w:val="00B0388A"/>
    <w:rsid w:val="00B03C0C"/>
    <w:rsid w:val="00B03D83"/>
    <w:rsid w:val="00B04B00"/>
    <w:rsid w:val="00B04E7B"/>
    <w:rsid w:val="00B04F25"/>
    <w:rsid w:val="00B0526C"/>
    <w:rsid w:val="00B05B9A"/>
    <w:rsid w:val="00B06B2B"/>
    <w:rsid w:val="00B06D4D"/>
    <w:rsid w:val="00B06F94"/>
    <w:rsid w:val="00B07BAD"/>
    <w:rsid w:val="00B07E74"/>
    <w:rsid w:val="00B07EE6"/>
    <w:rsid w:val="00B102EE"/>
    <w:rsid w:val="00B10992"/>
    <w:rsid w:val="00B10EB8"/>
    <w:rsid w:val="00B1134D"/>
    <w:rsid w:val="00B114C2"/>
    <w:rsid w:val="00B11F37"/>
    <w:rsid w:val="00B121D0"/>
    <w:rsid w:val="00B1243F"/>
    <w:rsid w:val="00B12AD4"/>
    <w:rsid w:val="00B12F90"/>
    <w:rsid w:val="00B131D2"/>
    <w:rsid w:val="00B13DBC"/>
    <w:rsid w:val="00B14111"/>
    <w:rsid w:val="00B146AD"/>
    <w:rsid w:val="00B148FF"/>
    <w:rsid w:val="00B15C56"/>
    <w:rsid w:val="00B164CF"/>
    <w:rsid w:val="00B165D9"/>
    <w:rsid w:val="00B165DD"/>
    <w:rsid w:val="00B1688C"/>
    <w:rsid w:val="00B1722F"/>
    <w:rsid w:val="00B17289"/>
    <w:rsid w:val="00B172D8"/>
    <w:rsid w:val="00B17BAF"/>
    <w:rsid w:val="00B2031A"/>
    <w:rsid w:val="00B203C1"/>
    <w:rsid w:val="00B2107A"/>
    <w:rsid w:val="00B219C4"/>
    <w:rsid w:val="00B21ADA"/>
    <w:rsid w:val="00B21BAA"/>
    <w:rsid w:val="00B22753"/>
    <w:rsid w:val="00B22757"/>
    <w:rsid w:val="00B227C5"/>
    <w:rsid w:val="00B22CDA"/>
    <w:rsid w:val="00B22DF6"/>
    <w:rsid w:val="00B231C8"/>
    <w:rsid w:val="00B231C9"/>
    <w:rsid w:val="00B231FA"/>
    <w:rsid w:val="00B23771"/>
    <w:rsid w:val="00B23832"/>
    <w:rsid w:val="00B23E8C"/>
    <w:rsid w:val="00B24708"/>
    <w:rsid w:val="00B24800"/>
    <w:rsid w:val="00B24EF9"/>
    <w:rsid w:val="00B25228"/>
    <w:rsid w:val="00B258CA"/>
    <w:rsid w:val="00B25926"/>
    <w:rsid w:val="00B25988"/>
    <w:rsid w:val="00B25A1B"/>
    <w:rsid w:val="00B25B23"/>
    <w:rsid w:val="00B25CE1"/>
    <w:rsid w:val="00B2600E"/>
    <w:rsid w:val="00B264E4"/>
    <w:rsid w:val="00B26592"/>
    <w:rsid w:val="00B267F2"/>
    <w:rsid w:val="00B268E9"/>
    <w:rsid w:val="00B26999"/>
    <w:rsid w:val="00B26B52"/>
    <w:rsid w:val="00B26BAD"/>
    <w:rsid w:val="00B27A83"/>
    <w:rsid w:val="00B27D12"/>
    <w:rsid w:val="00B27DB6"/>
    <w:rsid w:val="00B300AD"/>
    <w:rsid w:val="00B30197"/>
    <w:rsid w:val="00B305D4"/>
    <w:rsid w:val="00B31133"/>
    <w:rsid w:val="00B31189"/>
    <w:rsid w:val="00B31679"/>
    <w:rsid w:val="00B319BA"/>
    <w:rsid w:val="00B31E01"/>
    <w:rsid w:val="00B31E4C"/>
    <w:rsid w:val="00B31EA6"/>
    <w:rsid w:val="00B323F8"/>
    <w:rsid w:val="00B33384"/>
    <w:rsid w:val="00B33532"/>
    <w:rsid w:val="00B33685"/>
    <w:rsid w:val="00B336D8"/>
    <w:rsid w:val="00B33885"/>
    <w:rsid w:val="00B339D3"/>
    <w:rsid w:val="00B33F68"/>
    <w:rsid w:val="00B340D9"/>
    <w:rsid w:val="00B345FD"/>
    <w:rsid w:val="00B3488D"/>
    <w:rsid w:val="00B34CF3"/>
    <w:rsid w:val="00B34E1B"/>
    <w:rsid w:val="00B35B9A"/>
    <w:rsid w:val="00B35C64"/>
    <w:rsid w:val="00B35F39"/>
    <w:rsid w:val="00B36132"/>
    <w:rsid w:val="00B36186"/>
    <w:rsid w:val="00B363A4"/>
    <w:rsid w:val="00B36422"/>
    <w:rsid w:val="00B3660C"/>
    <w:rsid w:val="00B36892"/>
    <w:rsid w:val="00B37202"/>
    <w:rsid w:val="00B37224"/>
    <w:rsid w:val="00B374A2"/>
    <w:rsid w:val="00B3798E"/>
    <w:rsid w:val="00B37E01"/>
    <w:rsid w:val="00B4025E"/>
    <w:rsid w:val="00B40511"/>
    <w:rsid w:val="00B40738"/>
    <w:rsid w:val="00B40C60"/>
    <w:rsid w:val="00B40EE4"/>
    <w:rsid w:val="00B40FB4"/>
    <w:rsid w:val="00B41399"/>
    <w:rsid w:val="00B416E4"/>
    <w:rsid w:val="00B41764"/>
    <w:rsid w:val="00B418B5"/>
    <w:rsid w:val="00B41927"/>
    <w:rsid w:val="00B41B0A"/>
    <w:rsid w:val="00B420D7"/>
    <w:rsid w:val="00B424AF"/>
    <w:rsid w:val="00B42795"/>
    <w:rsid w:val="00B42A05"/>
    <w:rsid w:val="00B42A1D"/>
    <w:rsid w:val="00B42CCA"/>
    <w:rsid w:val="00B42DC8"/>
    <w:rsid w:val="00B42EAF"/>
    <w:rsid w:val="00B42F46"/>
    <w:rsid w:val="00B43084"/>
    <w:rsid w:val="00B4319D"/>
    <w:rsid w:val="00B43B98"/>
    <w:rsid w:val="00B43D18"/>
    <w:rsid w:val="00B44461"/>
    <w:rsid w:val="00B4476B"/>
    <w:rsid w:val="00B44929"/>
    <w:rsid w:val="00B45097"/>
    <w:rsid w:val="00B454E5"/>
    <w:rsid w:val="00B45D96"/>
    <w:rsid w:val="00B45E0C"/>
    <w:rsid w:val="00B466AC"/>
    <w:rsid w:val="00B4673A"/>
    <w:rsid w:val="00B46793"/>
    <w:rsid w:val="00B46795"/>
    <w:rsid w:val="00B47068"/>
    <w:rsid w:val="00B478FC"/>
    <w:rsid w:val="00B47FA6"/>
    <w:rsid w:val="00B50A36"/>
    <w:rsid w:val="00B50D3F"/>
    <w:rsid w:val="00B50F60"/>
    <w:rsid w:val="00B51012"/>
    <w:rsid w:val="00B51073"/>
    <w:rsid w:val="00B5133D"/>
    <w:rsid w:val="00B51C7B"/>
    <w:rsid w:val="00B51E32"/>
    <w:rsid w:val="00B5258F"/>
    <w:rsid w:val="00B528F6"/>
    <w:rsid w:val="00B52E80"/>
    <w:rsid w:val="00B5329C"/>
    <w:rsid w:val="00B53352"/>
    <w:rsid w:val="00B5337A"/>
    <w:rsid w:val="00B53A1C"/>
    <w:rsid w:val="00B53C2E"/>
    <w:rsid w:val="00B54208"/>
    <w:rsid w:val="00B54698"/>
    <w:rsid w:val="00B5480B"/>
    <w:rsid w:val="00B54A3F"/>
    <w:rsid w:val="00B54E65"/>
    <w:rsid w:val="00B54ECD"/>
    <w:rsid w:val="00B551FD"/>
    <w:rsid w:val="00B55246"/>
    <w:rsid w:val="00B5563C"/>
    <w:rsid w:val="00B5568E"/>
    <w:rsid w:val="00B55DCF"/>
    <w:rsid w:val="00B55F74"/>
    <w:rsid w:val="00B56042"/>
    <w:rsid w:val="00B563F6"/>
    <w:rsid w:val="00B5664C"/>
    <w:rsid w:val="00B56973"/>
    <w:rsid w:val="00B569BF"/>
    <w:rsid w:val="00B56C49"/>
    <w:rsid w:val="00B570E5"/>
    <w:rsid w:val="00B57288"/>
    <w:rsid w:val="00B61106"/>
    <w:rsid w:val="00B61166"/>
    <w:rsid w:val="00B611AF"/>
    <w:rsid w:val="00B61344"/>
    <w:rsid w:val="00B613BE"/>
    <w:rsid w:val="00B618B4"/>
    <w:rsid w:val="00B618BD"/>
    <w:rsid w:val="00B61922"/>
    <w:rsid w:val="00B61A81"/>
    <w:rsid w:val="00B61AF2"/>
    <w:rsid w:val="00B61FE8"/>
    <w:rsid w:val="00B62595"/>
    <w:rsid w:val="00B6299E"/>
    <w:rsid w:val="00B63102"/>
    <w:rsid w:val="00B637ED"/>
    <w:rsid w:val="00B63CA6"/>
    <w:rsid w:val="00B63CC5"/>
    <w:rsid w:val="00B641B2"/>
    <w:rsid w:val="00B64B8E"/>
    <w:rsid w:val="00B64CEC"/>
    <w:rsid w:val="00B64E5D"/>
    <w:rsid w:val="00B64F10"/>
    <w:rsid w:val="00B65736"/>
    <w:rsid w:val="00B6640E"/>
    <w:rsid w:val="00B667B7"/>
    <w:rsid w:val="00B668B1"/>
    <w:rsid w:val="00B66A1A"/>
    <w:rsid w:val="00B66A78"/>
    <w:rsid w:val="00B66C63"/>
    <w:rsid w:val="00B66D52"/>
    <w:rsid w:val="00B66E1C"/>
    <w:rsid w:val="00B66EF8"/>
    <w:rsid w:val="00B66F32"/>
    <w:rsid w:val="00B66FE5"/>
    <w:rsid w:val="00B67172"/>
    <w:rsid w:val="00B67304"/>
    <w:rsid w:val="00B673AA"/>
    <w:rsid w:val="00B6757D"/>
    <w:rsid w:val="00B67A25"/>
    <w:rsid w:val="00B67C84"/>
    <w:rsid w:val="00B67F5F"/>
    <w:rsid w:val="00B709C2"/>
    <w:rsid w:val="00B70A17"/>
    <w:rsid w:val="00B70A9B"/>
    <w:rsid w:val="00B70D7E"/>
    <w:rsid w:val="00B7105E"/>
    <w:rsid w:val="00B712D2"/>
    <w:rsid w:val="00B7140F"/>
    <w:rsid w:val="00B716F5"/>
    <w:rsid w:val="00B71953"/>
    <w:rsid w:val="00B71976"/>
    <w:rsid w:val="00B72148"/>
    <w:rsid w:val="00B7230F"/>
    <w:rsid w:val="00B72B40"/>
    <w:rsid w:val="00B72DE5"/>
    <w:rsid w:val="00B73439"/>
    <w:rsid w:val="00B737EF"/>
    <w:rsid w:val="00B740FF"/>
    <w:rsid w:val="00B74196"/>
    <w:rsid w:val="00B74571"/>
    <w:rsid w:val="00B74880"/>
    <w:rsid w:val="00B74CE6"/>
    <w:rsid w:val="00B7569A"/>
    <w:rsid w:val="00B758BB"/>
    <w:rsid w:val="00B75922"/>
    <w:rsid w:val="00B7598F"/>
    <w:rsid w:val="00B75BA3"/>
    <w:rsid w:val="00B75ED7"/>
    <w:rsid w:val="00B75EE3"/>
    <w:rsid w:val="00B760A2"/>
    <w:rsid w:val="00B761CF"/>
    <w:rsid w:val="00B762E3"/>
    <w:rsid w:val="00B766CC"/>
    <w:rsid w:val="00B767FD"/>
    <w:rsid w:val="00B76A9D"/>
    <w:rsid w:val="00B76B2B"/>
    <w:rsid w:val="00B7762D"/>
    <w:rsid w:val="00B77FB4"/>
    <w:rsid w:val="00B800F5"/>
    <w:rsid w:val="00B806D7"/>
    <w:rsid w:val="00B8083E"/>
    <w:rsid w:val="00B80D46"/>
    <w:rsid w:val="00B80F63"/>
    <w:rsid w:val="00B81230"/>
    <w:rsid w:val="00B81909"/>
    <w:rsid w:val="00B8199F"/>
    <w:rsid w:val="00B81A17"/>
    <w:rsid w:val="00B81B5E"/>
    <w:rsid w:val="00B82446"/>
    <w:rsid w:val="00B826AD"/>
    <w:rsid w:val="00B82A35"/>
    <w:rsid w:val="00B82BA6"/>
    <w:rsid w:val="00B83238"/>
    <w:rsid w:val="00B8334E"/>
    <w:rsid w:val="00B83D8A"/>
    <w:rsid w:val="00B84441"/>
    <w:rsid w:val="00B84704"/>
    <w:rsid w:val="00B8482E"/>
    <w:rsid w:val="00B84A7E"/>
    <w:rsid w:val="00B84C07"/>
    <w:rsid w:val="00B850C9"/>
    <w:rsid w:val="00B85449"/>
    <w:rsid w:val="00B854DA"/>
    <w:rsid w:val="00B85977"/>
    <w:rsid w:val="00B85A3F"/>
    <w:rsid w:val="00B85F41"/>
    <w:rsid w:val="00B8649B"/>
    <w:rsid w:val="00B86721"/>
    <w:rsid w:val="00B86863"/>
    <w:rsid w:val="00B8690F"/>
    <w:rsid w:val="00B86A4A"/>
    <w:rsid w:val="00B86B5C"/>
    <w:rsid w:val="00B86CBD"/>
    <w:rsid w:val="00B86D0F"/>
    <w:rsid w:val="00B86FDC"/>
    <w:rsid w:val="00B873D9"/>
    <w:rsid w:val="00B87902"/>
    <w:rsid w:val="00B90AA5"/>
    <w:rsid w:val="00B90C2B"/>
    <w:rsid w:val="00B90DDE"/>
    <w:rsid w:val="00B911C6"/>
    <w:rsid w:val="00B911F2"/>
    <w:rsid w:val="00B91374"/>
    <w:rsid w:val="00B917D0"/>
    <w:rsid w:val="00B91C82"/>
    <w:rsid w:val="00B91C8B"/>
    <w:rsid w:val="00B91D14"/>
    <w:rsid w:val="00B91F73"/>
    <w:rsid w:val="00B922C9"/>
    <w:rsid w:val="00B928DC"/>
    <w:rsid w:val="00B92A3C"/>
    <w:rsid w:val="00B92C1C"/>
    <w:rsid w:val="00B92E7E"/>
    <w:rsid w:val="00B92E96"/>
    <w:rsid w:val="00B92F36"/>
    <w:rsid w:val="00B93488"/>
    <w:rsid w:val="00B9382C"/>
    <w:rsid w:val="00B93D17"/>
    <w:rsid w:val="00B93F4D"/>
    <w:rsid w:val="00B9461D"/>
    <w:rsid w:val="00B94784"/>
    <w:rsid w:val="00B94C61"/>
    <w:rsid w:val="00B94DD1"/>
    <w:rsid w:val="00B95282"/>
    <w:rsid w:val="00B952E5"/>
    <w:rsid w:val="00B95E2D"/>
    <w:rsid w:val="00B96806"/>
    <w:rsid w:val="00B96C20"/>
    <w:rsid w:val="00B96F4B"/>
    <w:rsid w:val="00B9743A"/>
    <w:rsid w:val="00B97945"/>
    <w:rsid w:val="00B97A03"/>
    <w:rsid w:val="00B97AB4"/>
    <w:rsid w:val="00B97EF3"/>
    <w:rsid w:val="00BA0796"/>
    <w:rsid w:val="00BA0A71"/>
    <w:rsid w:val="00BA130C"/>
    <w:rsid w:val="00BA1541"/>
    <w:rsid w:val="00BA19B0"/>
    <w:rsid w:val="00BA1D8E"/>
    <w:rsid w:val="00BA203C"/>
    <w:rsid w:val="00BA2056"/>
    <w:rsid w:val="00BA2532"/>
    <w:rsid w:val="00BA2C07"/>
    <w:rsid w:val="00BA2E00"/>
    <w:rsid w:val="00BA3263"/>
    <w:rsid w:val="00BA37D2"/>
    <w:rsid w:val="00BA3843"/>
    <w:rsid w:val="00BA3A7B"/>
    <w:rsid w:val="00BA3B06"/>
    <w:rsid w:val="00BA421F"/>
    <w:rsid w:val="00BA4267"/>
    <w:rsid w:val="00BA42EA"/>
    <w:rsid w:val="00BA43B2"/>
    <w:rsid w:val="00BA4AD7"/>
    <w:rsid w:val="00BA4BC2"/>
    <w:rsid w:val="00BA4EC3"/>
    <w:rsid w:val="00BA53B8"/>
    <w:rsid w:val="00BA5784"/>
    <w:rsid w:val="00BA5884"/>
    <w:rsid w:val="00BA5ADA"/>
    <w:rsid w:val="00BA5CAF"/>
    <w:rsid w:val="00BA6544"/>
    <w:rsid w:val="00BA65B6"/>
    <w:rsid w:val="00BA68C6"/>
    <w:rsid w:val="00BA6D52"/>
    <w:rsid w:val="00BA7046"/>
    <w:rsid w:val="00BA7A55"/>
    <w:rsid w:val="00BB020B"/>
    <w:rsid w:val="00BB06FB"/>
    <w:rsid w:val="00BB0F19"/>
    <w:rsid w:val="00BB183F"/>
    <w:rsid w:val="00BB220A"/>
    <w:rsid w:val="00BB27F1"/>
    <w:rsid w:val="00BB32BC"/>
    <w:rsid w:val="00BB3319"/>
    <w:rsid w:val="00BB3425"/>
    <w:rsid w:val="00BB3B13"/>
    <w:rsid w:val="00BB4091"/>
    <w:rsid w:val="00BB426A"/>
    <w:rsid w:val="00BB4614"/>
    <w:rsid w:val="00BB484F"/>
    <w:rsid w:val="00BB4852"/>
    <w:rsid w:val="00BB4D84"/>
    <w:rsid w:val="00BB4FC0"/>
    <w:rsid w:val="00BB5D31"/>
    <w:rsid w:val="00BB5FFA"/>
    <w:rsid w:val="00BB6606"/>
    <w:rsid w:val="00BB6E8B"/>
    <w:rsid w:val="00BB7192"/>
    <w:rsid w:val="00BB7844"/>
    <w:rsid w:val="00BB7EBB"/>
    <w:rsid w:val="00BC07A7"/>
    <w:rsid w:val="00BC0A05"/>
    <w:rsid w:val="00BC1479"/>
    <w:rsid w:val="00BC23AB"/>
    <w:rsid w:val="00BC24D7"/>
    <w:rsid w:val="00BC269F"/>
    <w:rsid w:val="00BC31B1"/>
    <w:rsid w:val="00BC3535"/>
    <w:rsid w:val="00BC35E5"/>
    <w:rsid w:val="00BC40BA"/>
    <w:rsid w:val="00BC4395"/>
    <w:rsid w:val="00BC449A"/>
    <w:rsid w:val="00BC4616"/>
    <w:rsid w:val="00BC4A3B"/>
    <w:rsid w:val="00BC558E"/>
    <w:rsid w:val="00BC567D"/>
    <w:rsid w:val="00BC647D"/>
    <w:rsid w:val="00BC6A27"/>
    <w:rsid w:val="00BC6D0A"/>
    <w:rsid w:val="00BC6EAE"/>
    <w:rsid w:val="00BC6F40"/>
    <w:rsid w:val="00BC6F79"/>
    <w:rsid w:val="00BC701A"/>
    <w:rsid w:val="00BC70F1"/>
    <w:rsid w:val="00BC7154"/>
    <w:rsid w:val="00BC76F9"/>
    <w:rsid w:val="00BC7B1A"/>
    <w:rsid w:val="00BD0149"/>
    <w:rsid w:val="00BD01C6"/>
    <w:rsid w:val="00BD02ED"/>
    <w:rsid w:val="00BD0690"/>
    <w:rsid w:val="00BD0BD2"/>
    <w:rsid w:val="00BD0FFB"/>
    <w:rsid w:val="00BD1020"/>
    <w:rsid w:val="00BD13C5"/>
    <w:rsid w:val="00BD18E6"/>
    <w:rsid w:val="00BD1AC9"/>
    <w:rsid w:val="00BD1D31"/>
    <w:rsid w:val="00BD1E89"/>
    <w:rsid w:val="00BD20D9"/>
    <w:rsid w:val="00BD22A0"/>
    <w:rsid w:val="00BD23DE"/>
    <w:rsid w:val="00BD23F3"/>
    <w:rsid w:val="00BD246C"/>
    <w:rsid w:val="00BD32AA"/>
    <w:rsid w:val="00BD368B"/>
    <w:rsid w:val="00BD3974"/>
    <w:rsid w:val="00BD3998"/>
    <w:rsid w:val="00BD43A9"/>
    <w:rsid w:val="00BD445A"/>
    <w:rsid w:val="00BD4C66"/>
    <w:rsid w:val="00BD4E52"/>
    <w:rsid w:val="00BD4FDB"/>
    <w:rsid w:val="00BD52AB"/>
    <w:rsid w:val="00BD545F"/>
    <w:rsid w:val="00BD55AB"/>
    <w:rsid w:val="00BD6108"/>
    <w:rsid w:val="00BD625F"/>
    <w:rsid w:val="00BD6405"/>
    <w:rsid w:val="00BD6616"/>
    <w:rsid w:val="00BD6C49"/>
    <w:rsid w:val="00BD6CB4"/>
    <w:rsid w:val="00BD7238"/>
    <w:rsid w:val="00BD744E"/>
    <w:rsid w:val="00BD7AD4"/>
    <w:rsid w:val="00BD7C42"/>
    <w:rsid w:val="00BD7CE1"/>
    <w:rsid w:val="00BE01F5"/>
    <w:rsid w:val="00BE0273"/>
    <w:rsid w:val="00BE032B"/>
    <w:rsid w:val="00BE0586"/>
    <w:rsid w:val="00BE06AE"/>
    <w:rsid w:val="00BE0C5D"/>
    <w:rsid w:val="00BE0F33"/>
    <w:rsid w:val="00BE149A"/>
    <w:rsid w:val="00BE1A80"/>
    <w:rsid w:val="00BE1B0D"/>
    <w:rsid w:val="00BE1D14"/>
    <w:rsid w:val="00BE1DCC"/>
    <w:rsid w:val="00BE2755"/>
    <w:rsid w:val="00BE278A"/>
    <w:rsid w:val="00BE2ABA"/>
    <w:rsid w:val="00BE2C8B"/>
    <w:rsid w:val="00BE32EC"/>
    <w:rsid w:val="00BE35D4"/>
    <w:rsid w:val="00BE366F"/>
    <w:rsid w:val="00BE38C8"/>
    <w:rsid w:val="00BE3C92"/>
    <w:rsid w:val="00BE4395"/>
    <w:rsid w:val="00BE4C1B"/>
    <w:rsid w:val="00BE5175"/>
    <w:rsid w:val="00BE5191"/>
    <w:rsid w:val="00BE51E3"/>
    <w:rsid w:val="00BE5EC7"/>
    <w:rsid w:val="00BE5F8E"/>
    <w:rsid w:val="00BE5FB6"/>
    <w:rsid w:val="00BE670D"/>
    <w:rsid w:val="00BE6B09"/>
    <w:rsid w:val="00BE6BC7"/>
    <w:rsid w:val="00BE6ED8"/>
    <w:rsid w:val="00BE7E79"/>
    <w:rsid w:val="00BF01E6"/>
    <w:rsid w:val="00BF0C9B"/>
    <w:rsid w:val="00BF0D6C"/>
    <w:rsid w:val="00BF0D90"/>
    <w:rsid w:val="00BF13D1"/>
    <w:rsid w:val="00BF1648"/>
    <w:rsid w:val="00BF1C20"/>
    <w:rsid w:val="00BF1E54"/>
    <w:rsid w:val="00BF215F"/>
    <w:rsid w:val="00BF2786"/>
    <w:rsid w:val="00BF2AC1"/>
    <w:rsid w:val="00BF2DAA"/>
    <w:rsid w:val="00BF2F00"/>
    <w:rsid w:val="00BF2F91"/>
    <w:rsid w:val="00BF380A"/>
    <w:rsid w:val="00BF4716"/>
    <w:rsid w:val="00BF48A8"/>
    <w:rsid w:val="00BF48D9"/>
    <w:rsid w:val="00BF4B51"/>
    <w:rsid w:val="00BF53BC"/>
    <w:rsid w:val="00BF5BD7"/>
    <w:rsid w:val="00BF615D"/>
    <w:rsid w:val="00BF623F"/>
    <w:rsid w:val="00BF6901"/>
    <w:rsid w:val="00BF6C54"/>
    <w:rsid w:val="00BF6E79"/>
    <w:rsid w:val="00BF6F9C"/>
    <w:rsid w:val="00BF7138"/>
    <w:rsid w:val="00BF7A6E"/>
    <w:rsid w:val="00C0003E"/>
    <w:rsid w:val="00C0043A"/>
    <w:rsid w:val="00C00C18"/>
    <w:rsid w:val="00C00D92"/>
    <w:rsid w:val="00C01145"/>
    <w:rsid w:val="00C01256"/>
    <w:rsid w:val="00C01271"/>
    <w:rsid w:val="00C012AC"/>
    <w:rsid w:val="00C015B2"/>
    <w:rsid w:val="00C016E9"/>
    <w:rsid w:val="00C0195C"/>
    <w:rsid w:val="00C01C11"/>
    <w:rsid w:val="00C020E1"/>
    <w:rsid w:val="00C021C3"/>
    <w:rsid w:val="00C021F2"/>
    <w:rsid w:val="00C0236D"/>
    <w:rsid w:val="00C025AF"/>
    <w:rsid w:val="00C0261D"/>
    <w:rsid w:val="00C0286C"/>
    <w:rsid w:val="00C02A39"/>
    <w:rsid w:val="00C02D65"/>
    <w:rsid w:val="00C02FB5"/>
    <w:rsid w:val="00C032D5"/>
    <w:rsid w:val="00C03352"/>
    <w:rsid w:val="00C0353B"/>
    <w:rsid w:val="00C03746"/>
    <w:rsid w:val="00C03A2F"/>
    <w:rsid w:val="00C03C8C"/>
    <w:rsid w:val="00C04458"/>
    <w:rsid w:val="00C0457F"/>
    <w:rsid w:val="00C04A87"/>
    <w:rsid w:val="00C04C6E"/>
    <w:rsid w:val="00C051EA"/>
    <w:rsid w:val="00C052B5"/>
    <w:rsid w:val="00C05420"/>
    <w:rsid w:val="00C0546D"/>
    <w:rsid w:val="00C054D0"/>
    <w:rsid w:val="00C055C5"/>
    <w:rsid w:val="00C058BC"/>
    <w:rsid w:val="00C05CB8"/>
    <w:rsid w:val="00C066A4"/>
    <w:rsid w:val="00C0696A"/>
    <w:rsid w:val="00C06D3D"/>
    <w:rsid w:val="00C06EC4"/>
    <w:rsid w:val="00C071D9"/>
    <w:rsid w:val="00C07905"/>
    <w:rsid w:val="00C07B8E"/>
    <w:rsid w:val="00C1006B"/>
    <w:rsid w:val="00C10601"/>
    <w:rsid w:val="00C10766"/>
    <w:rsid w:val="00C11319"/>
    <w:rsid w:val="00C11343"/>
    <w:rsid w:val="00C115B6"/>
    <w:rsid w:val="00C11726"/>
    <w:rsid w:val="00C11C8C"/>
    <w:rsid w:val="00C124C2"/>
    <w:rsid w:val="00C12527"/>
    <w:rsid w:val="00C12A7E"/>
    <w:rsid w:val="00C12A9D"/>
    <w:rsid w:val="00C1342E"/>
    <w:rsid w:val="00C13A93"/>
    <w:rsid w:val="00C1400C"/>
    <w:rsid w:val="00C14126"/>
    <w:rsid w:val="00C1421E"/>
    <w:rsid w:val="00C14272"/>
    <w:rsid w:val="00C14AF7"/>
    <w:rsid w:val="00C14B3E"/>
    <w:rsid w:val="00C14B87"/>
    <w:rsid w:val="00C15405"/>
    <w:rsid w:val="00C15544"/>
    <w:rsid w:val="00C15F31"/>
    <w:rsid w:val="00C164D9"/>
    <w:rsid w:val="00C1659B"/>
    <w:rsid w:val="00C170AD"/>
    <w:rsid w:val="00C17506"/>
    <w:rsid w:val="00C178C7"/>
    <w:rsid w:val="00C20494"/>
    <w:rsid w:val="00C205C4"/>
    <w:rsid w:val="00C20EF7"/>
    <w:rsid w:val="00C2118C"/>
    <w:rsid w:val="00C2169B"/>
    <w:rsid w:val="00C21945"/>
    <w:rsid w:val="00C21DA5"/>
    <w:rsid w:val="00C21E41"/>
    <w:rsid w:val="00C21E57"/>
    <w:rsid w:val="00C2216B"/>
    <w:rsid w:val="00C223B4"/>
    <w:rsid w:val="00C224C9"/>
    <w:rsid w:val="00C225B2"/>
    <w:rsid w:val="00C22674"/>
    <w:rsid w:val="00C23047"/>
    <w:rsid w:val="00C23446"/>
    <w:rsid w:val="00C234E3"/>
    <w:rsid w:val="00C236A9"/>
    <w:rsid w:val="00C2394D"/>
    <w:rsid w:val="00C23A32"/>
    <w:rsid w:val="00C23B1D"/>
    <w:rsid w:val="00C23C5C"/>
    <w:rsid w:val="00C23EB7"/>
    <w:rsid w:val="00C23F94"/>
    <w:rsid w:val="00C241D9"/>
    <w:rsid w:val="00C24696"/>
    <w:rsid w:val="00C24D66"/>
    <w:rsid w:val="00C24F88"/>
    <w:rsid w:val="00C25069"/>
    <w:rsid w:val="00C254F3"/>
    <w:rsid w:val="00C25CE3"/>
    <w:rsid w:val="00C25DFB"/>
    <w:rsid w:val="00C25F46"/>
    <w:rsid w:val="00C26521"/>
    <w:rsid w:val="00C266C0"/>
    <w:rsid w:val="00C26B15"/>
    <w:rsid w:val="00C26C17"/>
    <w:rsid w:val="00C26C2B"/>
    <w:rsid w:val="00C2710F"/>
    <w:rsid w:val="00C3031E"/>
    <w:rsid w:val="00C303B6"/>
    <w:rsid w:val="00C30BCA"/>
    <w:rsid w:val="00C3186B"/>
    <w:rsid w:val="00C31A8C"/>
    <w:rsid w:val="00C31C29"/>
    <w:rsid w:val="00C31E90"/>
    <w:rsid w:val="00C31ECE"/>
    <w:rsid w:val="00C3213B"/>
    <w:rsid w:val="00C32321"/>
    <w:rsid w:val="00C32B91"/>
    <w:rsid w:val="00C336C5"/>
    <w:rsid w:val="00C338DF"/>
    <w:rsid w:val="00C33B7E"/>
    <w:rsid w:val="00C33CB7"/>
    <w:rsid w:val="00C34884"/>
    <w:rsid w:val="00C349EC"/>
    <w:rsid w:val="00C34BB3"/>
    <w:rsid w:val="00C34F36"/>
    <w:rsid w:val="00C35928"/>
    <w:rsid w:val="00C3597B"/>
    <w:rsid w:val="00C35D02"/>
    <w:rsid w:val="00C35F79"/>
    <w:rsid w:val="00C35FB9"/>
    <w:rsid w:val="00C362D2"/>
    <w:rsid w:val="00C362E6"/>
    <w:rsid w:val="00C36560"/>
    <w:rsid w:val="00C366C2"/>
    <w:rsid w:val="00C3671F"/>
    <w:rsid w:val="00C369DE"/>
    <w:rsid w:val="00C36E4C"/>
    <w:rsid w:val="00C376F2"/>
    <w:rsid w:val="00C37A79"/>
    <w:rsid w:val="00C37BE0"/>
    <w:rsid w:val="00C37C75"/>
    <w:rsid w:val="00C4003B"/>
    <w:rsid w:val="00C404F7"/>
    <w:rsid w:val="00C40666"/>
    <w:rsid w:val="00C408B0"/>
    <w:rsid w:val="00C40A9E"/>
    <w:rsid w:val="00C40ECD"/>
    <w:rsid w:val="00C40F4E"/>
    <w:rsid w:val="00C40FE4"/>
    <w:rsid w:val="00C410E9"/>
    <w:rsid w:val="00C415CD"/>
    <w:rsid w:val="00C4174F"/>
    <w:rsid w:val="00C41C55"/>
    <w:rsid w:val="00C41CF0"/>
    <w:rsid w:val="00C422D9"/>
    <w:rsid w:val="00C42460"/>
    <w:rsid w:val="00C428D5"/>
    <w:rsid w:val="00C43128"/>
    <w:rsid w:val="00C434D8"/>
    <w:rsid w:val="00C43609"/>
    <w:rsid w:val="00C43678"/>
    <w:rsid w:val="00C436B9"/>
    <w:rsid w:val="00C43A02"/>
    <w:rsid w:val="00C43F22"/>
    <w:rsid w:val="00C442E6"/>
    <w:rsid w:val="00C44597"/>
    <w:rsid w:val="00C449AC"/>
    <w:rsid w:val="00C44A74"/>
    <w:rsid w:val="00C44E1F"/>
    <w:rsid w:val="00C4522C"/>
    <w:rsid w:val="00C458F9"/>
    <w:rsid w:val="00C45B2B"/>
    <w:rsid w:val="00C45BD6"/>
    <w:rsid w:val="00C461F9"/>
    <w:rsid w:val="00C4641D"/>
    <w:rsid w:val="00C46977"/>
    <w:rsid w:val="00C46B22"/>
    <w:rsid w:val="00C46EF4"/>
    <w:rsid w:val="00C47384"/>
    <w:rsid w:val="00C47629"/>
    <w:rsid w:val="00C47C15"/>
    <w:rsid w:val="00C47E0B"/>
    <w:rsid w:val="00C5096D"/>
    <w:rsid w:val="00C50C0A"/>
    <w:rsid w:val="00C50CD7"/>
    <w:rsid w:val="00C51197"/>
    <w:rsid w:val="00C513EA"/>
    <w:rsid w:val="00C5140F"/>
    <w:rsid w:val="00C51DAA"/>
    <w:rsid w:val="00C52021"/>
    <w:rsid w:val="00C526FF"/>
    <w:rsid w:val="00C52878"/>
    <w:rsid w:val="00C52A3B"/>
    <w:rsid w:val="00C52E21"/>
    <w:rsid w:val="00C52ED4"/>
    <w:rsid w:val="00C536FD"/>
    <w:rsid w:val="00C5392A"/>
    <w:rsid w:val="00C53CF1"/>
    <w:rsid w:val="00C5425D"/>
    <w:rsid w:val="00C54365"/>
    <w:rsid w:val="00C54A9D"/>
    <w:rsid w:val="00C54B91"/>
    <w:rsid w:val="00C54FD2"/>
    <w:rsid w:val="00C550D4"/>
    <w:rsid w:val="00C55562"/>
    <w:rsid w:val="00C55D82"/>
    <w:rsid w:val="00C55F2B"/>
    <w:rsid w:val="00C562FE"/>
    <w:rsid w:val="00C56BDD"/>
    <w:rsid w:val="00C56E13"/>
    <w:rsid w:val="00C56F49"/>
    <w:rsid w:val="00C575F6"/>
    <w:rsid w:val="00C57946"/>
    <w:rsid w:val="00C5798E"/>
    <w:rsid w:val="00C57D3A"/>
    <w:rsid w:val="00C57DFD"/>
    <w:rsid w:val="00C600AB"/>
    <w:rsid w:val="00C60313"/>
    <w:rsid w:val="00C606D5"/>
    <w:rsid w:val="00C60821"/>
    <w:rsid w:val="00C608A4"/>
    <w:rsid w:val="00C60A9B"/>
    <w:rsid w:val="00C60B16"/>
    <w:rsid w:val="00C60BEE"/>
    <w:rsid w:val="00C616C0"/>
    <w:rsid w:val="00C61741"/>
    <w:rsid w:val="00C61E42"/>
    <w:rsid w:val="00C62146"/>
    <w:rsid w:val="00C62830"/>
    <w:rsid w:val="00C62952"/>
    <w:rsid w:val="00C62A68"/>
    <w:rsid w:val="00C62BA2"/>
    <w:rsid w:val="00C62EF5"/>
    <w:rsid w:val="00C632AC"/>
    <w:rsid w:val="00C6355E"/>
    <w:rsid w:val="00C63614"/>
    <w:rsid w:val="00C638F5"/>
    <w:rsid w:val="00C63A3E"/>
    <w:rsid w:val="00C64527"/>
    <w:rsid w:val="00C64564"/>
    <w:rsid w:val="00C646EC"/>
    <w:rsid w:val="00C64AFF"/>
    <w:rsid w:val="00C65399"/>
    <w:rsid w:val="00C65423"/>
    <w:rsid w:val="00C65DBB"/>
    <w:rsid w:val="00C6635C"/>
    <w:rsid w:val="00C666E8"/>
    <w:rsid w:val="00C66D3E"/>
    <w:rsid w:val="00C66D88"/>
    <w:rsid w:val="00C66EB0"/>
    <w:rsid w:val="00C66F0F"/>
    <w:rsid w:val="00C67498"/>
    <w:rsid w:val="00C67587"/>
    <w:rsid w:val="00C675FB"/>
    <w:rsid w:val="00C67ABE"/>
    <w:rsid w:val="00C67D80"/>
    <w:rsid w:val="00C67F23"/>
    <w:rsid w:val="00C70AC9"/>
    <w:rsid w:val="00C70ACA"/>
    <w:rsid w:val="00C710C2"/>
    <w:rsid w:val="00C7147C"/>
    <w:rsid w:val="00C71791"/>
    <w:rsid w:val="00C717C4"/>
    <w:rsid w:val="00C71BD5"/>
    <w:rsid w:val="00C71FA6"/>
    <w:rsid w:val="00C7254A"/>
    <w:rsid w:val="00C72BAC"/>
    <w:rsid w:val="00C72DEE"/>
    <w:rsid w:val="00C72F36"/>
    <w:rsid w:val="00C735E8"/>
    <w:rsid w:val="00C73700"/>
    <w:rsid w:val="00C73C69"/>
    <w:rsid w:val="00C73E9F"/>
    <w:rsid w:val="00C73F35"/>
    <w:rsid w:val="00C742E5"/>
    <w:rsid w:val="00C74645"/>
    <w:rsid w:val="00C747F5"/>
    <w:rsid w:val="00C74C2B"/>
    <w:rsid w:val="00C74EE2"/>
    <w:rsid w:val="00C74F22"/>
    <w:rsid w:val="00C7524D"/>
    <w:rsid w:val="00C76CCA"/>
    <w:rsid w:val="00C76CCF"/>
    <w:rsid w:val="00C7731C"/>
    <w:rsid w:val="00C77778"/>
    <w:rsid w:val="00C77887"/>
    <w:rsid w:val="00C7788A"/>
    <w:rsid w:val="00C7788C"/>
    <w:rsid w:val="00C779AF"/>
    <w:rsid w:val="00C77A59"/>
    <w:rsid w:val="00C77F3F"/>
    <w:rsid w:val="00C80065"/>
    <w:rsid w:val="00C80201"/>
    <w:rsid w:val="00C80366"/>
    <w:rsid w:val="00C80443"/>
    <w:rsid w:val="00C807E0"/>
    <w:rsid w:val="00C80873"/>
    <w:rsid w:val="00C808ED"/>
    <w:rsid w:val="00C80DC5"/>
    <w:rsid w:val="00C81576"/>
    <w:rsid w:val="00C816AA"/>
    <w:rsid w:val="00C8172E"/>
    <w:rsid w:val="00C8227F"/>
    <w:rsid w:val="00C824BA"/>
    <w:rsid w:val="00C833E5"/>
    <w:rsid w:val="00C8341F"/>
    <w:rsid w:val="00C83843"/>
    <w:rsid w:val="00C83B07"/>
    <w:rsid w:val="00C83C6F"/>
    <w:rsid w:val="00C83D39"/>
    <w:rsid w:val="00C83E17"/>
    <w:rsid w:val="00C83F0B"/>
    <w:rsid w:val="00C8422B"/>
    <w:rsid w:val="00C84262"/>
    <w:rsid w:val="00C84F59"/>
    <w:rsid w:val="00C856C0"/>
    <w:rsid w:val="00C85B71"/>
    <w:rsid w:val="00C8659B"/>
    <w:rsid w:val="00C866CA"/>
    <w:rsid w:val="00C86721"/>
    <w:rsid w:val="00C867FF"/>
    <w:rsid w:val="00C8680C"/>
    <w:rsid w:val="00C86828"/>
    <w:rsid w:val="00C8688E"/>
    <w:rsid w:val="00C86AF7"/>
    <w:rsid w:val="00C86B35"/>
    <w:rsid w:val="00C86C07"/>
    <w:rsid w:val="00C87152"/>
    <w:rsid w:val="00C87445"/>
    <w:rsid w:val="00C874EF"/>
    <w:rsid w:val="00C8785F"/>
    <w:rsid w:val="00C90256"/>
    <w:rsid w:val="00C90BA7"/>
    <w:rsid w:val="00C90DE1"/>
    <w:rsid w:val="00C90E46"/>
    <w:rsid w:val="00C911DC"/>
    <w:rsid w:val="00C9182D"/>
    <w:rsid w:val="00C9196F"/>
    <w:rsid w:val="00C92436"/>
    <w:rsid w:val="00C93386"/>
    <w:rsid w:val="00C9397D"/>
    <w:rsid w:val="00C939A0"/>
    <w:rsid w:val="00C93D53"/>
    <w:rsid w:val="00C93EBE"/>
    <w:rsid w:val="00C93F25"/>
    <w:rsid w:val="00C943BB"/>
    <w:rsid w:val="00C948AD"/>
    <w:rsid w:val="00C94B31"/>
    <w:rsid w:val="00C94D25"/>
    <w:rsid w:val="00C94EE4"/>
    <w:rsid w:val="00C950A7"/>
    <w:rsid w:val="00C9548A"/>
    <w:rsid w:val="00C9617E"/>
    <w:rsid w:val="00C96BBC"/>
    <w:rsid w:val="00C97028"/>
    <w:rsid w:val="00C976A1"/>
    <w:rsid w:val="00C9780F"/>
    <w:rsid w:val="00C97FAA"/>
    <w:rsid w:val="00CA0116"/>
    <w:rsid w:val="00CA0610"/>
    <w:rsid w:val="00CA0848"/>
    <w:rsid w:val="00CA0880"/>
    <w:rsid w:val="00CA0A68"/>
    <w:rsid w:val="00CA1087"/>
    <w:rsid w:val="00CA157C"/>
    <w:rsid w:val="00CA1966"/>
    <w:rsid w:val="00CA1BEE"/>
    <w:rsid w:val="00CA2850"/>
    <w:rsid w:val="00CA2C05"/>
    <w:rsid w:val="00CA3025"/>
    <w:rsid w:val="00CA311E"/>
    <w:rsid w:val="00CA37A4"/>
    <w:rsid w:val="00CA383C"/>
    <w:rsid w:val="00CA392B"/>
    <w:rsid w:val="00CA3A86"/>
    <w:rsid w:val="00CA3B01"/>
    <w:rsid w:val="00CA3DEB"/>
    <w:rsid w:val="00CA403E"/>
    <w:rsid w:val="00CA472B"/>
    <w:rsid w:val="00CA4856"/>
    <w:rsid w:val="00CA4FBF"/>
    <w:rsid w:val="00CA5112"/>
    <w:rsid w:val="00CA5307"/>
    <w:rsid w:val="00CA531F"/>
    <w:rsid w:val="00CA5479"/>
    <w:rsid w:val="00CA5573"/>
    <w:rsid w:val="00CA5653"/>
    <w:rsid w:val="00CA5692"/>
    <w:rsid w:val="00CA577E"/>
    <w:rsid w:val="00CA594A"/>
    <w:rsid w:val="00CA5D1F"/>
    <w:rsid w:val="00CA607A"/>
    <w:rsid w:val="00CA6291"/>
    <w:rsid w:val="00CA63C8"/>
    <w:rsid w:val="00CA698F"/>
    <w:rsid w:val="00CA716E"/>
    <w:rsid w:val="00CA787C"/>
    <w:rsid w:val="00CA79DA"/>
    <w:rsid w:val="00CA7C2C"/>
    <w:rsid w:val="00CB0861"/>
    <w:rsid w:val="00CB0FAD"/>
    <w:rsid w:val="00CB1376"/>
    <w:rsid w:val="00CB221F"/>
    <w:rsid w:val="00CB2234"/>
    <w:rsid w:val="00CB23BE"/>
    <w:rsid w:val="00CB24DE"/>
    <w:rsid w:val="00CB28AA"/>
    <w:rsid w:val="00CB28D7"/>
    <w:rsid w:val="00CB29D1"/>
    <w:rsid w:val="00CB3155"/>
    <w:rsid w:val="00CB316A"/>
    <w:rsid w:val="00CB31B3"/>
    <w:rsid w:val="00CB3280"/>
    <w:rsid w:val="00CB349C"/>
    <w:rsid w:val="00CB3503"/>
    <w:rsid w:val="00CB3905"/>
    <w:rsid w:val="00CB393E"/>
    <w:rsid w:val="00CB3C8D"/>
    <w:rsid w:val="00CB3CA3"/>
    <w:rsid w:val="00CB3DD6"/>
    <w:rsid w:val="00CB4150"/>
    <w:rsid w:val="00CB41B7"/>
    <w:rsid w:val="00CB46CF"/>
    <w:rsid w:val="00CB476B"/>
    <w:rsid w:val="00CB49DF"/>
    <w:rsid w:val="00CB65E0"/>
    <w:rsid w:val="00CB693B"/>
    <w:rsid w:val="00CB6B64"/>
    <w:rsid w:val="00CB6E7D"/>
    <w:rsid w:val="00CB6EB6"/>
    <w:rsid w:val="00CB72C9"/>
    <w:rsid w:val="00CB7424"/>
    <w:rsid w:val="00CB7493"/>
    <w:rsid w:val="00CB76B6"/>
    <w:rsid w:val="00CB78A8"/>
    <w:rsid w:val="00CB7933"/>
    <w:rsid w:val="00CB7EC1"/>
    <w:rsid w:val="00CC109B"/>
    <w:rsid w:val="00CC13E2"/>
    <w:rsid w:val="00CC1696"/>
    <w:rsid w:val="00CC1698"/>
    <w:rsid w:val="00CC1BA2"/>
    <w:rsid w:val="00CC1C36"/>
    <w:rsid w:val="00CC2018"/>
    <w:rsid w:val="00CC24DA"/>
    <w:rsid w:val="00CC284F"/>
    <w:rsid w:val="00CC2B1E"/>
    <w:rsid w:val="00CC3011"/>
    <w:rsid w:val="00CC30BD"/>
    <w:rsid w:val="00CC3648"/>
    <w:rsid w:val="00CC37FA"/>
    <w:rsid w:val="00CC3A1D"/>
    <w:rsid w:val="00CC4092"/>
    <w:rsid w:val="00CC40B2"/>
    <w:rsid w:val="00CC414A"/>
    <w:rsid w:val="00CC48BC"/>
    <w:rsid w:val="00CC4B62"/>
    <w:rsid w:val="00CC58FB"/>
    <w:rsid w:val="00CC5CBB"/>
    <w:rsid w:val="00CC5FD6"/>
    <w:rsid w:val="00CC68B3"/>
    <w:rsid w:val="00CC6A84"/>
    <w:rsid w:val="00CC6F11"/>
    <w:rsid w:val="00CC70B3"/>
    <w:rsid w:val="00CC7407"/>
    <w:rsid w:val="00CC75A1"/>
    <w:rsid w:val="00CC77F2"/>
    <w:rsid w:val="00CC79F9"/>
    <w:rsid w:val="00CC7E4B"/>
    <w:rsid w:val="00CD0447"/>
    <w:rsid w:val="00CD0CC5"/>
    <w:rsid w:val="00CD0E1D"/>
    <w:rsid w:val="00CD0E2C"/>
    <w:rsid w:val="00CD1331"/>
    <w:rsid w:val="00CD144A"/>
    <w:rsid w:val="00CD169F"/>
    <w:rsid w:val="00CD1908"/>
    <w:rsid w:val="00CD19A3"/>
    <w:rsid w:val="00CD1B68"/>
    <w:rsid w:val="00CD1BA7"/>
    <w:rsid w:val="00CD301E"/>
    <w:rsid w:val="00CD319E"/>
    <w:rsid w:val="00CD32B8"/>
    <w:rsid w:val="00CD36E0"/>
    <w:rsid w:val="00CD3BCE"/>
    <w:rsid w:val="00CD3DB3"/>
    <w:rsid w:val="00CD3E14"/>
    <w:rsid w:val="00CD3F24"/>
    <w:rsid w:val="00CD4BE6"/>
    <w:rsid w:val="00CD4E23"/>
    <w:rsid w:val="00CD5183"/>
    <w:rsid w:val="00CD5748"/>
    <w:rsid w:val="00CD5A24"/>
    <w:rsid w:val="00CD606F"/>
    <w:rsid w:val="00CD68A0"/>
    <w:rsid w:val="00CD6B34"/>
    <w:rsid w:val="00CD73DB"/>
    <w:rsid w:val="00CD7845"/>
    <w:rsid w:val="00CD78C0"/>
    <w:rsid w:val="00CD7A18"/>
    <w:rsid w:val="00CD7F37"/>
    <w:rsid w:val="00CE000E"/>
    <w:rsid w:val="00CE0123"/>
    <w:rsid w:val="00CE031B"/>
    <w:rsid w:val="00CE04F8"/>
    <w:rsid w:val="00CE05BD"/>
    <w:rsid w:val="00CE0928"/>
    <w:rsid w:val="00CE0A39"/>
    <w:rsid w:val="00CE116B"/>
    <w:rsid w:val="00CE1537"/>
    <w:rsid w:val="00CE1907"/>
    <w:rsid w:val="00CE1F18"/>
    <w:rsid w:val="00CE209E"/>
    <w:rsid w:val="00CE277A"/>
    <w:rsid w:val="00CE27D0"/>
    <w:rsid w:val="00CE28D0"/>
    <w:rsid w:val="00CE2C2E"/>
    <w:rsid w:val="00CE315C"/>
    <w:rsid w:val="00CE32F1"/>
    <w:rsid w:val="00CE32F7"/>
    <w:rsid w:val="00CE3467"/>
    <w:rsid w:val="00CE36BF"/>
    <w:rsid w:val="00CE3BAA"/>
    <w:rsid w:val="00CE3C61"/>
    <w:rsid w:val="00CE3F43"/>
    <w:rsid w:val="00CE3F50"/>
    <w:rsid w:val="00CE416D"/>
    <w:rsid w:val="00CE4221"/>
    <w:rsid w:val="00CE4448"/>
    <w:rsid w:val="00CE4732"/>
    <w:rsid w:val="00CE4747"/>
    <w:rsid w:val="00CE4A69"/>
    <w:rsid w:val="00CE50F5"/>
    <w:rsid w:val="00CE5206"/>
    <w:rsid w:val="00CE53A9"/>
    <w:rsid w:val="00CE5C89"/>
    <w:rsid w:val="00CE5E20"/>
    <w:rsid w:val="00CE6291"/>
    <w:rsid w:val="00CE674E"/>
    <w:rsid w:val="00CE6B97"/>
    <w:rsid w:val="00CE6DFB"/>
    <w:rsid w:val="00CE70FE"/>
    <w:rsid w:val="00CE72D9"/>
    <w:rsid w:val="00CE7382"/>
    <w:rsid w:val="00CE7566"/>
    <w:rsid w:val="00CE7986"/>
    <w:rsid w:val="00CF0199"/>
    <w:rsid w:val="00CF03F4"/>
    <w:rsid w:val="00CF0836"/>
    <w:rsid w:val="00CF0BBB"/>
    <w:rsid w:val="00CF0FD6"/>
    <w:rsid w:val="00CF1959"/>
    <w:rsid w:val="00CF1A88"/>
    <w:rsid w:val="00CF1E2B"/>
    <w:rsid w:val="00CF2243"/>
    <w:rsid w:val="00CF2496"/>
    <w:rsid w:val="00CF24B7"/>
    <w:rsid w:val="00CF263F"/>
    <w:rsid w:val="00CF28BD"/>
    <w:rsid w:val="00CF299E"/>
    <w:rsid w:val="00CF29E6"/>
    <w:rsid w:val="00CF2ACE"/>
    <w:rsid w:val="00CF2C49"/>
    <w:rsid w:val="00CF2FAE"/>
    <w:rsid w:val="00CF2FC0"/>
    <w:rsid w:val="00CF3056"/>
    <w:rsid w:val="00CF3448"/>
    <w:rsid w:val="00CF373E"/>
    <w:rsid w:val="00CF37F9"/>
    <w:rsid w:val="00CF4F3C"/>
    <w:rsid w:val="00CF59AA"/>
    <w:rsid w:val="00CF609E"/>
    <w:rsid w:val="00CF6287"/>
    <w:rsid w:val="00CF62EA"/>
    <w:rsid w:val="00CF6321"/>
    <w:rsid w:val="00CF64D0"/>
    <w:rsid w:val="00CF6DC1"/>
    <w:rsid w:val="00CF6E5B"/>
    <w:rsid w:val="00CF754A"/>
    <w:rsid w:val="00CF7C29"/>
    <w:rsid w:val="00D0073A"/>
    <w:rsid w:val="00D00A35"/>
    <w:rsid w:val="00D0133E"/>
    <w:rsid w:val="00D02088"/>
    <w:rsid w:val="00D02469"/>
    <w:rsid w:val="00D024AB"/>
    <w:rsid w:val="00D025E4"/>
    <w:rsid w:val="00D03173"/>
    <w:rsid w:val="00D03543"/>
    <w:rsid w:val="00D035BE"/>
    <w:rsid w:val="00D0369B"/>
    <w:rsid w:val="00D03A1F"/>
    <w:rsid w:val="00D03A98"/>
    <w:rsid w:val="00D040C2"/>
    <w:rsid w:val="00D0421E"/>
    <w:rsid w:val="00D0435C"/>
    <w:rsid w:val="00D043D4"/>
    <w:rsid w:val="00D049FE"/>
    <w:rsid w:val="00D04F46"/>
    <w:rsid w:val="00D0559A"/>
    <w:rsid w:val="00D058AC"/>
    <w:rsid w:val="00D05991"/>
    <w:rsid w:val="00D059BD"/>
    <w:rsid w:val="00D05D40"/>
    <w:rsid w:val="00D05F5A"/>
    <w:rsid w:val="00D060EF"/>
    <w:rsid w:val="00D064BE"/>
    <w:rsid w:val="00D064E1"/>
    <w:rsid w:val="00D0663E"/>
    <w:rsid w:val="00D0674C"/>
    <w:rsid w:val="00D06B0E"/>
    <w:rsid w:val="00D071F7"/>
    <w:rsid w:val="00D074C6"/>
    <w:rsid w:val="00D07621"/>
    <w:rsid w:val="00D07B27"/>
    <w:rsid w:val="00D10312"/>
    <w:rsid w:val="00D10554"/>
    <w:rsid w:val="00D10580"/>
    <w:rsid w:val="00D1085A"/>
    <w:rsid w:val="00D10A7F"/>
    <w:rsid w:val="00D10C78"/>
    <w:rsid w:val="00D10E95"/>
    <w:rsid w:val="00D118AC"/>
    <w:rsid w:val="00D122E3"/>
    <w:rsid w:val="00D12428"/>
    <w:rsid w:val="00D1247E"/>
    <w:rsid w:val="00D125E7"/>
    <w:rsid w:val="00D12794"/>
    <w:rsid w:val="00D1293E"/>
    <w:rsid w:val="00D12A2E"/>
    <w:rsid w:val="00D12C06"/>
    <w:rsid w:val="00D12C69"/>
    <w:rsid w:val="00D12CBD"/>
    <w:rsid w:val="00D12D68"/>
    <w:rsid w:val="00D12DAE"/>
    <w:rsid w:val="00D136EF"/>
    <w:rsid w:val="00D13AEB"/>
    <w:rsid w:val="00D13C05"/>
    <w:rsid w:val="00D13D84"/>
    <w:rsid w:val="00D13E50"/>
    <w:rsid w:val="00D1403C"/>
    <w:rsid w:val="00D14326"/>
    <w:rsid w:val="00D14496"/>
    <w:rsid w:val="00D149F8"/>
    <w:rsid w:val="00D14B6F"/>
    <w:rsid w:val="00D14B91"/>
    <w:rsid w:val="00D14E4D"/>
    <w:rsid w:val="00D15293"/>
    <w:rsid w:val="00D156BE"/>
    <w:rsid w:val="00D1576F"/>
    <w:rsid w:val="00D15A39"/>
    <w:rsid w:val="00D1604C"/>
    <w:rsid w:val="00D163C5"/>
    <w:rsid w:val="00D163CD"/>
    <w:rsid w:val="00D16A78"/>
    <w:rsid w:val="00D16DE6"/>
    <w:rsid w:val="00D16E8E"/>
    <w:rsid w:val="00D17028"/>
    <w:rsid w:val="00D171B0"/>
    <w:rsid w:val="00D17334"/>
    <w:rsid w:val="00D17528"/>
    <w:rsid w:val="00D17EF7"/>
    <w:rsid w:val="00D20149"/>
    <w:rsid w:val="00D20227"/>
    <w:rsid w:val="00D20315"/>
    <w:rsid w:val="00D20390"/>
    <w:rsid w:val="00D204D1"/>
    <w:rsid w:val="00D20DB2"/>
    <w:rsid w:val="00D20FFE"/>
    <w:rsid w:val="00D21022"/>
    <w:rsid w:val="00D21086"/>
    <w:rsid w:val="00D21395"/>
    <w:rsid w:val="00D2175B"/>
    <w:rsid w:val="00D21C73"/>
    <w:rsid w:val="00D2226A"/>
    <w:rsid w:val="00D2275D"/>
    <w:rsid w:val="00D22A8C"/>
    <w:rsid w:val="00D22CA8"/>
    <w:rsid w:val="00D23310"/>
    <w:rsid w:val="00D2341A"/>
    <w:rsid w:val="00D23549"/>
    <w:rsid w:val="00D23A77"/>
    <w:rsid w:val="00D24219"/>
    <w:rsid w:val="00D242AB"/>
    <w:rsid w:val="00D24431"/>
    <w:rsid w:val="00D24833"/>
    <w:rsid w:val="00D24B39"/>
    <w:rsid w:val="00D251B1"/>
    <w:rsid w:val="00D25541"/>
    <w:rsid w:val="00D25828"/>
    <w:rsid w:val="00D259B3"/>
    <w:rsid w:val="00D25BD5"/>
    <w:rsid w:val="00D25FDE"/>
    <w:rsid w:val="00D2649F"/>
    <w:rsid w:val="00D265A2"/>
    <w:rsid w:val="00D26895"/>
    <w:rsid w:val="00D26D1D"/>
    <w:rsid w:val="00D26D32"/>
    <w:rsid w:val="00D273E7"/>
    <w:rsid w:val="00D27865"/>
    <w:rsid w:val="00D27B94"/>
    <w:rsid w:val="00D27C05"/>
    <w:rsid w:val="00D27E10"/>
    <w:rsid w:val="00D301D3"/>
    <w:rsid w:val="00D3046B"/>
    <w:rsid w:val="00D30FC2"/>
    <w:rsid w:val="00D31B71"/>
    <w:rsid w:val="00D325FE"/>
    <w:rsid w:val="00D32668"/>
    <w:rsid w:val="00D32C55"/>
    <w:rsid w:val="00D32DBA"/>
    <w:rsid w:val="00D330D8"/>
    <w:rsid w:val="00D335AB"/>
    <w:rsid w:val="00D33969"/>
    <w:rsid w:val="00D33E92"/>
    <w:rsid w:val="00D33EAC"/>
    <w:rsid w:val="00D34090"/>
    <w:rsid w:val="00D34106"/>
    <w:rsid w:val="00D342EB"/>
    <w:rsid w:val="00D34552"/>
    <w:rsid w:val="00D349CC"/>
    <w:rsid w:val="00D34E2E"/>
    <w:rsid w:val="00D356B7"/>
    <w:rsid w:val="00D358B7"/>
    <w:rsid w:val="00D35BFE"/>
    <w:rsid w:val="00D35EE9"/>
    <w:rsid w:val="00D35F54"/>
    <w:rsid w:val="00D363B2"/>
    <w:rsid w:val="00D36489"/>
    <w:rsid w:val="00D3677F"/>
    <w:rsid w:val="00D3698F"/>
    <w:rsid w:val="00D3796D"/>
    <w:rsid w:val="00D37BE7"/>
    <w:rsid w:val="00D37CBF"/>
    <w:rsid w:val="00D40026"/>
    <w:rsid w:val="00D40529"/>
    <w:rsid w:val="00D40ADD"/>
    <w:rsid w:val="00D40B26"/>
    <w:rsid w:val="00D40C6F"/>
    <w:rsid w:val="00D41072"/>
    <w:rsid w:val="00D4148E"/>
    <w:rsid w:val="00D4170D"/>
    <w:rsid w:val="00D41F4A"/>
    <w:rsid w:val="00D4225F"/>
    <w:rsid w:val="00D42A98"/>
    <w:rsid w:val="00D42C38"/>
    <w:rsid w:val="00D42CAD"/>
    <w:rsid w:val="00D42EED"/>
    <w:rsid w:val="00D433B9"/>
    <w:rsid w:val="00D43401"/>
    <w:rsid w:val="00D436E7"/>
    <w:rsid w:val="00D43832"/>
    <w:rsid w:val="00D43BE3"/>
    <w:rsid w:val="00D43D04"/>
    <w:rsid w:val="00D442E6"/>
    <w:rsid w:val="00D4489E"/>
    <w:rsid w:val="00D448B2"/>
    <w:rsid w:val="00D44DAE"/>
    <w:rsid w:val="00D44F1A"/>
    <w:rsid w:val="00D44FE6"/>
    <w:rsid w:val="00D452B8"/>
    <w:rsid w:val="00D4571E"/>
    <w:rsid w:val="00D458B4"/>
    <w:rsid w:val="00D469B1"/>
    <w:rsid w:val="00D46EB3"/>
    <w:rsid w:val="00D46F14"/>
    <w:rsid w:val="00D46F48"/>
    <w:rsid w:val="00D47061"/>
    <w:rsid w:val="00D473E0"/>
    <w:rsid w:val="00D4760E"/>
    <w:rsid w:val="00D5009F"/>
    <w:rsid w:val="00D50439"/>
    <w:rsid w:val="00D5056A"/>
    <w:rsid w:val="00D5069F"/>
    <w:rsid w:val="00D507D5"/>
    <w:rsid w:val="00D50821"/>
    <w:rsid w:val="00D50A4C"/>
    <w:rsid w:val="00D511FE"/>
    <w:rsid w:val="00D51636"/>
    <w:rsid w:val="00D51D07"/>
    <w:rsid w:val="00D51EEC"/>
    <w:rsid w:val="00D524D9"/>
    <w:rsid w:val="00D52B70"/>
    <w:rsid w:val="00D537DB"/>
    <w:rsid w:val="00D5389D"/>
    <w:rsid w:val="00D53CA1"/>
    <w:rsid w:val="00D53E38"/>
    <w:rsid w:val="00D54160"/>
    <w:rsid w:val="00D542CB"/>
    <w:rsid w:val="00D543E2"/>
    <w:rsid w:val="00D54993"/>
    <w:rsid w:val="00D54A0A"/>
    <w:rsid w:val="00D54A5B"/>
    <w:rsid w:val="00D555EE"/>
    <w:rsid w:val="00D55659"/>
    <w:rsid w:val="00D557A2"/>
    <w:rsid w:val="00D558B6"/>
    <w:rsid w:val="00D55AC5"/>
    <w:rsid w:val="00D55DB1"/>
    <w:rsid w:val="00D56070"/>
    <w:rsid w:val="00D5624A"/>
    <w:rsid w:val="00D564EA"/>
    <w:rsid w:val="00D5665A"/>
    <w:rsid w:val="00D56869"/>
    <w:rsid w:val="00D56BC4"/>
    <w:rsid w:val="00D572BF"/>
    <w:rsid w:val="00D57435"/>
    <w:rsid w:val="00D574A1"/>
    <w:rsid w:val="00D57862"/>
    <w:rsid w:val="00D5793E"/>
    <w:rsid w:val="00D5796C"/>
    <w:rsid w:val="00D60010"/>
    <w:rsid w:val="00D60330"/>
    <w:rsid w:val="00D60BEC"/>
    <w:rsid w:val="00D60C2A"/>
    <w:rsid w:val="00D60DFD"/>
    <w:rsid w:val="00D61B12"/>
    <w:rsid w:val="00D61C55"/>
    <w:rsid w:val="00D61C7E"/>
    <w:rsid w:val="00D61EE6"/>
    <w:rsid w:val="00D621EE"/>
    <w:rsid w:val="00D62390"/>
    <w:rsid w:val="00D63006"/>
    <w:rsid w:val="00D63426"/>
    <w:rsid w:val="00D635FB"/>
    <w:rsid w:val="00D63617"/>
    <w:rsid w:val="00D63798"/>
    <w:rsid w:val="00D6384E"/>
    <w:rsid w:val="00D63A72"/>
    <w:rsid w:val="00D63DA0"/>
    <w:rsid w:val="00D63E37"/>
    <w:rsid w:val="00D64173"/>
    <w:rsid w:val="00D64310"/>
    <w:rsid w:val="00D644DB"/>
    <w:rsid w:val="00D64942"/>
    <w:rsid w:val="00D64BC4"/>
    <w:rsid w:val="00D65327"/>
    <w:rsid w:val="00D65511"/>
    <w:rsid w:val="00D655CB"/>
    <w:rsid w:val="00D665B4"/>
    <w:rsid w:val="00D669C2"/>
    <w:rsid w:val="00D66BED"/>
    <w:rsid w:val="00D66BEE"/>
    <w:rsid w:val="00D66FCA"/>
    <w:rsid w:val="00D67024"/>
    <w:rsid w:val="00D70036"/>
    <w:rsid w:val="00D7020A"/>
    <w:rsid w:val="00D702A9"/>
    <w:rsid w:val="00D702D6"/>
    <w:rsid w:val="00D70979"/>
    <w:rsid w:val="00D70C83"/>
    <w:rsid w:val="00D70D26"/>
    <w:rsid w:val="00D70E53"/>
    <w:rsid w:val="00D70F8C"/>
    <w:rsid w:val="00D71BE6"/>
    <w:rsid w:val="00D71C0A"/>
    <w:rsid w:val="00D71E5A"/>
    <w:rsid w:val="00D71F07"/>
    <w:rsid w:val="00D71FDD"/>
    <w:rsid w:val="00D720AF"/>
    <w:rsid w:val="00D725BC"/>
    <w:rsid w:val="00D72968"/>
    <w:rsid w:val="00D729E1"/>
    <w:rsid w:val="00D72AA8"/>
    <w:rsid w:val="00D72F41"/>
    <w:rsid w:val="00D7341B"/>
    <w:rsid w:val="00D738AA"/>
    <w:rsid w:val="00D73A2F"/>
    <w:rsid w:val="00D73C7C"/>
    <w:rsid w:val="00D73FFE"/>
    <w:rsid w:val="00D743C0"/>
    <w:rsid w:val="00D7444B"/>
    <w:rsid w:val="00D74511"/>
    <w:rsid w:val="00D746CC"/>
    <w:rsid w:val="00D74A04"/>
    <w:rsid w:val="00D74BC4"/>
    <w:rsid w:val="00D74EEE"/>
    <w:rsid w:val="00D75359"/>
    <w:rsid w:val="00D76382"/>
    <w:rsid w:val="00D767F4"/>
    <w:rsid w:val="00D768EC"/>
    <w:rsid w:val="00D76A3A"/>
    <w:rsid w:val="00D76B9E"/>
    <w:rsid w:val="00D76BE2"/>
    <w:rsid w:val="00D77852"/>
    <w:rsid w:val="00D77F82"/>
    <w:rsid w:val="00D80492"/>
    <w:rsid w:val="00D8080D"/>
    <w:rsid w:val="00D80E73"/>
    <w:rsid w:val="00D80EF5"/>
    <w:rsid w:val="00D81002"/>
    <w:rsid w:val="00D8104D"/>
    <w:rsid w:val="00D81672"/>
    <w:rsid w:val="00D81775"/>
    <w:rsid w:val="00D81A04"/>
    <w:rsid w:val="00D81A1E"/>
    <w:rsid w:val="00D81E92"/>
    <w:rsid w:val="00D82514"/>
    <w:rsid w:val="00D82720"/>
    <w:rsid w:val="00D82EC3"/>
    <w:rsid w:val="00D831B1"/>
    <w:rsid w:val="00D840E8"/>
    <w:rsid w:val="00D84B2C"/>
    <w:rsid w:val="00D84E09"/>
    <w:rsid w:val="00D84E74"/>
    <w:rsid w:val="00D85276"/>
    <w:rsid w:val="00D852DF"/>
    <w:rsid w:val="00D85ABE"/>
    <w:rsid w:val="00D861E6"/>
    <w:rsid w:val="00D86242"/>
    <w:rsid w:val="00D86405"/>
    <w:rsid w:val="00D86835"/>
    <w:rsid w:val="00D86B39"/>
    <w:rsid w:val="00D86B5B"/>
    <w:rsid w:val="00D86D02"/>
    <w:rsid w:val="00D87341"/>
    <w:rsid w:val="00D873F1"/>
    <w:rsid w:val="00D87599"/>
    <w:rsid w:val="00D878AB"/>
    <w:rsid w:val="00D900B7"/>
    <w:rsid w:val="00D90E4D"/>
    <w:rsid w:val="00D90FE5"/>
    <w:rsid w:val="00D9100C"/>
    <w:rsid w:val="00D910E9"/>
    <w:rsid w:val="00D913AD"/>
    <w:rsid w:val="00D91680"/>
    <w:rsid w:val="00D9172C"/>
    <w:rsid w:val="00D91A87"/>
    <w:rsid w:val="00D91C54"/>
    <w:rsid w:val="00D91DB9"/>
    <w:rsid w:val="00D927CC"/>
    <w:rsid w:val="00D927D1"/>
    <w:rsid w:val="00D92AB6"/>
    <w:rsid w:val="00D92FD1"/>
    <w:rsid w:val="00D938D0"/>
    <w:rsid w:val="00D93AE4"/>
    <w:rsid w:val="00D9409E"/>
    <w:rsid w:val="00D941EB"/>
    <w:rsid w:val="00D94484"/>
    <w:rsid w:val="00D948D7"/>
    <w:rsid w:val="00D94BAF"/>
    <w:rsid w:val="00D94DBB"/>
    <w:rsid w:val="00D9509F"/>
    <w:rsid w:val="00D958FA"/>
    <w:rsid w:val="00D95B08"/>
    <w:rsid w:val="00D95F25"/>
    <w:rsid w:val="00D9633E"/>
    <w:rsid w:val="00D96AB2"/>
    <w:rsid w:val="00D96D61"/>
    <w:rsid w:val="00D96EAC"/>
    <w:rsid w:val="00D972D7"/>
    <w:rsid w:val="00D9774F"/>
    <w:rsid w:val="00D97FE2"/>
    <w:rsid w:val="00DA0AB2"/>
    <w:rsid w:val="00DA0FDF"/>
    <w:rsid w:val="00DA1274"/>
    <w:rsid w:val="00DA12DE"/>
    <w:rsid w:val="00DA13EA"/>
    <w:rsid w:val="00DA154B"/>
    <w:rsid w:val="00DA191B"/>
    <w:rsid w:val="00DA1A9A"/>
    <w:rsid w:val="00DA1BAA"/>
    <w:rsid w:val="00DA1D8D"/>
    <w:rsid w:val="00DA2187"/>
    <w:rsid w:val="00DA2729"/>
    <w:rsid w:val="00DA27E7"/>
    <w:rsid w:val="00DA2E6E"/>
    <w:rsid w:val="00DA343B"/>
    <w:rsid w:val="00DA3573"/>
    <w:rsid w:val="00DA3992"/>
    <w:rsid w:val="00DA3B86"/>
    <w:rsid w:val="00DA3BD5"/>
    <w:rsid w:val="00DA3D7E"/>
    <w:rsid w:val="00DA4A65"/>
    <w:rsid w:val="00DA54A9"/>
    <w:rsid w:val="00DA5624"/>
    <w:rsid w:val="00DA58A5"/>
    <w:rsid w:val="00DA5A9C"/>
    <w:rsid w:val="00DA5AF1"/>
    <w:rsid w:val="00DA6135"/>
    <w:rsid w:val="00DA61EF"/>
    <w:rsid w:val="00DA6252"/>
    <w:rsid w:val="00DA6908"/>
    <w:rsid w:val="00DA6D6A"/>
    <w:rsid w:val="00DA72AF"/>
    <w:rsid w:val="00DA7666"/>
    <w:rsid w:val="00DA7D7D"/>
    <w:rsid w:val="00DA7DD1"/>
    <w:rsid w:val="00DB0576"/>
    <w:rsid w:val="00DB0636"/>
    <w:rsid w:val="00DB0E60"/>
    <w:rsid w:val="00DB18B4"/>
    <w:rsid w:val="00DB1B51"/>
    <w:rsid w:val="00DB1D2F"/>
    <w:rsid w:val="00DB1F88"/>
    <w:rsid w:val="00DB26AF"/>
    <w:rsid w:val="00DB29C7"/>
    <w:rsid w:val="00DB29EB"/>
    <w:rsid w:val="00DB3BC0"/>
    <w:rsid w:val="00DB3DAE"/>
    <w:rsid w:val="00DB47D6"/>
    <w:rsid w:val="00DB4E6D"/>
    <w:rsid w:val="00DB5540"/>
    <w:rsid w:val="00DB6311"/>
    <w:rsid w:val="00DB64FC"/>
    <w:rsid w:val="00DB67C9"/>
    <w:rsid w:val="00DB6F1F"/>
    <w:rsid w:val="00DB7202"/>
    <w:rsid w:val="00DB74D0"/>
    <w:rsid w:val="00DB76BE"/>
    <w:rsid w:val="00DB7A81"/>
    <w:rsid w:val="00DB7E42"/>
    <w:rsid w:val="00DC0139"/>
    <w:rsid w:val="00DC0340"/>
    <w:rsid w:val="00DC0680"/>
    <w:rsid w:val="00DC11F9"/>
    <w:rsid w:val="00DC1457"/>
    <w:rsid w:val="00DC1A1B"/>
    <w:rsid w:val="00DC1AFC"/>
    <w:rsid w:val="00DC1B29"/>
    <w:rsid w:val="00DC1BA0"/>
    <w:rsid w:val="00DC1F61"/>
    <w:rsid w:val="00DC2217"/>
    <w:rsid w:val="00DC2270"/>
    <w:rsid w:val="00DC23C2"/>
    <w:rsid w:val="00DC3765"/>
    <w:rsid w:val="00DC392B"/>
    <w:rsid w:val="00DC3C8A"/>
    <w:rsid w:val="00DC3DE9"/>
    <w:rsid w:val="00DC514E"/>
    <w:rsid w:val="00DC5470"/>
    <w:rsid w:val="00DC5DA2"/>
    <w:rsid w:val="00DC5FD5"/>
    <w:rsid w:val="00DC66A6"/>
    <w:rsid w:val="00DC67B2"/>
    <w:rsid w:val="00DC68B4"/>
    <w:rsid w:val="00DC6DE3"/>
    <w:rsid w:val="00DC6E19"/>
    <w:rsid w:val="00DC711B"/>
    <w:rsid w:val="00DC7287"/>
    <w:rsid w:val="00DC78F8"/>
    <w:rsid w:val="00DD02A2"/>
    <w:rsid w:val="00DD0906"/>
    <w:rsid w:val="00DD0B2E"/>
    <w:rsid w:val="00DD0BE1"/>
    <w:rsid w:val="00DD0FE9"/>
    <w:rsid w:val="00DD10DF"/>
    <w:rsid w:val="00DD1278"/>
    <w:rsid w:val="00DD1294"/>
    <w:rsid w:val="00DD1CFF"/>
    <w:rsid w:val="00DD2016"/>
    <w:rsid w:val="00DD246A"/>
    <w:rsid w:val="00DD2569"/>
    <w:rsid w:val="00DD28F3"/>
    <w:rsid w:val="00DD2B39"/>
    <w:rsid w:val="00DD32AE"/>
    <w:rsid w:val="00DD352B"/>
    <w:rsid w:val="00DD3816"/>
    <w:rsid w:val="00DD3E78"/>
    <w:rsid w:val="00DD4044"/>
    <w:rsid w:val="00DD420F"/>
    <w:rsid w:val="00DD4222"/>
    <w:rsid w:val="00DD43D3"/>
    <w:rsid w:val="00DD531A"/>
    <w:rsid w:val="00DD53AB"/>
    <w:rsid w:val="00DD54A0"/>
    <w:rsid w:val="00DD569B"/>
    <w:rsid w:val="00DD58B9"/>
    <w:rsid w:val="00DD5B5C"/>
    <w:rsid w:val="00DD5C0B"/>
    <w:rsid w:val="00DD5CEF"/>
    <w:rsid w:val="00DD5D6B"/>
    <w:rsid w:val="00DD6121"/>
    <w:rsid w:val="00DD6CE8"/>
    <w:rsid w:val="00DD6D97"/>
    <w:rsid w:val="00DD6F20"/>
    <w:rsid w:val="00DD7454"/>
    <w:rsid w:val="00DD74A9"/>
    <w:rsid w:val="00DD7722"/>
    <w:rsid w:val="00DD79C6"/>
    <w:rsid w:val="00DD7BCA"/>
    <w:rsid w:val="00DD7BDA"/>
    <w:rsid w:val="00DE0040"/>
    <w:rsid w:val="00DE0399"/>
    <w:rsid w:val="00DE05CD"/>
    <w:rsid w:val="00DE0809"/>
    <w:rsid w:val="00DE0AFB"/>
    <w:rsid w:val="00DE0C37"/>
    <w:rsid w:val="00DE1009"/>
    <w:rsid w:val="00DE11E8"/>
    <w:rsid w:val="00DE12A3"/>
    <w:rsid w:val="00DE1D17"/>
    <w:rsid w:val="00DE24D0"/>
    <w:rsid w:val="00DE2576"/>
    <w:rsid w:val="00DE2DDA"/>
    <w:rsid w:val="00DE333A"/>
    <w:rsid w:val="00DE3350"/>
    <w:rsid w:val="00DE3A05"/>
    <w:rsid w:val="00DE3DF5"/>
    <w:rsid w:val="00DE40B4"/>
    <w:rsid w:val="00DE4185"/>
    <w:rsid w:val="00DE442B"/>
    <w:rsid w:val="00DE47AB"/>
    <w:rsid w:val="00DE48C0"/>
    <w:rsid w:val="00DE4AC3"/>
    <w:rsid w:val="00DE4CED"/>
    <w:rsid w:val="00DE4DFB"/>
    <w:rsid w:val="00DE4E06"/>
    <w:rsid w:val="00DE4F82"/>
    <w:rsid w:val="00DE508D"/>
    <w:rsid w:val="00DE53DD"/>
    <w:rsid w:val="00DE5882"/>
    <w:rsid w:val="00DE5E00"/>
    <w:rsid w:val="00DE647A"/>
    <w:rsid w:val="00DE677D"/>
    <w:rsid w:val="00DE69CF"/>
    <w:rsid w:val="00DE6A9A"/>
    <w:rsid w:val="00DE6A9D"/>
    <w:rsid w:val="00DE6DA8"/>
    <w:rsid w:val="00DE70A5"/>
    <w:rsid w:val="00DE72E1"/>
    <w:rsid w:val="00DE72F9"/>
    <w:rsid w:val="00DE74F2"/>
    <w:rsid w:val="00DE79F0"/>
    <w:rsid w:val="00DE7AA9"/>
    <w:rsid w:val="00DE7C49"/>
    <w:rsid w:val="00DE7D36"/>
    <w:rsid w:val="00DE7F18"/>
    <w:rsid w:val="00DF00F7"/>
    <w:rsid w:val="00DF012D"/>
    <w:rsid w:val="00DF07B8"/>
    <w:rsid w:val="00DF0CB6"/>
    <w:rsid w:val="00DF0CEA"/>
    <w:rsid w:val="00DF0E38"/>
    <w:rsid w:val="00DF128B"/>
    <w:rsid w:val="00DF1317"/>
    <w:rsid w:val="00DF1D06"/>
    <w:rsid w:val="00DF21DE"/>
    <w:rsid w:val="00DF2733"/>
    <w:rsid w:val="00DF2989"/>
    <w:rsid w:val="00DF31E3"/>
    <w:rsid w:val="00DF3346"/>
    <w:rsid w:val="00DF34F7"/>
    <w:rsid w:val="00DF34FF"/>
    <w:rsid w:val="00DF3588"/>
    <w:rsid w:val="00DF361A"/>
    <w:rsid w:val="00DF3AD2"/>
    <w:rsid w:val="00DF4077"/>
    <w:rsid w:val="00DF4178"/>
    <w:rsid w:val="00DF4594"/>
    <w:rsid w:val="00DF4686"/>
    <w:rsid w:val="00DF475D"/>
    <w:rsid w:val="00DF4968"/>
    <w:rsid w:val="00DF4AAF"/>
    <w:rsid w:val="00DF4CE3"/>
    <w:rsid w:val="00DF52AC"/>
    <w:rsid w:val="00DF5747"/>
    <w:rsid w:val="00DF5C9D"/>
    <w:rsid w:val="00DF5FA3"/>
    <w:rsid w:val="00DF6310"/>
    <w:rsid w:val="00DF64BA"/>
    <w:rsid w:val="00DF6566"/>
    <w:rsid w:val="00DF6A09"/>
    <w:rsid w:val="00DF6C2C"/>
    <w:rsid w:val="00DF6E51"/>
    <w:rsid w:val="00DF7395"/>
    <w:rsid w:val="00DF73C1"/>
    <w:rsid w:val="00DF7685"/>
    <w:rsid w:val="00DF780A"/>
    <w:rsid w:val="00DF7954"/>
    <w:rsid w:val="00DF797B"/>
    <w:rsid w:val="00DF7DAA"/>
    <w:rsid w:val="00E00259"/>
    <w:rsid w:val="00E0045C"/>
    <w:rsid w:val="00E00805"/>
    <w:rsid w:val="00E00B9B"/>
    <w:rsid w:val="00E00C2E"/>
    <w:rsid w:val="00E00DBA"/>
    <w:rsid w:val="00E013E0"/>
    <w:rsid w:val="00E0197C"/>
    <w:rsid w:val="00E01D4C"/>
    <w:rsid w:val="00E01E32"/>
    <w:rsid w:val="00E02494"/>
    <w:rsid w:val="00E0276D"/>
    <w:rsid w:val="00E033E7"/>
    <w:rsid w:val="00E03824"/>
    <w:rsid w:val="00E039F0"/>
    <w:rsid w:val="00E03E7B"/>
    <w:rsid w:val="00E03F7C"/>
    <w:rsid w:val="00E04068"/>
    <w:rsid w:val="00E04408"/>
    <w:rsid w:val="00E04862"/>
    <w:rsid w:val="00E04A24"/>
    <w:rsid w:val="00E04C85"/>
    <w:rsid w:val="00E04E5D"/>
    <w:rsid w:val="00E05288"/>
    <w:rsid w:val="00E053E8"/>
    <w:rsid w:val="00E05B67"/>
    <w:rsid w:val="00E05C74"/>
    <w:rsid w:val="00E05D67"/>
    <w:rsid w:val="00E05E9A"/>
    <w:rsid w:val="00E05ECB"/>
    <w:rsid w:val="00E061A2"/>
    <w:rsid w:val="00E065DC"/>
    <w:rsid w:val="00E06824"/>
    <w:rsid w:val="00E06830"/>
    <w:rsid w:val="00E06C9C"/>
    <w:rsid w:val="00E0758C"/>
    <w:rsid w:val="00E076E8"/>
    <w:rsid w:val="00E07D07"/>
    <w:rsid w:val="00E07F7D"/>
    <w:rsid w:val="00E10222"/>
    <w:rsid w:val="00E1075D"/>
    <w:rsid w:val="00E108C5"/>
    <w:rsid w:val="00E10BB5"/>
    <w:rsid w:val="00E10E3B"/>
    <w:rsid w:val="00E10ECA"/>
    <w:rsid w:val="00E11055"/>
    <w:rsid w:val="00E11109"/>
    <w:rsid w:val="00E11170"/>
    <w:rsid w:val="00E111E9"/>
    <w:rsid w:val="00E1148D"/>
    <w:rsid w:val="00E11B1C"/>
    <w:rsid w:val="00E11B1F"/>
    <w:rsid w:val="00E11C94"/>
    <w:rsid w:val="00E11CE1"/>
    <w:rsid w:val="00E11D6D"/>
    <w:rsid w:val="00E11E88"/>
    <w:rsid w:val="00E126AB"/>
    <w:rsid w:val="00E132EC"/>
    <w:rsid w:val="00E1373E"/>
    <w:rsid w:val="00E13A39"/>
    <w:rsid w:val="00E14488"/>
    <w:rsid w:val="00E15161"/>
    <w:rsid w:val="00E15F4B"/>
    <w:rsid w:val="00E16677"/>
    <w:rsid w:val="00E16742"/>
    <w:rsid w:val="00E16B29"/>
    <w:rsid w:val="00E17B0C"/>
    <w:rsid w:val="00E2001A"/>
    <w:rsid w:val="00E2092D"/>
    <w:rsid w:val="00E20E48"/>
    <w:rsid w:val="00E2132A"/>
    <w:rsid w:val="00E213C7"/>
    <w:rsid w:val="00E21417"/>
    <w:rsid w:val="00E21740"/>
    <w:rsid w:val="00E21910"/>
    <w:rsid w:val="00E21DE6"/>
    <w:rsid w:val="00E22A88"/>
    <w:rsid w:val="00E23600"/>
    <w:rsid w:val="00E236BB"/>
    <w:rsid w:val="00E2398A"/>
    <w:rsid w:val="00E23B0D"/>
    <w:rsid w:val="00E2412F"/>
    <w:rsid w:val="00E24271"/>
    <w:rsid w:val="00E2441A"/>
    <w:rsid w:val="00E2442D"/>
    <w:rsid w:val="00E2475F"/>
    <w:rsid w:val="00E248A1"/>
    <w:rsid w:val="00E24F4C"/>
    <w:rsid w:val="00E2516E"/>
    <w:rsid w:val="00E254F2"/>
    <w:rsid w:val="00E25B80"/>
    <w:rsid w:val="00E25E08"/>
    <w:rsid w:val="00E26129"/>
    <w:rsid w:val="00E264C7"/>
    <w:rsid w:val="00E270FB"/>
    <w:rsid w:val="00E2775E"/>
    <w:rsid w:val="00E2795F"/>
    <w:rsid w:val="00E27CE7"/>
    <w:rsid w:val="00E3062A"/>
    <w:rsid w:val="00E30868"/>
    <w:rsid w:val="00E308DF"/>
    <w:rsid w:val="00E310D2"/>
    <w:rsid w:val="00E313EC"/>
    <w:rsid w:val="00E315B3"/>
    <w:rsid w:val="00E31732"/>
    <w:rsid w:val="00E317E3"/>
    <w:rsid w:val="00E31963"/>
    <w:rsid w:val="00E31AEE"/>
    <w:rsid w:val="00E31C52"/>
    <w:rsid w:val="00E31C97"/>
    <w:rsid w:val="00E31CBA"/>
    <w:rsid w:val="00E31F01"/>
    <w:rsid w:val="00E31F55"/>
    <w:rsid w:val="00E3239F"/>
    <w:rsid w:val="00E32561"/>
    <w:rsid w:val="00E32B60"/>
    <w:rsid w:val="00E33204"/>
    <w:rsid w:val="00E333CB"/>
    <w:rsid w:val="00E333EF"/>
    <w:rsid w:val="00E334AE"/>
    <w:rsid w:val="00E3387A"/>
    <w:rsid w:val="00E33997"/>
    <w:rsid w:val="00E33EB7"/>
    <w:rsid w:val="00E33FD4"/>
    <w:rsid w:val="00E3403C"/>
    <w:rsid w:val="00E34421"/>
    <w:rsid w:val="00E34465"/>
    <w:rsid w:val="00E34A9D"/>
    <w:rsid w:val="00E34BA8"/>
    <w:rsid w:val="00E34E40"/>
    <w:rsid w:val="00E34E68"/>
    <w:rsid w:val="00E34FA1"/>
    <w:rsid w:val="00E3512D"/>
    <w:rsid w:val="00E35585"/>
    <w:rsid w:val="00E35646"/>
    <w:rsid w:val="00E35888"/>
    <w:rsid w:val="00E361EF"/>
    <w:rsid w:val="00E367F0"/>
    <w:rsid w:val="00E36DEA"/>
    <w:rsid w:val="00E36F00"/>
    <w:rsid w:val="00E374E1"/>
    <w:rsid w:val="00E377C6"/>
    <w:rsid w:val="00E379F9"/>
    <w:rsid w:val="00E37B47"/>
    <w:rsid w:val="00E37C2F"/>
    <w:rsid w:val="00E37F9B"/>
    <w:rsid w:val="00E400B1"/>
    <w:rsid w:val="00E4029D"/>
    <w:rsid w:val="00E4073B"/>
    <w:rsid w:val="00E4100F"/>
    <w:rsid w:val="00E417E6"/>
    <w:rsid w:val="00E41C57"/>
    <w:rsid w:val="00E41C91"/>
    <w:rsid w:val="00E42155"/>
    <w:rsid w:val="00E427C3"/>
    <w:rsid w:val="00E4298D"/>
    <w:rsid w:val="00E42C29"/>
    <w:rsid w:val="00E42D89"/>
    <w:rsid w:val="00E42D93"/>
    <w:rsid w:val="00E42DCB"/>
    <w:rsid w:val="00E43004"/>
    <w:rsid w:val="00E431DF"/>
    <w:rsid w:val="00E43540"/>
    <w:rsid w:val="00E435D9"/>
    <w:rsid w:val="00E440D4"/>
    <w:rsid w:val="00E441D1"/>
    <w:rsid w:val="00E4443E"/>
    <w:rsid w:val="00E44F44"/>
    <w:rsid w:val="00E45147"/>
    <w:rsid w:val="00E45681"/>
    <w:rsid w:val="00E459BB"/>
    <w:rsid w:val="00E46518"/>
    <w:rsid w:val="00E46711"/>
    <w:rsid w:val="00E46ACA"/>
    <w:rsid w:val="00E46BFC"/>
    <w:rsid w:val="00E46EAC"/>
    <w:rsid w:val="00E477E7"/>
    <w:rsid w:val="00E515EB"/>
    <w:rsid w:val="00E51ACD"/>
    <w:rsid w:val="00E53588"/>
    <w:rsid w:val="00E53837"/>
    <w:rsid w:val="00E5396B"/>
    <w:rsid w:val="00E53B46"/>
    <w:rsid w:val="00E53B52"/>
    <w:rsid w:val="00E53FE9"/>
    <w:rsid w:val="00E54096"/>
    <w:rsid w:val="00E546BE"/>
    <w:rsid w:val="00E54B79"/>
    <w:rsid w:val="00E54CC5"/>
    <w:rsid w:val="00E550BC"/>
    <w:rsid w:val="00E550EF"/>
    <w:rsid w:val="00E55125"/>
    <w:rsid w:val="00E558CD"/>
    <w:rsid w:val="00E55962"/>
    <w:rsid w:val="00E55DDB"/>
    <w:rsid w:val="00E56182"/>
    <w:rsid w:val="00E5625F"/>
    <w:rsid w:val="00E56730"/>
    <w:rsid w:val="00E5684D"/>
    <w:rsid w:val="00E5699E"/>
    <w:rsid w:val="00E56C4B"/>
    <w:rsid w:val="00E571CD"/>
    <w:rsid w:val="00E57240"/>
    <w:rsid w:val="00E57262"/>
    <w:rsid w:val="00E573DA"/>
    <w:rsid w:val="00E57808"/>
    <w:rsid w:val="00E579E3"/>
    <w:rsid w:val="00E57E96"/>
    <w:rsid w:val="00E57FA6"/>
    <w:rsid w:val="00E57FE2"/>
    <w:rsid w:val="00E60A6D"/>
    <w:rsid w:val="00E60FDB"/>
    <w:rsid w:val="00E611D3"/>
    <w:rsid w:val="00E61266"/>
    <w:rsid w:val="00E6136E"/>
    <w:rsid w:val="00E6154F"/>
    <w:rsid w:val="00E62540"/>
    <w:rsid w:val="00E626AF"/>
    <w:rsid w:val="00E62F37"/>
    <w:rsid w:val="00E6372B"/>
    <w:rsid w:val="00E63831"/>
    <w:rsid w:val="00E63C52"/>
    <w:rsid w:val="00E643D7"/>
    <w:rsid w:val="00E64434"/>
    <w:rsid w:val="00E64985"/>
    <w:rsid w:val="00E649C1"/>
    <w:rsid w:val="00E64EDB"/>
    <w:rsid w:val="00E64F43"/>
    <w:rsid w:val="00E651A8"/>
    <w:rsid w:val="00E654DE"/>
    <w:rsid w:val="00E65D15"/>
    <w:rsid w:val="00E66603"/>
    <w:rsid w:val="00E668A2"/>
    <w:rsid w:val="00E66BC4"/>
    <w:rsid w:val="00E66C37"/>
    <w:rsid w:val="00E66E6C"/>
    <w:rsid w:val="00E674C4"/>
    <w:rsid w:val="00E674D9"/>
    <w:rsid w:val="00E67A0C"/>
    <w:rsid w:val="00E67A0E"/>
    <w:rsid w:val="00E67D21"/>
    <w:rsid w:val="00E70084"/>
    <w:rsid w:val="00E708CF"/>
    <w:rsid w:val="00E70A8A"/>
    <w:rsid w:val="00E716FF"/>
    <w:rsid w:val="00E72336"/>
    <w:rsid w:val="00E72577"/>
    <w:rsid w:val="00E72840"/>
    <w:rsid w:val="00E728F3"/>
    <w:rsid w:val="00E72B4E"/>
    <w:rsid w:val="00E72DD1"/>
    <w:rsid w:val="00E72E41"/>
    <w:rsid w:val="00E730D6"/>
    <w:rsid w:val="00E7354C"/>
    <w:rsid w:val="00E73634"/>
    <w:rsid w:val="00E7381D"/>
    <w:rsid w:val="00E73AC5"/>
    <w:rsid w:val="00E73EBC"/>
    <w:rsid w:val="00E73EC0"/>
    <w:rsid w:val="00E73ED0"/>
    <w:rsid w:val="00E74525"/>
    <w:rsid w:val="00E74841"/>
    <w:rsid w:val="00E74862"/>
    <w:rsid w:val="00E74990"/>
    <w:rsid w:val="00E749E0"/>
    <w:rsid w:val="00E74ACE"/>
    <w:rsid w:val="00E7515F"/>
    <w:rsid w:val="00E751D9"/>
    <w:rsid w:val="00E7522A"/>
    <w:rsid w:val="00E75421"/>
    <w:rsid w:val="00E75482"/>
    <w:rsid w:val="00E75952"/>
    <w:rsid w:val="00E7596A"/>
    <w:rsid w:val="00E75B90"/>
    <w:rsid w:val="00E762A8"/>
    <w:rsid w:val="00E767B0"/>
    <w:rsid w:val="00E76832"/>
    <w:rsid w:val="00E76A51"/>
    <w:rsid w:val="00E771D7"/>
    <w:rsid w:val="00E77269"/>
    <w:rsid w:val="00E77301"/>
    <w:rsid w:val="00E77359"/>
    <w:rsid w:val="00E773BF"/>
    <w:rsid w:val="00E77FB3"/>
    <w:rsid w:val="00E80089"/>
    <w:rsid w:val="00E801FE"/>
    <w:rsid w:val="00E80636"/>
    <w:rsid w:val="00E8078E"/>
    <w:rsid w:val="00E80C6D"/>
    <w:rsid w:val="00E80D0D"/>
    <w:rsid w:val="00E80D22"/>
    <w:rsid w:val="00E80DA3"/>
    <w:rsid w:val="00E810F1"/>
    <w:rsid w:val="00E8129B"/>
    <w:rsid w:val="00E8155C"/>
    <w:rsid w:val="00E81817"/>
    <w:rsid w:val="00E820BF"/>
    <w:rsid w:val="00E822E9"/>
    <w:rsid w:val="00E823F6"/>
    <w:rsid w:val="00E826C0"/>
    <w:rsid w:val="00E82873"/>
    <w:rsid w:val="00E829AA"/>
    <w:rsid w:val="00E83C7F"/>
    <w:rsid w:val="00E843F1"/>
    <w:rsid w:val="00E853D1"/>
    <w:rsid w:val="00E85859"/>
    <w:rsid w:val="00E8586F"/>
    <w:rsid w:val="00E85985"/>
    <w:rsid w:val="00E85B70"/>
    <w:rsid w:val="00E85C5C"/>
    <w:rsid w:val="00E86259"/>
    <w:rsid w:val="00E86A65"/>
    <w:rsid w:val="00E86AD0"/>
    <w:rsid w:val="00E87367"/>
    <w:rsid w:val="00E876C2"/>
    <w:rsid w:val="00E87767"/>
    <w:rsid w:val="00E87B24"/>
    <w:rsid w:val="00E87BB6"/>
    <w:rsid w:val="00E87F4C"/>
    <w:rsid w:val="00E9022D"/>
    <w:rsid w:val="00E906FE"/>
    <w:rsid w:val="00E9117D"/>
    <w:rsid w:val="00E912FD"/>
    <w:rsid w:val="00E913EA"/>
    <w:rsid w:val="00E91494"/>
    <w:rsid w:val="00E914DD"/>
    <w:rsid w:val="00E9177B"/>
    <w:rsid w:val="00E9182A"/>
    <w:rsid w:val="00E91835"/>
    <w:rsid w:val="00E9189B"/>
    <w:rsid w:val="00E919FD"/>
    <w:rsid w:val="00E91A7B"/>
    <w:rsid w:val="00E91E63"/>
    <w:rsid w:val="00E92326"/>
    <w:rsid w:val="00E9250F"/>
    <w:rsid w:val="00E925A7"/>
    <w:rsid w:val="00E93334"/>
    <w:rsid w:val="00E93641"/>
    <w:rsid w:val="00E9371E"/>
    <w:rsid w:val="00E93CC3"/>
    <w:rsid w:val="00E93CFC"/>
    <w:rsid w:val="00E93F3D"/>
    <w:rsid w:val="00E94265"/>
    <w:rsid w:val="00E944A5"/>
    <w:rsid w:val="00E9488B"/>
    <w:rsid w:val="00E94DDB"/>
    <w:rsid w:val="00E94E52"/>
    <w:rsid w:val="00E95511"/>
    <w:rsid w:val="00E959E1"/>
    <w:rsid w:val="00E9638A"/>
    <w:rsid w:val="00E96530"/>
    <w:rsid w:val="00E96954"/>
    <w:rsid w:val="00E96B1A"/>
    <w:rsid w:val="00E96CC0"/>
    <w:rsid w:val="00E96D27"/>
    <w:rsid w:val="00E977C0"/>
    <w:rsid w:val="00E97A66"/>
    <w:rsid w:val="00E97C6A"/>
    <w:rsid w:val="00E97FFA"/>
    <w:rsid w:val="00EA009F"/>
    <w:rsid w:val="00EA0196"/>
    <w:rsid w:val="00EA07FB"/>
    <w:rsid w:val="00EA0B2D"/>
    <w:rsid w:val="00EA0BB9"/>
    <w:rsid w:val="00EA0E8D"/>
    <w:rsid w:val="00EA184C"/>
    <w:rsid w:val="00EA2770"/>
    <w:rsid w:val="00EA27BA"/>
    <w:rsid w:val="00EA2D10"/>
    <w:rsid w:val="00EA332B"/>
    <w:rsid w:val="00EA36C4"/>
    <w:rsid w:val="00EA3CB5"/>
    <w:rsid w:val="00EA47CE"/>
    <w:rsid w:val="00EA47F6"/>
    <w:rsid w:val="00EA4A6D"/>
    <w:rsid w:val="00EA4B3B"/>
    <w:rsid w:val="00EA4F6F"/>
    <w:rsid w:val="00EA55D1"/>
    <w:rsid w:val="00EA5811"/>
    <w:rsid w:val="00EA5BAC"/>
    <w:rsid w:val="00EA61B9"/>
    <w:rsid w:val="00EA69C1"/>
    <w:rsid w:val="00EA69C6"/>
    <w:rsid w:val="00EA6C5F"/>
    <w:rsid w:val="00EA6C73"/>
    <w:rsid w:val="00EA6CBD"/>
    <w:rsid w:val="00EA7102"/>
    <w:rsid w:val="00EA71A4"/>
    <w:rsid w:val="00EA7249"/>
    <w:rsid w:val="00EA7327"/>
    <w:rsid w:val="00EA752B"/>
    <w:rsid w:val="00EA7657"/>
    <w:rsid w:val="00EA793A"/>
    <w:rsid w:val="00EA7D8A"/>
    <w:rsid w:val="00EB03DE"/>
    <w:rsid w:val="00EB08C7"/>
    <w:rsid w:val="00EB0925"/>
    <w:rsid w:val="00EB0CCA"/>
    <w:rsid w:val="00EB0FB3"/>
    <w:rsid w:val="00EB105F"/>
    <w:rsid w:val="00EB15DB"/>
    <w:rsid w:val="00EB1932"/>
    <w:rsid w:val="00EB1B70"/>
    <w:rsid w:val="00EB2493"/>
    <w:rsid w:val="00EB259E"/>
    <w:rsid w:val="00EB2860"/>
    <w:rsid w:val="00EB2DB7"/>
    <w:rsid w:val="00EB3226"/>
    <w:rsid w:val="00EB32C8"/>
    <w:rsid w:val="00EB34EB"/>
    <w:rsid w:val="00EB3815"/>
    <w:rsid w:val="00EB3C4F"/>
    <w:rsid w:val="00EB3C60"/>
    <w:rsid w:val="00EB3EA5"/>
    <w:rsid w:val="00EB3F8E"/>
    <w:rsid w:val="00EB4288"/>
    <w:rsid w:val="00EB4886"/>
    <w:rsid w:val="00EB4A56"/>
    <w:rsid w:val="00EB4D52"/>
    <w:rsid w:val="00EB51C1"/>
    <w:rsid w:val="00EB5436"/>
    <w:rsid w:val="00EB55DC"/>
    <w:rsid w:val="00EB5726"/>
    <w:rsid w:val="00EB5A8F"/>
    <w:rsid w:val="00EB5AE1"/>
    <w:rsid w:val="00EB5D67"/>
    <w:rsid w:val="00EB5DA0"/>
    <w:rsid w:val="00EB6598"/>
    <w:rsid w:val="00EB6664"/>
    <w:rsid w:val="00EB6824"/>
    <w:rsid w:val="00EB75C7"/>
    <w:rsid w:val="00EB768B"/>
    <w:rsid w:val="00EB76C0"/>
    <w:rsid w:val="00EB78C7"/>
    <w:rsid w:val="00EC0321"/>
    <w:rsid w:val="00EC0B0C"/>
    <w:rsid w:val="00EC0D64"/>
    <w:rsid w:val="00EC1089"/>
    <w:rsid w:val="00EC13B2"/>
    <w:rsid w:val="00EC155D"/>
    <w:rsid w:val="00EC1749"/>
    <w:rsid w:val="00EC17DB"/>
    <w:rsid w:val="00EC1D5F"/>
    <w:rsid w:val="00EC1FC7"/>
    <w:rsid w:val="00EC2150"/>
    <w:rsid w:val="00EC2943"/>
    <w:rsid w:val="00EC2C4E"/>
    <w:rsid w:val="00EC2F70"/>
    <w:rsid w:val="00EC2FA9"/>
    <w:rsid w:val="00EC341A"/>
    <w:rsid w:val="00EC3425"/>
    <w:rsid w:val="00EC34DC"/>
    <w:rsid w:val="00EC39F1"/>
    <w:rsid w:val="00EC3CA6"/>
    <w:rsid w:val="00EC463D"/>
    <w:rsid w:val="00EC4A48"/>
    <w:rsid w:val="00EC5115"/>
    <w:rsid w:val="00EC526C"/>
    <w:rsid w:val="00EC57A6"/>
    <w:rsid w:val="00EC58FA"/>
    <w:rsid w:val="00EC5DE7"/>
    <w:rsid w:val="00EC6179"/>
    <w:rsid w:val="00EC6D2D"/>
    <w:rsid w:val="00EC71A5"/>
    <w:rsid w:val="00EC771B"/>
    <w:rsid w:val="00EC772A"/>
    <w:rsid w:val="00EC7BF3"/>
    <w:rsid w:val="00EC7C0C"/>
    <w:rsid w:val="00ED02C9"/>
    <w:rsid w:val="00ED043D"/>
    <w:rsid w:val="00ED055E"/>
    <w:rsid w:val="00ED0AF0"/>
    <w:rsid w:val="00ED0BFF"/>
    <w:rsid w:val="00ED0E5C"/>
    <w:rsid w:val="00ED0EC5"/>
    <w:rsid w:val="00ED1327"/>
    <w:rsid w:val="00ED147B"/>
    <w:rsid w:val="00ED1793"/>
    <w:rsid w:val="00ED17C6"/>
    <w:rsid w:val="00ED1E39"/>
    <w:rsid w:val="00ED1F4F"/>
    <w:rsid w:val="00ED2181"/>
    <w:rsid w:val="00ED2888"/>
    <w:rsid w:val="00ED2A7B"/>
    <w:rsid w:val="00ED2E92"/>
    <w:rsid w:val="00ED3862"/>
    <w:rsid w:val="00ED39BF"/>
    <w:rsid w:val="00ED3C66"/>
    <w:rsid w:val="00ED43B9"/>
    <w:rsid w:val="00ED445A"/>
    <w:rsid w:val="00ED45D8"/>
    <w:rsid w:val="00ED4632"/>
    <w:rsid w:val="00ED468E"/>
    <w:rsid w:val="00ED47FE"/>
    <w:rsid w:val="00ED527F"/>
    <w:rsid w:val="00ED5AF3"/>
    <w:rsid w:val="00ED5B9C"/>
    <w:rsid w:val="00ED5DA8"/>
    <w:rsid w:val="00ED5EC3"/>
    <w:rsid w:val="00ED5F73"/>
    <w:rsid w:val="00ED5FB4"/>
    <w:rsid w:val="00ED65A1"/>
    <w:rsid w:val="00ED6946"/>
    <w:rsid w:val="00ED6FC1"/>
    <w:rsid w:val="00ED768D"/>
    <w:rsid w:val="00ED7D0E"/>
    <w:rsid w:val="00ED7DF7"/>
    <w:rsid w:val="00EE05EB"/>
    <w:rsid w:val="00EE071F"/>
    <w:rsid w:val="00EE074E"/>
    <w:rsid w:val="00EE0972"/>
    <w:rsid w:val="00EE09EF"/>
    <w:rsid w:val="00EE1A10"/>
    <w:rsid w:val="00EE1FE4"/>
    <w:rsid w:val="00EE254B"/>
    <w:rsid w:val="00EE26DB"/>
    <w:rsid w:val="00EE2993"/>
    <w:rsid w:val="00EE2B20"/>
    <w:rsid w:val="00EE3104"/>
    <w:rsid w:val="00EE38B5"/>
    <w:rsid w:val="00EE3957"/>
    <w:rsid w:val="00EE3A46"/>
    <w:rsid w:val="00EE3FF3"/>
    <w:rsid w:val="00EE4566"/>
    <w:rsid w:val="00EE45AA"/>
    <w:rsid w:val="00EE5267"/>
    <w:rsid w:val="00EE52D1"/>
    <w:rsid w:val="00EE548A"/>
    <w:rsid w:val="00EE5FCB"/>
    <w:rsid w:val="00EE639A"/>
    <w:rsid w:val="00EE666E"/>
    <w:rsid w:val="00EE6677"/>
    <w:rsid w:val="00EE6831"/>
    <w:rsid w:val="00EE6B38"/>
    <w:rsid w:val="00EE6B43"/>
    <w:rsid w:val="00EE6DF8"/>
    <w:rsid w:val="00EE7478"/>
    <w:rsid w:val="00EE7504"/>
    <w:rsid w:val="00EE7664"/>
    <w:rsid w:val="00EE7A54"/>
    <w:rsid w:val="00EE7A5B"/>
    <w:rsid w:val="00EE7CFA"/>
    <w:rsid w:val="00EE7E45"/>
    <w:rsid w:val="00EF005B"/>
    <w:rsid w:val="00EF03CA"/>
    <w:rsid w:val="00EF09A9"/>
    <w:rsid w:val="00EF0A33"/>
    <w:rsid w:val="00EF0F3E"/>
    <w:rsid w:val="00EF0FEA"/>
    <w:rsid w:val="00EF1203"/>
    <w:rsid w:val="00EF1604"/>
    <w:rsid w:val="00EF18AB"/>
    <w:rsid w:val="00EF1964"/>
    <w:rsid w:val="00EF1BEC"/>
    <w:rsid w:val="00EF2B1A"/>
    <w:rsid w:val="00EF2E44"/>
    <w:rsid w:val="00EF3219"/>
    <w:rsid w:val="00EF358E"/>
    <w:rsid w:val="00EF4043"/>
    <w:rsid w:val="00EF410E"/>
    <w:rsid w:val="00EF41EC"/>
    <w:rsid w:val="00EF45F6"/>
    <w:rsid w:val="00EF48E0"/>
    <w:rsid w:val="00EF4A2C"/>
    <w:rsid w:val="00EF4B9E"/>
    <w:rsid w:val="00EF4E71"/>
    <w:rsid w:val="00EF53E8"/>
    <w:rsid w:val="00EF54A7"/>
    <w:rsid w:val="00EF5855"/>
    <w:rsid w:val="00EF6109"/>
    <w:rsid w:val="00EF62A6"/>
    <w:rsid w:val="00EF63FB"/>
    <w:rsid w:val="00EF6435"/>
    <w:rsid w:val="00EF662A"/>
    <w:rsid w:val="00EF6FD5"/>
    <w:rsid w:val="00EF72B1"/>
    <w:rsid w:val="00EF73BF"/>
    <w:rsid w:val="00EF764B"/>
    <w:rsid w:val="00EF7914"/>
    <w:rsid w:val="00EF7AA4"/>
    <w:rsid w:val="00EF7F25"/>
    <w:rsid w:val="00F00013"/>
    <w:rsid w:val="00F00381"/>
    <w:rsid w:val="00F00426"/>
    <w:rsid w:val="00F007BC"/>
    <w:rsid w:val="00F00DD9"/>
    <w:rsid w:val="00F018F0"/>
    <w:rsid w:val="00F01B22"/>
    <w:rsid w:val="00F01F50"/>
    <w:rsid w:val="00F02304"/>
    <w:rsid w:val="00F02347"/>
    <w:rsid w:val="00F02687"/>
    <w:rsid w:val="00F026CF"/>
    <w:rsid w:val="00F02705"/>
    <w:rsid w:val="00F02863"/>
    <w:rsid w:val="00F02C81"/>
    <w:rsid w:val="00F04103"/>
    <w:rsid w:val="00F048E8"/>
    <w:rsid w:val="00F04BB2"/>
    <w:rsid w:val="00F04D52"/>
    <w:rsid w:val="00F05512"/>
    <w:rsid w:val="00F0555B"/>
    <w:rsid w:val="00F05847"/>
    <w:rsid w:val="00F058E7"/>
    <w:rsid w:val="00F059A5"/>
    <w:rsid w:val="00F0669B"/>
    <w:rsid w:val="00F06D05"/>
    <w:rsid w:val="00F0745D"/>
    <w:rsid w:val="00F077F0"/>
    <w:rsid w:val="00F07855"/>
    <w:rsid w:val="00F07A3B"/>
    <w:rsid w:val="00F07A4D"/>
    <w:rsid w:val="00F07EDB"/>
    <w:rsid w:val="00F07FCF"/>
    <w:rsid w:val="00F101CC"/>
    <w:rsid w:val="00F10339"/>
    <w:rsid w:val="00F10A44"/>
    <w:rsid w:val="00F110F2"/>
    <w:rsid w:val="00F1153A"/>
    <w:rsid w:val="00F1194A"/>
    <w:rsid w:val="00F11D11"/>
    <w:rsid w:val="00F120DC"/>
    <w:rsid w:val="00F125A0"/>
    <w:rsid w:val="00F126C0"/>
    <w:rsid w:val="00F12BAA"/>
    <w:rsid w:val="00F12D8B"/>
    <w:rsid w:val="00F13521"/>
    <w:rsid w:val="00F14268"/>
    <w:rsid w:val="00F14A00"/>
    <w:rsid w:val="00F1516E"/>
    <w:rsid w:val="00F15248"/>
    <w:rsid w:val="00F15403"/>
    <w:rsid w:val="00F1573C"/>
    <w:rsid w:val="00F15B63"/>
    <w:rsid w:val="00F15B88"/>
    <w:rsid w:val="00F15C09"/>
    <w:rsid w:val="00F15D54"/>
    <w:rsid w:val="00F15E34"/>
    <w:rsid w:val="00F166FD"/>
    <w:rsid w:val="00F16A58"/>
    <w:rsid w:val="00F16D1B"/>
    <w:rsid w:val="00F17312"/>
    <w:rsid w:val="00F173A7"/>
    <w:rsid w:val="00F17500"/>
    <w:rsid w:val="00F175AD"/>
    <w:rsid w:val="00F17C2E"/>
    <w:rsid w:val="00F202BB"/>
    <w:rsid w:val="00F2080C"/>
    <w:rsid w:val="00F2098D"/>
    <w:rsid w:val="00F20A7D"/>
    <w:rsid w:val="00F20B3C"/>
    <w:rsid w:val="00F20BE2"/>
    <w:rsid w:val="00F20F09"/>
    <w:rsid w:val="00F212FE"/>
    <w:rsid w:val="00F21591"/>
    <w:rsid w:val="00F215CD"/>
    <w:rsid w:val="00F21A7B"/>
    <w:rsid w:val="00F21B38"/>
    <w:rsid w:val="00F21E4E"/>
    <w:rsid w:val="00F21F70"/>
    <w:rsid w:val="00F2215A"/>
    <w:rsid w:val="00F22172"/>
    <w:rsid w:val="00F22208"/>
    <w:rsid w:val="00F224F9"/>
    <w:rsid w:val="00F22660"/>
    <w:rsid w:val="00F2266F"/>
    <w:rsid w:val="00F2269B"/>
    <w:rsid w:val="00F226CF"/>
    <w:rsid w:val="00F22A62"/>
    <w:rsid w:val="00F23038"/>
    <w:rsid w:val="00F235D6"/>
    <w:rsid w:val="00F2438A"/>
    <w:rsid w:val="00F24C72"/>
    <w:rsid w:val="00F24DE8"/>
    <w:rsid w:val="00F250F6"/>
    <w:rsid w:val="00F26594"/>
    <w:rsid w:val="00F266FD"/>
    <w:rsid w:val="00F269DE"/>
    <w:rsid w:val="00F26F77"/>
    <w:rsid w:val="00F26F7A"/>
    <w:rsid w:val="00F2711E"/>
    <w:rsid w:val="00F27329"/>
    <w:rsid w:val="00F273BA"/>
    <w:rsid w:val="00F277C5"/>
    <w:rsid w:val="00F27903"/>
    <w:rsid w:val="00F27987"/>
    <w:rsid w:val="00F27AB1"/>
    <w:rsid w:val="00F27B8D"/>
    <w:rsid w:val="00F30214"/>
    <w:rsid w:val="00F30421"/>
    <w:rsid w:val="00F304B6"/>
    <w:rsid w:val="00F3066A"/>
    <w:rsid w:val="00F30910"/>
    <w:rsid w:val="00F30F96"/>
    <w:rsid w:val="00F3184B"/>
    <w:rsid w:val="00F31D3D"/>
    <w:rsid w:val="00F32A37"/>
    <w:rsid w:val="00F32D11"/>
    <w:rsid w:val="00F32D53"/>
    <w:rsid w:val="00F32FA8"/>
    <w:rsid w:val="00F3308D"/>
    <w:rsid w:val="00F33361"/>
    <w:rsid w:val="00F336D6"/>
    <w:rsid w:val="00F33E09"/>
    <w:rsid w:val="00F33FC5"/>
    <w:rsid w:val="00F33FE5"/>
    <w:rsid w:val="00F341AD"/>
    <w:rsid w:val="00F342A1"/>
    <w:rsid w:val="00F342B3"/>
    <w:rsid w:val="00F3456A"/>
    <w:rsid w:val="00F34AAF"/>
    <w:rsid w:val="00F34CCC"/>
    <w:rsid w:val="00F34F38"/>
    <w:rsid w:val="00F351C9"/>
    <w:rsid w:val="00F35496"/>
    <w:rsid w:val="00F35666"/>
    <w:rsid w:val="00F35741"/>
    <w:rsid w:val="00F35C67"/>
    <w:rsid w:val="00F35E17"/>
    <w:rsid w:val="00F361A9"/>
    <w:rsid w:val="00F363A5"/>
    <w:rsid w:val="00F36493"/>
    <w:rsid w:val="00F365AB"/>
    <w:rsid w:val="00F3673F"/>
    <w:rsid w:val="00F36ADF"/>
    <w:rsid w:val="00F36BAD"/>
    <w:rsid w:val="00F36DA9"/>
    <w:rsid w:val="00F37039"/>
    <w:rsid w:val="00F371E7"/>
    <w:rsid w:val="00F37354"/>
    <w:rsid w:val="00F37410"/>
    <w:rsid w:val="00F37684"/>
    <w:rsid w:val="00F3775F"/>
    <w:rsid w:val="00F378F9"/>
    <w:rsid w:val="00F37949"/>
    <w:rsid w:val="00F37BE3"/>
    <w:rsid w:val="00F37DEB"/>
    <w:rsid w:val="00F37E06"/>
    <w:rsid w:val="00F4002C"/>
    <w:rsid w:val="00F404C7"/>
    <w:rsid w:val="00F40605"/>
    <w:rsid w:val="00F40675"/>
    <w:rsid w:val="00F4077C"/>
    <w:rsid w:val="00F407B8"/>
    <w:rsid w:val="00F4105F"/>
    <w:rsid w:val="00F410C4"/>
    <w:rsid w:val="00F4141F"/>
    <w:rsid w:val="00F418DB"/>
    <w:rsid w:val="00F41A3A"/>
    <w:rsid w:val="00F42112"/>
    <w:rsid w:val="00F42265"/>
    <w:rsid w:val="00F42A8E"/>
    <w:rsid w:val="00F42B1A"/>
    <w:rsid w:val="00F43478"/>
    <w:rsid w:val="00F43B88"/>
    <w:rsid w:val="00F43EC3"/>
    <w:rsid w:val="00F43F79"/>
    <w:rsid w:val="00F443AE"/>
    <w:rsid w:val="00F445C5"/>
    <w:rsid w:val="00F44B2C"/>
    <w:rsid w:val="00F44BC9"/>
    <w:rsid w:val="00F4500F"/>
    <w:rsid w:val="00F45148"/>
    <w:rsid w:val="00F4552E"/>
    <w:rsid w:val="00F455EF"/>
    <w:rsid w:val="00F4584D"/>
    <w:rsid w:val="00F45A9B"/>
    <w:rsid w:val="00F45FF9"/>
    <w:rsid w:val="00F464A9"/>
    <w:rsid w:val="00F46520"/>
    <w:rsid w:val="00F466B1"/>
    <w:rsid w:val="00F467BC"/>
    <w:rsid w:val="00F46A97"/>
    <w:rsid w:val="00F46D66"/>
    <w:rsid w:val="00F47200"/>
    <w:rsid w:val="00F479C8"/>
    <w:rsid w:val="00F47D3F"/>
    <w:rsid w:val="00F502A0"/>
    <w:rsid w:val="00F511E1"/>
    <w:rsid w:val="00F5126D"/>
    <w:rsid w:val="00F512E4"/>
    <w:rsid w:val="00F516F3"/>
    <w:rsid w:val="00F51B3C"/>
    <w:rsid w:val="00F52058"/>
    <w:rsid w:val="00F52510"/>
    <w:rsid w:val="00F52890"/>
    <w:rsid w:val="00F529F9"/>
    <w:rsid w:val="00F52F2A"/>
    <w:rsid w:val="00F52FCF"/>
    <w:rsid w:val="00F5315F"/>
    <w:rsid w:val="00F532AA"/>
    <w:rsid w:val="00F53385"/>
    <w:rsid w:val="00F533D5"/>
    <w:rsid w:val="00F5342E"/>
    <w:rsid w:val="00F53A13"/>
    <w:rsid w:val="00F53B94"/>
    <w:rsid w:val="00F54166"/>
    <w:rsid w:val="00F54345"/>
    <w:rsid w:val="00F546B8"/>
    <w:rsid w:val="00F5498A"/>
    <w:rsid w:val="00F54DEB"/>
    <w:rsid w:val="00F54F20"/>
    <w:rsid w:val="00F560C3"/>
    <w:rsid w:val="00F565BC"/>
    <w:rsid w:val="00F568E2"/>
    <w:rsid w:val="00F569E9"/>
    <w:rsid w:val="00F56C14"/>
    <w:rsid w:val="00F56C17"/>
    <w:rsid w:val="00F570EC"/>
    <w:rsid w:val="00F572B7"/>
    <w:rsid w:val="00F57319"/>
    <w:rsid w:val="00F5740D"/>
    <w:rsid w:val="00F57483"/>
    <w:rsid w:val="00F575D9"/>
    <w:rsid w:val="00F578DF"/>
    <w:rsid w:val="00F57AE6"/>
    <w:rsid w:val="00F60200"/>
    <w:rsid w:val="00F603FE"/>
    <w:rsid w:val="00F60566"/>
    <w:rsid w:val="00F60586"/>
    <w:rsid w:val="00F60757"/>
    <w:rsid w:val="00F60DDB"/>
    <w:rsid w:val="00F6164C"/>
    <w:rsid w:val="00F61BF5"/>
    <w:rsid w:val="00F62163"/>
    <w:rsid w:val="00F62362"/>
    <w:rsid w:val="00F62817"/>
    <w:rsid w:val="00F62A81"/>
    <w:rsid w:val="00F62ABC"/>
    <w:rsid w:val="00F62E6A"/>
    <w:rsid w:val="00F62ECA"/>
    <w:rsid w:val="00F62ED7"/>
    <w:rsid w:val="00F633C7"/>
    <w:rsid w:val="00F633CA"/>
    <w:rsid w:val="00F637E5"/>
    <w:rsid w:val="00F63ADB"/>
    <w:rsid w:val="00F63C36"/>
    <w:rsid w:val="00F63CC6"/>
    <w:rsid w:val="00F63D7B"/>
    <w:rsid w:val="00F63F82"/>
    <w:rsid w:val="00F648DB"/>
    <w:rsid w:val="00F65142"/>
    <w:rsid w:val="00F653D6"/>
    <w:rsid w:val="00F6549D"/>
    <w:rsid w:val="00F654B7"/>
    <w:rsid w:val="00F6587A"/>
    <w:rsid w:val="00F65CE6"/>
    <w:rsid w:val="00F65E0E"/>
    <w:rsid w:val="00F65E35"/>
    <w:rsid w:val="00F66531"/>
    <w:rsid w:val="00F66CBB"/>
    <w:rsid w:val="00F66EB1"/>
    <w:rsid w:val="00F674FA"/>
    <w:rsid w:val="00F67F4B"/>
    <w:rsid w:val="00F70038"/>
    <w:rsid w:val="00F70078"/>
    <w:rsid w:val="00F703CB"/>
    <w:rsid w:val="00F70759"/>
    <w:rsid w:val="00F7087D"/>
    <w:rsid w:val="00F709A6"/>
    <w:rsid w:val="00F70C84"/>
    <w:rsid w:val="00F70F70"/>
    <w:rsid w:val="00F70FA0"/>
    <w:rsid w:val="00F7102A"/>
    <w:rsid w:val="00F71074"/>
    <w:rsid w:val="00F71121"/>
    <w:rsid w:val="00F71158"/>
    <w:rsid w:val="00F71513"/>
    <w:rsid w:val="00F71835"/>
    <w:rsid w:val="00F71C3F"/>
    <w:rsid w:val="00F71F96"/>
    <w:rsid w:val="00F7200B"/>
    <w:rsid w:val="00F7203E"/>
    <w:rsid w:val="00F72346"/>
    <w:rsid w:val="00F72768"/>
    <w:rsid w:val="00F728FF"/>
    <w:rsid w:val="00F72AB9"/>
    <w:rsid w:val="00F72B6E"/>
    <w:rsid w:val="00F72DFD"/>
    <w:rsid w:val="00F72F51"/>
    <w:rsid w:val="00F732FF"/>
    <w:rsid w:val="00F7330F"/>
    <w:rsid w:val="00F738D5"/>
    <w:rsid w:val="00F73984"/>
    <w:rsid w:val="00F73CA1"/>
    <w:rsid w:val="00F73E27"/>
    <w:rsid w:val="00F73FA1"/>
    <w:rsid w:val="00F74345"/>
    <w:rsid w:val="00F7452F"/>
    <w:rsid w:val="00F7496A"/>
    <w:rsid w:val="00F74C1B"/>
    <w:rsid w:val="00F75537"/>
    <w:rsid w:val="00F75B91"/>
    <w:rsid w:val="00F75CF5"/>
    <w:rsid w:val="00F760AE"/>
    <w:rsid w:val="00F764D5"/>
    <w:rsid w:val="00F7658E"/>
    <w:rsid w:val="00F76710"/>
    <w:rsid w:val="00F76795"/>
    <w:rsid w:val="00F76A5C"/>
    <w:rsid w:val="00F76CF7"/>
    <w:rsid w:val="00F77A46"/>
    <w:rsid w:val="00F80114"/>
    <w:rsid w:val="00F804FA"/>
    <w:rsid w:val="00F80BAF"/>
    <w:rsid w:val="00F81018"/>
    <w:rsid w:val="00F81279"/>
    <w:rsid w:val="00F81432"/>
    <w:rsid w:val="00F81A4B"/>
    <w:rsid w:val="00F822FD"/>
    <w:rsid w:val="00F82559"/>
    <w:rsid w:val="00F825F6"/>
    <w:rsid w:val="00F827A1"/>
    <w:rsid w:val="00F82A72"/>
    <w:rsid w:val="00F82DD8"/>
    <w:rsid w:val="00F830D4"/>
    <w:rsid w:val="00F83235"/>
    <w:rsid w:val="00F832B3"/>
    <w:rsid w:val="00F83357"/>
    <w:rsid w:val="00F83552"/>
    <w:rsid w:val="00F83AB1"/>
    <w:rsid w:val="00F83D91"/>
    <w:rsid w:val="00F83DA8"/>
    <w:rsid w:val="00F83EAC"/>
    <w:rsid w:val="00F84021"/>
    <w:rsid w:val="00F844EF"/>
    <w:rsid w:val="00F8458E"/>
    <w:rsid w:val="00F84795"/>
    <w:rsid w:val="00F849CD"/>
    <w:rsid w:val="00F84C46"/>
    <w:rsid w:val="00F84DE2"/>
    <w:rsid w:val="00F84F4A"/>
    <w:rsid w:val="00F85002"/>
    <w:rsid w:val="00F85441"/>
    <w:rsid w:val="00F85848"/>
    <w:rsid w:val="00F85DFD"/>
    <w:rsid w:val="00F85FB2"/>
    <w:rsid w:val="00F86137"/>
    <w:rsid w:val="00F8632B"/>
    <w:rsid w:val="00F86B2E"/>
    <w:rsid w:val="00F86EC0"/>
    <w:rsid w:val="00F8767C"/>
    <w:rsid w:val="00F87E2C"/>
    <w:rsid w:val="00F9028E"/>
    <w:rsid w:val="00F90495"/>
    <w:rsid w:val="00F90A65"/>
    <w:rsid w:val="00F90F65"/>
    <w:rsid w:val="00F91128"/>
    <w:rsid w:val="00F91E17"/>
    <w:rsid w:val="00F92290"/>
    <w:rsid w:val="00F922DC"/>
    <w:rsid w:val="00F92880"/>
    <w:rsid w:val="00F92C36"/>
    <w:rsid w:val="00F93009"/>
    <w:rsid w:val="00F93058"/>
    <w:rsid w:val="00F934C7"/>
    <w:rsid w:val="00F938F0"/>
    <w:rsid w:val="00F93B2F"/>
    <w:rsid w:val="00F93FC0"/>
    <w:rsid w:val="00F9404A"/>
    <w:rsid w:val="00F94A91"/>
    <w:rsid w:val="00F95420"/>
    <w:rsid w:val="00F95FE4"/>
    <w:rsid w:val="00F96505"/>
    <w:rsid w:val="00F96793"/>
    <w:rsid w:val="00F96C81"/>
    <w:rsid w:val="00F96D04"/>
    <w:rsid w:val="00F96D59"/>
    <w:rsid w:val="00F97072"/>
    <w:rsid w:val="00F971A6"/>
    <w:rsid w:val="00F9721C"/>
    <w:rsid w:val="00F974DA"/>
    <w:rsid w:val="00F97564"/>
    <w:rsid w:val="00F9762B"/>
    <w:rsid w:val="00F97F7D"/>
    <w:rsid w:val="00FA02AA"/>
    <w:rsid w:val="00FA05B0"/>
    <w:rsid w:val="00FA070F"/>
    <w:rsid w:val="00FA0736"/>
    <w:rsid w:val="00FA095C"/>
    <w:rsid w:val="00FA0C80"/>
    <w:rsid w:val="00FA0F50"/>
    <w:rsid w:val="00FA10EA"/>
    <w:rsid w:val="00FA170D"/>
    <w:rsid w:val="00FA18CC"/>
    <w:rsid w:val="00FA18F8"/>
    <w:rsid w:val="00FA1BC5"/>
    <w:rsid w:val="00FA1DCB"/>
    <w:rsid w:val="00FA1E2C"/>
    <w:rsid w:val="00FA1EB4"/>
    <w:rsid w:val="00FA1EE7"/>
    <w:rsid w:val="00FA217E"/>
    <w:rsid w:val="00FA2277"/>
    <w:rsid w:val="00FA22AD"/>
    <w:rsid w:val="00FA2D54"/>
    <w:rsid w:val="00FA2EE7"/>
    <w:rsid w:val="00FA2EFD"/>
    <w:rsid w:val="00FA3063"/>
    <w:rsid w:val="00FA30D7"/>
    <w:rsid w:val="00FA32CC"/>
    <w:rsid w:val="00FA3344"/>
    <w:rsid w:val="00FA363A"/>
    <w:rsid w:val="00FA3755"/>
    <w:rsid w:val="00FA375F"/>
    <w:rsid w:val="00FA38C4"/>
    <w:rsid w:val="00FA3B0F"/>
    <w:rsid w:val="00FA3D42"/>
    <w:rsid w:val="00FA4B73"/>
    <w:rsid w:val="00FA4F8B"/>
    <w:rsid w:val="00FA5032"/>
    <w:rsid w:val="00FA5058"/>
    <w:rsid w:val="00FA59FB"/>
    <w:rsid w:val="00FA6033"/>
    <w:rsid w:val="00FA67F0"/>
    <w:rsid w:val="00FA6E00"/>
    <w:rsid w:val="00FA6E0D"/>
    <w:rsid w:val="00FA7222"/>
    <w:rsid w:val="00FA74A9"/>
    <w:rsid w:val="00FA77F3"/>
    <w:rsid w:val="00FA783C"/>
    <w:rsid w:val="00FA7A2C"/>
    <w:rsid w:val="00FA7F1C"/>
    <w:rsid w:val="00FB00F7"/>
    <w:rsid w:val="00FB0497"/>
    <w:rsid w:val="00FB058F"/>
    <w:rsid w:val="00FB077C"/>
    <w:rsid w:val="00FB0869"/>
    <w:rsid w:val="00FB0F75"/>
    <w:rsid w:val="00FB112E"/>
    <w:rsid w:val="00FB1398"/>
    <w:rsid w:val="00FB178D"/>
    <w:rsid w:val="00FB184F"/>
    <w:rsid w:val="00FB19BC"/>
    <w:rsid w:val="00FB1E44"/>
    <w:rsid w:val="00FB255E"/>
    <w:rsid w:val="00FB2607"/>
    <w:rsid w:val="00FB279B"/>
    <w:rsid w:val="00FB2B95"/>
    <w:rsid w:val="00FB2C7D"/>
    <w:rsid w:val="00FB34CB"/>
    <w:rsid w:val="00FB35D7"/>
    <w:rsid w:val="00FB3D5F"/>
    <w:rsid w:val="00FB3F2C"/>
    <w:rsid w:val="00FB4096"/>
    <w:rsid w:val="00FB409A"/>
    <w:rsid w:val="00FB44EB"/>
    <w:rsid w:val="00FB4CBA"/>
    <w:rsid w:val="00FB4ECE"/>
    <w:rsid w:val="00FB59BF"/>
    <w:rsid w:val="00FB5AC1"/>
    <w:rsid w:val="00FB5C6F"/>
    <w:rsid w:val="00FB6095"/>
    <w:rsid w:val="00FB63EF"/>
    <w:rsid w:val="00FB6987"/>
    <w:rsid w:val="00FB7492"/>
    <w:rsid w:val="00FB7B00"/>
    <w:rsid w:val="00FB7B7A"/>
    <w:rsid w:val="00FC09C2"/>
    <w:rsid w:val="00FC0A57"/>
    <w:rsid w:val="00FC1052"/>
    <w:rsid w:val="00FC1A13"/>
    <w:rsid w:val="00FC1C5B"/>
    <w:rsid w:val="00FC268B"/>
    <w:rsid w:val="00FC27A4"/>
    <w:rsid w:val="00FC2D67"/>
    <w:rsid w:val="00FC3061"/>
    <w:rsid w:val="00FC321F"/>
    <w:rsid w:val="00FC39A1"/>
    <w:rsid w:val="00FC3A18"/>
    <w:rsid w:val="00FC3B17"/>
    <w:rsid w:val="00FC3B43"/>
    <w:rsid w:val="00FC3B97"/>
    <w:rsid w:val="00FC3EA1"/>
    <w:rsid w:val="00FC449D"/>
    <w:rsid w:val="00FC4F8C"/>
    <w:rsid w:val="00FC5147"/>
    <w:rsid w:val="00FC53FE"/>
    <w:rsid w:val="00FC559D"/>
    <w:rsid w:val="00FC5D91"/>
    <w:rsid w:val="00FC5FB7"/>
    <w:rsid w:val="00FC64E3"/>
    <w:rsid w:val="00FC6608"/>
    <w:rsid w:val="00FC662B"/>
    <w:rsid w:val="00FC6FDC"/>
    <w:rsid w:val="00FC7DFF"/>
    <w:rsid w:val="00FD00AC"/>
    <w:rsid w:val="00FD02DE"/>
    <w:rsid w:val="00FD03F9"/>
    <w:rsid w:val="00FD0553"/>
    <w:rsid w:val="00FD0A25"/>
    <w:rsid w:val="00FD0A37"/>
    <w:rsid w:val="00FD0B0C"/>
    <w:rsid w:val="00FD0BEC"/>
    <w:rsid w:val="00FD139C"/>
    <w:rsid w:val="00FD1491"/>
    <w:rsid w:val="00FD19AB"/>
    <w:rsid w:val="00FD2819"/>
    <w:rsid w:val="00FD2C6B"/>
    <w:rsid w:val="00FD31B4"/>
    <w:rsid w:val="00FD32D2"/>
    <w:rsid w:val="00FD346E"/>
    <w:rsid w:val="00FD3611"/>
    <w:rsid w:val="00FD39AA"/>
    <w:rsid w:val="00FD3BE5"/>
    <w:rsid w:val="00FD3F28"/>
    <w:rsid w:val="00FD4245"/>
    <w:rsid w:val="00FD434C"/>
    <w:rsid w:val="00FD443D"/>
    <w:rsid w:val="00FD4545"/>
    <w:rsid w:val="00FD4CF3"/>
    <w:rsid w:val="00FD4D22"/>
    <w:rsid w:val="00FD4E21"/>
    <w:rsid w:val="00FD4FB8"/>
    <w:rsid w:val="00FD51D2"/>
    <w:rsid w:val="00FD521E"/>
    <w:rsid w:val="00FD53E1"/>
    <w:rsid w:val="00FD5A09"/>
    <w:rsid w:val="00FD5B3F"/>
    <w:rsid w:val="00FD70F3"/>
    <w:rsid w:val="00FD7316"/>
    <w:rsid w:val="00FD7726"/>
    <w:rsid w:val="00FD7BFA"/>
    <w:rsid w:val="00FE0050"/>
    <w:rsid w:val="00FE02D1"/>
    <w:rsid w:val="00FE03D3"/>
    <w:rsid w:val="00FE0567"/>
    <w:rsid w:val="00FE0818"/>
    <w:rsid w:val="00FE0B2E"/>
    <w:rsid w:val="00FE0B69"/>
    <w:rsid w:val="00FE100C"/>
    <w:rsid w:val="00FE1067"/>
    <w:rsid w:val="00FE13E7"/>
    <w:rsid w:val="00FE167F"/>
    <w:rsid w:val="00FE1A25"/>
    <w:rsid w:val="00FE1E88"/>
    <w:rsid w:val="00FE2073"/>
    <w:rsid w:val="00FE236B"/>
    <w:rsid w:val="00FE25E1"/>
    <w:rsid w:val="00FE28D2"/>
    <w:rsid w:val="00FE2D30"/>
    <w:rsid w:val="00FE332D"/>
    <w:rsid w:val="00FE3FF3"/>
    <w:rsid w:val="00FE404D"/>
    <w:rsid w:val="00FE4570"/>
    <w:rsid w:val="00FE45B9"/>
    <w:rsid w:val="00FE4930"/>
    <w:rsid w:val="00FE507B"/>
    <w:rsid w:val="00FE524D"/>
    <w:rsid w:val="00FE54DF"/>
    <w:rsid w:val="00FE55A6"/>
    <w:rsid w:val="00FE578D"/>
    <w:rsid w:val="00FE62BF"/>
    <w:rsid w:val="00FE668F"/>
    <w:rsid w:val="00FE6818"/>
    <w:rsid w:val="00FE6BA1"/>
    <w:rsid w:val="00FE6E01"/>
    <w:rsid w:val="00FE731A"/>
    <w:rsid w:val="00FE7387"/>
    <w:rsid w:val="00FE7600"/>
    <w:rsid w:val="00FE7C52"/>
    <w:rsid w:val="00FE7C5F"/>
    <w:rsid w:val="00FE7CE4"/>
    <w:rsid w:val="00FE7DDD"/>
    <w:rsid w:val="00FE7DF0"/>
    <w:rsid w:val="00FE7E77"/>
    <w:rsid w:val="00FF034D"/>
    <w:rsid w:val="00FF057B"/>
    <w:rsid w:val="00FF0D08"/>
    <w:rsid w:val="00FF0E7A"/>
    <w:rsid w:val="00FF1174"/>
    <w:rsid w:val="00FF1738"/>
    <w:rsid w:val="00FF1A69"/>
    <w:rsid w:val="00FF1CB2"/>
    <w:rsid w:val="00FF1DE6"/>
    <w:rsid w:val="00FF26CA"/>
    <w:rsid w:val="00FF2703"/>
    <w:rsid w:val="00FF291D"/>
    <w:rsid w:val="00FF3635"/>
    <w:rsid w:val="00FF3736"/>
    <w:rsid w:val="00FF39AE"/>
    <w:rsid w:val="00FF401A"/>
    <w:rsid w:val="00FF401C"/>
    <w:rsid w:val="00FF49FD"/>
    <w:rsid w:val="00FF4D78"/>
    <w:rsid w:val="00FF509E"/>
    <w:rsid w:val="00FF51AC"/>
    <w:rsid w:val="00FF5623"/>
    <w:rsid w:val="00FF5D32"/>
    <w:rsid w:val="00FF5E42"/>
    <w:rsid w:val="00FF608D"/>
    <w:rsid w:val="00FF63D5"/>
    <w:rsid w:val="00FF6D43"/>
    <w:rsid w:val="00FF6ED8"/>
    <w:rsid w:val="00FF7049"/>
    <w:rsid w:val="00FF7106"/>
    <w:rsid w:val="00FF73AA"/>
    <w:rsid w:val="00FF740D"/>
    <w:rsid w:val="00FF758E"/>
    <w:rsid w:val="00FF7814"/>
    <w:rsid w:val="00FF7A5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BAF"/>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106109"/>
    <w:pPr>
      <w:numPr>
        <w:numId w:val="1"/>
      </w:numPr>
      <w:tabs>
        <w:tab w:val="left" w:pos="-720"/>
      </w:tabs>
      <w:suppressAutoHyphens/>
      <w:spacing w:line="312" w:lineRule="auto"/>
      <w:ind w:left="357"/>
      <w:jc w:val="both"/>
      <w:outlineLvl w:val="0"/>
    </w:pPr>
    <w:rPr>
      <w:rFonts w:ascii="Book Antiqua" w:hAnsi="Book Antiqua" w:cs="Tahoma"/>
      <w:b/>
      <w:sz w:val="22"/>
      <w:szCs w:val="22"/>
    </w:rPr>
  </w:style>
  <w:style w:type="paragraph" w:styleId="Titre2">
    <w:name w:val="heading 2"/>
    <w:basedOn w:val="Normal"/>
    <w:next w:val="Normal"/>
    <w:link w:val="Titre2Car"/>
    <w:unhideWhenUsed/>
    <w:qFormat/>
    <w:rsid w:val="005D2B50"/>
    <w:pPr>
      <w:numPr>
        <w:ilvl w:val="1"/>
        <w:numId w:val="2"/>
      </w:numPr>
      <w:tabs>
        <w:tab w:val="left" w:pos="-720"/>
      </w:tabs>
      <w:suppressAutoHyphens/>
      <w:spacing w:line="312" w:lineRule="auto"/>
      <w:contextualSpacing/>
      <w:jc w:val="both"/>
      <w:outlineLvl w:val="1"/>
    </w:pPr>
    <w:rPr>
      <w:rFonts w:ascii="Book Antiqua" w:hAnsi="Book Antiqua" w:cs="Tahoma"/>
      <w:b/>
      <w:sz w:val="22"/>
      <w:szCs w:val="22"/>
    </w:rPr>
  </w:style>
  <w:style w:type="paragraph" w:styleId="Titre3">
    <w:name w:val="heading 3"/>
    <w:basedOn w:val="Normal"/>
    <w:next w:val="Normal"/>
    <w:link w:val="Titre3Car"/>
    <w:unhideWhenUsed/>
    <w:qFormat/>
    <w:rsid w:val="00DB18B4"/>
    <w:pPr>
      <w:tabs>
        <w:tab w:val="left" w:pos="-720"/>
      </w:tabs>
      <w:suppressAutoHyphens/>
      <w:spacing w:line="312" w:lineRule="auto"/>
      <w:ind w:left="1080"/>
      <w:contextualSpacing/>
      <w:jc w:val="both"/>
      <w:outlineLvl w:val="2"/>
    </w:pPr>
    <w:rPr>
      <w:rFonts w:ascii="Book Antiqua" w:hAnsi="Book Antiqua" w:cs="Tahoma"/>
      <w:b/>
      <w:sz w:val="22"/>
      <w:szCs w:val="22"/>
    </w:rPr>
  </w:style>
  <w:style w:type="paragraph" w:styleId="Titre4">
    <w:name w:val="heading 4"/>
    <w:basedOn w:val="Normal"/>
    <w:next w:val="Normal"/>
    <w:link w:val="Titre4Car"/>
    <w:unhideWhenUsed/>
    <w:qFormat/>
    <w:rsid w:val="00F43478"/>
    <w:pPr>
      <w:tabs>
        <w:tab w:val="left" w:pos="-720"/>
      </w:tabs>
      <w:suppressAutoHyphens/>
      <w:spacing w:after="120" w:line="312" w:lineRule="auto"/>
      <w:ind w:left="714"/>
      <w:contextualSpacing/>
      <w:jc w:val="both"/>
      <w:outlineLvl w:val="3"/>
    </w:pPr>
    <w:rPr>
      <w:rFonts w:ascii="Book Antiqua" w:hAnsi="Book Antiqua" w:cs="Tahoma"/>
      <w:b/>
      <w:sz w:val="22"/>
      <w:szCs w:val="22"/>
    </w:rPr>
  </w:style>
  <w:style w:type="paragraph" w:styleId="Titre6">
    <w:name w:val="heading 6"/>
    <w:basedOn w:val="Normal"/>
    <w:next w:val="Normal"/>
    <w:link w:val="Titre6Car"/>
    <w:qFormat/>
    <w:rsid w:val="00F53A13"/>
    <w:pPr>
      <w:keepNext/>
      <w:jc w:val="center"/>
      <w:outlineLvl w:val="5"/>
    </w:pPr>
    <w:rPr>
      <w:b/>
      <w:bCs/>
    </w:rPr>
  </w:style>
  <w:style w:type="paragraph" w:styleId="Titre7">
    <w:name w:val="heading 7"/>
    <w:basedOn w:val="Normal"/>
    <w:next w:val="Normal"/>
    <w:link w:val="Titre7Car"/>
    <w:qFormat/>
    <w:rsid w:val="00F53A13"/>
    <w:pPr>
      <w:spacing w:before="240" w:after="60"/>
      <w:outlineLvl w:val="6"/>
    </w:pPr>
  </w:style>
  <w:style w:type="paragraph" w:styleId="Titre8">
    <w:name w:val="heading 8"/>
    <w:basedOn w:val="Normal"/>
    <w:next w:val="Normal"/>
    <w:link w:val="Titre8Car"/>
    <w:qFormat/>
    <w:rsid w:val="00F53A13"/>
    <w:pPr>
      <w:keepNext/>
      <w:pBdr>
        <w:top w:val="threeDEngrave" w:sz="24" w:space="1" w:color="auto"/>
        <w:left w:val="threeDEngrave" w:sz="24" w:space="4" w:color="auto"/>
        <w:bottom w:val="threeDEmboss" w:sz="24" w:space="1" w:color="auto"/>
        <w:right w:val="threeDEmboss" w:sz="24" w:space="4" w:color="auto"/>
      </w:pBdr>
      <w:ind w:left="181"/>
      <w:jc w:val="center"/>
      <w:outlineLvl w:val="7"/>
    </w:pPr>
    <w:rPr>
      <w:b/>
      <w:caps/>
      <w:sz w:val="36"/>
      <w:szCs w:val="36"/>
    </w:rPr>
  </w:style>
  <w:style w:type="paragraph" w:styleId="Titre9">
    <w:name w:val="heading 9"/>
    <w:basedOn w:val="Normal"/>
    <w:next w:val="Normal"/>
    <w:link w:val="Titre9Car"/>
    <w:qFormat/>
    <w:rsid w:val="00F53A13"/>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CF6E5B"/>
    <w:pPr>
      <w:jc w:val="both"/>
    </w:pPr>
  </w:style>
  <w:style w:type="character" w:customStyle="1" w:styleId="CorpsdetexteCar">
    <w:name w:val="Corps de texte Car"/>
    <w:basedOn w:val="Policepardfaut"/>
    <w:link w:val="Corpsdetexte"/>
    <w:rsid w:val="00CF6E5B"/>
    <w:rPr>
      <w:rFonts w:ascii="Times New Roman" w:eastAsia="Times New Roman" w:hAnsi="Times New Roman" w:cs="Times New Roman"/>
      <w:sz w:val="24"/>
      <w:szCs w:val="24"/>
      <w:lang w:eastAsia="fr-FR"/>
    </w:rPr>
  </w:style>
  <w:style w:type="paragraph" w:customStyle="1" w:styleId="Paragraphedeliste1">
    <w:name w:val="Paragraphe de liste1"/>
    <w:basedOn w:val="Normal"/>
    <w:uiPriority w:val="34"/>
    <w:qFormat/>
    <w:rsid w:val="00CF6E5B"/>
    <w:pPr>
      <w:ind w:left="720"/>
    </w:pPr>
  </w:style>
  <w:style w:type="paragraph" w:styleId="Pieddepage">
    <w:name w:val="footer"/>
    <w:basedOn w:val="Normal"/>
    <w:link w:val="PieddepageCar"/>
    <w:uiPriority w:val="99"/>
    <w:rsid w:val="00CF6E5B"/>
    <w:pPr>
      <w:tabs>
        <w:tab w:val="center" w:pos="4536"/>
        <w:tab w:val="right" w:pos="9072"/>
      </w:tabs>
    </w:pPr>
  </w:style>
  <w:style w:type="character" w:customStyle="1" w:styleId="PieddepageCar">
    <w:name w:val="Pied de page Car"/>
    <w:basedOn w:val="Policepardfaut"/>
    <w:link w:val="Pieddepage"/>
    <w:uiPriority w:val="99"/>
    <w:rsid w:val="00CF6E5B"/>
    <w:rPr>
      <w:rFonts w:ascii="Times New Roman" w:eastAsia="Times New Roman" w:hAnsi="Times New Roman" w:cs="Times New Roman"/>
      <w:sz w:val="24"/>
      <w:szCs w:val="24"/>
      <w:lang w:eastAsia="fr-FR"/>
    </w:rPr>
  </w:style>
  <w:style w:type="character" w:styleId="Numrodepage">
    <w:name w:val="page number"/>
    <w:basedOn w:val="Policepardfaut"/>
    <w:rsid w:val="00CF6E5B"/>
  </w:style>
  <w:style w:type="paragraph" w:styleId="En-tte">
    <w:name w:val="header"/>
    <w:basedOn w:val="Normal"/>
    <w:link w:val="En-tteCar"/>
    <w:rsid w:val="00CF6E5B"/>
    <w:pPr>
      <w:tabs>
        <w:tab w:val="center" w:pos="4536"/>
        <w:tab w:val="right" w:pos="9072"/>
      </w:tabs>
    </w:pPr>
  </w:style>
  <w:style w:type="character" w:customStyle="1" w:styleId="En-tteCar">
    <w:name w:val="En-tête Car"/>
    <w:basedOn w:val="Policepardfaut"/>
    <w:link w:val="En-tte"/>
    <w:rsid w:val="00CF6E5B"/>
    <w:rPr>
      <w:rFonts w:ascii="Times New Roman" w:eastAsia="Times New Roman" w:hAnsi="Times New Roman" w:cs="Times New Roman"/>
      <w:sz w:val="24"/>
      <w:szCs w:val="24"/>
      <w:lang w:eastAsia="fr-FR"/>
    </w:rPr>
  </w:style>
  <w:style w:type="paragraph" w:styleId="Paragraphedeliste">
    <w:name w:val="List Paragraph"/>
    <w:basedOn w:val="Normal"/>
    <w:link w:val="ParagraphedelisteCar"/>
    <w:uiPriority w:val="34"/>
    <w:qFormat/>
    <w:rsid w:val="006B69FE"/>
    <w:pPr>
      <w:ind w:left="720"/>
      <w:contextualSpacing/>
    </w:pPr>
  </w:style>
  <w:style w:type="paragraph" w:styleId="Lgende">
    <w:name w:val="caption"/>
    <w:basedOn w:val="Normal"/>
    <w:next w:val="Normal"/>
    <w:uiPriority w:val="35"/>
    <w:unhideWhenUsed/>
    <w:qFormat/>
    <w:rsid w:val="00690D07"/>
    <w:pPr>
      <w:spacing w:after="200"/>
    </w:pPr>
    <w:rPr>
      <w:b/>
      <w:bCs/>
      <w:color w:val="4F81BD" w:themeColor="accent1"/>
      <w:sz w:val="18"/>
      <w:szCs w:val="18"/>
    </w:rPr>
  </w:style>
  <w:style w:type="table" w:styleId="Grilledutableau">
    <w:name w:val="Table Grid"/>
    <w:basedOn w:val="TableauNormal"/>
    <w:uiPriority w:val="99"/>
    <w:rsid w:val="00967A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Marquedecommentaire">
    <w:name w:val="annotation reference"/>
    <w:basedOn w:val="Policepardfaut"/>
    <w:semiHidden/>
    <w:unhideWhenUsed/>
    <w:rsid w:val="009558BB"/>
    <w:rPr>
      <w:sz w:val="16"/>
      <w:szCs w:val="16"/>
    </w:rPr>
  </w:style>
  <w:style w:type="paragraph" w:styleId="Commentaire">
    <w:name w:val="annotation text"/>
    <w:basedOn w:val="Normal"/>
    <w:link w:val="CommentaireCar"/>
    <w:semiHidden/>
    <w:unhideWhenUsed/>
    <w:rsid w:val="009558BB"/>
    <w:rPr>
      <w:sz w:val="20"/>
      <w:szCs w:val="20"/>
    </w:rPr>
  </w:style>
  <w:style w:type="character" w:customStyle="1" w:styleId="CommentaireCar">
    <w:name w:val="Commentaire Car"/>
    <w:basedOn w:val="Policepardfaut"/>
    <w:link w:val="Commentaire"/>
    <w:semiHidden/>
    <w:rsid w:val="009558BB"/>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unhideWhenUsed/>
    <w:rsid w:val="009558BB"/>
    <w:rPr>
      <w:b/>
      <w:bCs/>
    </w:rPr>
  </w:style>
  <w:style w:type="character" w:customStyle="1" w:styleId="ObjetducommentaireCar">
    <w:name w:val="Objet du commentaire Car"/>
    <w:basedOn w:val="CommentaireCar"/>
    <w:link w:val="Objetducommentaire"/>
    <w:semiHidden/>
    <w:rsid w:val="009558BB"/>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semiHidden/>
    <w:unhideWhenUsed/>
    <w:rsid w:val="009558BB"/>
    <w:rPr>
      <w:rFonts w:ascii="Tahoma" w:hAnsi="Tahoma" w:cs="Tahoma"/>
      <w:sz w:val="16"/>
      <w:szCs w:val="16"/>
    </w:rPr>
  </w:style>
  <w:style w:type="character" w:customStyle="1" w:styleId="TextedebullesCar">
    <w:name w:val="Texte de bulles Car"/>
    <w:basedOn w:val="Policepardfaut"/>
    <w:link w:val="Textedebulles"/>
    <w:semiHidden/>
    <w:rsid w:val="009558BB"/>
    <w:rPr>
      <w:rFonts w:ascii="Tahoma" w:eastAsia="Times New Roman" w:hAnsi="Tahoma" w:cs="Tahoma"/>
      <w:sz w:val="16"/>
      <w:szCs w:val="16"/>
      <w:lang w:eastAsia="fr-FR"/>
    </w:rPr>
  </w:style>
  <w:style w:type="character" w:customStyle="1" w:styleId="Titre1Car">
    <w:name w:val="Titre 1 Car"/>
    <w:basedOn w:val="Policepardfaut"/>
    <w:link w:val="Titre1"/>
    <w:rsid w:val="00106109"/>
    <w:rPr>
      <w:rFonts w:ascii="Book Antiqua" w:eastAsia="Times New Roman" w:hAnsi="Book Antiqua" w:cs="Tahoma"/>
      <w:b/>
      <w:lang w:eastAsia="fr-FR"/>
    </w:rPr>
  </w:style>
  <w:style w:type="paragraph" w:styleId="En-ttedetabledesmatires">
    <w:name w:val="TOC Heading"/>
    <w:basedOn w:val="Titre1"/>
    <w:next w:val="Normal"/>
    <w:uiPriority w:val="39"/>
    <w:unhideWhenUsed/>
    <w:qFormat/>
    <w:rsid w:val="00A43EFD"/>
    <w:pPr>
      <w:spacing w:line="276" w:lineRule="auto"/>
      <w:outlineLvl w:val="9"/>
    </w:pPr>
    <w:rPr>
      <w:lang w:eastAsia="en-US"/>
    </w:rPr>
  </w:style>
  <w:style w:type="paragraph" w:styleId="TM1">
    <w:name w:val="toc 1"/>
    <w:basedOn w:val="Normal"/>
    <w:next w:val="Normal"/>
    <w:autoRedefine/>
    <w:uiPriority w:val="39"/>
    <w:unhideWhenUsed/>
    <w:rsid w:val="000F1798"/>
    <w:pPr>
      <w:tabs>
        <w:tab w:val="left" w:pos="440"/>
        <w:tab w:val="right" w:leader="dot" w:pos="9928"/>
      </w:tabs>
      <w:spacing w:line="360" w:lineRule="auto"/>
    </w:pPr>
    <w:rPr>
      <w:rFonts w:ascii="Book Antiqua" w:hAnsi="Book Antiqua" w:cs="Arial"/>
      <w:b/>
      <w:noProof/>
      <w:sz w:val="20"/>
      <w:szCs w:val="20"/>
    </w:rPr>
  </w:style>
  <w:style w:type="paragraph" w:styleId="TM2">
    <w:name w:val="toc 2"/>
    <w:basedOn w:val="Normal"/>
    <w:next w:val="Normal"/>
    <w:autoRedefine/>
    <w:uiPriority w:val="39"/>
    <w:unhideWhenUsed/>
    <w:rsid w:val="009E08DC"/>
    <w:pPr>
      <w:spacing w:after="100"/>
      <w:ind w:left="240"/>
    </w:pPr>
  </w:style>
  <w:style w:type="paragraph" w:styleId="TM3">
    <w:name w:val="toc 3"/>
    <w:basedOn w:val="Normal"/>
    <w:next w:val="Normal"/>
    <w:autoRedefine/>
    <w:uiPriority w:val="39"/>
    <w:unhideWhenUsed/>
    <w:rsid w:val="00145DBC"/>
    <w:pPr>
      <w:tabs>
        <w:tab w:val="left" w:pos="1320"/>
        <w:tab w:val="right" w:leader="dot" w:pos="9572"/>
      </w:tabs>
      <w:spacing w:after="100"/>
    </w:pPr>
    <w:rPr>
      <w:rFonts w:ascii="Book Antiqua" w:hAnsi="Book Antiqua" w:cs="Arial"/>
      <w:noProof/>
      <w:sz w:val="20"/>
      <w:szCs w:val="20"/>
    </w:rPr>
  </w:style>
  <w:style w:type="character" w:styleId="Lienhypertexte">
    <w:name w:val="Hyperlink"/>
    <w:basedOn w:val="Policepardfaut"/>
    <w:uiPriority w:val="99"/>
    <w:unhideWhenUsed/>
    <w:rsid w:val="009E08DC"/>
    <w:rPr>
      <w:color w:val="0000FF" w:themeColor="hyperlink"/>
      <w:u w:val="single"/>
    </w:rPr>
  </w:style>
  <w:style w:type="paragraph" w:styleId="Notedebasdepage">
    <w:name w:val="footnote text"/>
    <w:basedOn w:val="Normal"/>
    <w:link w:val="NotedebasdepageCar"/>
    <w:uiPriority w:val="99"/>
    <w:semiHidden/>
    <w:unhideWhenUsed/>
    <w:rsid w:val="00E10E3B"/>
    <w:rPr>
      <w:sz w:val="20"/>
      <w:szCs w:val="20"/>
    </w:rPr>
  </w:style>
  <w:style w:type="character" w:customStyle="1" w:styleId="NotedebasdepageCar">
    <w:name w:val="Note de bas de page Car"/>
    <w:basedOn w:val="Policepardfaut"/>
    <w:link w:val="Notedebasdepage"/>
    <w:uiPriority w:val="99"/>
    <w:semiHidden/>
    <w:rsid w:val="00E10E3B"/>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E10E3B"/>
    <w:rPr>
      <w:vertAlign w:val="superscript"/>
    </w:rPr>
  </w:style>
  <w:style w:type="paragraph" w:styleId="Tabledesillustrations">
    <w:name w:val="table of figures"/>
    <w:basedOn w:val="Normal"/>
    <w:next w:val="Normal"/>
    <w:uiPriority w:val="99"/>
    <w:unhideWhenUsed/>
    <w:rsid w:val="0026695F"/>
  </w:style>
  <w:style w:type="character" w:styleId="lev">
    <w:name w:val="Strong"/>
    <w:basedOn w:val="Policepardfaut"/>
    <w:uiPriority w:val="22"/>
    <w:qFormat/>
    <w:rsid w:val="008E19DC"/>
    <w:rPr>
      <w:b/>
      <w:bCs/>
    </w:rPr>
  </w:style>
  <w:style w:type="paragraph" w:customStyle="1" w:styleId="Default">
    <w:name w:val="Default"/>
    <w:rsid w:val="00306F92"/>
    <w:pPr>
      <w:autoSpaceDE w:val="0"/>
      <w:autoSpaceDN w:val="0"/>
      <w:adjustRightInd w:val="0"/>
      <w:spacing w:after="0" w:line="240" w:lineRule="auto"/>
    </w:pPr>
    <w:rPr>
      <w:rFonts w:ascii="Verdana" w:hAnsi="Verdana" w:cs="Verdana"/>
      <w:color w:val="000000"/>
      <w:sz w:val="24"/>
      <w:szCs w:val="24"/>
    </w:rPr>
  </w:style>
  <w:style w:type="character" w:styleId="Textedelespacerserv">
    <w:name w:val="Placeholder Text"/>
    <w:basedOn w:val="Policepardfaut"/>
    <w:uiPriority w:val="99"/>
    <w:semiHidden/>
    <w:rsid w:val="00EE45AA"/>
    <w:rPr>
      <w:color w:val="808080"/>
    </w:rPr>
  </w:style>
  <w:style w:type="paragraph" w:styleId="TM4">
    <w:name w:val="toc 4"/>
    <w:basedOn w:val="Normal"/>
    <w:next w:val="Normal"/>
    <w:autoRedefine/>
    <w:uiPriority w:val="39"/>
    <w:unhideWhenUsed/>
    <w:rsid w:val="00F72B6E"/>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F72B6E"/>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F72B6E"/>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F72B6E"/>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F72B6E"/>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F72B6E"/>
    <w:pPr>
      <w:spacing w:after="100" w:line="276" w:lineRule="auto"/>
      <w:ind w:left="1760"/>
    </w:pPr>
    <w:rPr>
      <w:rFonts w:asciiTheme="minorHAnsi" w:eastAsiaTheme="minorEastAsia" w:hAnsiTheme="minorHAnsi" w:cstheme="minorBidi"/>
      <w:sz w:val="22"/>
      <w:szCs w:val="22"/>
    </w:rPr>
  </w:style>
  <w:style w:type="character" w:customStyle="1" w:styleId="ParagraphedelisteCar">
    <w:name w:val="Paragraphe de liste Car"/>
    <w:basedOn w:val="Policepardfaut"/>
    <w:link w:val="Paragraphedeliste"/>
    <w:uiPriority w:val="34"/>
    <w:locked/>
    <w:rsid w:val="00C124C2"/>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rsid w:val="005D2B50"/>
    <w:rPr>
      <w:rFonts w:ascii="Book Antiqua" w:eastAsia="Times New Roman" w:hAnsi="Book Antiqua" w:cs="Tahoma"/>
      <w:b/>
      <w:lang w:eastAsia="fr-FR"/>
    </w:rPr>
  </w:style>
  <w:style w:type="character" w:customStyle="1" w:styleId="Titre3Car">
    <w:name w:val="Titre 3 Car"/>
    <w:basedOn w:val="Policepardfaut"/>
    <w:link w:val="Titre3"/>
    <w:rsid w:val="00DB18B4"/>
    <w:rPr>
      <w:rFonts w:ascii="Book Antiqua" w:eastAsia="Times New Roman" w:hAnsi="Book Antiqua" w:cs="Tahoma"/>
      <w:b/>
      <w:lang w:eastAsia="fr-FR"/>
    </w:rPr>
  </w:style>
  <w:style w:type="paragraph" w:styleId="Notedefin">
    <w:name w:val="endnote text"/>
    <w:basedOn w:val="Normal"/>
    <w:link w:val="NotedefinCar"/>
    <w:uiPriority w:val="99"/>
    <w:semiHidden/>
    <w:unhideWhenUsed/>
    <w:rsid w:val="006812EC"/>
    <w:rPr>
      <w:sz w:val="20"/>
      <w:szCs w:val="20"/>
    </w:rPr>
  </w:style>
  <w:style w:type="character" w:customStyle="1" w:styleId="NotedefinCar">
    <w:name w:val="Note de fin Car"/>
    <w:basedOn w:val="Policepardfaut"/>
    <w:link w:val="Notedefin"/>
    <w:uiPriority w:val="99"/>
    <w:semiHidden/>
    <w:rsid w:val="006812EC"/>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6812EC"/>
    <w:rPr>
      <w:vertAlign w:val="superscript"/>
    </w:rPr>
  </w:style>
  <w:style w:type="character" w:customStyle="1" w:styleId="Titre4Car">
    <w:name w:val="Titre 4 Car"/>
    <w:basedOn w:val="Policepardfaut"/>
    <w:link w:val="Titre4"/>
    <w:rsid w:val="00F43478"/>
    <w:rPr>
      <w:rFonts w:ascii="Book Antiqua" w:eastAsia="Times New Roman" w:hAnsi="Book Antiqua" w:cs="Tahoma"/>
      <w:b/>
      <w:lang w:eastAsia="fr-FR"/>
    </w:rPr>
  </w:style>
  <w:style w:type="paragraph" w:styleId="Rvision">
    <w:name w:val="Revision"/>
    <w:hidden/>
    <w:uiPriority w:val="99"/>
    <w:semiHidden/>
    <w:rsid w:val="00AA64F3"/>
    <w:pPr>
      <w:spacing w:after="0"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3E7BF2"/>
    <w:pPr>
      <w:spacing w:before="100" w:beforeAutospacing="1" w:after="100" w:afterAutospacing="1"/>
    </w:pPr>
  </w:style>
  <w:style w:type="character" w:customStyle="1" w:styleId="Titre6Car">
    <w:name w:val="Titre 6 Car"/>
    <w:basedOn w:val="Policepardfaut"/>
    <w:link w:val="Titre6"/>
    <w:rsid w:val="00F53A13"/>
    <w:rPr>
      <w:rFonts w:ascii="Times New Roman" w:eastAsia="Times New Roman" w:hAnsi="Times New Roman" w:cs="Times New Roman"/>
      <w:b/>
      <w:bCs/>
      <w:sz w:val="24"/>
      <w:szCs w:val="24"/>
      <w:lang w:eastAsia="fr-FR"/>
    </w:rPr>
  </w:style>
  <w:style w:type="character" w:customStyle="1" w:styleId="Titre7Car">
    <w:name w:val="Titre 7 Car"/>
    <w:basedOn w:val="Policepardfaut"/>
    <w:link w:val="Titre7"/>
    <w:rsid w:val="00F53A13"/>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F53A13"/>
    <w:rPr>
      <w:rFonts w:ascii="Times New Roman" w:eastAsia="Times New Roman" w:hAnsi="Times New Roman" w:cs="Times New Roman"/>
      <w:b/>
      <w:caps/>
      <w:sz w:val="36"/>
      <w:szCs w:val="36"/>
      <w:lang w:eastAsia="fr-FR"/>
    </w:rPr>
  </w:style>
  <w:style w:type="character" w:customStyle="1" w:styleId="Titre9Car">
    <w:name w:val="Titre 9 Car"/>
    <w:basedOn w:val="Policepardfaut"/>
    <w:link w:val="Titre9"/>
    <w:rsid w:val="00F53A13"/>
    <w:rPr>
      <w:rFonts w:ascii="Arial" w:eastAsia="Times New Roman" w:hAnsi="Arial" w:cs="Arial"/>
      <w:lang w:eastAsia="fr-FR"/>
    </w:rPr>
  </w:style>
  <w:style w:type="numbering" w:customStyle="1" w:styleId="Aucuneliste1">
    <w:name w:val="Aucune liste1"/>
    <w:next w:val="Aucuneliste"/>
    <w:uiPriority w:val="99"/>
    <w:semiHidden/>
    <w:unhideWhenUsed/>
    <w:rsid w:val="00F53A13"/>
  </w:style>
  <w:style w:type="paragraph" w:styleId="Corpsdetexte2">
    <w:name w:val="Body Text 2"/>
    <w:basedOn w:val="Normal"/>
    <w:link w:val="Corpsdetexte2Car"/>
    <w:rsid w:val="00F53A13"/>
    <w:pPr>
      <w:spacing w:line="360" w:lineRule="auto"/>
      <w:jc w:val="center"/>
    </w:pPr>
    <w:rPr>
      <w:rFonts w:ascii="Arial" w:hAnsi="Arial" w:cs="Arial"/>
      <w:b/>
      <w:bCs/>
      <w:i/>
      <w:iCs/>
      <w:color w:val="FF0000"/>
    </w:rPr>
  </w:style>
  <w:style w:type="character" w:customStyle="1" w:styleId="Corpsdetexte2Car">
    <w:name w:val="Corps de texte 2 Car"/>
    <w:basedOn w:val="Policepardfaut"/>
    <w:link w:val="Corpsdetexte2"/>
    <w:rsid w:val="00F53A13"/>
    <w:rPr>
      <w:rFonts w:ascii="Arial" w:eastAsia="Times New Roman" w:hAnsi="Arial" w:cs="Arial"/>
      <w:b/>
      <w:bCs/>
      <w:i/>
      <w:iCs/>
      <w:color w:val="FF0000"/>
      <w:sz w:val="24"/>
      <w:szCs w:val="24"/>
      <w:lang w:eastAsia="fr-FR"/>
    </w:rPr>
  </w:style>
  <w:style w:type="paragraph" w:customStyle="1" w:styleId="Objet">
    <w:name w:val="Objet"/>
    <w:basedOn w:val="Titre2"/>
    <w:rsid w:val="00F53A13"/>
    <w:pPr>
      <w:keepNext/>
      <w:numPr>
        <w:ilvl w:val="0"/>
        <w:numId w:val="64"/>
      </w:numPr>
      <w:tabs>
        <w:tab w:val="clear" w:pos="-720"/>
      </w:tabs>
      <w:suppressAutoHyphens w:val="0"/>
      <w:spacing w:line="360" w:lineRule="auto"/>
      <w:contextualSpacing w:val="0"/>
    </w:pPr>
    <w:rPr>
      <w:rFonts w:ascii="Times New Roman" w:hAnsi="Times New Roman" w:cs="Times New Roman"/>
      <w:b w:val="0"/>
      <w:sz w:val="24"/>
      <w:szCs w:val="24"/>
      <w:u w:val="single"/>
    </w:rPr>
  </w:style>
  <w:style w:type="paragraph" w:styleId="Titre">
    <w:name w:val="Title"/>
    <w:basedOn w:val="Normal"/>
    <w:link w:val="TitreCar"/>
    <w:qFormat/>
    <w:rsid w:val="00F53A13"/>
    <w:pPr>
      <w:jc w:val="center"/>
    </w:pPr>
    <w:rPr>
      <w:b/>
      <w:bCs/>
    </w:rPr>
  </w:style>
  <w:style w:type="character" w:customStyle="1" w:styleId="TitreCar">
    <w:name w:val="Titre Car"/>
    <w:basedOn w:val="Policepardfaut"/>
    <w:link w:val="Titre"/>
    <w:rsid w:val="00F53A13"/>
    <w:rPr>
      <w:rFonts w:ascii="Times New Roman" w:eastAsia="Times New Roman" w:hAnsi="Times New Roman" w:cs="Times New Roman"/>
      <w:b/>
      <w:bCs/>
      <w:sz w:val="24"/>
      <w:szCs w:val="24"/>
      <w:lang w:eastAsia="fr-FR"/>
    </w:rPr>
  </w:style>
  <w:style w:type="table" w:customStyle="1" w:styleId="Grilledutableau1">
    <w:name w:val="Grille du tableau1"/>
    <w:basedOn w:val="TableauNormal"/>
    <w:next w:val="Grilledutableau"/>
    <w:uiPriority w:val="59"/>
    <w:rsid w:val="00F53A13"/>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3">
    <w:name w:val="Body Text 3"/>
    <w:basedOn w:val="Normal"/>
    <w:link w:val="Corpsdetexte3Car"/>
    <w:rsid w:val="00F53A13"/>
    <w:pPr>
      <w:spacing w:after="120"/>
    </w:pPr>
    <w:rPr>
      <w:sz w:val="16"/>
      <w:szCs w:val="16"/>
    </w:rPr>
  </w:style>
  <w:style w:type="character" w:customStyle="1" w:styleId="Corpsdetexte3Car">
    <w:name w:val="Corps de texte 3 Car"/>
    <w:basedOn w:val="Policepardfaut"/>
    <w:link w:val="Corpsdetexte3"/>
    <w:rsid w:val="00F53A13"/>
    <w:rPr>
      <w:rFonts w:ascii="Times New Roman" w:eastAsia="Times New Roman" w:hAnsi="Times New Roman" w:cs="Times New Roman"/>
      <w:sz w:val="16"/>
      <w:szCs w:val="16"/>
      <w:lang w:eastAsia="fr-FR"/>
    </w:rPr>
  </w:style>
  <w:style w:type="paragraph" w:customStyle="1" w:styleId="titrecours">
    <w:name w:val="titrecours"/>
    <w:basedOn w:val="Normal"/>
    <w:rsid w:val="00F53A13"/>
    <w:pPr>
      <w:spacing w:before="100" w:beforeAutospacing="1" w:after="100" w:afterAutospacing="1"/>
    </w:pPr>
  </w:style>
  <w:style w:type="paragraph" w:customStyle="1" w:styleId="cours">
    <w:name w:val="cours"/>
    <w:basedOn w:val="Normal"/>
    <w:rsid w:val="00F53A13"/>
    <w:pPr>
      <w:spacing w:before="100" w:beforeAutospacing="1" w:after="100" w:afterAutospacing="1"/>
    </w:pPr>
  </w:style>
  <w:style w:type="paragraph" w:customStyle="1" w:styleId="Arial">
    <w:name w:val="Arial"/>
    <w:basedOn w:val="Normal"/>
    <w:rsid w:val="00F53A13"/>
    <w:pPr>
      <w:autoSpaceDE w:val="0"/>
      <w:autoSpaceDN w:val="0"/>
      <w:adjustRightInd w:val="0"/>
      <w:jc w:val="center"/>
    </w:pPr>
    <w:rPr>
      <w:rFonts w:ascii="Arial" w:hAnsi="Arial"/>
      <w:sz w:val="22"/>
      <w:szCs w:val="22"/>
    </w:rPr>
  </w:style>
  <w:style w:type="paragraph" w:customStyle="1" w:styleId="Texte1DID">
    <w:name w:val="Texte1 DID"/>
    <w:link w:val="Texte1DIDCar"/>
    <w:uiPriority w:val="99"/>
    <w:qFormat/>
    <w:rsid w:val="00F53A13"/>
    <w:pPr>
      <w:spacing w:after="0" w:line="240" w:lineRule="auto"/>
      <w:jc w:val="both"/>
    </w:pPr>
    <w:rPr>
      <w:rFonts w:ascii="Arial" w:hAnsi="Arial" w:cs="Arial"/>
      <w:sz w:val="20"/>
      <w:szCs w:val="20"/>
      <w:lang w:val="fr-CA"/>
    </w:rPr>
  </w:style>
  <w:style w:type="character" w:customStyle="1" w:styleId="Texte1DIDCar">
    <w:name w:val="Texte1 DID Car"/>
    <w:basedOn w:val="Policepardfaut"/>
    <w:link w:val="Texte1DID"/>
    <w:uiPriority w:val="99"/>
    <w:locked/>
    <w:rsid w:val="00F53A13"/>
    <w:rPr>
      <w:rFonts w:ascii="Arial" w:hAnsi="Arial" w:cs="Arial"/>
      <w:sz w:val="20"/>
      <w:szCs w:val="20"/>
      <w:lang w:val="fr-CA"/>
    </w:rPr>
  </w:style>
</w:styles>
</file>

<file path=word/webSettings.xml><?xml version="1.0" encoding="utf-8"?>
<w:webSettings xmlns:r="http://schemas.openxmlformats.org/officeDocument/2006/relationships" xmlns:w="http://schemas.openxmlformats.org/wordprocessingml/2006/main">
  <w:divs>
    <w:div w:id="34738251">
      <w:bodyDiv w:val="1"/>
      <w:marLeft w:val="0"/>
      <w:marRight w:val="0"/>
      <w:marTop w:val="0"/>
      <w:marBottom w:val="0"/>
      <w:divBdr>
        <w:top w:val="none" w:sz="0" w:space="0" w:color="auto"/>
        <w:left w:val="none" w:sz="0" w:space="0" w:color="auto"/>
        <w:bottom w:val="none" w:sz="0" w:space="0" w:color="auto"/>
        <w:right w:val="none" w:sz="0" w:space="0" w:color="auto"/>
      </w:divBdr>
    </w:div>
    <w:div w:id="56169477">
      <w:bodyDiv w:val="1"/>
      <w:marLeft w:val="0"/>
      <w:marRight w:val="0"/>
      <w:marTop w:val="0"/>
      <w:marBottom w:val="0"/>
      <w:divBdr>
        <w:top w:val="none" w:sz="0" w:space="0" w:color="auto"/>
        <w:left w:val="none" w:sz="0" w:space="0" w:color="auto"/>
        <w:bottom w:val="none" w:sz="0" w:space="0" w:color="auto"/>
        <w:right w:val="none" w:sz="0" w:space="0" w:color="auto"/>
      </w:divBdr>
    </w:div>
    <w:div w:id="77678977">
      <w:bodyDiv w:val="1"/>
      <w:marLeft w:val="0"/>
      <w:marRight w:val="0"/>
      <w:marTop w:val="0"/>
      <w:marBottom w:val="0"/>
      <w:divBdr>
        <w:top w:val="none" w:sz="0" w:space="0" w:color="auto"/>
        <w:left w:val="none" w:sz="0" w:space="0" w:color="auto"/>
        <w:bottom w:val="none" w:sz="0" w:space="0" w:color="auto"/>
        <w:right w:val="none" w:sz="0" w:space="0" w:color="auto"/>
      </w:divBdr>
    </w:div>
    <w:div w:id="96221732">
      <w:bodyDiv w:val="1"/>
      <w:marLeft w:val="0"/>
      <w:marRight w:val="0"/>
      <w:marTop w:val="0"/>
      <w:marBottom w:val="0"/>
      <w:divBdr>
        <w:top w:val="none" w:sz="0" w:space="0" w:color="auto"/>
        <w:left w:val="none" w:sz="0" w:space="0" w:color="auto"/>
        <w:bottom w:val="none" w:sz="0" w:space="0" w:color="auto"/>
        <w:right w:val="none" w:sz="0" w:space="0" w:color="auto"/>
      </w:divBdr>
    </w:div>
    <w:div w:id="179852768">
      <w:bodyDiv w:val="1"/>
      <w:marLeft w:val="0"/>
      <w:marRight w:val="0"/>
      <w:marTop w:val="0"/>
      <w:marBottom w:val="0"/>
      <w:divBdr>
        <w:top w:val="none" w:sz="0" w:space="0" w:color="auto"/>
        <w:left w:val="none" w:sz="0" w:space="0" w:color="auto"/>
        <w:bottom w:val="none" w:sz="0" w:space="0" w:color="auto"/>
        <w:right w:val="none" w:sz="0" w:space="0" w:color="auto"/>
      </w:divBdr>
    </w:div>
    <w:div w:id="198514761">
      <w:bodyDiv w:val="1"/>
      <w:marLeft w:val="0"/>
      <w:marRight w:val="0"/>
      <w:marTop w:val="0"/>
      <w:marBottom w:val="0"/>
      <w:divBdr>
        <w:top w:val="none" w:sz="0" w:space="0" w:color="auto"/>
        <w:left w:val="none" w:sz="0" w:space="0" w:color="auto"/>
        <w:bottom w:val="none" w:sz="0" w:space="0" w:color="auto"/>
        <w:right w:val="none" w:sz="0" w:space="0" w:color="auto"/>
      </w:divBdr>
    </w:div>
    <w:div w:id="211163490">
      <w:bodyDiv w:val="1"/>
      <w:marLeft w:val="0"/>
      <w:marRight w:val="0"/>
      <w:marTop w:val="0"/>
      <w:marBottom w:val="0"/>
      <w:divBdr>
        <w:top w:val="none" w:sz="0" w:space="0" w:color="auto"/>
        <w:left w:val="none" w:sz="0" w:space="0" w:color="auto"/>
        <w:bottom w:val="none" w:sz="0" w:space="0" w:color="auto"/>
        <w:right w:val="none" w:sz="0" w:space="0" w:color="auto"/>
      </w:divBdr>
    </w:div>
    <w:div w:id="240919726">
      <w:bodyDiv w:val="1"/>
      <w:marLeft w:val="0"/>
      <w:marRight w:val="0"/>
      <w:marTop w:val="0"/>
      <w:marBottom w:val="0"/>
      <w:divBdr>
        <w:top w:val="none" w:sz="0" w:space="0" w:color="auto"/>
        <w:left w:val="none" w:sz="0" w:space="0" w:color="auto"/>
        <w:bottom w:val="none" w:sz="0" w:space="0" w:color="auto"/>
        <w:right w:val="none" w:sz="0" w:space="0" w:color="auto"/>
      </w:divBdr>
    </w:div>
    <w:div w:id="248273559">
      <w:bodyDiv w:val="1"/>
      <w:marLeft w:val="0"/>
      <w:marRight w:val="0"/>
      <w:marTop w:val="0"/>
      <w:marBottom w:val="0"/>
      <w:divBdr>
        <w:top w:val="none" w:sz="0" w:space="0" w:color="auto"/>
        <w:left w:val="none" w:sz="0" w:space="0" w:color="auto"/>
        <w:bottom w:val="none" w:sz="0" w:space="0" w:color="auto"/>
        <w:right w:val="none" w:sz="0" w:space="0" w:color="auto"/>
      </w:divBdr>
    </w:div>
    <w:div w:id="281771745">
      <w:bodyDiv w:val="1"/>
      <w:marLeft w:val="0"/>
      <w:marRight w:val="0"/>
      <w:marTop w:val="0"/>
      <w:marBottom w:val="0"/>
      <w:divBdr>
        <w:top w:val="none" w:sz="0" w:space="0" w:color="auto"/>
        <w:left w:val="none" w:sz="0" w:space="0" w:color="auto"/>
        <w:bottom w:val="none" w:sz="0" w:space="0" w:color="auto"/>
        <w:right w:val="none" w:sz="0" w:space="0" w:color="auto"/>
      </w:divBdr>
    </w:div>
    <w:div w:id="288321721">
      <w:bodyDiv w:val="1"/>
      <w:marLeft w:val="0"/>
      <w:marRight w:val="0"/>
      <w:marTop w:val="0"/>
      <w:marBottom w:val="0"/>
      <w:divBdr>
        <w:top w:val="none" w:sz="0" w:space="0" w:color="auto"/>
        <w:left w:val="none" w:sz="0" w:space="0" w:color="auto"/>
        <w:bottom w:val="none" w:sz="0" w:space="0" w:color="auto"/>
        <w:right w:val="none" w:sz="0" w:space="0" w:color="auto"/>
      </w:divBdr>
    </w:div>
    <w:div w:id="290289056">
      <w:bodyDiv w:val="1"/>
      <w:marLeft w:val="0"/>
      <w:marRight w:val="0"/>
      <w:marTop w:val="0"/>
      <w:marBottom w:val="0"/>
      <w:divBdr>
        <w:top w:val="none" w:sz="0" w:space="0" w:color="auto"/>
        <w:left w:val="none" w:sz="0" w:space="0" w:color="auto"/>
        <w:bottom w:val="none" w:sz="0" w:space="0" w:color="auto"/>
        <w:right w:val="none" w:sz="0" w:space="0" w:color="auto"/>
      </w:divBdr>
    </w:div>
    <w:div w:id="305358317">
      <w:bodyDiv w:val="1"/>
      <w:marLeft w:val="0"/>
      <w:marRight w:val="0"/>
      <w:marTop w:val="0"/>
      <w:marBottom w:val="0"/>
      <w:divBdr>
        <w:top w:val="none" w:sz="0" w:space="0" w:color="auto"/>
        <w:left w:val="none" w:sz="0" w:space="0" w:color="auto"/>
        <w:bottom w:val="none" w:sz="0" w:space="0" w:color="auto"/>
        <w:right w:val="none" w:sz="0" w:space="0" w:color="auto"/>
      </w:divBdr>
    </w:div>
    <w:div w:id="324626631">
      <w:bodyDiv w:val="1"/>
      <w:marLeft w:val="0"/>
      <w:marRight w:val="0"/>
      <w:marTop w:val="0"/>
      <w:marBottom w:val="0"/>
      <w:divBdr>
        <w:top w:val="none" w:sz="0" w:space="0" w:color="auto"/>
        <w:left w:val="none" w:sz="0" w:space="0" w:color="auto"/>
        <w:bottom w:val="none" w:sz="0" w:space="0" w:color="auto"/>
        <w:right w:val="none" w:sz="0" w:space="0" w:color="auto"/>
      </w:divBdr>
    </w:div>
    <w:div w:id="335231680">
      <w:bodyDiv w:val="1"/>
      <w:marLeft w:val="0"/>
      <w:marRight w:val="0"/>
      <w:marTop w:val="0"/>
      <w:marBottom w:val="0"/>
      <w:divBdr>
        <w:top w:val="none" w:sz="0" w:space="0" w:color="auto"/>
        <w:left w:val="none" w:sz="0" w:space="0" w:color="auto"/>
        <w:bottom w:val="none" w:sz="0" w:space="0" w:color="auto"/>
        <w:right w:val="none" w:sz="0" w:space="0" w:color="auto"/>
      </w:divBdr>
    </w:div>
    <w:div w:id="374355282">
      <w:bodyDiv w:val="1"/>
      <w:marLeft w:val="0"/>
      <w:marRight w:val="0"/>
      <w:marTop w:val="0"/>
      <w:marBottom w:val="0"/>
      <w:divBdr>
        <w:top w:val="none" w:sz="0" w:space="0" w:color="auto"/>
        <w:left w:val="none" w:sz="0" w:space="0" w:color="auto"/>
        <w:bottom w:val="none" w:sz="0" w:space="0" w:color="auto"/>
        <w:right w:val="none" w:sz="0" w:space="0" w:color="auto"/>
      </w:divBdr>
    </w:div>
    <w:div w:id="375736193">
      <w:bodyDiv w:val="1"/>
      <w:marLeft w:val="0"/>
      <w:marRight w:val="0"/>
      <w:marTop w:val="0"/>
      <w:marBottom w:val="0"/>
      <w:divBdr>
        <w:top w:val="none" w:sz="0" w:space="0" w:color="auto"/>
        <w:left w:val="none" w:sz="0" w:space="0" w:color="auto"/>
        <w:bottom w:val="none" w:sz="0" w:space="0" w:color="auto"/>
        <w:right w:val="none" w:sz="0" w:space="0" w:color="auto"/>
      </w:divBdr>
    </w:div>
    <w:div w:id="377903481">
      <w:bodyDiv w:val="1"/>
      <w:marLeft w:val="0"/>
      <w:marRight w:val="0"/>
      <w:marTop w:val="0"/>
      <w:marBottom w:val="0"/>
      <w:divBdr>
        <w:top w:val="none" w:sz="0" w:space="0" w:color="auto"/>
        <w:left w:val="none" w:sz="0" w:space="0" w:color="auto"/>
        <w:bottom w:val="none" w:sz="0" w:space="0" w:color="auto"/>
        <w:right w:val="none" w:sz="0" w:space="0" w:color="auto"/>
      </w:divBdr>
    </w:div>
    <w:div w:id="441613129">
      <w:bodyDiv w:val="1"/>
      <w:marLeft w:val="0"/>
      <w:marRight w:val="0"/>
      <w:marTop w:val="0"/>
      <w:marBottom w:val="0"/>
      <w:divBdr>
        <w:top w:val="none" w:sz="0" w:space="0" w:color="auto"/>
        <w:left w:val="none" w:sz="0" w:space="0" w:color="auto"/>
        <w:bottom w:val="none" w:sz="0" w:space="0" w:color="auto"/>
        <w:right w:val="none" w:sz="0" w:space="0" w:color="auto"/>
      </w:divBdr>
    </w:div>
    <w:div w:id="443575379">
      <w:bodyDiv w:val="1"/>
      <w:marLeft w:val="0"/>
      <w:marRight w:val="0"/>
      <w:marTop w:val="0"/>
      <w:marBottom w:val="0"/>
      <w:divBdr>
        <w:top w:val="none" w:sz="0" w:space="0" w:color="auto"/>
        <w:left w:val="none" w:sz="0" w:space="0" w:color="auto"/>
        <w:bottom w:val="none" w:sz="0" w:space="0" w:color="auto"/>
        <w:right w:val="none" w:sz="0" w:space="0" w:color="auto"/>
      </w:divBdr>
    </w:div>
    <w:div w:id="450438822">
      <w:bodyDiv w:val="1"/>
      <w:marLeft w:val="0"/>
      <w:marRight w:val="0"/>
      <w:marTop w:val="0"/>
      <w:marBottom w:val="0"/>
      <w:divBdr>
        <w:top w:val="none" w:sz="0" w:space="0" w:color="auto"/>
        <w:left w:val="none" w:sz="0" w:space="0" w:color="auto"/>
        <w:bottom w:val="none" w:sz="0" w:space="0" w:color="auto"/>
        <w:right w:val="none" w:sz="0" w:space="0" w:color="auto"/>
      </w:divBdr>
    </w:div>
    <w:div w:id="534083822">
      <w:bodyDiv w:val="1"/>
      <w:marLeft w:val="0"/>
      <w:marRight w:val="0"/>
      <w:marTop w:val="0"/>
      <w:marBottom w:val="0"/>
      <w:divBdr>
        <w:top w:val="none" w:sz="0" w:space="0" w:color="auto"/>
        <w:left w:val="none" w:sz="0" w:space="0" w:color="auto"/>
        <w:bottom w:val="none" w:sz="0" w:space="0" w:color="auto"/>
        <w:right w:val="none" w:sz="0" w:space="0" w:color="auto"/>
      </w:divBdr>
    </w:div>
    <w:div w:id="543755950">
      <w:bodyDiv w:val="1"/>
      <w:marLeft w:val="0"/>
      <w:marRight w:val="0"/>
      <w:marTop w:val="0"/>
      <w:marBottom w:val="0"/>
      <w:divBdr>
        <w:top w:val="none" w:sz="0" w:space="0" w:color="auto"/>
        <w:left w:val="none" w:sz="0" w:space="0" w:color="auto"/>
        <w:bottom w:val="none" w:sz="0" w:space="0" w:color="auto"/>
        <w:right w:val="none" w:sz="0" w:space="0" w:color="auto"/>
      </w:divBdr>
    </w:div>
    <w:div w:id="554581576">
      <w:bodyDiv w:val="1"/>
      <w:marLeft w:val="0"/>
      <w:marRight w:val="0"/>
      <w:marTop w:val="0"/>
      <w:marBottom w:val="0"/>
      <w:divBdr>
        <w:top w:val="none" w:sz="0" w:space="0" w:color="auto"/>
        <w:left w:val="none" w:sz="0" w:space="0" w:color="auto"/>
        <w:bottom w:val="none" w:sz="0" w:space="0" w:color="auto"/>
        <w:right w:val="none" w:sz="0" w:space="0" w:color="auto"/>
      </w:divBdr>
    </w:div>
    <w:div w:id="557672174">
      <w:bodyDiv w:val="1"/>
      <w:marLeft w:val="0"/>
      <w:marRight w:val="0"/>
      <w:marTop w:val="0"/>
      <w:marBottom w:val="0"/>
      <w:divBdr>
        <w:top w:val="none" w:sz="0" w:space="0" w:color="auto"/>
        <w:left w:val="none" w:sz="0" w:space="0" w:color="auto"/>
        <w:bottom w:val="none" w:sz="0" w:space="0" w:color="auto"/>
        <w:right w:val="none" w:sz="0" w:space="0" w:color="auto"/>
      </w:divBdr>
    </w:div>
    <w:div w:id="564536007">
      <w:bodyDiv w:val="1"/>
      <w:marLeft w:val="0"/>
      <w:marRight w:val="0"/>
      <w:marTop w:val="0"/>
      <w:marBottom w:val="0"/>
      <w:divBdr>
        <w:top w:val="none" w:sz="0" w:space="0" w:color="auto"/>
        <w:left w:val="none" w:sz="0" w:space="0" w:color="auto"/>
        <w:bottom w:val="none" w:sz="0" w:space="0" w:color="auto"/>
        <w:right w:val="none" w:sz="0" w:space="0" w:color="auto"/>
      </w:divBdr>
    </w:div>
    <w:div w:id="610211937">
      <w:bodyDiv w:val="1"/>
      <w:marLeft w:val="0"/>
      <w:marRight w:val="0"/>
      <w:marTop w:val="0"/>
      <w:marBottom w:val="0"/>
      <w:divBdr>
        <w:top w:val="none" w:sz="0" w:space="0" w:color="auto"/>
        <w:left w:val="none" w:sz="0" w:space="0" w:color="auto"/>
        <w:bottom w:val="none" w:sz="0" w:space="0" w:color="auto"/>
        <w:right w:val="none" w:sz="0" w:space="0" w:color="auto"/>
      </w:divBdr>
    </w:div>
    <w:div w:id="612369252">
      <w:bodyDiv w:val="1"/>
      <w:marLeft w:val="0"/>
      <w:marRight w:val="0"/>
      <w:marTop w:val="0"/>
      <w:marBottom w:val="0"/>
      <w:divBdr>
        <w:top w:val="none" w:sz="0" w:space="0" w:color="auto"/>
        <w:left w:val="none" w:sz="0" w:space="0" w:color="auto"/>
        <w:bottom w:val="none" w:sz="0" w:space="0" w:color="auto"/>
        <w:right w:val="none" w:sz="0" w:space="0" w:color="auto"/>
      </w:divBdr>
    </w:div>
    <w:div w:id="620234256">
      <w:bodyDiv w:val="1"/>
      <w:marLeft w:val="0"/>
      <w:marRight w:val="0"/>
      <w:marTop w:val="0"/>
      <w:marBottom w:val="0"/>
      <w:divBdr>
        <w:top w:val="none" w:sz="0" w:space="0" w:color="auto"/>
        <w:left w:val="none" w:sz="0" w:space="0" w:color="auto"/>
        <w:bottom w:val="none" w:sz="0" w:space="0" w:color="auto"/>
        <w:right w:val="none" w:sz="0" w:space="0" w:color="auto"/>
      </w:divBdr>
    </w:div>
    <w:div w:id="624777189">
      <w:bodyDiv w:val="1"/>
      <w:marLeft w:val="0"/>
      <w:marRight w:val="0"/>
      <w:marTop w:val="0"/>
      <w:marBottom w:val="0"/>
      <w:divBdr>
        <w:top w:val="none" w:sz="0" w:space="0" w:color="auto"/>
        <w:left w:val="none" w:sz="0" w:space="0" w:color="auto"/>
        <w:bottom w:val="none" w:sz="0" w:space="0" w:color="auto"/>
        <w:right w:val="none" w:sz="0" w:space="0" w:color="auto"/>
      </w:divBdr>
    </w:div>
    <w:div w:id="692078828">
      <w:bodyDiv w:val="1"/>
      <w:marLeft w:val="0"/>
      <w:marRight w:val="0"/>
      <w:marTop w:val="0"/>
      <w:marBottom w:val="0"/>
      <w:divBdr>
        <w:top w:val="none" w:sz="0" w:space="0" w:color="auto"/>
        <w:left w:val="none" w:sz="0" w:space="0" w:color="auto"/>
        <w:bottom w:val="none" w:sz="0" w:space="0" w:color="auto"/>
        <w:right w:val="none" w:sz="0" w:space="0" w:color="auto"/>
      </w:divBdr>
    </w:div>
    <w:div w:id="730275370">
      <w:bodyDiv w:val="1"/>
      <w:marLeft w:val="0"/>
      <w:marRight w:val="0"/>
      <w:marTop w:val="0"/>
      <w:marBottom w:val="0"/>
      <w:divBdr>
        <w:top w:val="none" w:sz="0" w:space="0" w:color="auto"/>
        <w:left w:val="none" w:sz="0" w:space="0" w:color="auto"/>
        <w:bottom w:val="none" w:sz="0" w:space="0" w:color="auto"/>
        <w:right w:val="none" w:sz="0" w:space="0" w:color="auto"/>
      </w:divBdr>
    </w:div>
    <w:div w:id="731542893">
      <w:bodyDiv w:val="1"/>
      <w:marLeft w:val="0"/>
      <w:marRight w:val="0"/>
      <w:marTop w:val="0"/>
      <w:marBottom w:val="0"/>
      <w:divBdr>
        <w:top w:val="none" w:sz="0" w:space="0" w:color="auto"/>
        <w:left w:val="none" w:sz="0" w:space="0" w:color="auto"/>
        <w:bottom w:val="none" w:sz="0" w:space="0" w:color="auto"/>
        <w:right w:val="none" w:sz="0" w:space="0" w:color="auto"/>
      </w:divBdr>
    </w:div>
    <w:div w:id="747925850">
      <w:bodyDiv w:val="1"/>
      <w:marLeft w:val="0"/>
      <w:marRight w:val="0"/>
      <w:marTop w:val="0"/>
      <w:marBottom w:val="0"/>
      <w:divBdr>
        <w:top w:val="none" w:sz="0" w:space="0" w:color="auto"/>
        <w:left w:val="none" w:sz="0" w:space="0" w:color="auto"/>
        <w:bottom w:val="none" w:sz="0" w:space="0" w:color="auto"/>
        <w:right w:val="none" w:sz="0" w:space="0" w:color="auto"/>
      </w:divBdr>
    </w:div>
    <w:div w:id="753165731">
      <w:bodyDiv w:val="1"/>
      <w:marLeft w:val="0"/>
      <w:marRight w:val="0"/>
      <w:marTop w:val="0"/>
      <w:marBottom w:val="0"/>
      <w:divBdr>
        <w:top w:val="none" w:sz="0" w:space="0" w:color="auto"/>
        <w:left w:val="none" w:sz="0" w:space="0" w:color="auto"/>
        <w:bottom w:val="none" w:sz="0" w:space="0" w:color="auto"/>
        <w:right w:val="none" w:sz="0" w:space="0" w:color="auto"/>
      </w:divBdr>
    </w:div>
    <w:div w:id="757867303">
      <w:bodyDiv w:val="1"/>
      <w:marLeft w:val="0"/>
      <w:marRight w:val="0"/>
      <w:marTop w:val="0"/>
      <w:marBottom w:val="0"/>
      <w:divBdr>
        <w:top w:val="none" w:sz="0" w:space="0" w:color="auto"/>
        <w:left w:val="none" w:sz="0" w:space="0" w:color="auto"/>
        <w:bottom w:val="none" w:sz="0" w:space="0" w:color="auto"/>
        <w:right w:val="none" w:sz="0" w:space="0" w:color="auto"/>
      </w:divBdr>
    </w:div>
    <w:div w:id="783155896">
      <w:bodyDiv w:val="1"/>
      <w:marLeft w:val="0"/>
      <w:marRight w:val="0"/>
      <w:marTop w:val="0"/>
      <w:marBottom w:val="0"/>
      <w:divBdr>
        <w:top w:val="none" w:sz="0" w:space="0" w:color="auto"/>
        <w:left w:val="none" w:sz="0" w:space="0" w:color="auto"/>
        <w:bottom w:val="none" w:sz="0" w:space="0" w:color="auto"/>
        <w:right w:val="none" w:sz="0" w:space="0" w:color="auto"/>
      </w:divBdr>
    </w:div>
    <w:div w:id="786390452">
      <w:bodyDiv w:val="1"/>
      <w:marLeft w:val="0"/>
      <w:marRight w:val="0"/>
      <w:marTop w:val="0"/>
      <w:marBottom w:val="0"/>
      <w:divBdr>
        <w:top w:val="none" w:sz="0" w:space="0" w:color="auto"/>
        <w:left w:val="none" w:sz="0" w:space="0" w:color="auto"/>
        <w:bottom w:val="none" w:sz="0" w:space="0" w:color="auto"/>
        <w:right w:val="none" w:sz="0" w:space="0" w:color="auto"/>
      </w:divBdr>
    </w:div>
    <w:div w:id="816726481">
      <w:bodyDiv w:val="1"/>
      <w:marLeft w:val="0"/>
      <w:marRight w:val="0"/>
      <w:marTop w:val="0"/>
      <w:marBottom w:val="0"/>
      <w:divBdr>
        <w:top w:val="none" w:sz="0" w:space="0" w:color="auto"/>
        <w:left w:val="none" w:sz="0" w:space="0" w:color="auto"/>
        <w:bottom w:val="none" w:sz="0" w:space="0" w:color="auto"/>
        <w:right w:val="none" w:sz="0" w:space="0" w:color="auto"/>
      </w:divBdr>
    </w:div>
    <w:div w:id="835271360">
      <w:bodyDiv w:val="1"/>
      <w:marLeft w:val="0"/>
      <w:marRight w:val="0"/>
      <w:marTop w:val="0"/>
      <w:marBottom w:val="0"/>
      <w:divBdr>
        <w:top w:val="none" w:sz="0" w:space="0" w:color="auto"/>
        <w:left w:val="none" w:sz="0" w:space="0" w:color="auto"/>
        <w:bottom w:val="none" w:sz="0" w:space="0" w:color="auto"/>
        <w:right w:val="none" w:sz="0" w:space="0" w:color="auto"/>
      </w:divBdr>
    </w:div>
    <w:div w:id="836649384">
      <w:bodyDiv w:val="1"/>
      <w:marLeft w:val="0"/>
      <w:marRight w:val="0"/>
      <w:marTop w:val="0"/>
      <w:marBottom w:val="0"/>
      <w:divBdr>
        <w:top w:val="none" w:sz="0" w:space="0" w:color="auto"/>
        <w:left w:val="none" w:sz="0" w:space="0" w:color="auto"/>
        <w:bottom w:val="none" w:sz="0" w:space="0" w:color="auto"/>
        <w:right w:val="none" w:sz="0" w:space="0" w:color="auto"/>
      </w:divBdr>
    </w:div>
    <w:div w:id="882323511">
      <w:bodyDiv w:val="1"/>
      <w:marLeft w:val="0"/>
      <w:marRight w:val="0"/>
      <w:marTop w:val="0"/>
      <w:marBottom w:val="0"/>
      <w:divBdr>
        <w:top w:val="none" w:sz="0" w:space="0" w:color="auto"/>
        <w:left w:val="none" w:sz="0" w:space="0" w:color="auto"/>
        <w:bottom w:val="none" w:sz="0" w:space="0" w:color="auto"/>
        <w:right w:val="none" w:sz="0" w:space="0" w:color="auto"/>
      </w:divBdr>
    </w:div>
    <w:div w:id="883447121">
      <w:bodyDiv w:val="1"/>
      <w:marLeft w:val="0"/>
      <w:marRight w:val="0"/>
      <w:marTop w:val="0"/>
      <w:marBottom w:val="0"/>
      <w:divBdr>
        <w:top w:val="none" w:sz="0" w:space="0" w:color="auto"/>
        <w:left w:val="none" w:sz="0" w:space="0" w:color="auto"/>
        <w:bottom w:val="none" w:sz="0" w:space="0" w:color="auto"/>
        <w:right w:val="none" w:sz="0" w:space="0" w:color="auto"/>
      </w:divBdr>
    </w:div>
    <w:div w:id="892931527">
      <w:bodyDiv w:val="1"/>
      <w:marLeft w:val="0"/>
      <w:marRight w:val="0"/>
      <w:marTop w:val="0"/>
      <w:marBottom w:val="0"/>
      <w:divBdr>
        <w:top w:val="none" w:sz="0" w:space="0" w:color="auto"/>
        <w:left w:val="none" w:sz="0" w:space="0" w:color="auto"/>
        <w:bottom w:val="none" w:sz="0" w:space="0" w:color="auto"/>
        <w:right w:val="none" w:sz="0" w:space="0" w:color="auto"/>
      </w:divBdr>
    </w:div>
    <w:div w:id="899679740">
      <w:bodyDiv w:val="1"/>
      <w:marLeft w:val="0"/>
      <w:marRight w:val="0"/>
      <w:marTop w:val="0"/>
      <w:marBottom w:val="0"/>
      <w:divBdr>
        <w:top w:val="none" w:sz="0" w:space="0" w:color="auto"/>
        <w:left w:val="none" w:sz="0" w:space="0" w:color="auto"/>
        <w:bottom w:val="none" w:sz="0" w:space="0" w:color="auto"/>
        <w:right w:val="none" w:sz="0" w:space="0" w:color="auto"/>
      </w:divBdr>
    </w:div>
    <w:div w:id="950169861">
      <w:bodyDiv w:val="1"/>
      <w:marLeft w:val="0"/>
      <w:marRight w:val="0"/>
      <w:marTop w:val="0"/>
      <w:marBottom w:val="0"/>
      <w:divBdr>
        <w:top w:val="none" w:sz="0" w:space="0" w:color="auto"/>
        <w:left w:val="none" w:sz="0" w:space="0" w:color="auto"/>
        <w:bottom w:val="none" w:sz="0" w:space="0" w:color="auto"/>
        <w:right w:val="none" w:sz="0" w:space="0" w:color="auto"/>
      </w:divBdr>
    </w:div>
    <w:div w:id="1016885352">
      <w:bodyDiv w:val="1"/>
      <w:marLeft w:val="0"/>
      <w:marRight w:val="0"/>
      <w:marTop w:val="0"/>
      <w:marBottom w:val="0"/>
      <w:divBdr>
        <w:top w:val="none" w:sz="0" w:space="0" w:color="auto"/>
        <w:left w:val="none" w:sz="0" w:space="0" w:color="auto"/>
        <w:bottom w:val="none" w:sz="0" w:space="0" w:color="auto"/>
        <w:right w:val="none" w:sz="0" w:space="0" w:color="auto"/>
      </w:divBdr>
    </w:div>
    <w:div w:id="1030490511">
      <w:bodyDiv w:val="1"/>
      <w:marLeft w:val="0"/>
      <w:marRight w:val="0"/>
      <w:marTop w:val="0"/>
      <w:marBottom w:val="0"/>
      <w:divBdr>
        <w:top w:val="none" w:sz="0" w:space="0" w:color="auto"/>
        <w:left w:val="none" w:sz="0" w:space="0" w:color="auto"/>
        <w:bottom w:val="none" w:sz="0" w:space="0" w:color="auto"/>
        <w:right w:val="none" w:sz="0" w:space="0" w:color="auto"/>
      </w:divBdr>
    </w:div>
    <w:div w:id="1096370119">
      <w:bodyDiv w:val="1"/>
      <w:marLeft w:val="0"/>
      <w:marRight w:val="0"/>
      <w:marTop w:val="0"/>
      <w:marBottom w:val="0"/>
      <w:divBdr>
        <w:top w:val="none" w:sz="0" w:space="0" w:color="auto"/>
        <w:left w:val="none" w:sz="0" w:space="0" w:color="auto"/>
        <w:bottom w:val="none" w:sz="0" w:space="0" w:color="auto"/>
        <w:right w:val="none" w:sz="0" w:space="0" w:color="auto"/>
      </w:divBdr>
    </w:div>
    <w:div w:id="1121460521">
      <w:bodyDiv w:val="1"/>
      <w:marLeft w:val="0"/>
      <w:marRight w:val="0"/>
      <w:marTop w:val="0"/>
      <w:marBottom w:val="0"/>
      <w:divBdr>
        <w:top w:val="none" w:sz="0" w:space="0" w:color="auto"/>
        <w:left w:val="none" w:sz="0" w:space="0" w:color="auto"/>
        <w:bottom w:val="none" w:sz="0" w:space="0" w:color="auto"/>
        <w:right w:val="none" w:sz="0" w:space="0" w:color="auto"/>
      </w:divBdr>
    </w:div>
    <w:div w:id="1148395667">
      <w:bodyDiv w:val="1"/>
      <w:marLeft w:val="0"/>
      <w:marRight w:val="0"/>
      <w:marTop w:val="0"/>
      <w:marBottom w:val="0"/>
      <w:divBdr>
        <w:top w:val="none" w:sz="0" w:space="0" w:color="auto"/>
        <w:left w:val="none" w:sz="0" w:space="0" w:color="auto"/>
        <w:bottom w:val="none" w:sz="0" w:space="0" w:color="auto"/>
        <w:right w:val="none" w:sz="0" w:space="0" w:color="auto"/>
      </w:divBdr>
    </w:div>
    <w:div w:id="1189565053">
      <w:bodyDiv w:val="1"/>
      <w:marLeft w:val="0"/>
      <w:marRight w:val="0"/>
      <w:marTop w:val="0"/>
      <w:marBottom w:val="0"/>
      <w:divBdr>
        <w:top w:val="none" w:sz="0" w:space="0" w:color="auto"/>
        <w:left w:val="none" w:sz="0" w:space="0" w:color="auto"/>
        <w:bottom w:val="none" w:sz="0" w:space="0" w:color="auto"/>
        <w:right w:val="none" w:sz="0" w:space="0" w:color="auto"/>
      </w:divBdr>
    </w:div>
    <w:div w:id="1190601330">
      <w:bodyDiv w:val="1"/>
      <w:marLeft w:val="0"/>
      <w:marRight w:val="0"/>
      <w:marTop w:val="0"/>
      <w:marBottom w:val="0"/>
      <w:divBdr>
        <w:top w:val="none" w:sz="0" w:space="0" w:color="auto"/>
        <w:left w:val="none" w:sz="0" w:space="0" w:color="auto"/>
        <w:bottom w:val="none" w:sz="0" w:space="0" w:color="auto"/>
        <w:right w:val="none" w:sz="0" w:space="0" w:color="auto"/>
      </w:divBdr>
    </w:div>
    <w:div w:id="1251114398">
      <w:bodyDiv w:val="1"/>
      <w:marLeft w:val="0"/>
      <w:marRight w:val="0"/>
      <w:marTop w:val="0"/>
      <w:marBottom w:val="0"/>
      <w:divBdr>
        <w:top w:val="none" w:sz="0" w:space="0" w:color="auto"/>
        <w:left w:val="none" w:sz="0" w:space="0" w:color="auto"/>
        <w:bottom w:val="none" w:sz="0" w:space="0" w:color="auto"/>
        <w:right w:val="none" w:sz="0" w:space="0" w:color="auto"/>
      </w:divBdr>
    </w:div>
    <w:div w:id="1271889062">
      <w:bodyDiv w:val="1"/>
      <w:marLeft w:val="0"/>
      <w:marRight w:val="0"/>
      <w:marTop w:val="0"/>
      <w:marBottom w:val="0"/>
      <w:divBdr>
        <w:top w:val="none" w:sz="0" w:space="0" w:color="auto"/>
        <w:left w:val="none" w:sz="0" w:space="0" w:color="auto"/>
        <w:bottom w:val="none" w:sz="0" w:space="0" w:color="auto"/>
        <w:right w:val="none" w:sz="0" w:space="0" w:color="auto"/>
      </w:divBdr>
    </w:div>
    <w:div w:id="1296912655">
      <w:bodyDiv w:val="1"/>
      <w:marLeft w:val="0"/>
      <w:marRight w:val="0"/>
      <w:marTop w:val="0"/>
      <w:marBottom w:val="0"/>
      <w:divBdr>
        <w:top w:val="none" w:sz="0" w:space="0" w:color="auto"/>
        <w:left w:val="none" w:sz="0" w:space="0" w:color="auto"/>
        <w:bottom w:val="none" w:sz="0" w:space="0" w:color="auto"/>
        <w:right w:val="none" w:sz="0" w:space="0" w:color="auto"/>
      </w:divBdr>
    </w:div>
    <w:div w:id="1345936912">
      <w:bodyDiv w:val="1"/>
      <w:marLeft w:val="0"/>
      <w:marRight w:val="0"/>
      <w:marTop w:val="0"/>
      <w:marBottom w:val="0"/>
      <w:divBdr>
        <w:top w:val="none" w:sz="0" w:space="0" w:color="auto"/>
        <w:left w:val="none" w:sz="0" w:space="0" w:color="auto"/>
        <w:bottom w:val="none" w:sz="0" w:space="0" w:color="auto"/>
        <w:right w:val="none" w:sz="0" w:space="0" w:color="auto"/>
      </w:divBdr>
    </w:div>
    <w:div w:id="1388917291">
      <w:bodyDiv w:val="1"/>
      <w:marLeft w:val="0"/>
      <w:marRight w:val="0"/>
      <w:marTop w:val="0"/>
      <w:marBottom w:val="0"/>
      <w:divBdr>
        <w:top w:val="none" w:sz="0" w:space="0" w:color="auto"/>
        <w:left w:val="none" w:sz="0" w:space="0" w:color="auto"/>
        <w:bottom w:val="none" w:sz="0" w:space="0" w:color="auto"/>
        <w:right w:val="none" w:sz="0" w:space="0" w:color="auto"/>
      </w:divBdr>
    </w:div>
    <w:div w:id="1444962947">
      <w:bodyDiv w:val="1"/>
      <w:marLeft w:val="0"/>
      <w:marRight w:val="0"/>
      <w:marTop w:val="0"/>
      <w:marBottom w:val="0"/>
      <w:divBdr>
        <w:top w:val="none" w:sz="0" w:space="0" w:color="auto"/>
        <w:left w:val="none" w:sz="0" w:space="0" w:color="auto"/>
        <w:bottom w:val="none" w:sz="0" w:space="0" w:color="auto"/>
        <w:right w:val="none" w:sz="0" w:space="0" w:color="auto"/>
      </w:divBdr>
    </w:div>
    <w:div w:id="1460732455">
      <w:bodyDiv w:val="1"/>
      <w:marLeft w:val="0"/>
      <w:marRight w:val="0"/>
      <w:marTop w:val="0"/>
      <w:marBottom w:val="0"/>
      <w:divBdr>
        <w:top w:val="none" w:sz="0" w:space="0" w:color="auto"/>
        <w:left w:val="none" w:sz="0" w:space="0" w:color="auto"/>
        <w:bottom w:val="none" w:sz="0" w:space="0" w:color="auto"/>
        <w:right w:val="none" w:sz="0" w:space="0" w:color="auto"/>
      </w:divBdr>
    </w:div>
    <w:div w:id="1470778366">
      <w:bodyDiv w:val="1"/>
      <w:marLeft w:val="0"/>
      <w:marRight w:val="0"/>
      <w:marTop w:val="0"/>
      <w:marBottom w:val="0"/>
      <w:divBdr>
        <w:top w:val="none" w:sz="0" w:space="0" w:color="auto"/>
        <w:left w:val="none" w:sz="0" w:space="0" w:color="auto"/>
        <w:bottom w:val="none" w:sz="0" w:space="0" w:color="auto"/>
        <w:right w:val="none" w:sz="0" w:space="0" w:color="auto"/>
      </w:divBdr>
    </w:div>
    <w:div w:id="1471248742">
      <w:bodyDiv w:val="1"/>
      <w:marLeft w:val="0"/>
      <w:marRight w:val="0"/>
      <w:marTop w:val="0"/>
      <w:marBottom w:val="0"/>
      <w:divBdr>
        <w:top w:val="none" w:sz="0" w:space="0" w:color="auto"/>
        <w:left w:val="none" w:sz="0" w:space="0" w:color="auto"/>
        <w:bottom w:val="none" w:sz="0" w:space="0" w:color="auto"/>
        <w:right w:val="none" w:sz="0" w:space="0" w:color="auto"/>
      </w:divBdr>
    </w:div>
    <w:div w:id="1507014096">
      <w:bodyDiv w:val="1"/>
      <w:marLeft w:val="0"/>
      <w:marRight w:val="0"/>
      <w:marTop w:val="0"/>
      <w:marBottom w:val="0"/>
      <w:divBdr>
        <w:top w:val="none" w:sz="0" w:space="0" w:color="auto"/>
        <w:left w:val="none" w:sz="0" w:space="0" w:color="auto"/>
        <w:bottom w:val="none" w:sz="0" w:space="0" w:color="auto"/>
        <w:right w:val="none" w:sz="0" w:space="0" w:color="auto"/>
      </w:divBdr>
    </w:div>
    <w:div w:id="1579248263">
      <w:bodyDiv w:val="1"/>
      <w:marLeft w:val="0"/>
      <w:marRight w:val="0"/>
      <w:marTop w:val="0"/>
      <w:marBottom w:val="0"/>
      <w:divBdr>
        <w:top w:val="none" w:sz="0" w:space="0" w:color="auto"/>
        <w:left w:val="none" w:sz="0" w:space="0" w:color="auto"/>
        <w:bottom w:val="none" w:sz="0" w:space="0" w:color="auto"/>
        <w:right w:val="none" w:sz="0" w:space="0" w:color="auto"/>
      </w:divBdr>
    </w:div>
    <w:div w:id="1599288164">
      <w:bodyDiv w:val="1"/>
      <w:marLeft w:val="0"/>
      <w:marRight w:val="0"/>
      <w:marTop w:val="0"/>
      <w:marBottom w:val="0"/>
      <w:divBdr>
        <w:top w:val="none" w:sz="0" w:space="0" w:color="auto"/>
        <w:left w:val="none" w:sz="0" w:space="0" w:color="auto"/>
        <w:bottom w:val="none" w:sz="0" w:space="0" w:color="auto"/>
        <w:right w:val="none" w:sz="0" w:space="0" w:color="auto"/>
      </w:divBdr>
    </w:div>
    <w:div w:id="1614171221">
      <w:bodyDiv w:val="1"/>
      <w:marLeft w:val="0"/>
      <w:marRight w:val="0"/>
      <w:marTop w:val="0"/>
      <w:marBottom w:val="0"/>
      <w:divBdr>
        <w:top w:val="none" w:sz="0" w:space="0" w:color="auto"/>
        <w:left w:val="none" w:sz="0" w:space="0" w:color="auto"/>
        <w:bottom w:val="none" w:sz="0" w:space="0" w:color="auto"/>
        <w:right w:val="none" w:sz="0" w:space="0" w:color="auto"/>
      </w:divBdr>
    </w:div>
    <w:div w:id="1622690514">
      <w:bodyDiv w:val="1"/>
      <w:marLeft w:val="0"/>
      <w:marRight w:val="0"/>
      <w:marTop w:val="0"/>
      <w:marBottom w:val="0"/>
      <w:divBdr>
        <w:top w:val="none" w:sz="0" w:space="0" w:color="auto"/>
        <w:left w:val="none" w:sz="0" w:space="0" w:color="auto"/>
        <w:bottom w:val="none" w:sz="0" w:space="0" w:color="auto"/>
        <w:right w:val="none" w:sz="0" w:space="0" w:color="auto"/>
      </w:divBdr>
    </w:div>
    <w:div w:id="1654984811">
      <w:bodyDiv w:val="1"/>
      <w:marLeft w:val="0"/>
      <w:marRight w:val="0"/>
      <w:marTop w:val="0"/>
      <w:marBottom w:val="0"/>
      <w:divBdr>
        <w:top w:val="none" w:sz="0" w:space="0" w:color="auto"/>
        <w:left w:val="none" w:sz="0" w:space="0" w:color="auto"/>
        <w:bottom w:val="none" w:sz="0" w:space="0" w:color="auto"/>
        <w:right w:val="none" w:sz="0" w:space="0" w:color="auto"/>
      </w:divBdr>
    </w:div>
    <w:div w:id="1664970438">
      <w:bodyDiv w:val="1"/>
      <w:marLeft w:val="0"/>
      <w:marRight w:val="0"/>
      <w:marTop w:val="0"/>
      <w:marBottom w:val="0"/>
      <w:divBdr>
        <w:top w:val="none" w:sz="0" w:space="0" w:color="auto"/>
        <w:left w:val="none" w:sz="0" w:space="0" w:color="auto"/>
        <w:bottom w:val="none" w:sz="0" w:space="0" w:color="auto"/>
        <w:right w:val="none" w:sz="0" w:space="0" w:color="auto"/>
      </w:divBdr>
    </w:div>
    <w:div w:id="1683162234">
      <w:bodyDiv w:val="1"/>
      <w:marLeft w:val="0"/>
      <w:marRight w:val="0"/>
      <w:marTop w:val="0"/>
      <w:marBottom w:val="0"/>
      <w:divBdr>
        <w:top w:val="none" w:sz="0" w:space="0" w:color="auto"/>
        <w:left w:val="none" w:sz="0" w:space="0" w:color="auto"/>
        <w:bottom w:val="none" w:sz="0" w:space="0" w:color="auto"/>
        <w:right w:val="none" w:sz="0" w:space="0" w:color="auto"/>
      </w:divBdr>
    </w:div>
    <w:div w:id="1698654788">
      <w:bodyDiv w:val="1"/>
      <w:marLeft w:val="0"/>
      <w:marRight w:val="0"/>
      <w:marTop w:val="0"/>
      <w:marBottom w:val="0"/>
      <w:divBdr>
        <w:top w:val="none" w:sz="0" w:space="0" w:color="auto"/>
        <w:left w:val="none" w:sz="0" w:space="0" w:color="auto"/>
        <w:bottom w:val="none" w:sz="0" w:space="0" w:color="auto"/>
        <w:right w:val="none" w:sz="0" w:space="0" w:color="auto"/>
      </w:divBdr>
    </w:div>
    <w:div w:id="1712265593">
      <w:bodyDiv w:val="1"/>
      <w:marLeft w:val="0"/>
      <w:marRight w:val="0"/>
      <w:marTop w:val="0"/>
      <w:marBottom w:val="0"/>
      <w:divBdr>
        <w:top w:val="none" w:sz="0" w:space="0" w:color="auto"/>
        <w:left w:val="none" w:sz="0" w:space="0" w:color="auto"/>
        <w:bottom w:val="none" w:sz="0" w:space="0" w:color="auto"/>
        <w:right w:val="none" w:sz="0" w:space="0" w:color="auto"/>
      </w:divBdr>
    </w:div>
    <w:div w:id="1712654606">
      <w:bodyDiv w:val="1"/>
      <w:marLeft w:val="0"/>
      <w:marRight w:val="0"/>
      <w:marTop w:val="0"/>
      <w:marBottom w:val="0"/>
      <w:divBdr>
        <w:top w:val="none" w:sz="0" w:space="0" w:color="auto"/>
        <w:left w:val="none" w:sz="0" w:space="0" w:color="auto"/>
        <w:bottom w:val="none" w:sz="0" w:space="0" w:color="auto"/>
        <w:right w:val="none" w:sz="0" w:space="0" w:color="auto"/>
      </w:divBdr>
    </w:div>
    <w:div w:id="1751389761">
      <w:bodyDiv w:val="1"/>
      <w:marLeft w:val="0"/>
      <w:marRight w:val="0"/>
      <w:marTop w:val="0"/>
      <w:marBottom w:val="0"/>
      <w:divBdr>
        <w:top w:val="none" w:sz="0" w:space="0" w:color="auto"/>
        <w:left w:val="none" w:sz="0" w:space="0" w:color="auto"/>
        <w:bottom w:val="none" w:sz="0" w:space="0" w:color="auto"/>
        <w:right w:val="none" w:sz="0" w:space="0" w:color="auto"/>
      </w:divBdr>
    </w:div>
    <w:div w:id="1847203982">
      <w:bodyDiv w:val="1"/>
      <w:marLeft w:val="0"/>
      <w:marRight w:val="0"/>
      <w:marTop w:val="0"/>
      <w:marBottom w:val="0"/>
      <w:divBdr>
        <w:top w:val="none" w:sz="0" w:space="0" w:color="auto"/>
        <w:left w:val="none" w:sz="0" w:space="0" w:color="auto"/>
        <w:bottom w:val="none" w:sz="0" w:space="0" w:color="auto"/>
        <w:right w:val="none" w:sz="0" w:space="0" w:color="auto"/>
      </w:divBdr>
    </w:div>
    <w:div w:id="1917739607">
      <w:bodyDiv w:val="1"/>
      <w:marLeft w:val="0"/>
      <w:marRight w:val="0"/>
      <w:marTop w:val="0"/>
      <w:marBottom w:val="0"/>
      <w:divBdr>
        <w:top w:val="none" w:sz="0" w:space="0" w:color="auto"/>
        <w:left w:val="none" w:sz="0" w:space="0" w:color="auto"/>
        <w:bottom w:val="none" w:sz="0" w:space="0" w:color="auto"/>
        <w:right w:val="none" w:sz="0" w:space="0" w:color="auto"/>
      </w:divBdr>
    </w:div>
    <w:div w:id="1935818904">
      <w:bodyDiv w:val="1"/>
      <w:marLeft w:val="0"/>
      <w:marRight w:val="0"/>
      <w:marTop w:val="0"/>
      <w:marBottom w:val="0"/>
      <w:divBdr>
        <w:top w:val="none" w:sz="0" w:space="0" w:color="auto"/>
        <w:left w:val="none" w:sz="0" w:space="0" w:color="auto"/>
        <w:bottom w:val="none" w:sz="0" w:space="0" w:color="auto"/>
        <w:right w:val="none" w:sz="0" w:space="0" w:color="auto"/>
      </w:divBdr>
    </w:div>
    <w:div w:id="1945842739">
      <w:bodyDiv w:val="1"/>
      <w:marLeft w:val="0"/>
      <w:marRight w:val="0"/>
      <w:marTop w:val="0"/>
      <w:marBottom w:val="0"/>
      <w:divBdr>
        <w:top w:val="none" w:sz="0" w:space="0" w:color="auto"/>
        <w:left w:val="none" w:sz="0" w:space="0" w:color="auto"/>
        <w:bottom w:val="none" w:sz="0" w:space="0" w:color="auto"/>
        <w:right w:val="none" w:sz="0" w:space="0" w:color="auto"/>
      </w:divBdr>
    </w:div>
    <w:div w:id="1951887621">
      <w:bodyDiv w:val="1"/>
      <w:marLeft w:val="0"/>
      <w:marRight w:val="0"/>
      <w:marTop w:val="0"/>
      <w:marBottom w:val="0"/>
      <w:divBdr>
        <w:top w:val="none" w:sz="0" w:space="0" w:color="auto"/>
        <w:left w:val="none" w:sz="0" w:space="0" w:color="auto"/>
        <w:bottom w:val="none" w:sz="0" w:space="0" w:color="auto"/>
        <w:right w:val="none" w:sz="0" w:space="0" w:color="auto"/>
      </w:divBdr>
    </w:div>
    <w:div w:id="1984843536">
      <w:bodyDiv w:val="1"/>
      <w:marLeft w:val="0"/>
      <w:marRight w:val="0"/>
      <w:marTop w:val="0"/>
      <w:marBottom w:val="0"/>
      <w:divBdr>
        <w:top w:val="none" w:sz="0" w:space="0" w:color="auto"/>
        <w:left w:val="none" w:sz="0" w:space="0" w:color="auto"/>
        <w:bottom w:val="none" w:sz="0" w:space="0" w:color="auto"/>
        <w:right w:val="none" w:sz="0" w:space="0" w:color="auto"/>
      </w:divBdr>
    </w:div>
    <w:div w:id="1991859988">
      <w:bodyDiv w:val="1"/>
      <w:marLeft w:val="0"/>
      <w:marRight w:val="0"/>
      <w:marTop w:val="0"/>
      <w:marBottom w:val="0"/>
      <w:divBdr>
        <w:top w:val="none" w:sz="0" w:space="0" w:color="auto"/>
        <w:left w:val="none" w:sz="0" w:space="0" w:color="auto"/>
        <w:bottom w:val="none" w:sz="0" w:space="0" w:color="auto"/>
        <w:right w:val="none" w:sz="0" w:space="0" w:color="auto"/>
      </w:divBdr>
    </w:div>
    <w:div w:id="2012222131">
      <w:bodyDiv w:val="1"/>
      <w:marLeft w:val="0"/>
      <w:marRight w:val="0"/>
      <w:marTop w:val="0"/>
      <w:marBottom w:val="0"/>
      <w:divBdr>
        <w:top w:val="none" w:sz="0" w:space="0" w:color="auto"/>
        <w:left w:val="none" w:sz="0" w:space="0" w:color="auto"/>
        <w:bottom w:val="none" w:sz="0" w:space="0" w:color="auto"/>
        <w:right w:val="none" w:sz="0" w:space="0" w:color="auto"/>
      </w:divBdr>
    </w:div>
    <w:div w:id="2019311335">
      <w:bodyDiv w:val="1"/>
      <w:marLeft w:val="0"/>
      <w:marRight w:val="0"/>
      <w:marTop w:val="0"/>
      <w:marBottom w:val="0"/>
      <w:divBdr>
        <w:top w:val="none" w:sz="0" w:space="0" w:color="auto"/>
        <w:left w:val="none" w:sz="0" w:space="0" w:color="auto"/>
        <w:bottom w:val="none" w:sz="0" w:space="0" w:color="auto"/>
        <w:right w:val="none" w:sz="0" w:space="0" w:color="auto"/>
      </w:divBdr>
    </w:div>
    <w:div w:id="2022733993">
      <w:bodyDiv w:val="1"/>
      <w:marLeft w:val="0"/>
      <w:marRight w:val="0"/>
      <w:marTop w:val="0"/>
      <w:marBottom w:val="0"/>
      <w:divBdr>
        <w:top w:val="none" w:sz="0" w:space="0" w:color="auto"/>
        <w:left w:val="none" w:sz="0" w:space="0" w:color="auto"/>
        <w:bottom w:val="none" w:sz="0" w:space="0" w:color="auto"/>
        <w:right w:val="none" w:sz="0" w:space="0" w:color="auto"/>
      </w:divBdr>
    </w:div>
    <w:div w:id="206100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2.xml"/><Relationship Id="rId21" Type="http://schemas.openxmlformats.org/officeDocument/2006/relationships/chart" Target="charts/chart6.xml"/><Relationship Id="rId42" Type="http://schemas.openxmlformats.org/officeDocument/2006/relationships/chart" Target="charts/chart27.xml"/><Relationship Id="rId63" Type="http://schemas.openxmlformats.org/officeDocument/2006/relationships/chart" Target="charts/chart48.xml"/><Relationship Id="rId84" Type="http://schemas.openxmlformats.org/officeDocument/2006/relationships/chart" Target="charts/chart69.xml"/><Relationship Id="rId138" Type="http://schemas.openxmlformats.org/officeDocument/2006/relationships/chart" Target="charts/chart123.xml"/><Relationship Id="rId159" Type="http://schemas.openxmlformats.org/officeDocument/2006/relationships/chart" Target="charts/chart144.xml"/><Relationship Id="rId170" Type="http://schemas.openxmlformats.org/officeDocument/2006/relationships/chart" Target="charts/chart155.xml"/><Relationship Id="rId191" Type="http://schemas.openxmlformats.org/officeDocument/2006/relationships/chart" Target="charts/chart176.xml"/><Relationship Id="rId205" Type="http://schemas.openxmlformats.org/officeDocument/2006/relationships/chart" Target="charts/chart190.xml"/><Relationship Id="rId226" Type="http://schemas.openxmlformats.org/officeDocument/2006/relationships/chart" Target="charts/chart211.xml"/><Relationship Id="rId107" Type="http://schemas.openxmlformats.org/officeDocument/2006/relationships/chart" Target="charts/chart92.xml"/><Relationship Id="rId11" Type="http://schemas.openxmlformats.org/officeDocument/2006/relationships/header" Target="header1.xml"/><Relationship Id="rId32" Type="http://schemas.openxmlformats.org/officeDocument/2006/relationships/chart" Target="charts/chart17.xml"/><Relationship Id="rId53" Type="http://schemas.openxmlformats.org/officeDocument/2006/relationships/chart" Target="charts/chart38.xml"/><Relationship Id="rId74" Type="http://schemas.openxmlformats.org/officeDocument/2006/relationships/chart" Target="charts/chart59.xml"/><Relationship Id="rId128" Type="http://schemas.openxmlformats.org/officeDocument/2006/relationships/chart" Target="charts/chart113.xml"/><Relationship Id="rId149" Type="http://schemas.openxmlformats.org/officeDocument/2006/relationships/chart" Target="charts/chart134.xml"/><Relationship Id="rId5" Type="http://schemas.openxmlformats.org/officeDocument/2006/relationships/webSettings" Target="webSettings.xml"/><Relationship Id="rId95" Type="http://schemas.openxmlformats.org/officeDocument/2006/relationships/chart" Target="charts/chart80.xml"/><Relationship Id="rId160" Type="http://schemas.openxmlformats.org/officeDocument/2006/relationships/chart" Target="charts/chart145.xml"/><Relationship Id="rId181" Type="http://schemas.openxmlformats.org/officeDocument/2006/relationships/chart" Target="charts/chart166.xml"/><Relationship Id="rId216" Type="http://schemas.openxmlformats.org/officeDocument/2006/relationships/chart" Target="charts/chart201.xml"/><Relationship Id="rId22" Type="http://schemas.openxmlformats.org/officeDocument/2006/relationships/chart" Target="charts/chart7.xml"/><Relationship Id="rId43" Type="http://schemas.openxmlformats.org/officeDocument/2006/relationships/chart" Target="charts/chart28.xml"/><Relationship Id="rId64" Type="http://schemas.openxmlformats.org/officeDocument/2006/relationships/chart" Target="charts/chart49.xml"/><Relationship Id="rId118" Type="http://schemas.openxmlformats.org/officeDocument/2006/relationships/chart" Target="charts/chart103.xml"/><Relationship Id="rId139" Type="http://schemas.openxmlformats.org/officeDocument/2006/relationships/chart" Target="charts/chart124.xml"/><Relationship Id="rId80" Type="http://schemas.openxmlformats.org/officeDocument/2006/relationships/chart" Target="charts/chart65.xml"/><Relationship Id="rId85" Type="http://schemas.openxmlformats.org/officeDocument/2006/relationships/chart" Target="charts/chart70.xml"/><Relationship Id="rId150" Type="http://schemas.openxmlformats.org/officeDocument/2006/relationships/chart" Target="charts/chart135.xml"/><Relationship Id="rId155" Type="http://schemas.openxmlformats.org/officeDocument/2006/relationships/chart" Target="charts/chart140.xml"/><Relationship Id="rId171" Type="http://schemas.openxmlformats.org/officeDocument/2006/relationships/chart" Target="charts/chart156.xml"/><Relationship Id="rId176" Type="http://schemas.openxmlformats.org/officeDocument/2006/relationships/chart" Target="charts/chart161.xml"/><Relationship Id="rId192" Type="http://schemas.openxmlformats.org/officeDocument/2006/relationships/chart" Target="charts/chart177.xml"/><Relationship Id="rId197" Type="http://schemas.openxmlformats.org/officeDocument/2006/relationships/chart" Target="charts/chart182.xml"/><Relationship Id="rId206" Type="http://schemas.openxmlformats.org/officeDocument/2006/relationships/chart" Target="charts/chart191.xml"/><Relationship Id="rId227" Type="http://schemas.openxmlformats.org/officeDocument/2006/relationships/chart" Target="charts/chart212.xml"/><Relationship Id="rId201" Type="http://schemas.openxmlformats.org/officeDocument/2006/relationships/chart" Target="charts/chart186.xml"/><Relationship Id="rId222" Type="http://schemas.openxmlformats.org/officeDocument/2006/relationships/chart" Target="charts/chart207.xml"/><Relationship Id="rId12" Type="http://schemas.openxmlformats.org/officeDocument/2006/relationships/footer" Target="footer3.xml"/><Relationship Id="rId17" Type="http://schemas.openxmlformats.org/officeDocument/2006/relationships/chart" Target="charts/chart2.xml"/><Relationship Id="rId33" Type="http://schemas.openxmlformats.org/officeDocument/2006/relationships/chart" Target="charts/chart18.xml"/><Relationship Id="rId38" Type="http://schemas.openxmlformats.org/officeDocument/2006/relationships/chart" Target="charts/chart23.xml"/><Relationship Id="rId59" Type="http://schemas.openxmlformats.org/officeDocument/2006/relationships/chart" Target="charts/chart44.xml"/><Relationship Id="rId103" Type="http://schemas.openxmlformats.org/officeDocument/2006/relationships/chart" Target="charts/chart88.xml"/><Relationship Id="rId108" Type="http://schemas.openxmlformats.org/officeDocument/2006/relationships/chart" Target="charts/chart93.xml"/><Relationship Id="rId124" Type="http://schemas.openxmlformats.org/officeDocument/2006/relationships/chart" Target="charts/chart109.xml"/><Relationship Id="rId129" Type="http://schemas.openxmlformats.org/officeDocument/2006/relationships/chart" Target="charts/chart114.xml"/><Relationship Id="rId54" Type="http://schemas.openxmlformats.org/officeDocument/2006/relationships/chart" Target="charts/chart39.xml"/><Relationship Id="rId70" Type="http://schemas.openxmlformats.org/officeDocument/2006/relationships/chart" Target="charts/chart55.xml"/><Relationship Id="rId75" Type="http://schemas.openxmlformats.org/officeDocument/2006/relationships/chart" Target="charts/chart60.xml"/><Relationship Id="rId91" Type="http://schemas.openxmlformats.org/officeDocument/2006/relationships/chart" Target="charts/chart76.xml"/><Relationship Id="rId96" Type="http://schemas.openxmlformats.org/officeDocument/2006/relationships/chart" Target="charts/chart81.xml"/><Relationship Id="rId140" Type="http://schemas.openxmlformats.org/officeDocument/2006/relationships/chart" Target="charts/chart125.xml"/><Relationship Id="rId145" Type="http://schemas.openxmlformats.org/officeDocument/2006/relationships/chart" Target="charts/chart130.xml"/><Relationship Id="rId161" Type="http://schemas.openxmlformats.org/officeDocument/2006/relationships/chart" Target="charts/chart146.xml"/><Relationship Id="rId166" Type="http://schemas.openxmlformats.org/officeDocument/2006/relationships/chart" Target="charts/chart151.xml"/><Relationship Id="rId182" Type="http://schemas.openxmlformats.org/officeDocument/2006/relationships/chart" Target="charts/chart167.xml"/><Relationship Id="rId187" Type="http://schemas.openxmlformats.org/officeDocument/2006/relationships/chart" Target="charts/chart172.xml"/><Relationship Id="rId217" Type="http://schemas.openxmlformats.org/officeDocument/2006/relationships/chart" Target="charts/chart202.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197.xml"/><Relationship Id="rId233" Type="http://schemas.openxmlformats.org/officeDocument/2006/relationships/chart" Target="charts/chart218.xml"/><Relationship Id="rId23" Type="http://schemas.openxmlformats.org/officeDocument/2006/relationships/chart" Target="charts/chart8.xml"/><Relationship Id="rId28" Type="http://schemas.openxmlformats.org/officeDocument/2006/relationships/chart" Target="charts/chart13.xml"/><Relationship Id="rId49" Type="http://schemas.openxmlformats.org/officeDocument/2006/relationships/chart" Target="charts/chart34.xml"/><Relationship Id="rId114" Type="http://schemas.openxmlformats.org/officeDocument/2006/relationships/chart" Target="charts/chart99.xml"/><Relationship Id="rId119" Type="http://schemas.openxmlformats.org/officeDocument/2006/relationships/chart" Target="charts/chart104.xml"/><Relationship Id="rId44" Type="http://schemas.openxmlformats.org/officeDocument/2006/relationships/chart" Target="charts/chart29.xml"/><Relationship Id="rId60" Type="http://schemas.openxmlformats.org/officeDocument/2006/relationships/chart" Target="charts/chart45.xml"/><Relationship Id="rId65" Type="http://schemas.openxmlformats.org/officeDocument/2006/relationships/chart" Target="charts/chart50.xml"/><Relationship Id="rId81" Type="http://schemas.openxmlformats.org/officeDocument/2006/relationships/chart" Target="charts/chart66.xml"/><Relationship Id="rId86" Type="http://schemas.openxmlformats.org/officeDocument/2006/relationships/chart" Target="charts/chart71.xml"/><Relationship Id="rId130" Type="http://schemas.openxmlformats.org/officeDocument/2006/relationships/chart" Target="charts/chart115.xml"/><Relationship Id="rId135" Type="http://schemas.openxmlformats.org/officeDocument/2006/relationships/chart" Target="charts/chart120.xml"/><Relationship Id="rId151" Type="http://schemas.openxmlformats.org/officeDocument/2006/relationships/chart" Target="charts/chart136.xml"/><Relationship Id="rId156" Type="http://schemas.openxmlformats.org/officeDocument/2006/relationships/chart" Target="charts/chart141.xml"/><Relationship Id="rId177" Type="http://schemas.openxmlformats.org/officeDocument/2006/relationships/chart" Target="charts/chart162.xml"/><Relationship Id="rId198" Type="http://schemas.openxmlformats.org/officeDocument/2006/relationships/chart" Target="charts/chart183.xml"/><Relationship Id="rId172" Type="http://schemas.openxmlformats.org/officeDocument/2006/relationships/chart" Target="charts/chart157.xml"/><Relationship Id="rId193" Type="http://schemas.openxmlformats.org/officeDocument/2006/relationships/chart" Target="charts/chart178.xml"/><Relationship Id="rId202" Type="http://schemas.openxmlformats.org/officeDocument/2006/relationships/chart" Target="charts/chart187.xml"/><Relationship Id="rId207" Type="http://schemas.openxmlformats.org/officeDocument/2006/relationships/chart" Target="charts/chart192.xml"/><Relationship Id="rId223" Type="http://schemas.openxmlformats.org/officeDocument/2006/relationships/chart" Target="charts/chart208.xml"/><Relationship Id="rId228" Type="http://schemas.openxmlformats.org/officeDocument/2006/relationships/chart" Target="charts/chart213.xml"/><Relationship Id="rId13" Type="http://schemas.openxmlformats.org/officeDocument/2006/relationships/footer" Target="footer4.xml"/><Relationship Id="rId18" Type="http://schemas.openxmlformats.org/officeDocument/2006/relationships/chart" Target="charts/chart3.xml"/><Relationship Id="rId39" Type="http://schemas.openxmlformats.org/officeDocument/2006/relationships/chart" Target="charts/chart24.xml"/><Relationship Id="rId109" Type="http://schemas.openxmlformats.org/officeDocument/2006/relationships/chart" Target="charts/chart94.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chart" Target="charts/chart61.xml"/><Relationship Id="rId97" Type="http://schemas.openxmlformats.org/officeDocument/2006/relationships/chart" Target="charts/chart82.xml"/><Relationship Id="rId104" Type="http://schemas.openxmlformats.org/officeDocument/2006/relationships/chart" Target="charts/chart89.xml"/><Relationship Id="rId120" Type="http://schemas.openxmlformats.org/officeDocument/2006/relationships/chart" Target="charts/chart105.xml"/><Relationship Id="rId125" Type="http://schemas.openxmlformats.org/officeDocument/2006/relationships/chart" Target="charts/chart110.xml"/><Relationship Id="rId141" Type="http://schemas.openxmlformats.org/officeDocument/2006/relationships/chart" Target="charts/chart126.xml"/><Relationship Id="rId146" Type="http://schemas.openxmlformats.org/officeDocument/2006/relationships/chart" Target="charts/chart131.xml"/><Relationship Id="rId167" Type="http://schemas.openxmlformats.org/officeDocument/2006/relationships/chart" Target="charts/chart152.xml"/><Relationship Id="rId188" Type="http://schemas.openxmlformats.org/officeDocument/2006/relationships/chart" Target="charts/chart173.xml"/><Relationship Id="rId7" Type="http://schemas.openxmlformats.org/officeDocument/2006/relationships/endnotes" Target="endnotes.xml"/><Relationship Id="rId71" Type="http://schemas.openxmlformats.org/officeDocument/2006/relationships/chart" Target="charts/chart56.xml"/><Relationship Id="rId92" Type="http://schemas.openxmlformats.org/officeDocument/2006/relationships/chart" Target="charts/chart77.xml"/><Relationship Id="rId162" Type="http://schemas.openxmlformats.org/officeDocument/2006/relationships/chart" Target="charts/chart147.xml"/><Relationship Id="rId183" Type="http://schemas.openxmlformats.org/officeDocument/2006/relationships/chart" Target="charts/chart168.xml"/><Relationship Id="rId213" Type="http://schemas.openxmlformats.org/officeDocument/2006/relationships/chart" Target="charts/chart198.xml"/><Relationship Id="rId218" Type="http://schemas.openxmlformats.org/officeDocument/2006/relationships/chart" Target="charts/chart203.xm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chart" Target="charts/chart51.xml"/><Relationship Id="rId87" Type="http://schemas.openxmlformats.org/officeDocument/2006/relationships/chart" Target="charts/chart72.xml"/><Relationship Id="rId110" Type="http://schemas.openxmlformats.org/officeDocument/2006/relationships/chart" Target="charts/chart95.xml"/><Relationship Id="rId115" Type="http://schemas.openxmlformats.org/officeDocument/2006/relationships/chart" Target="charts/chart100.xml"/><Relationship Id="rId131" Type="http://schemas.openxmlformats.org/officeDocument/2006/relationships/chart" Target="charts/chart116.xml"/><Relationship Id="rId136" Type="http://schemas.openxmlformats.org/officeDocument/2006/relationships/chart" Target="charts/chart121.xml"/><Relationship Id="rId157" Type="http://schemas.openxmlformats.org/officeDocument/2006/relationships/chart" Target="charts/chart142.xml"/><Relationship Id="rId178" Type="http://schemas.openxmlformats.org/officeDocument/2006/relationships/chart" Target="charts/chart163.xml"/><Relationship Id="rId61" Type="http://schemas.openxmlformats.org/officeDocument/2006/relationships/chart" Target="charts/chart46.xml"/><Relationship Id="rId82" Type="http://schemas.openxmlformats.org/officeDocument/2006/relationships/chart" Target="charts/chart67.xml"/><Relationship Id="rId152" Type="http://schemas.openxmlformats.org/officeDocument/2006/relationships/chart" Target="charts/chart137.xml"/><Relationship Id="rId173" Type="http://schemas.openxmlformats.org/officeDocument/2006/relationships/chart" Target="charts/chart158.xml"/><Relationship Id="rId194" Type="http://schemas.openxmlformats.org/officeDocument/2006/relationships/chart" Target="charts/chart179.xml"/><Relationship Id="rId199" Type="http://schemas.openxmlformats.org/officeDocument/2006/relationships/chart" Target="charts/chart184.xml"/><Relationship Id="rId203" Type="http://schemas.openxmlformats.org/officeDocument/2006/relationships/chart" Target="charts/chart188.xml"/><Relationship Id="rId208" Type="http://schemas.openxmlformats.org/officeDocument/2006/relationships/chart" Target="charts/chart193.xml"/><Relationship Id="rId229" Type="http://schemas.openxmlformats.org/officeDocument/2006/relationships/chart" Target="charts/chart214.xml"/><Relationship Id="rId19" Type="http://schemas.openxmlformats.org/officeDocument/2006/relationships/chart" Target="charts/chart4.xml"/><Relationship Id="rId224" Type="http://schemas.openxmlformats.org/officeDocument/2006/relationships/chart" Target="charts/chart209.xml"/><Relationship Id="rId14" Type="http://schemas.openxmlformats.org/officeDocument/2006/relationships/header" Target="header2.xml"/><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chart" Target="charts/chart41.xml"/><Relationship Id="rId77" Type="http://schemas.openxmlformats.org/officeDocument/2006/relationships/chart" Target="charts/chart62.xml"/><Relationship Id="rId100" Type="http://schemas.openxmlformats.org/officeDocument/2006/relationships/chart" Target="charts/chart85.xml"/><Relationship Id="rId105" Type="http://schemas.openxmlformats.org/officeDocument/2006/relationships/chart" Target="charts/chart90.xml"/><Relationship Id="rId126" Type="http://schemas.openxmlformats.org/officeDocument/2006/relationships/chart" Target="charts/chart111.xml"/><Relationship Id="rId147" Type="http://schemas.openxmlformats.org/officeDocument/2006/relationships/chart" Target="charts/chart132.xml"/><Relationship Id="rId168" Type="http://schemas.openxmlformats.org/officeDocument/2006/relationships/chart" Target="charts/chart153.xml"/><Relationship Id="rId8" Type="http://schemas.openxmlformats.org/officeDocument/2006/relationships/image" Target="media/image1.jpeg"/><Relationship Id="rId51" Type="http://schemas.openxmlformats.org/officeDocument/2006/relationships/chart" Target="charts/chart36.xml"/><Relationship Id="rId72" Type="http://schemas.openxmlformats.org/officeDocument/2006/relationships/chart" Target="charts/chart57.xml"/><Relationship Id="rId93" Type="http://schemas.openxmlformats.org/officeDocument/2006/relationships/chart" Target="charts/chart78.xml"/><Relationship Id="rId98" Type="http://schemas.openxmlformats.org/officeDocument/2006/relationships/chart" Target="charts/chart83.xml"/><Relationship Id="rId121" Type="http://schemas.openxmlformats.org/officeDocument/2006/relationships/chart" Target="charts/chart106.xml"/><Relationship Id="rId142" Type="http://schemas.openxmlformats.org/officeDocument/2006/relationships/chart" Target="charts/chart127.xml"/><Relationship Id="rId163" Type="http://schemas.openxmlformats.org/officeDocument/2006/relationships/chart" Target="charts/chart148.xml"/><Relationship Id="rId184" Type="http://schemas.openxmlformats.org/officeDocument/2006/relationships/chart" Target="charts/chart169.xml"/><Relationship Id="rId189" Type="http://schemas.openxmlformats.org/officeDocument/2006/relationships/chart" Target="charts/chart174.xml"/><Relationship Id="rId219" Type="http://schemas.openxmlformats.org/officeDocument/2006/relationships/chart" Target="charts/chart204.xml"/><Relationship Id="rId3" Type="http://schemas.openxmlformats.org/officeDocument/2006/relationships/styles" Target="styles.xml"/><Relationship Id="rId214" Type="http://schemas.openxmlformats.org/officeDocument/2006/relationships/chart" Target="charts/chart199.xml"/><Relationship Id="rId230" Type="http://schemas.openxmlformats.org/officeDocument/2006/relationships/chart" Target="charts/chart215.xml"/><Relationship Id="rId235" Type="http://schemas.openxmlformats.org/officeDocument/2006/relationships/theme" Target="theme/theme1.xml"/><Relationship Id="rId25" Type="http://schemas.openxmlformats.org/officeDocument/2006/relationships/chart" Target="charts/chart10.xml"/><Relationship Id="rId46" Type="http://schemas.openxmlformats.org/officeDocument/2006/relationships/chart" Target="charts/chart31.xml"/><Relationship Id="rId67" Type="http://schemas.openxmlformats.org/officeDocument/2006/relationships/chart" Target="charts/chart52.xml"/><Relationship Id="rId116" Type="http://schemas.openxmlformats.org/officeDocument/2006/relationships/chart" Target="charts/chart101.xml"/><Relationship Id="rId137" Type="http://schemas.openxmlformats.org/officeDocument/2006/relationships/chart" Target="charts/chart122.xml"/><Relationship Id="rId158" Type="http://schemas.openxmlformats.org/officeDocument/2006/relationships/chart" Target="charts/chart143.xml"/><Relationship Id="rId20" Type="http://schemas.openxmlformats.org/officeDocument/2006/relationships/chart" Target="charts/chart5.xml"/><Relationship Id="rId41" Type="http://schemas.openxmlformats.org/officeDocument/2006/relationships/chart" Target="charts/chart26.xml"/><Relationship Id="rId62" Type="http://schemas.openxmlformats.org/officeDocument/2006/relationships/chart" Target="charts/chart47.xml"/><Relationship Id="rId83" Type="http://schemas.openxmlformats.org/officeDocument/2006/relationships/chart" Target="charts/chart68.xml"/><Relationship Id="rId88" Type="http://schemas.openxmlformats.org/officeDocument/2006/relationships/chart" Target="charts/chart73.xml"/><Relationship Id="rId111" Type="http://schemas.openxmlformats.org/officeDocument/2006/relationships/chart" Target="charts/chart96.xml"/><Relationship Id="rId132" Type="http://schemas.openxmlformats.org/officeDocument/2006/relationships/chart" Target="charts/chart117.xml"/><Relationship Id="rId153" Type="http://schemas.openxmlformats.org/officeDocument/2006/relationships/chart" Target="charts/chart138.xml"/><Relationship Id="rId174" Type="http://schemas.openxmlformats.org/officeDocument/2006/relationships/chart" Target="charts/chart159.xml"/><Relationship Id="rId179" Type="http://schemas.openxmlformats.org/officeDocument/2006/relationships/chart" Target="charts/chart164.xml"/><Relationship Id="rId195" Type="http://schemas.openxmlformats.org/officeDocument/2006/relationships/chart" Target="charts/chart180.xml"/><Relationship Id="rId209" Type="http://schemas.openxmlformats.org/officeDocument/2006/relationships/chart" Target="charts/chart194.xml"/><Relationship Id="rId190" Type="http://schemas.openxmlformats.org/officeDocument/2006/relationships/chart" Target="charts/chart175.xml"/><Relationship Id="rId204" Type="http://schemas.openxmlformats.org/officeDocument/2006/relationships/chart" Target="charts/chart189.xml"/><Relationship Id="rId220" Type="http://schemas.openxmlformats.org/officeDocument/2006/relationships/chart" Target="charts/chart205.xml"/><Relationship Id="rId225" Type="http://schemas.openxmlformats.org/officeDocument/2006/relationships/chart" Target="charts/chart210.xml"/><Relationship Id="rId15" Type="http://schemas.openxmlformats.org/officeDocument/2006/relationships/footer" Target="footer5.xml"/><Relationship Id="rId36" Type="http://schemas.openxmlformats.org/officeDocument/2006/relationships/chart" Target="charts/chart21.xml"/><Relationship Id="rId57" Type="http://schemas.openxmlformats.org/officeDocument/2006/relationships/chart" Target="charts/chart42.xml"/><Relationship Id="rId106" Type="http://schemas.openxmlformats.org/officeDocument/2006/relationships/chart" Target="charts/chart91.xml"/><Relationship Id="rId127" Type="http://schemas.openxmlformats.org/officeDocument/2006/relationships/chart" Target="charts/chart112.xml"/><Relationship Id="rId10" Type="http://schemas.openxmlformats.org/officeDocument/2006/relationships/footer" Target="footer2.xml"/><Relationship Id="rId31" Type="http://schemas.openxmlformats.org/officeDocument/2006/relationships/chart" Target="charts/chart16.xml"/><Relationship Id="rId52" Type="http://schemas.openxmlformats.org/officeDocument/2006/relationships/chart" Target="charts/chart37.xml"/><Relationship Id="rId73" Type="http://schemas.openxmlformats.org/officeDocument/2006/relationships/chart" Target="charts/chart58.xml"/><Relationship Id="rId78" Type="http://schemas.openxmlformats.org/officeDocument/2006/relationships/chart" Target="charts/chart63.xml"/><Relationship Id="rId94" Type="http://schemas.openxmlformats.org/officeDocument/2006/relationships/chart" Target="charts/chart79.xml"/><Relationship Id="rId99" Type="http://schemas.openxmlformats.org/officeDocument/2006/relationships/chart" Target="charts/chart84.xml"/><Relationship Id="rId101" Type="http://schemas.openxmlformats.org/officeDocument/2006/relationships/chart" Target="charts/chart86.xml"/><Relationship Id="rId122" Type="http://schemas.openxmlformats.org/officeDocument/2006/relationships/chart" Target="charts/chart107.xml"/><Relationship Id="rId143" Type="http://schemas.openxmlformats.org/officeDocument/2006/relationships/chart" Target="charts/chart128.xml"/><Relationship Id="rId148" Type="http://schemas.openxmlformats.org/officeDocument/2006/relationships/chart" Target="charts/chart133.xml"/><Relationship Id="rId164" Type="http://schemas.openxmlformats.org/officeDocument/2006/relationships/chart" Target="charts/chart149.xml"/><Relationship Id="rId169" Type="http://schemas.openxmlformats.org/officeDocument/2006/relationships/chart" Target="charts/chart154.xml"/><Relationship Id="rId185" Type="http://schemas.openxmlformats.org/officeDocument/2006/relationships/chart" Target="charts/chart170.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chart" Target="charts/chart165.xml"/><Relationship Id="rId210" Type="http://schemas.openxmlformats.org/officeDocument/2006/relationships/chart" Target="charts/chart195.xml"/><Relationship Id="rId215" Type="http://schemas.openxmlformats.org/officeDocument/2006/relationships/chart" Target="charts/chart200.xml"/><Relationship Id="rId26" Type="http://schemas.openxmlformats.org/officeDocument/2006/relationships/chart" Target="charts/chart11.xml"/><Relationship Id="rId231" Type="http://schemas.openxmlformats.org/officeDocument/2006/relationships/chart" Target="charts/chart216.xml"/><Relationship Id="rId47" Type="http://schemas.openxmlformats.org/officeDocument/2006/relationships/chart" Target="charts/chart32.xml"/><Relationship Id="rId68" Type="http://schemas.openxmlformats.org/officeDocument/2006/relationships/chart" Target="charts/chart53.xml"/><Relationship Id="rId89" Type="http://schemas.openxmlformats.org/officeDocument/2006/relationships/chart" Target="charts/chart74.xml"/><Relationship Id="rId112" Type="http://schemas.openxmlformats.org/officeDocument/2006/relationships/chart" Target="charts/chart97.xml"/><Relationship Id="rId133" Type="http://schemas.openxmlformats.org/officeDocument/2006/relationships/chart" Target="charts/chart118.xml"/><Relationship Id="rId154" Type="http://schemas.openxmlformats.org/officeDocument/2006/relationships/chart" Target="charts/chart139.xml"/><Relationship Id="rId175" Type="http://schemas.openxmlformats.org/officeDocument/2006/relationships/chart" Target="charts/chart160.xml"/><Relationship Id="rId196" Type="http://schemas.openxmlformats.org/officeDocument/2006/relationships/chart" Target="charts/chart181.xml"/><Relationship Id="rId200" Type="http://schemas.openxmlformats.org/officeDocument/2006/relationships/chart" Target="charts/chart185.xml"/><Relationship Id="rId16" Type="http://schemas.openxmlformats.org/officeDocument/2006/relationships/chart" Target="charts/chart1.xml"/><Relationship Id="rId221" Type="http://schemas.openxmlformats.org/officeDocument/2006/relationships/chart" Target="charts/chart206.xml"/><Relationship Id="rId37" Type="http://schemas.openxmlformats.org/officeDocument/2006/relationships/chart" Target="charts/chart22.xml"/><Relationship Id="rId58" Type="http://schemas.openxmlformats.org/officeDocument/2006/relationships/chart" Target="charts/chart43.xml"/><Relationship Id="rId79" Type="http://schemas.openxmlformats.org/officeDocument/2006/relationships/chart" Target="charts/chart64.xml"/><Relationship Id="rId102" Type="http://schemas.openxmlformats.org/officeDocument/2006/relationships/chart" Target="charts/chart87.xml"/><Relationship Id="rId123" Type="http://schemas.openxmlformats.org/officeDocument/2006/relationships/chart" Target="charts/chart108.xml"/><Relationship Id="rId144" Type="http://schemas.openxmlformats.org/officeDocument/2006/relationships/chart" Target="charts/chart129.xml"/><Relationship Id="rId90" Type="http://schemas.openxmlformats.org/officeDocument/2006/relationships/chart" Target="charts/chart75.xml"/><Relationship Id="rId165" Type="http://schemas.openxmlformats.org/officeDocument/2006/relationships/chart" Target="charts/chart150.xml"/><Relationship Id="rId186" Type="http://schemas.openxmlformats.org/officeDocument/2006/relationships/chart" Target="charts/chart171.xml"/><Relationship Id="rId211" Type="http://schemas.openxmlformats.org/officeDocument/2006/relationships/chart" Target="charts/chart196.xml"/><Relationship Id="rId232" Type="http://schemas.openxmlformats.org/officeDocument/2006/relationships/chart" Target="charts/chart217.xml"/><Relationship Id="rId27" Type="http://schemas.openxmlformats.org/officeDocument/2006/relationships/chart" Target="charts/chart12.xml"/><Relationship Id="rId48" Type="http://schemas.openxmlformats.org/officeDocument/2006/relationships/chart" Target="charts/chart33.xml"/><Relationship Id="rId69" Type="http://schemas.openxmlformats.org/officeDocument/2006/relationships/chart" Target="charts/chart54.xml"/><Relationship Id="rId113" Type="http://schemas.openxmlformats.org/officeDocument/2006/relationships/chart" Target="charts/chart98.xml"/><Relationship Id="rId134" Type="http://schemas.openxmlformats.org/officeDocument/2006/relationships/chart" Target="charts/chart11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D:\Alphonse\ESUB%202015%20v02.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I:\ADIOP\TABLEAUX%20CROISES_PM__PCT_COLONNES_ADIOP%2003-09-15.xlsx" TargetMode="External"/><Relationship Id="rId1" Type="http://schemas.openxmlformats.org/officeDocument/2006/relationships/themeOverride" Target="../theme/themeOverride4.xml"/></Relationships>
</file>

<file path=word/charts/_rels/chart100.xml.rels><?xml version="1.0" encoding="UTF-8" standalone="yes"?>
<Relationships xmlns="http://schemas.openxmlformats.org/package/2006/relationships"><Relationship Id="rId1" Type="http://schemas.openxmlformats.org/officeDocument/2006/relationships/oleObject" Target="file:///C:\Users\Admin\Desktop\Statistiques%20ESUB%202015%20v06.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C:\Users\Admin\Desktop\Statistiques%20ESUB%202015%20v06.xlsx" TargetMode="External"/></Relationships>
</file>

<file path=word/charts/_rels/chart102.xml.rels><?xml version="1.0" encoding="UTF-8" standalone="yes"?>
<Relationships xmlns="http://schemas.openxmlformats.org/package/2006/relationships"><Relationship Id="rId2" Type="http://schemas.openxmlformats.org/officeDocument/2006/relationships/oleObject" Target="file:///K:\ESUB%202015\TB%20CROISES%20PERSONNES%20MORALES%20FNDIAYE%2001-10-15.xlsx" TargetMode="External"/><Relationship Id="rId1" Type="http://schemas.openxmlformats.org/officeDocument/2006/relationships/themeOverride" Target="../theme/themeOverride37.xml"/></Relationships>
</file>

<file path=word/charts/_rels/chart103.xml.rels><?xml version="1.0" encoding="UTF-8" standalone="yes"?>
<Relationships xmlns="http://schemas.openxmlformats.org/package/2006/relationships"><Relationship Id="rId1" Type="http://schemas.openxmlformats.org/officeDocument/2006/relationships/oleObject" Target="file:///C:\Users\Admin\Desktop\Statistiques%20ESUB%202015%20v06.xlsx" TargetMode="External"/></Relationships>
</file>

<file path=word/charts/_rels/chart104.xml.rels><?xml version="1.0" encoding="UTF-8" standalone="yes"?>
<Relationships xmlns="http://schemas.openxmlformats.org/package/2006/relationships"><Relationship Id="rId2" Type="http://schemas.openxmlformats.org/officeDocument/2006/relationships/oleObject" Target="file:///K:\ESUB%202015\TB%20CROISES%20PERSONNES%20MORALES%20FNDIAYE%2001-10-15.xlsx" TargetMode="External"/><Relationship Id="rId1" Type="http://schemas.openxmlformats.org/officeDocument/2006/relationships/themeOverride" Target="../theme/themeOverride38.xml"/></Relationships>
</file>

<file path=word/charts/_rels/chart10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Users\Admin\Desktop\Statistiques%20ESUB%202015%20v06.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Users\Admin\Desktop\Statistiques%20ESUB%202015%20v06.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Users\Admin\Desktop\Statistiques%20ESUB%202015%20v06.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C:\Users\Admin\Desktop\Statistiques%20ESUB%202015%20v06.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I:\ADIOP\TABLEAUX%20CROISES_PM__PCT_COLONNES_ADIOP%2003-09-15.xlsx" TargetMode="External"/><Relationship Id="rId1" Type="http://schemas.openxmlformats.org/officeDocument/2006/relationships/themeOverride" Target="../theme/themeOverride5.xml"/></Relationships>
</file>

<file path=word/charts/_rels/chart110.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11.xml.rels><?xml version="1.0" encoding="UTF-8" standalone="yes"?>
<Relationships xmlns="http://schemas.openxmlformats.org/package/2006/relationships"><Relationship Id="rId2" Type="http://schemas.openxmlformats.org/officeDocument/2006/relationships/oleObject" Target="file:///K:\ESUB%202015\TB%20CROISES%20PERSONNES%20MORALES%20FNDIAYE%2001-10-15.xlsx" TargetMode="External"/><Relationship Id="rId1" Type="http://schemas.openxmlformats.org/officeDocument/2006/relationships/themeOverride" Target="../theme/themeOverride39.xml"/></Relationships>
</file>

<file path=word/charts/_rels/chart112.xml.rels><?xml version="1.0" encoding="UTF-8" standalone="yes"?>
<Relationships xmlns="http://schemas.openxmlformats.org/package/2006/relationships"><Relationship Id="rId1" Type="http://schemas.openxmlformats.org/officeDocument/2006/relationships/oleObject" Target="file:///C:\Users\Admin\Desktop\Statistiques%20ESUB%202015%20v07.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14.xml.rels><?xml version="1.0" encoding="UTF-8" standalone="yes"?>
<Relationships xmlns="http://schemas.openxmlformats.org/package/2006/relationships"><Relationship Id="rId2" Type="http://schemas.openxmlformats.org/officeDocument/2006/relationships/oleObject" Target="file:///K:\ESUB%202015\TB%20CROISES%20PERSONNES%20MORALES%20FNDIAYE%2001-10-15.xlsx" TargetMode="External"/><Relationship Id="rId1" Type="http://schemas.openxmlformats.org/officeDocument/2006/relationships/themeOverride" Target="../theme/themeOverride40.xml"/></Relationships>
</file>

<file path=word/charts/_rels/chart11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C:\Users\Admin\Desktop\Statistiques%20ESUB%202015%20v07.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C:\Users\Admin\Desktop\Statistiques%20ESUB%202015%20v07.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C:\Users\Admin\Desktop\Statistiques%20ESUB%202015%20v07.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C:\Users\Admin\Desktop\Statistiques%20ESUB%202015%20v07.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I:\ADIOP\TABLEAUX%20CROISES_PM__PCT_COLONNES_ADIOP%2003-09-15.xlsx" TargetMode="External"/><Relationship Id="rId1" Type="http://schemas.openxmlformats.org/officeDocument/2006/relationships/themeOverride" Target="../theme/themeOverride6.xml"/></Relationships>
</file>

<file path=word/charts/_rels/chart120.xml.rels><?xml version="1.0" encoding="UTF-8" standalone="yes"?>
<Relationships xmlns="http://schemas.openxmlformats.org/package/2006/relationships"><Relationship Id="rId1" Type="http://schemas.openxmlformats.org/officeDocument/2006/relationships/oleObject" Target="file:///C:\Users\Admin\Desktop\Statistiques%20ESUB%202015%20v07.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C:\Users\Admin\Desktop\Statistiques%20ESUB%202015%20v07.xlsx"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file:///C:\Users\Admin\Desktop\Statistiques%20ESUB%202015%20v07.xlsx"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file:///C:\Users\Admin\Desktop\Statistiques%20ESUB%202015%20v07.xlsx"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file:///C:\Users\Admin\Desktop\Statistiques%20ESUB%202015%20v07.xlsx"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file:///C:\Users\Admin\Desktop\Statistiques%20ESUB%202015%20v07.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file:///C:\Users\Admin\Desktop\Statistiques%20ESUB%202015%20v07.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C:\Users\Admin\Desktop\Statistiques%20ESUB%202015%20v07.xlsx" TargetMode="External"/></Relationships>
</file>

<file path=word/charts/_rels/chart128.xml.rels><?xml version="1.0" encoding="UTF-8" standalone="yes"?>
<Relationships xmlns="http://schemas.openxmlformats.org/package/2006/relationships"><Relationship Id="rId2" Type="http://schemas.openxmlformats.org/officeDocument/2006/relationships/oleObject" Target="file:///D:\DONNEES%20TRAVAIL\OQSF\ENQU&#202;TES%20DE%20SATISFACTION\BANQUES\ESUB%202015\GRANDE%20ENQUETE\ANALYSE%20DES%20RESULTATS\TABLEAUX%20A%20ANALYSER\PERSONNES%20PHYSIQUES\TABLEAUX%20DE%20FREQUENCE%20PERSONNES%20PHYSIQUES%2026-08-15.xlsx" TargetMode="External"/><Relationship Id="rId1" Type="http://schemas.openxmlformats.org/officeDocument/2006/relationships/themeOverride" Target="../theme/themeOverride41.xml"/></Relationships>
</file>

<file path=word/charts/_rels/chart129.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Alphonse\ESUB%202015%20v02.xlsx" TargetMode="External"/></Relationships>
</file>

<file path=word/charts/_rels/chart130.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3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3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F:\ADIOP\TABLEAUX%20CROISES_PP__PCT_COLONNES_ADIOP%2003-09-15.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I:\ADIOP\TABLEAUX%20CROISES_PM__PCT_COLONNES_ADIOP%2003-09-15.xlsx" TargetMode="External"/><Relationship Id="rId1" Type="http://schemas.openxmlformats.org/officeDocument/2006/relationships/themeOverride" Target="../theme/themeOverride7.xml"/></Relationships>
</file>

<file path=word/charts/_rels/chart140.xml.rels><?xml version="1.0" encoding="UTF-8" standalone="yes"?>
<Relationships xmlns="http://schemas.openxmlformats.org/package/2006/relationships"><Relationship Id="rId1" Type="http://schemas.openxmlformats.org/officeDocument/2006/relationships/oleObject" Target="file:///F:\ADIOP\TABLEAUX%20CROISES_PP__PCT_COLONNES_ADIOP%2003-09-15.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F:\TABLEAUX%20ANALYSE%20ESUB%202015.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44.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45.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46.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47.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48.xml.rels><?xml version="1.0" encoding="UTF-8" standalone="yes"?>
<Relationships xmlns="http://schemas.openxmlformats.org/package/2006/relationships"><Relationship Id="rId1" Type="http://schemas.openxmlformats.org/officeDocument/2006/relationships/oleObject" Target="file:///F:\ADIOP\TABLEAUX%20CROISES_PP__PCT_COLONNES_ADIOP%2003-09-15.xlsx" TargetMode="External"/></Relationships>
</file>

<file path=word/charts/_rels/chart149.xml.rels><?xml version="1.0" encoding="UTF-8" standalone="yes"?>
<Relationships xmlns="http://schemas.openxmlformats.org/package/2006/relationships"><Relationship Id="rId1" Type="http://schemas.openxmlformats.org/officeDocument/2006/relationships/oleObject" Target="file:///F:\ADIOP\TABLEAUX%20CROISES_PP__PCT_COLONNES_ADIOP%2003-09-15.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I:\ADIOP\TABLEAUX%20CROISES_PM__PCT_COLONNES_ADIOP%2003-09-15.xlsx" TargetMode="External"/><Relationship Id="rId1" Type="http://schemas.openxmlformats.org/officeDocument/2006/relationships/themeOverride" Target="../theme/themeOverride8.xml"/></Relationships>
</file>

<file path=word/charts/_rels/chart150.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F:\TABLEAUX%20ANALYSE%20ESUB%202015.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F:\TABLEAUX%20ANALYSE%20ESUB%202015.xlsx" TargetMode="External"/></Relationships>
</file>

<file path=word/charts/_rels/chart153.xml.rels><?xml version="1.0" encoding="UTF-8" standalone="yes"?>
<Relationships xmlns="http://schemas.openxmlformats.org/package/2006/relationships"><Relationship Id="rId1" Type="http://schemas.openxmlformats.org/officeDocument/2006/relationships/oleObject" Target="file:///F:\TABLEAUX%20ANALYSE%20ESUB%202015.xlsx" TargetMode="External"/></Relationships>
</file>

<file path=word/charts/_rels/chart154.xml.rels><?xml version="1.0" encoding="UTF-8" standalone="yes"?>
<Relationships xmlns="http://schemas.openxmlformats.org/package/2006/relationships"><Relationship Id="rId1" Type="http://schemas.openxmlformats.org/officeDocument/2006/relationships/oleObject" Target="file:///F:\TABLEAUX%20ANALYSE%20ESUB%202015.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file:///J:\TABLEAUX%20CROISES_PP__PCT_COLONNES_ADIOP%2003-09-15%20(Enregistr&#233;%20automatiquement).xlsx"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file:///F:\ADIOP\TABLEAUX%20CROISES_PP__PCT_COLONNES_ADIOP%2003-09-15.xlsx" TargetMode="External"/></Relationships>
</file>

<file path=word/charts/_rels/chart158.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F:\TABLEAUX%20ANALYSE%20ESUB%202015.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F:\TABLEAUX%20DE%20FREQUENCE%20PERSONNES%20MORALES%2026-08-15.xlsx" TargetMode="External"/><Relationship Id="rId1" Type="http://schemas.openxmlformats.org/officeDocument/2006/relationships/themeOverride" Target="../theme/themeOverride9.xml"/></Relationships>
</file>

<file path=word/charts/_rels/chart160.xml.rels><?xml version="1.0" encoding="UTF-8" standalone="yes"?>
<Relationships xmlns="http://schemas.openxmlformats.org/package/2006/relationships"><Relationship Id="rId1" Type="http://schemas.openxmlformats.org/officeDocument/2006/relationships/oleObject" Target="file:///F:\TABLEAUX%20ANALYSE%20ESUB%202015.xlsx" TargetMode="External"/></Relationships>
</file>

<file path=word/charts/_rels/chart161.xml.rels><?xml version="1.0" encoding="UTF-8" standalone="yes"?>
<Relationships xmlns="http://schemas.openxmlformats.org/package/2006/relationships"><Relationship Id="rId1" Type="http://schemas.openxmlformats.org/officeDocument/2006/relationships/oleObject" Target="file:///F:\TABLEAUX%20ANALYSE%20ESUB%202015.xlsx" TargetMode="External"/></Relationships>
</file>

<file path=word/charts/_rels/chart162.xml.rels><?xml version="1.0" encoding="UTF-8" standalone="yes"?>
<Relationships xmlns="http://schemas.openxmlformats.org/package/2006/relationships"><Relationship Id="rId1" Type="http://schemas.openxmlformats.org/officeDocument/2006/relationships/oleObject" Target="file:///F:\TABLEAUX%20ANALYSE%20ESUB%202015.xlsx" TargetMode="External"/></Relationships>
</file>

<file path=word/charts/_rels/chart163.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64.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65.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66.xml.rels><?xml version="1.0" encoding="UTF-8" standalone="yes"?>
<Relationships xmlns="http://schemas.openxmlformats.org/package/2006/relationships"><Relationship Id="rId1" Type="http://schemas.openxmlformats.org/officeDocument/2006/relationships/oleObject" Target="file:///F:\TABLEAUX%20ANALYSE%20ESUB%202015.xlsx" TargetMode="External"/></Relationships>
</file>

<file path=word/charts/_rels/chart167.xml.rels><?xml version="1.0" encoding="UTF-8" standalone="yes"?>
<Relationships xmlns="http://schemas.openxmlformats.org/package/2006/relationships"><Relationship Id="rId1" Type="http://schemas.openxmlformats.org/officeDocument/2006/relationships/oleObject" Target="file:///F:\TABLEAUX%20ANALYSE%20ESUB%202015.xlsx" TargetMode="External"/></Relationships>
</file>

<file path=word/charts/_rels/chart168.xml.rels><?xml version="1.0" encoding="UTF-8" standalone="yes"?>
<Relationships xmlns="http://schemas.openxmlformats.org/package/2006/relationships"><Relationship Id="rId1" Type="http://schemas.openxmlformats.org/officeDocument/2006/relationships/oleObject" Target="file:///J:\TABLEAUX%20CROISES_PP__PCT_COLONNES_ADIOP%2003-09-15%20(Enregistr&#233;%20automatiquement).xlsx" TargetMode="External"/></Relationships>
</file>

<file path=word/charts/_rels/chart169.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F:\ADIOP\TABLEAUX%20CROISES_PM__PCT_COLONNES_ADIOP%2003-09-15.xlsx" TargetMode="External"/><Relationship Id="rId1" Type="http://schemas.openxmlformats.org/officeDocument/2006/relationships/themeOverride" Target="../theme/themeOverride10.xml"/></Relationships>
</file>

<file path=word/charts/_rels/chart170.xml.rels><?xml version="1.0" encoding="UTF-8" standalone="yes"?>
<Relationships xmlns="http://schemas.openxmlformats.org/package/2006/relationships"><Relationship Id="rId1" Type="http://schemas.openxmlformats.org/officeDocument/2006/relationships/oleObject" Target="file:///C:\Users\Admin\Documents\Statistiques%20ESUB%202015%20PP%20v01.xlsx" TargetMode="External"/></Relationships>
</file>

<file path=word/charts/_rels/chart17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7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7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7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7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7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77.xml.rels><?xml version="1.0" encoding="UTF-8" standalone="yes"?>
<Relationships xmlns="http://schemas.openxmlformats.org/package/2006/relationships"><Relationship Id="rId2" Type="http://schemas.openxmlformats.org/officeDocument/2006/relationships/package" Target="../embeddings/Feuille_Microsoft_Office_Excel2.xlsx"/><Relationship Id="rId1" Type="http://schemas.openxmlformats.org/officeDocument/2006/relationships/themeOverride" Target="../theme/themeOverride42.xml"/></Relationships>
</file>

<file path=word/charts/_rels/chart178.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79.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C:\Users\diop\Documents\TABLEAUX%20DE%20FREQUENCE%20PERSONNES%20MORALES%2026-08-15.xlsx" TargetMode="External"/><Relationship Id="rId1" Type="http://schemas.openxmlformats.org/officeDocument/2006/relationships/themeOverride" Target="../theme/themeOverride11.xml"/></Relationships>
</file>

<file path=word/charts/_rels/chart180.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181.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182.xml.rels><?xml version="1.0" encoding="UTF-8" standalone="yes"?>
<Relationships xmlns="http://schemas.openxmlformats.org/package/2006/relationships"><Relationship Id="rId2" Type="http://schemas.openxmlformats.org/officeDocument/2006/relationships/package" Target="../embeddings/Feuille_Microsoft_Office_Excel3.xlsx"/><Relationship Id="rId1" Type="http://schemas.openxmlformats.org/officeDocument/2006/relationships/themeOverride" Target="../theme/themeOverride43.xml"/></Relationships>
</file>

<file path=word/charts/_rels/chart183.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184.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185.xml.rels><?xml version="1.0" encoding="UTF-8" standalone="yes"?>
<Relationships xmlns="http://schemas.openxmlformats.org/package/2006/relationships"><Relationship Id="rId2" Type="http://schemas.openxmlformats.org/officeDocument/2006/relationships/package" Target="../embeddings/Feuille_Microsoft_Office_Excel4.xlsx"/><Relationship Id="rId1" Type="http://schemas.openxmlformats.org/officeDocument/2006/relationships/themeOverride" Target="../theme/themeOverride44.xml"/></Relationships>
</file>

<file path=word/charts/_rels/chart186.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187.xml.rels><?xml version="1.0" encoding="UTF-8" standalone="yes"?>
<Relationships xmlns="http://schemas.openxmlformats.org/package/2006/relationships"><Relationship Id="rId2" Type="http://schemas.openxmlformats.org/officeDocument/2006/relationships/oleObject" Target="file:///C:\Users\Sophie%20FALL\Desktop\ENQUETES%202015\ESUB%202015\RAPPORT\graphs.xlsx" TargetMode="External"/><Relationship Id="rId1" Type="http://schemas.openxmlformats.org/officeDocument/2006/relationships/themeOverride" Target="../theme/themeOverride45.xml"/></Relationships>
</file>

<file path=word/charts/_rels/chart188.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189.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C:\Users\diop\Documents\TABLEAUX%20CROISES_PM__PCT_COLONNES_ADIOP%2003-09-15.xlsx" TargetMode="External"/><Relationship Id="rId1" Type="http://schemas.openxmlformats.org/officeDocument/2006/relationships/themeOverride" Target="../theme/themeOverride12.xml"/></Relationships>
</file>

<file path=word/charts/_rels/chart190.xml.rels><?xml version="1.0" encoding="UTF-8" standalone="yes"?>
<Relationships xmlns="http://schemas.openxmlformats.org/package/2006/relationships"><Relationship Id="rId2" Type="http://schemas.openxmlformats.org/officeDocument/2006/relationships/package" Target="../embeddings/Feuille_Microsoft_Office_Excel5.xlsx"/><Relationship Id="rId1" Type="http://schemas.openxmlformats.org/officeDocument/2006/relationships/themeOverride" Target="../theme/themeOverride46.xml"/></Relationships>
</file>

<file path=word/charts/_rels/chart191.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192.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193.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194.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195.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196.xml.rels><?xml version="1.0" encoding="UTF-8" standalone="yes"?>
<Relationships xmlns="http://schemas.openxmlformats.org/package/2006/relationships"><Relationship Id="rId2" Type="http://schemas.openxmlformats.org/officeDocument/2006/relationships/oleObject" Target="file:///K:\ESUB%202015\TABLEAUX%20DE%20FREQUENCE%20PERSONNES%20PHYSIQUES%2026-08-15.xlsx" TargetMode="External"/><Relationship Id="rId1" Type="http://schemas.openxmlformats.org/officeDocument/2006/relationships/themeOverride" Target="../theme/themeOverride47.xml"/></Relationships>
</file>

<file path=word/charts/_rels/chart197.xml.rels><?xml version="1.0" encoding="UTF-8" standalone="yes"?>
<Relationships xmlns="http://schemas.openxmlformats.org/package/2006/relationships"><Relationship Id="rId2" Type="http://schemas.openxmlformats.org/officeDocument/2006/relationships/oleObject" Target="file:///K:\ESUB%202015\TB%20CROISES%20P%20PHYSIQUES%20FNDIAYE%2030-09-15.xlsx" TargetMode="External"/><Relationship Id="rId1" Type="http://schemas.openxmlformats.org/officeDocument/2006/relationships/themeOverride" Target="../theme/themeOverride48.xml"/></Relationships>
</file>

<file path=word/charts/_rels/chart198.xml.rels><?xml version="1.0" encoding="UTF-8" standalone="yes"?>
<Relationships xmlns="http://schemas.openxmlformats.org/package/2006/relationships"><Relationship Id="rId2" Type="http://schemas.openxmlformats.org/officeDocument/2006/relationships/oleObject" Target="file:///K:\ESUB%202015\TABLEAUX%20DE%20FREQUENCE%20PERSONNES%20PHYSIQUES%2026-08-15.xlsx" TargetMode="External"/><Relationship Id="rId1" Type="http://schemas.openxmlformats.org/officeDocument/2006/relationships/themeOverride" Target="../theme/themeOverride49.xml"/></Relationships>
</file>

<file path=word/charts/_rels/chart199.xml.rels><?xml version="1.0" encoding="UTF-8" standalone="yes"?>
<Relationships xmlns="http://schemas.openxmlformats.org/package/2006/relationships"><Relationship Id="rId2" Type="http://schemas.openxmlformats.org/officeDocument/2006/relationships/oleObject" Target="file:///K:\ESUB%202015\TB%20CROISES%20P%20PHYSIQUES%20FNDIAYE%2030-09-15.xlsx" TargetMode="External"/><Relationship Id="rId1" Type="http://schemas.openxmlformats.org/officeDocument/2006/relationships/themeOverride" Target="../theme/themeOverride50.xml"/></Relationships>
</file>

<file path=word/charts/_rels/chart2.xml.rels><?xml version="1.0" encoding="UTF-8" standalone="yes"?>
<Relationships xmlns="http://schemas.openxmlformats.org/package/2006/relationships"><Relationship Id="rId2" Type="http://schemas.openxmlformats.org/officeDocument/2006/relationships/oleObject" Target="file:///D:\DONNEES%20TRAVAIL\OQSF\ENQU&#202;TES%20DE%20SATISFACTION\BANQUES\ESUB%202015\GRANDE%20ENQUETE\ANALYSE%20DES%20RESULTATS\PRESENTATION%20DES%20UNITES%20INTERROGEES%20PST\TABLEAUX%20et%20GRAPHIQUES%20PERSONNES%20MORALES%2016-09-15.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diop\Documents\TABLEAUX%20DE%20FREQUENCE%20PERSONNES%20MORALES%2026-08-15.xlsx" TargetMode="External"/><Relationship Id="rId1" Type="http://schemas.openxmlformats.org/officeDocument/2006/relationships/themeOverride" Target="../theme/themeOverride13.xml"/></Relationships>
</file>

<file path=word/charts/_rels/chart200.xml.rels><?xml version="1.0" encoding="UTF-8" standalone="yes"?>
<Relationships xmlns="http://schemas.openxmlformats.org/package/2006/relationships"><Relationship Id="rId2" Type="http://schemas.openxmlformats.org/officeDocument/2006/relationships/oleObject" Target="file:///K:\ESUB%202015\TB%20CROISES%20P%20PHYSIQUES%20FNDIAYE%2030-09-15.xlsx" TargetMode="External"/><Relationship Id="rId1" Type="http://schemas.openxmlformats.org/officeDocument/2006/relationships/themeOverride" Target="../theme/themeOverride51.xml"/></Relationships>
</file>

<file path=word/charts/_rels/chart201.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202.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203.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204.xml.rels><?xml version="1.0" encoding="UTF-8" standalone="yes"?>
<Relationships xmlns="http://schemas.openxmlformats.org/package/2006/relationships"><Relationship Id="rId2" Type="http://schemas.openxmlformats.org/officeDocument/2006/relationships/oleObject" Target="file:///K:\ESUB%202015\TABLEAUX%20DE%20FREQUENCE%20PERSONNES%20PHYSIQUES%2026-08-15.xlsx" TargetMode="External"/><Relationship Id="rId1" Type="http://schemas.openxmlformats.org/officeDocument/2006/relationships/themeOverride" Target="../theme/themeOverride52.xml"/></Relationships>
</file>

<file path=word/charts/_rels/chart205.xml.rels><?xml version="1.0" encoding="UTF-8" standalone="yes"?>
<Relationships xmlns="http://schemas.openxmlformats.org/package/2006/relationships"><Relationship Id="rId2" Type="http://schemas.openxmlformats.org/officeDocument/2006/relationships/oleObject" Target="file:///K:\ESUB%202015\TB%20CROISES%20P%20PHYSIQUES%20FNDIAYE%2030-09-15.xlsx" TargetMode="External"/><Relationship Id="rId1" Type="http://schemas.openxmlformats.org/officeDocument/2006/relationships/themeOverride" Target="../theme/themeOverride53.xml"/></Relationships>
</file>

<file path=word/charts/_rels/chart206.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207.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208.xml.rels><?xml version="1.0" encoding="UTF-8" standalone="yes"?>
<Relationships xmlns="http://schemas.openxmlformats.org/package/2006/relationships"><Relationship Id="rId2" Type="http://schemas.openxmlformats.org/officeDocument/2006/relationships/oleObject" Target="file:///K:\ESUB%202015\TABLEAUX%20DE%20FREQUENCE%20PERSONNES%20PHYSIQUES%2026-08-15.xlsx" TargetMode="External"/><Relationship Id="rId1" Type="http://schemas.openxmlformats.org/officeDocument/2006/relationships/themeOverride" Target="../theme/themeOverride54.xml"/></Relationships>
</file>

<file path=word/charts/_rels/chart209.xml.rels><?xml version="1.0" encoding="UTF-8" standalone="yes"?>
<Relationships xmlns="http://schemas.openxmlformats.org/package/2006/relationships"><Relationship Id="rId2" Type="http://schemas.openxmlformats.org/officeDocument/2006/relationships/oleObject" Target="file:///K:\ESUB%202015\TB%20CROISES%20P%20PHYSIQUES%20FNDIAYE%2030-09-15.xlsx" TargetMode="External"/><Relationship Id="rId1" Type="http://schemas.openxmlformats.org/officeDocument/2006/relationships/themeOverride" Target="../theme/themeOverride55.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diop\Documents\TABLEAUX%20CROISES_PM__PCT_COLONNES_ADIOP%2003-09-15.xlsx" TargetMode="External"/><Relationship Id="rId1" Type="http://schemas.openxmlformats.org/officeDocument/2006/relationships/themeOverride" Target="../theme/themeOverride14.xml"/></Relationships>
</file>

<file path=word/charts/_rels/chart210.xml.rels><?xml version="1.0" encoding="UTF-8" standalone="yes"?>
<Relationships xmlns="http://schemas.openxmlformats.org/package/2006/relationships"><Relationship Id="rId2" Type="http://schemas.openxmlformats.org/officeDocument/2006/relationships/oleObject" Target="file:///K:\ESUB%202015\TABLEAUX%20DE%20FREQUENCE%20PERSONNES%20PHYSIQUES%2026-08-15.xlsx" TargetMode="External"/><Relationship Id="rId1" Type="http://schemas.openxmlformats.org/officeDocument/2006/relationships/themeOverride" Target="../theme/themeOverride56.xml"/></Relationships>
</file>

<file path=word/charts/_rels/chart211.xml.rels><?xml version="1.0" encoding="UTF-8" standalone="yes"?>
<Relationships xmlns="http://schemas.openxmlformats.org/package/2006/relationships"><Relationship Id="rId2" Type="http://schemas.openxmlformats.org/officeDocument/2006/relationships/oleObject" Target="file:///K:\ESUB%202015\TB%20CROISES%20P%20PHYSIQUES%20FNDIAYE%2030-09-15.xlsx" TargetMode="External"/><Relationship Id="rId1" Type="http://schemas.openxmlformats.org/officeDocument/2006/relationships/themeOverride" Target="../theme/themeOverride57.xml"/></Relationships>
</file>

<file path=word/charts/_rels/chart212.xml.rels><?xml version="1.0" encoding="UTF-8" standalone="yes"?>
<Relationships xmlns="http://schemas.openxmlformats.org/package/2006/relationships"><Relationship Id="rId2" Type="http://schemas.openxmlformats.org/officeDocument/2006/relationships/oleObject" Target="file:///K:\ESUB%202015\TABLEAUX%20DE%20FREQUENCE%20PERSONNES%20PHYSIQUES%2026-08-15.xlsx" TargetMode="External"/><Relationship Id="rId1" Type="http://schemas.openxmlformats.org/officeDocument/2006/relationships/themeOverride" Target="../theme/themeOverride58.xml"/></Relationships>
</file>

<file path=word/charts/_rels/chart213.xml.rels><?xml version="1.0" encoding="UTF-8" standalone="yes"?>
<Relationships xmlns="http://schemas.openxmlformats.org/package/2006/relationships"><Relationship Id="rId2" Type="http://schemas.openxmlformats.org/officeDocument/2006/relationships/oleObject" Target="file:///K:\ESUB%202015\TABLEAUX%20DE%20FREQUENCE%20PERSONNES%20PHYSIQUES%2026-08-15.xlsx" TargetMode="External"/><Relationship Id="rId1" Type="http://schemas.openxmlformats.org/officeDocument/2006/relationships/themeOverride" Target="../theme/themeOverride59.xml"/></Relationships>
</file>

<file path=word/charts/_rels/chart214.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215.xml.rels><?xml version="1.0" encoding="UTF-8" standalone="yes"?>
<Relationships xmlns="http://schemas.openxmlformats.org/package/2006/relationships"><Relationship Id="rId2" Type="http://schemas.openxmlformats.org/officeDocument/2006/relationships/oleObject" Target="file:///K:\ESUB%202015\TABLEAUX%20DE%20FREQUENCE%20PERSONNES%20PHYSIQUES%2026-08-15.xlsx" TargetMode="External"/><Relationship Id="rId1" Type="http://schemas.openxmlformats.org/officeDocument/2006/relationships/themeOverride" Target="../theme/themeOverride60.xml"/></Relationships>
</file>

<file path=word/charts/_rels/chart216.xml.rels><?xml version="1.0" encoding="UTF-8" standalone="yes"?>
<Relationships xmlns="http://schemas.openxmlformats.org/package/2006/relationships"><Relationship Id="rId2" Type="http://schemas.openxmlformats.org/officeDocument/2006/relationships/oleObject" Target="file:///K:\ESUB%202015\TABLEAUX%20DE%20FREQUENCE%20PERSONNES%20PHYSIQUES%2026-08-15.xlsx" TargetMode="External"/><Relationship Id="rId1" Type="http://schemas.openxmlformats.org/officeDocument/2006/relationships/themeOverride" Target="../theme/themeOverride61.xml"/></Relationships>
</file>

<file path=word/charts/_rels/chart217.xml.rels><?xml version="1.0" encoding="UTF-8" standalone="yes"?>
<Relationships xmlns="http://schemas.openxmlformats.org/package/2006/relationships"><Relationship Id="rId1" Type="http://schemas.openxmlformats.org/officeDocument/2006/relationships/oleObject" Target="file:///C:\Users\Admin\Desktop\ESUB%202016%20-%20Indicateurs.xlsx" TargetMode="External"/></Relationships>
</file>

<file path=word/charts/_rels/chart218.xml.rels><?xml version="1.0" encoding="UTF-8" standalone="yes"?>
<Relationships xmlns="http://schemas.openxmlformats.org/package/2006/relationships"><Relationship Id="rId2" Type="http://schemas.openxmlformats.org/officeDocument/2006/relationships/oleObject" Target="file:///K:\ESUB%202015\TABLEAUX%20DE%20FREQUENCE%20PERSONNES%20PHYSIQUES%2026-08-15.xlsx" TargetMode="External"/><Relationship Id="rId1" Type="http://schemas.openxmlformats.org/officeDocument/2006/relationships/themeOverride" Target="../theme/themeOverride62.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diop\Documents\TABLEAUX%20DE%20FREQUENCE%20PERSONNES%20MORALES%2026-08-15.xlsx" TargetMode="External"/><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diop\Documents\TABLEAUX%20DE%20FREQUENCE%20PERSONNES%20MORALES%2026-08-15.xlsx" TargetMode="External"/><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diop\Documents\TABLEAUX%20CROISES_PM__PCT_COLONNES_ADIOP%2003-09-15.xlsx" TargetMode="External"/><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diop\Documents\TABLEAUX%20CROISES_PM__PCT_COLONNES_ADIOP%2003-09-15.xlsx" TargetMode="External"/><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diop\Documents\TABLEAUX%20CROISES_PM__PCT_COLONNES_ADIOP%2003-09-15.xlsx" TargetMode="External"/><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diop\Documents\TABLEAUX%20DE%20FREQUENCE%20PERSONNES%20MORALES%2026-08-15.xlsx" TargetMode="External"/><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diop\Documents\TABLEAUX%20CROISES_PM__PCT_COLONNES_ADIOP%2003-09-15.xlsx" TargetMode="External"/><Relationship Id="rId1" Type="http://schemas.openxmlformats.org/officeDocument/2006/relationships/themeOverride" Target="../theme/themeOverride21.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diop\Documents\TABLEAUX%20DE%20FREQUENCE%20PERSONNES%20MORALES%2026-08-15.xlsx" TargetMode="External"/><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Statistique%20ESUB.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Statistique%20ESUB.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C:\Users\diop\Documents\TABLEAUX%20DE%20FREQUENCE%20PERSONNES%20MORALES%2026-08-15.xlsx" TargetMode="External"/><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diop\Documents\TABLEAUX%20DE%20FREQUENCE%20PERSONNES%20MORALES%2026-08-15.xlsx" TargetMode="External"/><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diop\Documents\TABLEAUX%20CROISES_PM__PCT_COLONNES_ADIOP%2003-09-15.xlsx" TargetMode="External"/><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diop\Documents\TABLEAUX%20DE%20FREQUENCE%20PERSONNES%20MORALES%2026-08-15.xlsx" TargetMode="External"/><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1" Type="http://schemas.openxmlformats.org/officeDocument/2006/relationships/oleObject" Target="file:///D:\ESUB%202015\Statistiques\Statistique%20ESUB%20v02.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file:///C:\Users\diop\Documents\TABLEAUX%20DE%20FREQUENCE%20PERSONNES%20MORALES%2026-08-15.xlsx" TargetMode="External"/><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diop\Documents\TABLEAUX%20CROISES_PM__PCT_COLONNES_ADIOP%2003-09-15.xlsx" TargetMode="External"/><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diop\Documents\TABLEAUX%20DE%20FREQUENCE%20PERSONNES%20MORALES%2026-08-15.xlsx" TargetMode="External"/><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Statistiques%20ESUB%202015.xlsx"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C:\Users\diop\Documents\TABLEAUX%20CROISES_PM__PCT_COLONNES_ADIOP%2003-09-15.xlsx" TargetMode="External"/><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1" Type="http://schemas.openxmlformats.org/officeDocument/2006/relationships/oleObject" Target="file:///D:\Alphonse\ESUB%202015%20v03.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Statistiques%20ESUB%202015%20v0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Statistiques%20ESUB%202015%20v04.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Statistiques%20ESUB%202015%20v04.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OQSF\ESUB\Statistiques%20ESUB%202015%20v05.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Alphonse\Statistiques%20ESUB%202015%20v05.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Alphonse\Statistiques%20ESUB%202015%20v05A.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Statistiques%20ESUB%202015%20v05.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Alphonse\Statistiques%20ESUB%202015%20v05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Statistique%20ESUB.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Statistiques%20ESUB%202015%20v05.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Statistiques%20ESUB%202015%20v05.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Alphonse\Statistiques%20ESUB%202015%20v06.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Alphonse\Statistiques%20ESUB%202015%20v06.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Alphonse\Statistiques%20ESUB%202015%20v06.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Alphonse\Statistiques%20ESUB%202015%20v06B.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Alphonse\Statistiques%20ESUB%202015%20v06C.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Alphonse\Statistiques%20ESUB%202015%20v06C.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Alphonse\Statistiques%20ESUB%202015%20v06C.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Statistique%20ESUB.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5.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themeOverride" Target="../theme/themeOverride31.xml"/></Relationships>
</file>

<file path=word/charts/_rels/chart6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8.xml.rels><?xml version="1.0" encoding="UTF-8" standalone="yes"?>
<Relationships xmlns="http://schemas.openxmlformats.org/package/2006/relationships"><Relationship Id="rId2" Type="http://schemas.openxmlformats.org/officeDocument/2006/relationships/oleObject" Target="file:///C:\Users\Sophie%20FALL\AppData\Local\Microsoft\Windows\Temporary%20Internet%20Files\Content.Outlook\DXN60C4T\TABLEAUX%20COMPLENTAIRES%20PM%20POUR%20SNS%2014-09-15%20(3).xlsx" TargetMode="External"/><Relationship Id="rId1" Type="http://schemas.openxmlformats.org/officeDocument/2006/relationships/themeOverride" Target="../theme/themeOverride32.xml"/></Relationships>
</file>

<file path=word/charts/_rels/chart69.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DONNEES%20TRAVAIL\OQSF\ENQU&#202;TES%20DE%20SATISFACTION\BANQUES\ESUB%202015\GRANDE%20ENQUETE\ANALYSE%20DES%20RESULTATS\TABLEAUX%20A%20ANALYSER\PERSONNES%20MORALES\TABLEAUX%20DE%20FREQUENCE%20PERSONNES%20MORALES%2026-08-15.xlsx" TargetMode="External"/><Relationship Id="rId1" Type="http://schemas.openxmlformats.org/officeDocument/2006/relationships/themeOverride" Target="../theme/themeOverride2.xml"/></Relationships>
</file>

<file path=word/charts/_rels/chart70.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4.xml.rels><?xml version="1.0" encoding="UTF-8" standalone="yes"?>
<Relationships xmlns="http://schemas.openxmlformats.org/package/2006/relationships"><Relationship Id="rId2" Type="http://schemas.openxmlformats.org/officeDocument/2006/relationships/oleObject" Target="file:///C:\Users\Sophie%20FALL\Desktop\ENQUETES%202015\ESUB%202015\RAPPORT\TABLEAUX%20DE%20FREQUENCE%20PERSONNES%20MORALES%2026-08-15.xlsx" TargetMode="External"/><Relationship Id="rId1" Type="http://schemas.openxmlformats.org/officeDocument/2006/relationships/themeOverride" Target="../theme/themeOverride33.xml"/></Relationships>
</file>

<file path=word/charts/_rels/chart7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7.xml.rels><?xml version="1.0" encoding="UTF-8" standalone="yes"?>
<Relationships xmlns="http://schemas.openxmlformats.org/package/2006/relationships"><Relationship Id="rId2" Type="http://schemas.openxmlformats.org/officeDocument/2006/relationships/oleObject" Target="file:///C:\Users\Sophie%20FALL\Desktop\ENQUETES%202015\ESUB%202015\RAPPORT\TABLEAUX%20DE%20FREQUENCE%20PERSONNES%20MORALES%2026-08-15.xlsx" TargetMode="External"/><Relationship Id="rId1" Type="http://schemas.openxmlformats.org/officeDocument/2006/relationships/themeOverride" Target="../theme/themeOverride34.xml"/></Relationships>
</file>

<file path=word/charts/_rels/chart78.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I:\ADIOP\TABLEAUX%20CROISES_PM__PCT_COLONNES_ADIOP%2003-09-15.xlsx" TargetMode="External"/><Relationship Id="rId1" Type="http://schemas.openxmlformats.org/officeDocument/2006/relationships/themeOverride" Target="../theme/themeOverride3.xml"/></Relationships>
</file>

<file path=word/charts/_rels/chart80.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1.xml.rels><?xml version="1.0" encoding="UTF-8" standalone="yes"?>
<Relationships xmlns="http://schemas.openxmlformats.org/package/2006/relationships"><Relationship Id="rId2" Type="http://schemas.openxmlformats.org/officeDocument/2006/relationships/oleObject" Target="file:///K:\ESUB%202015\TB%20CROISES%20PERSONNES%20MORALES%20FNDIAYE%2001-10-15.xlsx" TargetMode="External"/><Relationship Id="rId1" Type="http://schemas.openxmlformats.org/officeDocument/2006/relationships/themeOverride" Target="../theme/themeOverride35.xml"/></Relationships>
</file>

<file path=word/charts/_rels/chart8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Alphonse\ESUB%202015%20v02.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91.xml.rels><?xml version="1.0" encoding="UTF-8" standalone="yes"?>
<Relationships xmlns="http://schemas.openxmlformats.org/package/2006/relationships"><Relationship Id="rId2" Type="http://schemas.openxmlformats.org/officeDocument/2006/relationships/oleObject" Target="file:///K:\ESUB%202015\TB%20CROISES%20PERSONNES%20MORALES%20FNDIAYE%2001-10-15.xlsx" TargetMode="External"/><Relationship Id="rId1" Type="http://schemas.openxmlformats.org/officeDocument/2006/relationships/themeOverride" Target="../theme/themeOverride36.xml"/></Relationships>
</file>

<file path=word/charts/_rels/chart9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C:\Users\Admin\Desktop\Statistiques%20ESUB%202015%20v06.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Users\Admin\Desktop\Statistiques%20ESUB%202015%20v06.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Users\Admin\Desktop\Statistiques%20ESUB%202015%20v06.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Users\Admin\Desktop\Statistiques%20ESUB%202015%20v06.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Users\Admin\Desktop\Statistiques%20ESUB%202015%20v06.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Users\Admin\Desktop\Statistiques%20ESUB%202015%20v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explosion val="25"/>
          <c:dLbls>
            <c:dLbl>
              <c:idx val="0"/>
              <c:layout>
                <c:manualLayout>
                  <c:x val="-5.8172728408948923E-2"/>
                  <c:y val="0.23422399996566853"/>
                </c:manualLayout>
              </c:layout>
              <c:showCatName val="1"/>
              <c:showPercent val="1"/>
              <c:extLst>
                <c:ext xmlns:c15="http://schemas.microsoft.com/office/drawing/2012/chart" uri="{CE6537A1-D6FC-4f65-9D91-7224C49458BB}">
                  <c15:layout/>
                </c:ext>
              </c:extLst>
            </c:dLbl>
            <c:spPr>
              <a:noFill/>
              <a:ln>
                <a:noFill/>
              </a:ln>
              <a:effectLst/>
            </c:spPr>
            <c:txPr>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15:layout/>
              </c:ext>
            </c:extLst>
          </c:dLbls>
          <c:cat>
            <c:strRef>
              <c:f>Feuil1!$B$90:$B$103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Feuil1!$C$90:$C$103</c:f>
              <c:numCache>
                <c:formatCode>###0</c:formatCode>
                <c:ptCount val="14"/>
                <c:pt idx="0">
                  <c:v>1056</c:v>
                </c:pt>
                <c:pt idx="1">
                  <c:v>76</c:v>
                </c:pt>
                <c:pt idx="2">
                  <c:v>40</c:v>
                </c:pt>
                <c:pt idx="3">
                  <c:v>34</c:v>
                </c:pt>
                <c:pt idx="4">
                  <c:v>62</c:v>
                </c:pt>
                <c:pt idx="5">
                  <c:v>82</c:v>
                </c:pt>
                <c:pt idx="6">
                  <c:v>63</c:v>
                </c:pt>
                <c:pt idx="7">
                  <c:v>43</c:v>
                </c:pt>
                <c:pt idx="8">
                  <c:v>41</c:v>
                </c:pt>
                <c:pt idx="9">
                  <c:v>81</c:v>
                </c:pt>
                <c:pt idx="10">
                  <c:v>47</c:v>
                </c:pt>
                <c:pt idx="11">
                  <c:v>62</c:v>
                </c:pt>
                <c:pt idx="12">
                  <c:v>90</c:v>
                </c:pt>
                <c:pt idx="13">
                  <c:v>97</c:v>
                </c:pt>
              </c:numCache>
            </c:numRef>
          </c:val>
        </c:ser>
        <c:dLbls>
          <c:showCatName val="1"/>
          <c:showPercent val="1"/>
        </c:dLbls>
      </c:pie3DChart>
    </c:plotArea>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Feuil2!$A$3</c:f>
              <c:strCache>
                <c:ptCount val="1"/>
                <c:pt idx="0">
                  <c:v>Oui, 1 fois</c:v>
                </c:pt>
              </c:strCache>
            </c:strRef>
          </c:tx>
          <c:dLbls>
            <c:spPr>
              <a:noFill/>
              <a:ln>
                <a:noFill/>
              </a:ln>
              <a:effectLst/>
            </c:spPr>
            <c:txPr>
              <a:bodyPr/>
              <a:lstStyle/>
              <a:p>
                <a:pPr>
                  <a:defRPr sz="7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Feuil2!$B$2:$F$2</c:f>
              <c:strCache>
                <c:ptCount val="5"/>
                <c:pt idx="0">
                  <c:v>SARL</c:v>
                </c:pt>
                <c:pt idx="1">
                  <c:v>SU</c:v>
                </c:pt>
                <c:pt idx="2">
                  <c:v>SA</c:v>
                </c:pt>
                <c:pt idx="3">
                  <c:v>SNC</c:v>
                </c:pt>
                <c:pt idx="4">
                  <c:v>GIE</c:v>
                </c:pt>
              </c:strCache>
            </c:strRef>
          </c:cat>
          <c:val>
            <c:numRef>
              <c:f>Feuil2!$B$3:$F$3</c:f>
              <c:numCache>
                <c:formatCode>###0.0%</c:formatCode>
                <c:ptCount val="5"/>
                <c:pt idx="0">
                  <c:v>0.17873303167421248</c:v>
                </c:pt>
                <c:pt idx="1">
                  <c:v>0.1518248175182482</c:v>
                </c:pt>
                <c:pt idx="2">
                  <c:v>0.14285714285714801</c:v>
                </c:pt>
                <c:pt idx="4">
                  <c:v>7.3770491803279034E-2</c:v>
                </c:pt>
              </c:numCache>
            </c:numRef>
          </c:val>
        </c:ser>
        <c:ser>
          <c:idx val="1"/>
          <c:order val="1"/>
          <c:tx>
            <c:strRef>
              <c:f>Feuil2!$A$4</c:f>
              <c:strCache>
                <c:ptCount val="1"/>
                <c:pt idx="0">
                  <c:v>Oui, 2 fois</c:v>
                </c:pt>
              </c:strCache>
            </c:strRef>
          </c:tx>
          <c:dLbls>
            <c:dLbl>
              <c:idx val="4"/>
              <c:layout>
                <c:manualLayout>
                  <c:x val="1.5717487202005123E-2"/>
                  <c:y val="0"/>
                </c:manualLayout>
              </c:layout>
              <c:showVal val="1"/>
              <c:extLst>
                <c:ext xmlns:c15="http://schemas.microsoft.com/office/drawing/2012/chart" uri="{CE6537A1-D6FC-4f65-9D91-7224C49458BB}"/>
              </c:extLst>
            </c:dLbl>
            <c:spPr>
              <a:noFill/>
              <a:ln>
                <a:noFill/>
              </a:ln>
              <a:effectLst/>
            </c:spPr>
            <c:txPr>
              <a:bodyPr/>
              <a:lstStyle/>
              <a:p>
                <a:pPr>
                  <a:defRPr sz="800" b="1"/>
                </a:pPr>
                <a:endParaRPr lang="fr-FR"/>
              </a:p>
            </c:txPr>
            <c:showVal val="1"/>
            <c:extLst>
              <c:ext xmlns:c15="http://schemas.microsoft.com/office/drawing/2012/chart" uri="{CE6537A1-D6FC-4f65-9D91-7224C49458BB}">
                <c15:showLeaderLines val="0"/>
              </c:ext>
            </c:extLst>
          </c:dLbls>
          <c:cat>
            <c:strRef>
              <c:f>Feuil2!$B$2:$F$2</c:f>
              <c:strCache>
                <c:ptCount val="5"/>
                <c:pt idx="0">
                  <c:v>SARL</c:v>
                </c:pt>
                <c:pt idx="1">
                  <c:v>SU</c:v>
                </c:pt>
                <c:pt idx="2">
                  <c:v>SA</c:v>
                </c:pt>
                <c:pt idx="3">
                  <c:v>SNC</c:v>
                </c:pt>
                <c:pt idx="4">
                  <c:v>GIE</c:v>
                </c:pt>
              </c:strCache>
            </c:strRef>
          </c:cat>
          <c:val>
            <c:numRef>
              <c:f>Feuil2!$B$4:$F$4</c:f>
              <c:numCache>
                <c:formatCode>###0.0%</c:formatCode>
                <c:ptCount val="5"/>
                <c:pt idx="0">
                  <c:v>4.2986425339367022E-2</c:v>
                </c:pt>
                <c:pt idx="1">
                  <c:v>1.6058394160583942E-2</c:v>
                </c:pt>
                <c:pt idx="2">
                  <c:v>4.4334975369458129E-2</c:v>
                </c:pt>
                <c:pt idx="4" formatCode="####.0%">
                  <c:v>4.0983606557377103E-3</c:v>
                </c:pt>
              </c:numCache>
            </c:numRef>
          </c:val>
        </c:ser>
        <c:ser>
          <c:idx val="2"/>
          <c:order val="2"/>
          <c:tx>
            <c:strRef>
              <c:f>Feuil2!$A$5</c:f>
              <c:strCache>
                <c:ptCount val="1"/>
                <c:pt idx="0">
                  <c:v>Oui, plus de 2 fois</c:v>
                </c:pt>
              </c:strCache>
            </c:strRef>
          </c:tx>
          <c:dLbls>
            <c:dLbl>
              <c:idx val="0"/>
              <c:layout>
                <c:manualLayout>
                  <c:x val="6.2869948808020534E-3"/>
                  <c:y val="-7.4998660738202133E-2"/>
                </c:manualLayout>
              </c:layout>
              <c:showVal val="1"/>
              <c:extLst>
                <c:ext xmlns:c15="http://schemas.microsoft.com/office/drawing/2012/chart" uri="{CE6537A1-D6FC-4f65-9D91-7224C49458BB}"/>
              </c:extLst>
            </c:dLbl>
            <c:dLbl>
              <c:idx val="1"/>
              <c:layout>
                <c:manualLayout>
                  <c:x val="0"/>
                  <c:y val="-7.4998660738202133E-2"/>
                </c:manualLayout>
              </c:layout>
              <c:showVal val="1"/>
              <c:extLst>
                <c:ext xmlns:c15="http://schemas.microsoft.com/office/drawing/2012/chart" uri="{CE6537A1-D6FC-4f65-9D91-7224C49458BB}"/>
              </c:extLst>
            </c:dLbl>
            <c:dLbl>
              <c:idx val="2"/>
              <c:layout>
                <c:manualLayout>
                  <c:x val="0"/>
                  <c:y val="-6.4284566347029518E-2"/>
                </c:manualLayout>
              </c:layout>
              <c:showVal val="1"/>
              <c:extLst>
                <c:ext xmlns:c15="http://schemas.microsoft.com/office/drawing/2012/chart" uri="{CE6537A1-D6FC-4f65-9D91-7224C49458BB}"/>
              </c:extLst>
            </c:dLbl>
            <c:spPr>
              <a:noFill/>
              <a:ln>
                <a:noFill/>
              </a:ln>
              <a:effectLst/>
            </c:spPr>
            <c:txPr>
              <a:bodyPr/>
              <a:lstStyle/>
              <a:p>
                <a:pPr>
                  <a:defRPr sz="800" b="1"/>
                </a:pPr>
                <a:endParaRPr lang="fr-FR"/>
              </a:p>
            </c:txPr>
            <c:showVal val="1"/>
            <c:extLst>
              <c:ext xmlns:c15="http://schemas.microsoft.com/office/drawing/2012/chart" uri="{CE6537A1-D6FC-4f65-9D91-7224C49458BB}">
                <c15:showLeaderLines val="0"/>
              </c:ext>
            </c:extLst>
          </c:dLbls>
          <c:cat>
            <c:strRef>
              <c:f>Feuil2!$B$2:$F$2</c:f>
              <c:strCache>
                <c:ptCount val="5"/>
                <c:pt idx="0">
                  <c:v>SARL</c:v>
                </c:pt>
                <c:pt idx="1">
                  <c:v>SU</c:v>
                </c:pt>
                <c:pt idx="2">
                  <c:v>SA</c:v>
                </c:pt>
                <c:pt idx="3">
                  <c:v>SNC</c:v>
                </c:pt>
                <c:pt idx="4">
                  <c:v>GIE</c:v>
                </c:pt>
              </c:strCache>
            </c:strRef>
          </c:cat>
          <c:val>
            <c:numRef>
              <c:f>Feuil2!$B$5:$F$5</c:f>
              <c:numCache>
                <c:formatCode>####.0%</c:formatCode>
                <c:ptCount val="5"/>
                <c:pt idx="0" formatCode="###0.0%">
                  <c:v>1.1312217194570134E-2</c:v>
                </c:pt>
                <c:pt idx="1">
                  <c:v>5.8394160583941914E-3</c:v>
                </c:pt>
                <c:pt idx="2" formatCode="###0.0%">
                  <c:v>2.9556650246305397E-2</c:v>
                </c:pt>
              </c:numCache>
            </c:numRef>
          </c:val>
        </c:ser>
        <c:ser>
          <c:idx val="3"/>
          <c:order val="3"/>
          <c:tx>
            <c:strRef>
              <c:f>Feuil2!$A$6</c:f>
              <c:strCache>
                <c:ptCount val="1"/>
                <c:pt idx="0">
                  <c:v>Non</c:v>
                </c:pt>
              </c:strCache>
            </c:strRef>
          </c:tx>
          <c:dLbls>
            <c:spPr>
              <a:noFill/>
              <a:ln>
                <a:noFill/>
              </a:ln>
              <a:effectLst/>
            </c:spPr>
            <c:txPr>
              <a:bodyPr/>
              <a:lstStyle/>
              <a:p>
                <a:pPr>
                  <a:defRPr sz="7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Feuil2!$B$2:$F$2</c:f>
              <c:strCache>
                <c:ptCount val="5"/>
                <c:pt idx="0">
                  <c:v>SARL</c:v>
                </c:pt>
                <c:pt idx="1">
                  <c:v>SU</c:v>
                </c:pt>
                <c:pt idx="2">
                  <c:v>SA</c:v>
                </c:pt>
                <c:pt idx="3">
                  <c:v>SNC</c:v>
                </c:pt>
                <c:pt idx="4">
                  <c:v>GIE</c:v>
                </c:pt>
              </c:strCache>
            </c:strRef>
          </c:cat>
          <c:val>
            <c:numRef>
              <c:f>Feuil2!$B$6:$F$6</c:f>
              <c:numCache>
                <c:formatCode>###0.0%</c:formatCode>
                <c:ptCount val="5"/>
                <c:pt idx="0">
                  <c:v>0.76696832579185459</c:v>
                </c:pt>
                <c:pt idx="1">
                  <c:v>0.82627737226277465</c:v>
                </c:pt>
                <c:pt idx="2">
                  <c:v>0.78325123152709364</c:v>
                </c:pt>
                <c:pt idx="3">
                  <c:v>1</c:v>
                </c:pt>
                <c:pt idx="4">
                  <c:v>0.92213114754098369</c:v>
                </c:pt>
              </c:numCache>
            </c:numRef>
          </c:val>
        </c:ser>
        <c:shape val="cylinder"/>
        <c:axId val="229111680"/>
        <c:axId val="229418496"/>
        <c:axId val="0"/>
      </c:bar3DChart>
      <c:catAx>
        <c:axId val="229111680"/>
        <c:scaling>
          <c:orientation val="minMax"/>
        </c:scaling>
        <c:axPos val="b"/>
        <c:numFmt formatCode="General" sourceLinked="0"/>
        <c:tickLblPos val="nextTo"/>
        <c:txPr>
          <a:bodyPr/>
          <a:lstStyle/>
          <a:p>
            <a:pPr>
              <a:defRPr sz="700">
                <a:latin typeface="Book Antiqua" pitchFamily="18" charset="0"/>
              </a:defRPr>
            </a:pPr>
            <a:endParaRPr lang="fr-FR"/>
          </a:p>
        </c:txPr>
        <c:crossAx val="229418496"/>
        <c:crosses val="autoZero"/>
        <c:auto val="1"/>
        <c:lblAlgn val="ctr"/>
        <c:lblOffset val="100"/>
      </c:catAx>
      <c:valAx>
        <c:axId val="229418496"/>
        <c:scaling>
          <c:orientation val="minMax"/>
        </c:scaling>
        <c:axPos val="l"/>
        <c:majorGridlines/>
        <c:numFmt formatCode="0%" sourceLinked="0"/>
        <c:tickLblPos val="nextTo"/>
        <c:txPr>
          <a:bodyPr/>
          <a:lstStyle/>
          <a:p>
            <a:pPr>
              <a:defRPr sz="700"/>
            </a:pPr>
            <a:endParaRPr lang="fr-FR"/>
          </a:p>
        </c:txPr>
        <c:crossAx val="229111680"/>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2"/>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21211439195100854"/>
          <c:y val="5.0925925925925923E-2"/>
          <c:w val="0.71573337707786522"/>
          <c:h val="0.68494604841061535"/>
        </c:manualLayout>
      </c:layout>
      <c:bar3DChart>
        <c:barDir val="bar"/>
        <c:grouping val="percentStacked"/>
        <c:ser>
          <c:idx val="0"/>
          <c:order val="0"/>
          <c:tx>
            <c:strRef>
              <c:f>Conseiller!$B$184</c:f>
              <c:strCache>
                <c:ptCount val="1"/>
                <c:pt idx="0">
                  <c:v>Très satisfait</c:v>
                </c:pt>
              </c:strCache>
            </c:strRef>
          </c:tx>
          <c:spPr>
            <a:solidFill>
              <a:srgbClr val="00B050"/>
            </a:solidFill>
          </c:spPr>
          <c:cat>
            <c:strRef>
              <c:f>Conseiller!$C$183:$J$183</c:f>
              <c:strCache>
                <c:ptCount val="8"/>
                <c:pt idx="0">
                  <c:v>Industrie</c:v>
                </c:pt>
                <c:pt idx="1">
                  <c:v>Commerce</c:v>
                </c:pt>
                <c:pt idx="2">
                  <c:v>BTP</c:v>
                </c:pt>
                <c:pt idx="3">
                  <c:v>Services</c:v>
                </c:pt>
                <c:pt idx="4">
                  <c:v>Agriculture</c:v>
                </c:pt>
                <c:pt idx="5">
                  <c:v>Artisanat</c:v>
                </c:pt>
                <c:pt idx="6">
                  <c:v>Administration</c:v>
                </c:pt>
                <c:pt idx="7">
                  <c:v>Autre </c:v>
                </c:pt>
              </c:strCache>
            </c:strRef>
          </c:cat>
          <c:val>
            <c:numRef>
              <c:f>Conseiller!$C$184:$J$184</c:f>
              <c:numCache>
                <c:formatCode>0.0%</c:formatCode>
                <c:ptCount val="8"/>
                <c:pt idx="0">
                  <c:v>2.9411764705882353E-2</c:v>
                </c:pt>
                <c:pt idx="1">
                  <c:v>4.6874999999999986E-2</c:v>
                </c:pt>
                <c:pt idx="2">
                  <c:v>2.803738317757062E-2</c:v>
                </c:pt>
                <c:pt idx="3">
                  <c:v>4.6464646464646493E-2</c:v>
                </c:pt>
                <c:pt idx="4">
                  <c:v>1.3888888888889148E-2</c:v>
                </c:pt>
                <c:pt idx="5">
                  <c:v>3.5714285714285712E-2</c:v>
                </c:pt>
                <c:pt idx="6">
                  <c:v>0</c:v>
                </c:pt>
                <c:pt idx="7">
                  <c:v>1.3888888888889148E-2</c:v>
                </c:pt>
              </c:numCache>
            </c:numRef>
          </c:val>
        </c:ser>
        <c:ser>
          <c:idx val="1"/>
          <c:order val="1"/>
          <c:tx>
            <c:strRef>
              <c:f>Conseiller!$B$185</c:f>
              <c:strCache>
                <c:ptCount val="1"/>
                <c:pt idx="0">
                  <c:v>Satisfait</c:v>
                </c:pt>
              </c:strCache>
            </c:strRef>
          </c:tx>
          <c:spPr>
            <a:solidFill>
              <a:srgbClr val="92D050"/>
            </a:solidFill>
          </c:spPr>
          <c:cat>
            <c:strRef>
              <c:f>Conseiller!$C$183:$J$183</c:f>
              <c:strCache>
                <c:ptCount val="8"/>
                <c:pt idx="0">
                  <c:v>Industrie</c:v>
                </c:pt>
                <c:pt idx="1">
                  <c:v>Commerce</c:v>
                </c:pt>
                <c:pt idx="2">
                  <c:v>BTP</c:v>
                </c:pt>
                <c:pt idx="3">
                  <c:v>Services</c:v>
                </c:pt>
                <c:pt idx="4">
                  <c:v>Agriculture</c:v>
                </c:pt>
                <c:pt idx="5">
                  <c:v>Artisanat</c:v>
                </c:pt>
                <c:pt idx="6">
                  <c:v>Administration</c:v>
                </c:pt>
                <c:pt idx="7">
                  <c:v>Autre </c:v>
                </c:pt>
              </c:strCache>
            </c:strRef>
          </c:cat>
          <c:val>
            <c:numRef>
              <c:f>Conseiller!$C$185:$J$185</c:f>
              <c:numCache>
                <c:formatCode>0.0%</c:formatCode>
                <c:ptCount val="8"/>
                <c:pt idx="0">
                  <c:v>0.73529411764705965</c:v>
                </c:pt>
                <c:pt idx="1">
                  <c:v>0.69218749999999996</c:v>
                </c:pt>
                <c:pt idx="2">
                  <c:v>0.68224299065420568</c:v>
                </c:pt>
                <c:pt idx="3">
                  <c:v>0.72929292929292133</c:v>
                </c:pt>
                <c:pt idx="4">
                  <c:v>0.55555555555555569</c:v>
                </c:pt>
                <c:pt idx="5">
                  <c:v>0.67857142857143882</c:v>
                </c:pt>
                <c:pt idx="6">
                  <c:v>0.71428571428571463</c:v>
                </c:pt>
                <c:pt idx="7">
                  <c:v>0.56944444444444464</c:v>
                </c:pt>
              </c:numCache>
            </c:numRef>
          </c:val>
        </c:ser>
        <c:ser>
          <c:idx val="2"/>
          <c:order val="2"/>
          <c:tx>
            <c:strRef>
              <c:f>Conseiller!$B$186</c:f>
              <c:strCache>
                <c:ptCount val="1"/>
                <c:pt idx="0">
                  <c:v>Pas Satisfait</c:v>
                </c:pt>
              </c:strCache>
            </c:strRef>
          </c:tx>
          <c:spPr>
            <a:solidFill>
              <a:schemeClr val="accent6">
                <a:lumMod val="75000"/>
              </a:schemeClr>
            </a:solidFill>
          </c:spPr>
          <c:cat>
            <c:strRef>
              <c:f>Conseiller!$C$183:$J$183</c:f>
              <c:strCache>
                <c:ptCount val="8"/>
                <c:pt idx="0">
                  <c:v>Industrie</c:v>
                </c:pt>
                <c:pt idx="1">
                  <c:v>Commerce</c:v>
                </c:pt>
                <c:pt idx="2">
                  <c:v>BTP</c:v>
                </c:pt>
                <c:pt idx="3">
                  <c:v>Services</c:v>
                </c:pt>
                <c:pt idx="4">
                  <c:v>Agriculture</c:v>
                </c:pt>
                <c:pt idx="5">
                  <c:v>Artisanat</c:v>
                </c:pt>
                <c:pt idx="6">
                  <c:v>Administration</c:v>
                </c:pt>
                <c:pt idx="7">
                  <c:v>Autre </c:v>
                </c:pt>
              </c:strCache>
            </c:strRef>
          </c:cat>
          <c:val>
            <c:numRef>
              <c:f>Conseiller!$C$186:$J$186</c:f>
              <c:numCache>
                <c:formatCode>0.0%</c:formatCode>
                <c:ptCount val="8"/>
                <c:pt idx="0">
                  <c:v>0.22058823529411764</c:v>
                </c:pt>
                <c:pt idx="1">
                  <c:v>0.18125000000000024</c:v>
                </c:pt>
                <c:pt idx="2">
                  <c:v>0.1495327102803739</c:v>
                </c:pt>
                <c:pt idx="3">
                  <c:v>0.16969696969696971</c:v>
                </c:pt>
                <c:pt idx="4">
                  <c:v>0.33333333333333331</c:v>
                </c:pt>
                <c:pt idx="5">
                  <c:v>0.19642857142857137</c:v>
                </c:pt>
                <c:pt idx="6">
                  <c:v>0.28571428571429164</c:v>
                </c:pt>
                <c:pt idx="7">
                  <c:v>0.29166666666667185</c:v>
                </c:pt>
              </c:numCache>
            </c:numRef>
          </c:val>
        </c:ser>
        <c:ser>
          <c:idx val="3"/>
          <c:order val="3"/>
          <c:tx>
            <c:strRef>
              <c:f>Conseiller!$B$187</c:f>
              <c:strCache>
                <c:ptCount val="1"/>
                <c:pt idx="0">
                  <c:v>Pas du tout Satisfait</c:v>
                </c:pt>
              </c:strCache>
            </c:strRef>
          </c:tx>
          <c:spPr>
            <a:solidFill>
              <a:srgbClr val="FF0000"/>
            </a:solidFill>
          </c:spPr>
          <c:cat>
            <c:strRef>
              <c:f>Conseiller!$C$183:$J$183</c:f>
              <c:strCache>
                <c:ptCount val="8"/>
                <c:pt idx="0">
                  <c:v>Industrie</c:v>
                </c:pt>
                <c:pt idx="1">
                  <c:v>Commerce</c:v>
                </c:pt>
                <c:pt idx="2">
                  <c:v>BTP</c:v>
                </c:pt>
                <c:pt idx="3">
                  <c:v>Services</c:v>
                </c:pt>
                <c:pt idx="4">
                  <c:v>Agriculture</c:v>
                </c:pt>
                <c:pt idx="5">
                  <c:v>Artisanat</c:v>
                </c:pt>
                <c:pt idx="6">
                  <c:v>Administration</c:v>
                </c:pt>
                <c:pt idx="7">
                  <c:v>Autre </c:v>
                </c:pt>
              </c:strCache>
            </c:strRef>
          </c:cat>
          <c:val>
            <c:numRef>
              <c:f>Conseiller!$C$187:$J$187</c:f>
              <c:numCache>
                <c:formatCode>0.0%</c:formatCode>
                <c:ptCount val="8"/>
                <c:pt idx="0">
                  <c:v>1.4705882352941176E-2</c:v>
                </c:pt>
                <c:pt idx="1">
                  <c:v>7.9687499999999994E-2</c:v>
                </c:pt>
                <c:pt idx="2">
                  <c:v>0.14018691588785046</c:v>
                </c:pt>
                <c:pt idx="3">
                  <c:v>5.4545454545454515E-2</c:v>
                </c:pt>
                <c:pt idx="4">
                  <c:v>9.7222222222222224E-2</c:v>
                </c:pt>
                <c:pt idx="5">
                  <c:v>8.9285714285713982E-2</c:v>
                </c:pt>
                <c:pt idx="6">
                  <c:v>0</c:v>
                </c:pt>
                <c:pt idx="7">
                  <c:v>0.125</c:v>
                </c:pt>
              </c:numCache>
            </c:numRef>
          </c:val>
        </c:ser>
        <c:shape val="cylinder"/>
        <c:axId val="216347008"/>
        <c:axId val="216348544"/>
        <c:axId val="0"/>
      </c:bar3DChart>
      <c:catAx>
        <c:axId val="216347008"/>
        <c:scaling>
          <c:orientation val="minMax"/>
        </c:scaling>
        <c:axPos val="l"/>
        <c:numFmt formatCode="General" sourceLinked="0"/>
        <c:tickLblPos val="nextTo"/>
        <c:txPr>
          <a:bodyPr/>
          <a:lstStyle/>
          <a:p>
            <a:pPr>
              <a:defRPr sz="800" b="1">
                <a:latin typeface="Book Antiqua" pitchFamily="18" charset="0"/>
              </a:defRPr>
            </a:pPr>
            <a:endParaRPr lang="fr-FR"/>
          </a:p>
        </c:txPr>
        <c:crossAx val="216348544"/>
        <c:crosses val="autoZero"/>
        <c:auto val="1"/>
        <c:lblAlgn val="ctr"/>
        <c:lblOffset val="100"/>
      </c:catAx>
      <c:valAx>
        <c:axId val="216348544"/>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6347008"/>
        <c:crosses val="autoZero"/>
        <c:crossBetween val="between"/>
      </c:valAx>
    </c:plotArea>
    <c:legend>
      <c:legendPos val="r"/>
      <c:layout>
        <c:manualLayout>
          <c:xMode val="edge"/>
          <c:yMode val="edge"/>
          <c:x val="3.3903324584427012E-2"/>
          <c:y val="0.83256561679790031"/>
          <c:w val="0.94943000874890637"/>
          <c:h val="0.11727617381160826"/>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9732305336832898"/>
          <c:y val="0.11147090988626421"/>
          <c:w val="0.4053541119860069"/>
          <c:h val="0.67559018664334658"/>
        </c:manualLayout>
      </c:layout>
      <c:pieChart>
        <c:varyColors val="1"/>
        <c:ser>
          <c:idx val="0"/>
          <c:order val="0"/>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numFmt formatCode="0.0%" sourceLinked="0"/>
            <c:spPr>
              <a:noFill/>
              <a:ln>
                <a:noFill/>
              </a:ln>
              <a:effectLst/>
            </c:spPr>
            <c:txPr>
              <a:bodyPr/>
              <a:lstStyle/>
              <a:p>
                <a:pPr>
                  <a:defRPr b="1">
                    <a:latin typeface="Book Antiqua" pitchFamily="18" charset="0"/>
                  </a:defRPr>
                </a:pPr>
                <a:endParaRPr lang="fr-FR"/>
              </a:p>
            </c:txPr>
            <c:showPercent val="1"/>
            <c:showLeaderLines val="1"/>
            <c:extLst>
              <c:ext xmlns:c15="http://schemas.microsoft.com/office/drawing/2012/chart" uri="{CE6537A1-D6FC-4f65-9D91-7224C49458BB}"/>
            </c:extLst>
          </c:dLbls>
          <c:cat>
            <c:strRef>
              <c:f>Feuil5!$I$3:$I$6</c:f>
              <c:strCache>
                <c:ptCount val="4"/>
                <c:pt idx="0">
                  <c:v>Très courtois</c:v>
                </c:pt>
                <c:pt idx="1">
                  <c:v>Courtois</c:v>
                </c:pt>
                <c:pt idx="2">
                  <c:v>Discourtois</c:v>
                </c:pt>
                <c:pt idx="3">
                  <c:v>Très discourtois</c:v>
                </c:pt>
              </c:strCache>
            </c:strRef>
          </c:cat>
          <c:val>
            <c:numRef>
              <c:f>Feuil5!$J$3:$J$6</c:f>
              <c:numCache>
                <c:formatCode>0.0%</c:formatCode>
                <c:ptCount val="4"/>
                <c:pt idx="0">
                  <c:v>9.3383137673425459E-2</c:v>
                </c:pt>
                <c:pt idx="1">
                  <c:v>0.83030949839915635</c:v>
                </c:pt>
                <c:pt idx="2">
                  <c:v>6.7769477054430607E-2</c:v>
                </c:pt>
                <c:pt idx="3">
                  <c:v>8.5378868729991068E-3</c:v>
                </c:pt>
              </c:numCache>
            </c:numRef>
          </c:val>
        </c:ser>
        <c:dLbls>
          <c:showPercent val="1"/>
        </c:dLbls>
        <c:firstSliceAng val="0"/>
      </c:pieChart>
    </c:plotArea>
    <c:legend>
      <c:legendPos val="t"/>
      <c:layout>
        <c:manualLayout>
          <c:xMode val="edge"/>
          <c:yMode val="edge"/>
          <c:x val="0.13861548556430847"/>
          <c:y val="0.87962962962964386"/>
          <c:w val="0.80054680664918321"/>
          <c:h val="8.3717191601050026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5882642576654671"/>
          <c:y val="3.177232083277727E-2"/>
          <c:w val="0.78897210523103156"/>
          <c:h val="0.7779026879800266"/>
        </c:manualLayout>
      </c:layout>
      <c:bar3DChart>
        <c:barDir val="bar"/>
        <c:grouping val="percentStacked"/>
        <c:ser>
          <c:idx val="0"/>
          <c:order val="0"/>
          <c:tx>
            <c:strRef>
              <c:f>TB_CROISES_PM_FNDIAYE!$B$1192</c:f>
              <c:strCache>
                <c:ptCount val="1"/>
                <c:pt idx="0">
                  <c:v>Très courtois</c:v>
                </c:pt>
              </c:strCache>
            </c:strRef>
          </c:tx>
          <c:spPr>
            <a:solidFill>
              <a:srgbClr val="00B050"/>
            </a:solidFill>
          </c:spPr>
          <c:cat>
            <c:strRef>
              <c:f>TB_CROISES_PM_FNDIAYE!$C$1191:$P$1191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TB_CROISES_PM_FNDIAYE!$C$1192:$P$1192</c:f>
              <c:numCache>
                <c:formatCode>General</c:formatCode>
                <c:ptCount val="14"/>
                <c:pt idx="0" formatCode="###0.0%">
                  <c:v>9.9431818181818246E-2</c:v>
                </c:pt>
                <c:pt idx="2" formatCode="###0.0%">
                  <c:v>7.5000000000000011E-2</c:v>
                </c:pt>
                <c:pt idx="4" formatCode="###0.0%">
                  <c:v>3.225806451613001E-2</c:v>
                </c:pt>
                <c:pt idx="5" formatCode="###0.0%">
                  <c:v>9.7560975609756226E-2</c:v>
                </c:pt>
                <c:pt idx="6" formatCode="###0.0%">
                  <c:v>1.5873015873015879E-2</c:v>
                </c:pt>
                <c:pt idx="7" formatCode="###0.0%">
                  <c:v>0.23255813953488391</c:v>
                </c:pt>
                <c:pt idx="8" formatCode="###0.0%">
                  <c:v>0.12195121951219511</c:v>
                </c:pt>
                <c:pt idx="9" formatCode="###0.0%">
                  <c:v>0.13580246913580246</c:v>
                </c:pt>
                <c:pt idx="10" formatCode="###0.0%">
                  <c:v>8.5106382978723707E-2</c:v>
                </c:pt>
                <c:pt idx="11" formatCode="###0.0%">
                  <c:v>1.6129032258064523E-2</c:v>
                </c:pt>
                <c:pt idx="12" formatCode="###0.0%">
                  <c:v>0.1111111111111111</c:v>
                </c:pt>
                <c:pt idx="13" formatCode="###0.0%">
                  <c:v>0.15463917525773196</c:v>
                </c:pt>
              </c:numCache>
            </c:numRef>
          </c:val>
        </c:ser>
        <c:ser>
          <c:idx val="1"/>
          <c:order val="1"/>
          <c:tx>
            <c:strRef>
              <c:f>TB_CROISES_PM_FNDIAYE!$B$1193</c:f>
              <c:strCache>
                <c:ptCount val="1"/>
                <c:pt idx="0">
                  <c:v>Courtois</c:v>
                </c:pt>
              </c:strCache>
            </c:strRef>
          </c:tx>
          <c:spPr>
            <a:solidFill>
              <a:srgbClr val="92D050"/>
            </a:solidFill>
          </c:spPr>
          <c:cat>
            <c:strRef>
              <c:f>TB_CROISES_PM_FNDIAYE!$C$1191:$P$1191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TB_CROISES_PM_FNDIAYE!$C$1193:$P$1193</c:f>
              <c:numCache>
                <c:formatCode>###0.0%</c:formatCode>
                <c:ptCount val="14"/>
                <c:pt idx="0">
                  <c:v>0.83617424242424265</c:v>
                </c:pt>
                <c:pt idx="1">
                  <c:v>0.89473684210526316</c:v>
                </c:pt>
                <c:pt idx="2">
                  <c:v>0.82500000000000062</c:v>
                </c:pt>
                <c:pt idx="3">
                  <c:v>0.94117647058823561</c:v>
                </c:pt>
                <c:pt idx="4">
                  <c:v>0.90322580645161465</c:v>
                </c:pt>
                <c:pt idx="5">
                  <c:v>0.89024390243902463</c:v>
                </c:pt>
                <c:pt idx="6">
                  <c:v>0.90476190476189999</c:v>
                </c:pt>
                <c:pt idx="7">
                  <c:v>0.7441860465116279</c:v>
                </c:pt>
                <c:pt idx="8">
                  <c:v>0.82926829268292679</c:v>
                </c:pt>
                <c:pt idx="9">
                  <c:v>0.75308641975308765</c:v>
                </c:pt>
                <c:pt idx="10">
                  <c:v>0.55319148936170215</c:v>
                </c:pt>
                <c:pt idx="11">
                  <c:v>0.83870967741938429</c:v>
                </c:pt>
                <c:pt idx="12">
                  <c:v>0.8666666666666667</c:v>
                </c:pt>
                <c:pt idx="13">
                  <c:v>0.7319587628866</c:v>
                </c:pt>
              </c:numCache>
            </c:numRef>
          </c:val>
        </c:ser>
        <c:ser>
          <c:idx val="2"/>
          <c:order val="2"/>
          <c:tx>
            <c:strRef>
              <c:f>TB_CROISES_PM_FNDIAYE!$B$1194</c:f>
              <c:strCache>
                <c:ptCount val="1"/>
                <c:pt idx="0">
                  <c:v>Discourtois</c:v>
                </c:pt>
              </c:strCache>
            </c:strRef>
          </c:tx>
          <c:spPr>
            <a:solidFill>
              <a:schemeClr val="accent6">
                <a:lumMod val="75000"/>
              </a:schemeClr>
            </a:solidFill>
          </c:spPr>
          <c:cat>
            <c:strRef>
              <c:f>TB_CROISES_PM_FNDIAYE!$C$1191:$P$1191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TB_CROISES_PM_FNDIAYE!$C$1194:$P$1194</c:f>
              <c:numCache>
                <c:formatCode>###0.0%</c:formatCode>
                <c:ptCount val="14"/>
                <c:pt idx="0">
                  <c:v>5.7765151515151512E-2</c:v>
                </c:pt>
                <c:pt idx="1">
                  <c:v>0.10526315789473686</c:v>
                </c:pt>
                <c:pt idx="2">
                  <c:v>7.5000000000000011E-2</c:v>
                </c:pt>
                <c:pt idx="3">
                  <c:v>2.9411764705882353E-2</c:v>
                </c:pt>
                <c:pt idx="4">
                  <c:v>6.4516129032258132E-2</c:v>
                </c:pt>
                <c:pt idx="5">
                  <c:v>1.2195121951219513E-2</c:v>
                </c:pt>
                <c:pt idx="6">
                  <c:v>7.9365079365079361E-2</c:v>
                </c:pt>
                <c:pt idx="7">
                  <c:v>2.3255813953488372E-2</c:v>
                </c:pt>
                <c:pt idx="8">
                  <c:v>2.4390243902439025E-2</c:v>
                </c:pt>
                <c:pt idx="9">
                  <c:v>7.407407407407407E-2</c:v>
                </c:pt>
                <c:pt idx="10">
                  <c:v>0.36170212765957482</c:v>
                </c:pt>
                <c:pt idx="11">
                  <c:v>0.14516129032258071</c:v>
                </c:pt>
                <c:pt idx="12">
                  <c:v>2.2222222222222251E-2</c:v>
                </c:pt>
                <c:pt idx="13">
                  <c:v>8.2474226804123682E-2</c:v>
                </c:pt>
              </c:numCache>
            </c:numRef>
          </c:val>
        </c:ser>
        <c:ser>
          <c:idx val="3"/>
          <c:order val="3"/>
          <c:tx>
            <c:strRef>
              <c:f>TB_CROISES_PM_FNDIAYE!$B$1195</c:f>
              <c:strCache>
                <c:ptCount val="1"/>
                <c:pt idx="0">
                  <c:v>Très discourtois</c:v>
                </c:pt>
              </c:strCache>
            </c:strRef>
          </c:tx>
          <c:spPr>
            <a:solidFill>
              <a:srgbClr val="FF0000"/>
            </a:solidFill>
          </c:spPr>
          <c:cat>
            <c:strRef>
              <c:f>TB_CROISES_PM_FNDIAYE!$C$1191:$P$1191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TB_CROISES_PM_FNDIAYE!$C$1195:$P$1195</c:f>
              <c:numCache>
                <c:formatCode>General</c:formatCode>
                <c:ptCount val="14"/>
                <c:pt idx="0" formatCode="####.0%">
                  <c:v>6.6287878787878755E-3</c:v>
                </c:pt>
                <c:pt idx="2" formatCode="###0.0%">
                  <c:v>2.5000000000000001E-2</c:v>
                </c:pt>
                <c:pt idx="3" formatCode="###0.0%">
                  <c:v>2.9411764705882353E-2</c:v>
                </c:pt>
                <c:pt idx="8" formatCode="###0.0%">
                  <c:v>2.4390243902439025E-2</c:v>
                </c:pt>
                <c:pt idx="9" formatCode="###0.0%">
                  <c:v>3.7037037037037056E-2</c:v>
                </c:pt>
                <c:pt idx="13" formatCode="###0.0%">
                  <c:v>3.0927835051546396E-2</c:v>
                </c:pt>
              </c:numCache>
            </c:numRef>
          </c:val>
        </c:ser>
        <c:gapWidth val="55"/>
        <c:gapDepth val="55"/>
        <c:shape val="cylinder"/>
        <c:axId val="217361792"/>
        <c:axId val="217420928"/>
        <c:axId val="0"/>
      </c:bar3DChart>
      <c:catAx>
        <c:axId val="217361792"/>
        <c:scaling>
          <c:orientation val="minMax"/>
        </c:scaling>
        <c:axPos val="l"/>
        <c:numFmt formatCode="General" sourceLinked="0"/>
        <c:majorTickMark val="none"/>
        <c:tickLblPos val="nextTo"/>
        <c:txPr>
          <a:bodyPr/>
          <a:lstStyle/>
          <a:p>
            <a:pPr>
              <a:defRPr sz="700" b="1">
                <a:latin typeface="Book Antiqua" pitchFamily="18" charset="0"/>
              </a:defRPr>
            </a:pPr>
            <a:endParaRPr lang="fr-FR"/>
          </a:p>
        </c:txPr>
        <c:crossAx val="217420928"/>
        <c:crosses val="autoZero"/>
        <c:auto val="1"/>
        <c:lblAlgn val="ctr"/>
        <c:lblOffset val="100"/>
      </c:catAx>
      <c:valAx>
        <c:axId val="217420928"/>
        <c:scaling>
          <c:orientation val="minMax"/>
        </c:scaling>
        <c:axPos val="b"/>
        <c:numFmt formatCode="0%" sourceLinked="1"/>
        <c:majorTickMark val="none"/>
        <c:tickLblPos val="nextTo"/>
        <c:txPr>
          <a:bodyPr/>
          <a:lstStyle/>
          <a:p>
            <a:pPr>
              <a:defRPr sz="700" b="1">
                <a:latin typeface="Book Antiqua" pitchFamily="18" charset="0"/>
              </a:defRPr>
            </a:pPr>
            <a:endParaRPr lang="fr-FR"/>
          </a:p>
        </c:txPr>
        <c:crossAx val="217361792"/>
        <c:crosses val="autoZero"/>
        <c:crossBetween val="between"/>
      </c:valAx>
    </c:plotArea>
    <c:legend>
      <c:legendPos val="r"/>
      <c:layout>
        <c:manualLayout>
          <c:xMode val="edge"/>
          <c:yMode val="edge"/>
          <c:x val="4.6448360909143969E-2"/>
          <c:y val="0.89753535582798738"/>
          <c:w val="0.92512787645730465"/>
          <c:h val="7.9824898113132023E-2"/>
        </c:manualLayout>
      </c:layout>
      <c:txPr>
        <a:bodyPr/>
        <a:lstStyle/>
        <a:p>
          <a:pPr>
            <a:defRPr sz="700" b="1">
              <a:latin typeface="Book Antiqua" pitchFamily="18" charset="0"/>
            </a:defRPr>
          </a:pPr>
          <a:endParaRPr lang="fr-FR"/>
        </a:p>
      </c:txPr>
    </c:legend>
    <c:plotVisOnly val="1"/>
    <c:dispBlanksAs val="gap"/>
  </c:chart>
  <c:externalData r:id="rId2"/>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6.25E-2"/>
          <c:y val="6.51746135899679E-2"/>
          <c:w val="0.90277777777777779"/>
          <c:h val="0.74966426071741032"/>
        </c:manualLayout>
      </c:layout>
      <c:pie3DChart>
        <c:varyColors val="1"/>
        <c:ser>
          <c:idx val="0"/>
          <c:order val="0"/>
          <c:explosion val="25"/>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numFmt formatCode="0.0%" sourceLinked="0"/>
            <c:spPr>
              <a:noFill/>
              <a:ln>
                <a:noFill/>
              </a:ln>
              <a:effectLst/>
            </c:spPr>
            <c:txPr>
              <a:bodyPr/>
              <a:lstStyle/>
              <a:p>
                <a:pPr>
                  <a:defRPr sz="800" b="1">
                    <a:latin typeface="Book Antiqua" pitchFamily="18" charset="0"/>
                  </a:defRPr>
                </a:pPr>
                <a:endParaRPr lang="fr-FR"/>
              </a:p>
            </c:txPr>
            <c:showPercent val="1"/>
            <c:showLeaderLines val="1"/>
            <c:extLst>
              <c:ext xmlns:c15="http://schemas.microsoft.com/office/drawing/2012/chart" uri="{CE6537A1-D6FC-4f65-9D91-7224C49458BB}"/>
            </c:extLst>
          </c:dLbls>
          <c:cat>
            <c:strRef>
              <c:f>Feuil5!$B$47:$B$50</c:f>
              <c:strCache>
                <c:ptCount val="4"/>
                <c:pt idx="0">
                  <c:v>Oui, tout à fait</c:v>
                </c:pt>
                <c:pt idx="1">
                  <c:v>Oui</c:v>
                </c:pt>
                <c:pt idx="2">
                  <c:v>Non</c:v>
                </c:pt>
                <c:pt idx="3">
                  <c:v>Non, pas du tout</c:v>
                </c:pt>
              </c:strCache>
            </c:strRef>
          </c:cat>
          <c:val>
            <c:numRef>
              <c:f>Feuil5!$Q$47:$Q$50</c:f>
              <c:numCache>
                <c:formatCode>0.0%</c:formatCode>
                <c:ptCount val="4"/>
                <c:pt idx="0">
                  <c:v>7.8975453575240107E-2</c:v>
                </c:pt>
                <c:pt idx="1">
                  <c:v>0.55549626467449364</c:v>
                </c:pt>
                <c:pt idx="2">
                  <c:v>0.27588046958378515</c:v>
                </c:pt>
                <c:pt idx="3">
                  <c:v>8.9647812166491619E-2</c:v>
                </c:pt>
              </c:numCache>
            </c:numRef>
          </c:val>
        </c:ser>
        <c:dLbls>
          <c:showPercent val="1"/>
        </c:dLbls>
      </c:pie3DChart>
    </c:plotArea>
    <c:legend>
      <c:legendPos val="t"/>
      <c:layout>
        <c:manualLayout>
          <c:xMode val="edge"/>
          <c:yMode val="edge"/>
          <c:x val="0.16333552055993"/>
          <c:y val="0.83796296296295447"/>
          <c:w val="0.67332895888014765"/>
          <c:h val="8.3717191601050026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7073840769904094"/>
          <c:y val="4.6059502727749155E-2"/>
          <c:w val="0.76782545931760993"/>
          <c:h val="0.74846527580866751"/>
        </c:manualLayout>
      </c:layout>
      <c:bar3DChart>
        <c:barDir val="bar"/>
        <c:grouping val="percentStacked"/>
        <c:ser>
          <c:idx val="0"/>
          <c:order val="0"/>
          <c:tx>
            <c:strRef>
              <c:f>TB_CROISES_PM_FNDIAYE!$B$1252</c:f>
              <c:strCache>
                <c:ptCount val="1"/>
                <c:pt idx="0">
                  <c:v>Oui, tout à fait</c:v>
                </c:pt>
              </c:strCache>
            </c:strRef>
          </c:tx>
          <c:spPr>
            <a:solidFill>
              <a:srgbClr val="00B050"/>
            </a:solidFill>
          </c:spPr>
          <c:cat>
            <c:strRef>
              <c:f>TB_CROISES_PM_FNDIAYE!$C$1251:$P$1251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TB_CROISES_PM_FNDIAYE!$C$1252:$P$1252</c:f>
              <c:numCache>
                <c:formatCode>###0.0%</c:formatCode>
                <c:ptCount val="14"/>
                <c:pt idx="0">
                  <c:v>5.4924242424242417E-2</c:v>
                </c:pt>
                <c:pt idx="1">
                  <c:v>5.2631578947368432E-2</c:v>
                </c:pt>
                <c:pt idx="3">
                  <c:v>2.9411764705882353E-2</c:v>
                </c:pt>
                <c:pt idx="4">
                  <c:v>8.0645161290322745E-2</c:v>
                </c:pt>
                <c:pt idx="5">
                  <c:v>2.4390243902439025E-2</c:v>
                </c:pt>
                <c:pt idx="6">
                  <c:v>6.3492063492063502E-2</c:v>
                </c:pt>
                <c:pt idx="7">
                  <c:v>0.34883720930232581</c:v>
                </c:pt>
                <c:pt idx="8">
                  <c:v>0.21951219512195744</c:v>
                </c:pt>
                <c:pt idx="9">
                  <c:v>0.28395061728396298</c:v>
                </c:pt>
                <c:pt idx="11">
                  <c:v>3.225806451613001E-2</c:v>
                </c:pt>
                <c:pt idx="12">
                  <c:v>0.24444444444445307</c:v>
                </c:pt>
                <c:pt idx="13">
                  <c:v>3.0927835051546396E-2</c:v>
                </c:pt>
              </c:numCache>
            </c:numRef>
          </c:val>
        </c:ser>
        <c:ser>
          <c:idx val="1"/>
          <c:order val="1"/>
          <c:tx>
            <c:strRef>
              <c:f>TB_CROISES_PM_FNDIAYE!$B$1253</c:f>
              <c:strCache>
                <c:ptCount val="1"/>
                <c:pt idx="0">
                  <c:v>Oui</c:v>
                </c:pt>
              </c:strCache>
            </c:strRef>
          </c:tx>
          <c:spPr>
            <a:solidFill>
              <a:srgbClr val="92D050"/>
            </a:solidFill>
          </c:spPr>
          <c:cat>
            <c:strRef>
              <c:f>TB_CROISES_PM_FNDIAYE!$C$1251:$P$1251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TB_CROISES_PM_FNDIAYE!$C$1253:$P$1253</c:f>
              <c:numCache>
                <c:formatCode>###0.0%</c:formatCode>
                <c:ptCount val="14"/>
                <c:pt idx="0">
                  <c:v>0.56912878787878785</c:v>
                </c:pt>
                <c:pt idx="1">
                  <c:v>0.48684210526316657</c:v>
                </c:pt>
                <c:pt idx="2">
                  <c:v>0.65000000000001557</c:v>
                </c:pt>
                <c:pt idx="3">
                  <c:v>0.41176470588236325</c:v>
                </c:pt>
                <c:pt idx="4">
                  <c:v>0.43548387096776187</c:v>
                </c:pt>
                <c:pt idx="5">
                  <c:v>0.62195121951221233</c:v>
                </c:pt>
                <c:pt idx="6">
                  <c:v>0.41269841269841284</c:v>
                </c:pt>
                <c:pt idx="7">
                  <c:v>0.51162790697674421</c:v>
                </c:pt>
                <c:pt idx="8">
                  <c:v>0.68292682926829273</c:v>
                </c:pt>
                <c:pt idx="9">
                  <c:v>0.59259259259259267</c:v>
                </c:pt>
                <c:pt idx="10">
                  <c:v>0.36170212765957482</c:v>
                </c:pt>
                <c:pt idx="11">
                  <c:v>0.45161290322581893</c:v>
                </c:pt>
                <c:pt idx="12">
                  <c:v>0.6111111111111116</c:v>
                </c:pt>
                <c:pt idx="13">
                  <c:v>0.62886597938144362</c:v>
                </c:pt>
              </c:numCache>
            </c:numRef>
          </c:val>
        </c:ser>
        <c:ser>
          <c:idx val="2"/>
          <c:order val="2"/>
          <c:tx>
            <c:strRef>
              <c:f>TB_CROISES_PM_FNDIAYE!$B$1254</c:f>
              <c:strCache>
                <c:ptCount val="1"/>
                <c:pt idx="0">
                  <c:v>Non</c:v>
                </c:pt>
              </c:strCache>
            </c:strRef>
          </c:tx>
          <c:spPr>
            <a:solidFill>
              <a:schemeClr val="accent6">
                <a:lumMod val="75000"/>
              </a:schemeClr>
            </a:solidFill>
          </c:spPr>
          <c:cat>
            <c:strRef>
              <c:f>TB_CROISES_PM_FNDIAYE!$C$1251:$P$1251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TB_CROISES_PM_FNDIAYE!$C$1254:$P$1254</c:f>
              <c:numCache>
                <c:formatCode>###0.0%</c:formatCode>
                <c:ptCount val="14"/>
                <c:pt idx="0">
                  <c:v>0.32196969696971239</c:v>
                </c:pt>
                <c:pt idx="1">
                  <c:v>0.39473684210526438</c:v>
                </c:pt>
                <c:pt idx="2">
                  <c:v>0.15000000000000024</c:v>
                </c:pt>
                <c:pt idx="3">
                  <c:v>0.38235294117648477</c:v>
                </c:pt>
                <c:pt idx="4">
                  <c:v>0.41935483870968987</c:v>
                </c:pt>
                <c:pt idx="5">
                  <c:v>7.3170731707317083E-2</c:v>
                </c:pt>
                <c:pt idx="6">
                  <c:v>0.38095238095239253</c:v>
                </c:pt>
                <c:pt idx="7">
                  <c:v>0.13953488372093434</c:v>
                </c:pt>
                <c:pt idx="8">
                  <c:v>7.3170731707317083E-2</c:v>
                </c:pt>
                <c:pt idx="9">
                  <c:v>0.12345679012345678</c:v>
                </c:pt>
                <c:pt idx="10">
                  <c:v>0.17021276595744694</c:v>
                </c:pt>
                <c:pt idx="11">
                  <c:v>0.29032258064517141</c:v>
                </c:pt>
                <c:pt idx="12">
                  <c:v>0.12222222222222649</c:v>
                </c:pt>
                <c:pt idx="13">
                  <c:v>0.16494845360825044</c:v>
                </c:pt>
              </c:numCache>
            </c:numRef>
          </c:val>
        </c:ser>
        <c:ser>
          <c:idx val="3"/>
          <c:order val="3"/>
          <c:tx>
            <c:strRef>
              <c:f>TB_CROISES_PM_FNDIAYE!$B$1255</c:f>
              <c:strCache>
                <c:ptCount val="1"/>
                <c:pt idx="0">
                  <c:v>Non, pas du tout</c:v>
                </c:pt>
              </c:strCache>
            </c:strRef>
          </c:tx>
          <c:spPr>
            <a:solidFill>
              <a:srgbClr val="FF0000"/>
            </a:solidFill>
          </c:spPr>
          <c:cat>
            <c:strRef>
              <c:f>TB_CROISES_PM_FNDIAYE!$C$1251:$P$1251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TB_CROISES_PM_FNDIAYE!$C$1255:$P$1255</c:f>
              <c:numCache>
                <c:formatCode>###0.0%</c:formatCode>
                <c:ptCount val="14"/>
                <c:pt idx="0">
                  <c:v>5.3977272727272707E-2</c:v>
                </c:pt>
                <c:pt idx="1">
                  <c:v>6.5789473684210523E-2</c:v>
                </c:pt>
                <c:pt idx="2">
                  <c:v>0.2</c:v>
                </c:pt>
                <c:pt idx="3">
                  <c:v>0.17647058823529421</c:v>
                </c:pt>
                <c:pt idx="4">
                  <c:v>6.4516129032258132E-2</c:v>
                </c:pt>
                <c:pt idx="5">
                  <c:v>0.28048780487805847</c:v>
                </c:pt>
                <c:pt idx="6">
                  <c:v>0.14285714285714779</c:v>
                </c:pt>
                <c:pt idx="8">
                  <c:v>2.4390243902439025E-2</c:v>
                </c:pt>
                <c:pt idx="10">
                  <c:v>0.4680851063829865</c:v>
                </c:pt>
                <c:pt idx="11">
                  <c:v>0.22580645161290341</c:v>
                </c:pt>
                <c:pt idx="12">
                  <c:v>2.2222222222222251E-2</c:v>
                </c:pt>
                <c:pt idx="13">
                  <c:v>0.1752577319587629</c:v>
                </c:pt>
              </c:numCache>
            </c:numRef>
          </c:val>
        </c:ser>
        <c:gapWidth val="55"/>
        <c:gapDepth val="55"/>
        <c:shape val="cylinder"/>
        <c:axId val="217578112"/>
        <c:axId val="218038656"/>
        <c:axId val="0"/>
      </c:bar3DChart>
      <c:catAx>
        <c:axId val="217578112"/>
        <c:scaling>
          <c:orientation val="minMax"/>
        </c:scaling>
        <c:axPos val="l"/>
        <c:numFmt formatCode="General" sourceLinked="0"/>
        <c:majorTickMark val="none"/>
        <c:tickLblPos val="nextTo"/>
        <c:txPr>
          <a:bodyPr/>
          <a:lstStyle/>
          <a:p>
            <a:pPr>
              <a:defRPr sz="700" b="1">
                <a:latin typeface="Book Antiqua" pitchFamily="18" charset="0"/>
              </a:defRPr>
            </a:pPr>
            <a:endParaRPr lang="fr-FR"/>
          </a:p>
        </c:txPr>
        <c:crossAx val="218038656"/>
        <c:crosses val="autoZero"/>
        <c:auto val="1"/>
        <c:lblAlgn val="ctr"/>
        <c:lblOffset val="100"/>
      </c:catAx>
      <c:valAx>
        <c:axId val="218038656"/>
        <c:scaling>
          <c:orientation val="minMax"/>
        </c:scaling>
        <c:axPos val="b"/>
        <c:numFmt formatCode="0%" sourceLinked="1"/>
        <c:majorTickMark val="none"/>
        <c:tickLblPos val="nextTo"/>
        <c:txPr>
          <a:bodyPr/>
          <a:lstStyle/>
          <a:p>
            <a:pPr>
              <a:defRPr sz="700" b="1">
                <a:latin typeface="Book Antiqua" pitchFamily="18" charset="0"/>
              </a:defRPr>
            </a:pPr>
            <a:endParaRPr lang="fr-FR"/>
          </a:p>
        </c:txPr>
        <c:crossAx val="217578112"/>
        <c:crosses val="autoZero"/>
        <c:crossBetween val="between"/>
      </c:valAx>
    </c:plotArea>
    <c:legend>
      <c:legendPos val="r"/>
      <c:layout>
        <c:manualLayout>
          <c:xMode val="edge"/>
          <c:yMode val="edge"/>
          <c:x val="3.9056867891513615E-2"/>
          <c:y val="0.88899263346829882"/>
          <c:w val="0.94149868766404265"/>
          <c:h val="8.4265443838035567E-2"/>
        </c:manualLayout>
      </c:layout>
      <c:txPr>
        <a:bodyPr/>
        <a:lstStyle/>
        <a:p>
          <a:pPr>
            <a:defRPr sz="700" b="1">
              <a:latin typeface="Book Antiqua" pitchFamily="18" charset="0"/>
            </a:defRPr>
          </a:pPr>
          <a:endParaRPr lang="fr-FR"/>
        </a:p>
      </c:txPr>
    </c:legend>
    <c:plotVisOnly val="1"/>
    <c:dispBlanksAs val="gap"/>
  </c:chart>
  <c:externalData r:id="rId2"/>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5403163106880929"/>
          <c:y val="4.505887650190879E-2"/>
          <c:w val="0.7125950103438432"/>
          <c:h val="0.77865203735261801"/>
        </c:manualLayout>
      </c:layout>
      <c:bar3DChart>
        <c:barDir val="bar"/>
        <c:grouping val="percentStacked"/>
        <c:ser>
          <c:idx val="0"/>
          <c:order val="0"/>
          <c:tx>
            <c:strRef>
              <c:f>gestcompte!$B$33</c:f>
              <c:strCache>
                <c:ptCount val="1"/>
                <c:pt idx="0">
                  <c:v>Oui, tout à fait</c:v>
                </c:pt>
              </c:strCache>
            </c:strRef>
          </c:tx>
          <c:spPr>
            <a:solidFill>
              <a:srgbClr val="00B05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gestcompte!$C$32:$J$32</c:f>
              <c:strCache>
                <c:ptCount val="8"/>
                <c:pt idx="0">
                  <c:v>Industrie</c:v>
                </c:pt>
                <c:pt idx="1">
                  <c:v>Commerce</c:v>
                </c:pt>
                <c:pt idx="2">
                  <c:v>BTP</c:v>
                </c:pt>
                <c:pt idx="3">
                  <c:v>Services</c:v>
                </c:pt>
                <c:pt idx="4">
                  <c:v>Agriculture</c:v>
                </c:pt>
                <c:pt idx="5">
                  <c:v>Artisanat</c:v>
                </c:pt>
                <c:pt idx="6">
                  <c:v>Administration</c:v>
                </c:pt>
                <c:pt idx="7">
                  <c:v>Autre </c:v>
                </c:pt>
              </c:strCache>
            </c:strRef>
          </c:cat>
          <c:val>
            <c:numRef>
              <c:f>gestcompte!$C$33:$J$33</c:f>
              <c:numCache>
                <c:formatCode>0.0%</c:formatCode>
                <c:ptCount val="8"/>
                <c:pt idx="0">
                  <c:v>0.10526315789473686</c:v>
                </c:pt>
                <c:pt idx="1">
                  <c:v>6.8578553615960075E-2</c:v>
                </c:pt>
                <c:pt idx="2">
                  <c:v>5.3435114503816793E-2</c:v>
                </c:pt>
                <c:pt idx="3">
                  <c:v>0.10034602076124691</c:v>
                </c:pt>
                <c:pt idx="4">
                  <c:v>4.3478260869565223E-2</c:v>
                </c:pt>
                <c:pt idx="5">
                  <c:v>6.7415730337079094E-2</c:v>
                </c:pt>
                <c:pt idx="6">
                  <c:v>8.3333333333333343E-2</c:v>
                </c:pt>
                <c:pt idx="7">
                  <c:v>9.5744680851063843E-2</c:v>
                </c:pt>
              </c:numCache>
            </c:numRef>
          </c:val>
        </c:ser>
        <c:ser>
          <c:idx val="1"/>
          <c:order val="1"/>
          <c:tx>
            <c:strRef>
              <c:f>gestcompte!$B$34</c:f>
              <c:strCache>
                <c:ptCount val="1"/>
                <c:pt idx="0">
                  <c:v>Oui</c:v>
                </c:pt>
              </c:strCache>
            </c:strRef>
          </c:tx>
          <c:spPr>
            <a:solidFill>
              <a:srgbClr val="92D05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gestcompte!$C$32:$J$32</c:f>
              <c:strCache>
                <c:ptCount val="8"/>
                <c:pt idx="0">
                  <c:v>Industrie</c:v>
                </c:pt>
                <c:pt idx="1">
                  <c:v>Commerce</c:v>
                </c:pt>
                <c:pt idx="2">
                  <c:v>BTP</c:v>
                </c:pt>
                <c:pt idx="3">
                  <c:v>Services</c:v>
                </c:pt>
                <c:pt idx="4">
                  <c:v>Agriculture</c:v>
                </c:pt>
                <c:pt idx="5">
                  <c:v>Artisanat</c:v>
                </c:pt>
                <c:pt idx="6">
                  <c:v>Administration</c:v>
                </c:pt>
                <c:pt idx="7">
                  <c:v>Autre </c:v>
                </c:pt>
              </c:strCache>
            </c:strRef>
          </c:cat>
          <c:val>
            <c:numRef>
              <c:f>gestcompte!$C$34:$J$34</c:f>
              <c:numCache>
                <c:formatCode>0.0%</c:formatCode>
                <c:ptCount val="8"/>
                <c:pt idx="0">
                  <c:v>0.59210526315789469</c:v>
                </c:pt>
                <c:pt idx="1">
                  <c:v>0.56109725685785561</c:v>
                </c:pt>
                <c:pt idx="2">
                  <c:v>0.5343511450381675</c:v>
                </c:pt>
                <c:pt idx="3">
                  <c:v>0.58131487889272171</c:v>
                </c:pt>
                <c:pt idx="4">
                  <c:v>0.53260869565218483</c:v>
                </c:pt>
                <c:pt idx="5">
                  <c:v>0.61797752808989781</c:v>
                </c:pt>
                <c:pt idx="6">
                  <c:v>0.66666666666666663</c:v>
                </c:pt>
                <c:pt idx="7">
                  <c:v>0.2978723404255319</c:v>
                </c:pt>
              </c:numCache>
            </c:numRef>
          </c:val>
        </c:ser>
        <c:ser>
          <c:idx val="2"/>
          <c:order val="2"/>
          <c:tx>
            <c:strRef>
              <c:f>gestcompte!$B$35</c:f>
              <c:strCache>
                <c:ptCount val="1"/>
                <c:pt idx="0">
                  <c:v>Non</c:v>
                </c:pt>
              </c:strCache>
            </c:strRef>
          </c:tx>
          <c:spPr>
            <a:solidFill>
              <a:schemeClr val="accent6">
                <a:lumMod val="75000"/>
              </a:schemeClr>
            </a:solidFill>
          </c:spPr>
          <c:dLbls>
            <c:txPr>
              <a:bodyPr/>
              <a:lstStyle/>
              <a:p>
                <a:pPr>
                  <a:defRPr sz="800" b="1">
                    <a:latin typeface="Book Antiqua" pitchFamily="18" charset="0"/>
                  </a:defRPr>
                </a:pPr>
                <a:endParaRPr lang="fr-FR"/>
              </a:p>
            </c:txPr>
            <c:showVal val="1"/>
          </c:dLbls>
          <c:cat>
            <c:strRef>
              <c:f>gestcompte!$C$32:$J$32</c:f>
              <c:strCache>
                <c:ptCount val="8"/>
                <c:pt idx="0">
                  <c:v>Industrie</c:v>
                </c:pt>
                <c:pt idx="1">
                  <c:v>Commerce</c:v>
                </c:pt>
                <c:pt idx="2">
                  <c:v>BTP</c:v>
                </c:pt>
                <c:pt idx="3">
                  <c:v>Services</c:v>
                </c:pt>
                <c:pt idx="4">
                  <c:v>Agriculture</c:v>
                </c:pt>
                <c:pt idx="5">
                  <c:v>Artisanat</c:v>
                </c:pt>
                <c:pt idx="6">
                  <c:v>Administration</c:v>
                </c:pt>
                <c:pt idx="7">
                  <c:v>Autre </c:v>
                </c:pt>
              </c:strCache>
            </c:strRef>
          </c:cat>
          <c:val>
            <c:numRef>
              <c:f>gestcompte!$C$35:$J$35</c:f>
              <c:numCache>
                <c:formatCode>0.0%</c:formatCode>
                <c:ptCount val="8"/>
                <c:pt idx="0">
                  <c:v>0.25</c:v>
                </c:pt>
                <c:pt idx="1">
                  <c:v>0.28179551122194518</c:v>
                </c:pt>
                <c:pt idx="2">
                  <c:v>0.3053435114503818</c:v>
                </c:pt>
                <c:pt idx="3">
                  <c:v>0.26643598615916952</c:v>
                </c:pt>
                <c:pt idx="4">
                  <c:v>0.29347826086957429</c:v>
                </c:pt>
                <c:pt idx="5">
                  <c:v>0.23595505617977541</c:v>
                </c:pt>
                <c:pt idx="6">
                  <c:v>8.3333333333333343E-2</c:v>
                </c:pt>
                <c:pt idx="7">
                  <c:v>0.308510638297881</c:v>
                </c:pt>
              </c:numCache>
            </c:numRef>
          </c:val>
        </c:ser>
        <c:ser>
          <c:idx val="3"/>
          <c:order val="3"/>
          <c:tx>
            <c:strRef>
              <c:f>gestcompte!$B$36</c:f>
              <c:strCache>
                <c:ptCount val="1"/>
                <c:pt idx="0">
                  <c:v>Non, pas du tout</c:v>
                </c:pt>
              </c:strCache>
            </c:strRef>
          </c:tx>
          <c:spPr>
            <a:solidFill>
              <a:srgbClr val="FF0000"/>
            </a:solidFill>
          </c:spPr>
          <c:dLbls>
            <c:txPr>
              <a:bodyPr/>
              <a:lstStyle/>
              <a:p>
                <a:pPr>
                  <a:defRPr sz="800" b="1">
                    <a:latin typeface="Book Antiqua" pitchFamily="18" charset="0"/>
                  </a:defRPr>
                </a:pPr>
                <a:endParaRPr lang="fr-FR"/>
              </a:p>
            </c:txPr>
            <c:showVal val="1"/>
          </c:dLbls>
          <c:cat>
            <c:strRef>
              <c:f>gestcompte!$C$32:$J$32</c:f>
              <c:strCache>
                <c:ptCount val="8"/>
                <c:pt idx="0">
                  <c:v>Industrie</c:v>
                </c:pt>
                <c:pt idx="1">
                  <c:v>Commerce</c:v>
                </c:pt>
                <c:pt idx="2">
                  <c:v>BTP</c:v>
                </c:pt>
                <c:pt idx="3">
                  <c:v>Services</c:v>
                </c:pt>
                <c:pt idx="4">
                  <c:v>Agriculture</c:v>
                </c:pt>
                <c:pt idx="5">
                  <c:v>Artisanat</c:v>
                </c:pt>
                <c:pt idx="6">
                  <c:v>Administration</c:v>
                </c:pt>
                <c:pt idx="7">
                  <c:v>Autre </c:v>
                </c:pt>
              </c:strCache>
            </c:strRef>
          </c:cat>
          <c:val>
            <c:numRef>
              <c:f>gestcompte!$C$36:$J$36</c:f>
              <c:numCache>
                <c:formatCode>0.0%</c:formatCode>
                <c:ptCount val="8"/>
                <c:pt idx="0">
                  <c:v>5.2631578947368432E-2</c:v>
                </c:pt>
                <c:pt idx="1">
                  <c:v>8.8528678304242298E-2</c:v>
                </c:pt>
                <c:pt idx="2">
                  <c:v>0.10687022900763372</c:v>
                </c:pt>
                <c:pt idx="3">
                  <c:v>5.1903114186851222E-2</c:v>
                </c:pt>
                <c:pt idx="4">
                  <c:v>0.1304347826086957</c:v>
                </c:pt>
                <c:pt idx="5">
                  <c:v>7.8651685393258425E-2</c:v>
                </c:pt>
                <c:pt idx="6">
                  <c:v>0.16666666666666666</c:v>
                </c:pt>
                <c:pt idx="7">
                  <c:v>0.2978723404255319</c:v>
                </c:pt>
              </c:numCache>
            </c:numRef>
          </c:val>
        </c:ser>
        <c:shape val="cylinder"/>
        <c:axId val="218079232"/>
        <c:axId val="218080768"/>
        <c:axId val="0"/>
      </c:bar3DChart>
      <c:catAx>
        <c:axId val="218079232"/>
        <c:scaling>
          <c:orientation val="minMax"/>
        </c:scaling>
        <c:axPos val="l"/>
        <c:numFmt formatCode="General" sourceLinked="0"/>
        <c:tickLblPos val="nextTo"/>
        <c:txPr>
          <a:bodyPr/>
          <a:lstStyle/>
          <a:p>
            <a:pPr>
              <a:defRPr sz="800">
                <a:latin typeface="Book Antiqua" pitchFamily="18" charset="0"/>
              </a:defRPr>
            </a:pPr>
            <a:endParaRPr lang="fr-FR"/>
          </a:p>
        </c:txPr>
        <c:crossAx val="218080768"/>
        <c:crosses val="autoZero"/>
        <c:auto val="1"/>
        <c:lblAlgn val="ctr"/>
        <c:lblOffset val="100"/>
      </c:catAx>
      <c:valAx>
        <c:axId val="218080768"/>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8079232"/>
        <c:crosses val="autoZero"/>
        <c:crossBetween val="between"/>
      </c:valAx>
    </c:plotArea>
    <c:legend>
      <c:legendPos val="r"/>
      <c:layout>
        <c:manualLayout>
          <c:xMode val="edge"/>
          <c:yMode val="edge"/>
          <c:x val="9.6440055431800217E-2"/>
          <c:y val="0.92361209936277533"/>
          <c:w val="0.7926169289353121"/>
          <c:h val="5.3123261366548893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20426684164479444"/>
          <c:y val="4.6340171355803324E-2"/>
          <c:w val="0.62309536307962299"/>
          <c:h val="0.72595411162044265"/>
        </c:manualLayout>
      </c:layout>
      <c:bar3DChart>
        <c:barDir val="bar"/>
        <c:grouping val="percentStacked"/>
        <c:ser>
          <c:idx val="0"/>
          <c:order val="0"/>
          <c:tx>
            <c:strRef>
              <c:f>tarifs!$B$23</c:f>
              <c:strCache>
                <c:ptCount val="1"/>
                <c:pt idx="0">
                  <c:v>Oui</c:v>
                </c:pt>
              </c:strCache>
            </c:strRef>
          </c:tx>
          <c:spPr>
            <a:solidFill>
              <a:srgbClr val="00B050"/>
            </a:solidFill>
          </c:spPr>
          <c:cat>
            <c:strRef>
              <c:f>tarifs!$C$22:$P$22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tarifs!$C$23:$P$23</c:f>
              <c:numCache>
                <c:formatCode>0.0%</c:formatCode>
                <c:ptCount val="14"/>
                <c:pt idx="0">
                  <c:v>0.67140151515152502</c:v>
                </c:pt>
                <c:pt idx="1">
                  <c:v>0.69736842105262264</c:v>
                </c:pt>
                <c:pt idx="2">
                  <c:v>0.5</c:v>
                </c:pt>
                <c:pt idx="3">
                  <c:v>0.58823529411763809</c:v>
                </c:pt>
                <c:pt idx="4">
                  <c:v>0.82258064516129037</c:v>
                </c:pt>
                <c:pt idx="5">
                  <c:v>0.62195121951220655</c:v>
                </c:pt>
                <c:pt idx="6">
                  <c:v>0.73015873015873911</c:v>
                </c:pt>
                <c:pt idx="7">
                  <c:v>0.76744186046513063</c:v>
                </c:pt>
                <c:pt idx="8">
                  <c:v>0.82926829268292679</c:v>
                </c:pt>
                <c:pt idx="9">
                  <c:v>0.85185185185185264</c:v>
                </c:pt>
                <c:pt idx="10">
                  <c:v>0.44680851063829785</c:v>
                </c:pt>
                <c:pt idx="11">
                  <c:v>0.72580645161290325</c:v>
                </c:pt>
                <c:pt idx="12">
                  <c:v>0.73333333333333361</c:v>
                </c:pt>
                <c:pt idx="13">
                  <c:v>0.57731958762886593</c:v>
                </c:pt>
              </c:numCache>
            </c:numRef>
          </c:val>
        </c:ser>
        <c:ser>
          <c:idx val="1"/>
          <c:order val="1"/>
          <c:tx>
            <c:strRef>
              <c:f>tarifs!$B$24</c:f>
              <c:strCache>
                <c:ptCount val="1"/>
                <c:pt idx="0">
                  <c:v>Non</c:v>
                </c:pt>
              </c:strCache>
            </c:strRef>
          </c:tx>
          <c:spPr>
            <a:solidFill>
              <a:srgbClr val="FF0000"/>
            </a:solidFill>
          </c:spPr>
          <c:cat>
            <c:strRef>
              <c:f>tarifs!$C$22:$P$22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tarifs!$C$24:$P$24</c:f>
              <c:numCache>
                <c:formatCode>0.0%</c:formatCode>
                <c:ptCount val="14"/>
                <c:pt idx="0">
                  <c:v>0.32859848484849058</c:v>
                </c:pt>
                <c:pt idx="1">
                  <c:v>0.30263157894736842</c:v>
                </c:pt>
                <c:pt idx="2">
                  <c:v>0.5</c:v>
                </c:pt>
                <c:pt idx="3">
                  <c:v>0.41176470588235892</c:v>
                </c:pt>
                <c:pt idx="4">
                  <c:v>0.17741935483871296</c:v>
                </c:pt>
                <c:pt idx="5">
                  <c:v>0.37804878048781204</c:v>
                </c:pt>
                <c:pt idx="6">
                  <c:v>0.26984126984126988</c:v>
                </c:pt>
                <c:pt idx="7">
                  <c:v>0.23255813953488391</c:v>
                </c:pt>
                <c:pt idx="8">
                  <c:v>0.17073170731707321</c:v>
                </c:pt>
                <c:pt idx="9">
                  <c:v>0.14814814814814894</c:v>
                </c:pt>
                <c:pt idx="10">
                  <c:v>0.55319148936170215</c:v>
                </c:pt>
                <c:pt idx="11">
                  <c:v>0.27419354838709675</c:v>
                </c:pt>
                <c:pt idx="12">
                  <c:v>0.26666666666666738</c:v>
                </c:pt>
                <c:pt idx="13">
                  <c:v>0.42268041237113402</c:v>
                </c:pt>
              </c:numCache>
            </c:numRef>
          </c:val>
        </c:ser>
        <c:shape val="cylinder"/>
        <c:axId val="217573248"/>
        <c:axId val="217574784"/>
        <c:axId val="0"/>
      </c:bar3DChart>
      <c:catAx>
        <c:axId val="217573248"/>
        <c:scaling>
          <c:orientation val="minMax"/>
        </c:scaling>
        <c:axPos val="l"/>
        <c:numFmt formatCode="General" sourceLinked="0"/>
        <c:tickLblPos val="nextTo"/>
        <c:txPr>
          <a:bodyPr/>
          <a:lstStyle/>
          <a:p>
            <a:pPr>
              <a:defRPr sz="700" b="1">
                <a:latin typeface="Book Antiqua" pitchFamily="18" charset="0"/>
              </a:defRPr>
            </a:pPr>
            <a:endParaRPr lang="fr-FR"/>
          </a:p>
        </c:txPr>
        <c:crossAx val="217574784"/>
        <c:crosses val="autoZero"/>
        <c:auto val="1"/>
        <c:lblAlgn val="ctr"/>
        <c:lblOffset val="100"/>
      </c:catAx>
      <c:valAx>
        <c:axId val="217574784"/>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7573248"/>
        <c:crosses val="autoZero"/>
        <c:crossBetween val="between"/>
      </c:valAx>
    </c:plotArea>
    <c:legend>
      <c:legendPos val="r"/>
      <c:layout>
        <c:manualLayout>
          <c:xMode val="edge"/>
          <c:yMode val="edge"/>
          <c:x val="0.25021775094455911"/>
          <c:y val="0.86489748187417859"/>
          <c:w val="0.44436001749781734"/>
          <c:h val="0.10780268184298752"/>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4.3439241138387694E-2"/>
          <c:y val="0.14405912802566348"/>
          <c:w val="0.89305560284775498"/>
          <c:h val="0.68900189559639391"/>
        </c:manualLayout>
      </c:layout>
      <c:pie3DChart>
        <c:varyColors val="1"/>
        <c:ser>
          <c:idx val="0"/>
          <c:order val="0"/>
          <c:explosion val="25"/>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numFmt formatCode="0.0%" sourceLinked="0"/>
            <c:spPr>
              <a:noFill/>
              <a:ln>
                <a:noFill/>
              </a:ln>
              <a:effectLst/>
            </c:spPr>
            <c:txPr>
              <a:bodyPr/>
              <a:lstStyle/>
              <a:p>
                <a:pPr>
                  <a:defRPr sz="800" b="1">
                    <a:latin typeface="Book Antiqua" pitchFamily="18" charset="0"/>
                  </a:defRPr>
                </a:pPr>
                <a:endParaRPr lang="fr-FR"/>
              </a:p>
            </c:txPr>
            <c:showPercent val="1"/>
            <c:showLeaderLines val="1"/>
            <c:extLst>
              <c:ext xmlns:c15="http://schemas.microsoft.com/office/drawing/2012/chart" uri="{CE6537A1-D6FC-4f65-9D91-7224C49458BB}"/>
            </c:extLst>
          </c:dLbls>
          <c:cat>
            <c:strRef>
              <c:f>tarifs!$B$124:$B$127</c:f>
              <c:strCache>
                <c:ptCount val="4"/>
                <c:pt idx="0">
                  <c:v>Très complètes</c:v>
                </c:pt>
                <c:pt idx="1">
                  <c:v>Complètes</c:v>
                </c:pt>
                <c:pt idx="2">
                  <c:v>Incomplètes</c:v>
                </c:pt>
                <c:pt idx="3">
                  <c:v>Très incomplètes</c:v>
                </c:pt>
              </c:strCache>
            </c:strRef>
          </c:cat>
          <c:val>
            <c:numRef>
              <c:f>tarifs!$C$124:$C$127</c:f>
              <c:numCache>
                <c:formatCode>0.0%</c:formatCode>
                <c:ptCount val="4"/>
                <c:pt idx="0">
                  <c:v>1.3123359580052583E-2</c:v>
                </c:pt>
                <c:pt idx="1">
                  <c:v>0.39107611548557025</c:v>
                </c:pt>
                <c:pt idx="2">
                  <c:v>0.49409448818898039</c:v>
                </c:pt>
                <c:pt idx="3">
                  <c:v>0.10170603674540712</c:v>
                </c:pt>
              </c:numCache>
            </c:numRef>
          </c:val>
        </c:ser>
        <c:dLbls>
          <c:showPercent val="1"/>
        </c:dLbls>
      </c:pie3DChart>
    </c:plotArea>
    <c:legend>
      <c:legendPos val="t"/>
      <c:layout>
        <c:manualLayout>
          <c:xMode val="edge"/>
          <c:yMode val="edge"/>
          <c:x val="5.8232064741907313E-2"/>
          <c:y val="0.88414370078740157"/>
          <c:w val="0.8999999761885582"/>
          <c:h val="8.3717191601050026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20426684164479444"/>
          <c:y val="4.3497782142432932E-2"/>
          <c:w val="0.73608070866141762"/>
          <c:h val="0.77439814575524546"/>
        </c:manualLayout>
      </c:layout>
      <c:bar3DChart>
        <c:barDir val="bar"/>
        <c:grouping val="percentStacked"/>
        <c:ser>
          <c:idx val="0"/>
          <c:order val="0"/>
          <c:tx>
            <c:strRef>
              <c:f>tarifs!$B$115</c:f>
              <c:strCache>
                <c:ptCount val="1"/>
                <c:pt idx="0">
                  <c:v>Très complètes</c:v>
                </c:pt>
              </c:strCache>
            </c:strRef>
          </c:tx>
          <c:spPr>
            <a:solidFill>
              <a:srgbClr val="00B050"/>
            </a:solidFill>
          </c:spPr>
          <c:cat>
            <c:strRef>
              <c:f>tarifs!$C$114:$P$114</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tarifs!$C$115:$P$115</c:f>
              <c:numCache>
                <c:formatCode>0.0%</c:formatCode>
                <c:ptCount val="14"/>
                <c:pt idx="0">
                  <c:v>1.5151515151515181E-2</c:v>
                </c:pt>
                <c:pt idx="1">
                  <c:v>0</c:v>
                </c:pt>
                <c:pt idx="2">
                  <c:v>3.8461538461538464E-2</c:v>
                </c:pt>
                <c:pt idx="3">
                  <c:v>0</c:v>
                </c:pt>
                <c:pt idx="4">
                  <c:v>0</c:v>
                </c:pt>
                <c:pt idx="5">
                  <c:v>0</c:v>
                </c:pt>
                <c:pt idx="6">
                  <c:v>3.6363636363636362E-2</c:v>
                </c:pt>
                <c:pt idx="7">
                  <c:v>0</c:v>
                </c:pt>
                <c:pt idx="8">
                  <c:v>0.05</c:v>
                </c:pt>
                <c:pt idx="9">
                  <c:v>0</c:v>
                </c:pt>
                <c:pt idx="10">
                  <c:v>2.7027027027027608E-2</c:v>
                </c:pt>
                <c:pt idx="11">
                  <c:v>1.6666666666666701E-2</c:v>
                </c:pt>
                <c:pt idx="12">
                  <c:v>0</c:v>
                </c:pt>
                <c:pt idx="13">
                  <c:v>0</c:v>
                </c:pt>
              </c:numCache>
            </c:numRef>
          </c:val>
        </c:ser>
        <c:ser>
          <c:idx val="1"/>
          <c:order val="1"/>
          <c:tx>
            <c:strRef>
              <c:f>tarifs!$B$116</c:f>
              <c:strCache>
                <c:ptCount val="1"/>
                <c:pt idx="0">
                  <c:v>Complètes</c:v>
                </c:pt>
              </c:strCache>
            </c:strRef>
          </c:tx>
          <c:spPr>
            <a:solidFill>
              <a:srgbClr val="92D050"/>
            </a:solidFill>
          </c:spPr>
          <c:cat>
            <c:strRef>
              <c:f>tarifs!$C$114:$P$114</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tarifs!$C$116:$P$116</c:f>
              <c:numCache>
                <c:formatCode>0.0%</c:formatCode>
                <c:ptCount val="14"/>
                <c:pt idx="0">
                  <c:v>0.43240093240093241</c:v>
                </c:pt>
                <c:pt idx="1">
                  <c:v>0.18750000000000044</c:v>
                </c:pt>
                <c:pt idx="2">
                  <c:v>0.26923076923076938</c:v>
                </c:pt>
                <c:pt idx="3">
                  <c:v>0.17241379310345073</c:v>
                </c:pt>
                <c:pt idx="4">
                  <c:v>0.24137931034482771</c:v>
                </c:pt>
                <c:pt idx="5">
                  <c:v>0.38888888888890094</c:v>
                </c:pt>
                <c:pt idx="6">
                  <c:v>0.2181818181818182</c:v>
                </c:pt>
                <c:pt idx="7">
                  <c:v>0.52631578947368418</c:v>
                </c:pt>
                <c:pt idx="8">
                  <c:v>0.52500000000000002</c:v>
                </c:pt>
                <c:pt idx="9">
                  <c:v>0.56521739130434756</c:v>
                </c:pt>
                <c:pt idx="10">
                  <c:v>0.16216216216216439</c:v>
                </c:pt>
                <c:pt idx="11">
                  <c:v>0.15000000000000024</c:v>
                </c:pt>
                <c:pt idx="12">
                  <c:v>0.39534883720931135</c:v>
                </c:pt>
                <c:pt idx="13">
                  <c:v>0.5</c:v>
                </c:pt>
              </c:numCache>
            </c:numRef>
          </c:val>
        </c:ser>
        <c:ser>
          <c:idx val="2"/>
          <c:order val="2"/>
          <c:tx>
            <c:strRef>
              <c:f>tarifs!$B$117</c:f>
              <c:strCache>
                <c:ptCount val="1"/>
                <c:pt idx="0">
                  <c:v>Incomplètes</c:v>
                </c:pt>
              </c:strCache>
            </c:strRef>
          </c:tx>
          <c:spPr>
            <a:solidFill>
              <a:schemeClr val="accent6">
                <a:lumMod val="75000"/>
              </a:schemeClr>
            </a:solidFill>
          </c:spPr>
          <c:cat>
            <c:strRef>
              <c:f>tarifs!$C$114:$P$114</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tarifs!$C$117:$P$117</c:f>
              <c:numCache>
                <c:formatCode>0.0%</c:formatCode>
                <c:ptCount val="14"/>
                <c:pt idx="0">
                  <c:v>0.5174825174825175</c:v>
                </c:pt>
                <c:pt idx="1">
                  <c:v>0.53125</c:v>
                </c:pt>
                <c:pt idx="2">
                  <c:v>0.5</c:v>
                </c:pt>
                <c:pt idx="3">
                  <c:v>0.51724137931034486</c:v>
                </c:pt>
                <c:pt idx="4">
                  <c:v>0.44827586206896552</c:v>
                </c:pt>
                <c:pt idx="5">
                  <c:v>0.53703703703703709</c:v>
                </c:pt>
                <c:pt idx="6">
                  <c:v>0.30909090909091458</c:v>
                </c:pt>
                <c:pt idx="7">
                  <c:v>0.31578947368421934</c:v>
                </c:pt>
                <c:pt idx="8">
                  <c:v>0.375000000000004</c:v>
                </c:pt>
                <c:pt idx="9">
                  <c:v>0.37681159420290655</c:v>
                </c:pt>
                <c:pt idx="10">
                  <c:v>0.48648648648649101</c:v>
                </c:pt>
                <c:pt idx="11">
                  <c:v>0.5</c:v>
                </c:pt>
                <c:pt idx="12">
                  <c:v>0.56976744186046457</c:v>
                </c:pt>
                <c:pt idx="13">
                  <c:v>0.5</c:v>
                </c:pt>
              </c:numCache>
            </c:numRef>
          </c:val>
        </c:ser>
        <c:ser>
          <c:idx val="3"/>
          <c:order val="3"/>
          <c:tx>
            <c:strRef>
              <c:f>tarifs!$B$118</c:f>
              <c:strCache>
                <c:ptCount val="1"/>
                <c:pt idx="0">
                  <c:v>Très incomplètes</c:v>
                </c:pt>
              </c:strCache>
            </c:strRef>
          </c:tx>
          <c:spPr>
            <a:solidFill>
              <a:srgbClr val="FF0000"/>
            </a:solidFill>
          </c:spPr>
          <c:cat>
            <c:strRef>
              <c:f>tarifs!$C$114:$P$114</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tarifs!$C$118:$P$118</c:f>
              <c:numCache>
                <c:formatCode>0.0%</c:formatCode>
                <c:ptCount val="14"/>
                <c:pt idx="0">
                  <c:v>3.4965034965034968E-2</c:v>
                </c:pt>
                <c:pt idx="1">
                  <c:v>0.28125</c:v>
                </c:pt>
                <c:pt idx="2">
                  <c:v>0.1923076923076924</c:v>
                </c:pt>
                <c:pt idx="3">
                  <c:v>0.3103448275862119</c:v>
                </c:pt>
                <c:pt idx="4">
                  <c:v>0.3103448275862119</c:v>
                </c:pt>
                <c:pt idx="5">
                  <c:v>7.407407407407407E-2</c:v>
                </c:pt>
                <c:pt idx="6">
                  <c:v>0.43636363636364162</c:v>
                </c:pt>
                <c:pt idx="7">
                  <c:v>0.15789473684210936</c:v>
                </c:pt>
                <c:pt idx="8">
                  <c:v>0.05</c:v>
                </c:pt>
                <c:pt idx="9">
                  <c:v>5.7971014492753624E-2</c:v>
                </c:pt>
                <c:pt idx="10">
                  <c:v>0.32432432432433311</c:v>
                </c:pt>
                <c:pt idx="11">
                  <c:v>0.33333333333333331</c:v>
                </c:pt>
                <c:pt idx="12">
                  <c:v>3.4883720930232558E-2</c:v>
                </c:pt>
                <c:pt idx="13">
                  <c:v>0</c:v>
                </c:pt>
              </c:numCache>
            </c:numRef>
          </c:val>
        </c:ser>
        <c:shape val="cylinder"/>
        <c:axId val="219092096"/>
        <c:axId val="219093632"/>
        <c:axId val="0"/>
      </c:bar3DChart>
      <c:catAx>
        <c:axId val="219092096"/>
        <c:scaling>
          <c:orientation val="minMax"/>
        </c:scaling>
        <c:axPos val="l"/>
        <c:numFmt formatCode="General" sourceLinked="0"/>
        <c:tickLblPos val="nextTo"/>
        <c:txPr>
          <a:bodyPr/>
          <a:lstStyle/>
          <a:p>
            <a:pPr>
              <a:defRPr sz="800" b="1"/>
            </a:pPr>
            <a:endParaRPr lang="fr-FR"/>
          </a:p>
        </c:txPr>
        <c:crossAx val="219093632"/>
        <c:crosses val="autoZero"/>
        <c:auto val="1"/>
        <c:lblAlgn val="ctr"/>
        <c:lblOffset val="100"/>
      </c:catAx>
      <c:valAx>
        <c:axId val="219093632"/>
        <c:scaling>
          <c:orientation val="minMax"/>
        </c:scaling>
        <c:axPos val="b"/>
        <c:majorGridlines/>
        <c:numFmt formatCode="0%" sourceLinked="1"/>
        <c:tickLblPos val="nextTo"/>
        <c:crossAx val="219092096"/>
        <c:crosses val="autoZero"/>
        <c:crossBetween val="between"/>
      </c:valAx>
    </c:plotArea>
    <c:legend>
      <c:legendPos val="r"/>
      <c:layout>
        <c:manualLayout>
          <c:xMode val="edge"/>
          <c:yMode val="edge"/>
          <c:x val="0.11862532808399147"/>
          <c:y val="0.859189552561334"/>
          <c:w val="0.81193022747156662"/>
          <c:h val="0.13971350623260631"/>
        </c:manualLayout>
      </c:layout>
      <c:txPr>
        <a:bodyPr/>
        <a:lstStyle/>
        <a:p>
          <a:pPr>
            <a:defRPr sz="800" b="1"/>
          </a:pPr>
          <a:endParaRPr lang="fr-FR"/>
        </a:p>
      </c:txPr>
    </c:legend>
    <c:plotVisOnly val="1"/>
    <c:dispBlanksAs val="gap"/>
  </c:chart>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4061395450568678"/>
          <c:y val="4.5331092197016913E-2"/>
          <c:w val="0.76917804024496961"/>
          <c:h val="0.70719554022526021"/>
        </c:manualLayout>
      </c:layout>
      <c:bar3DChart>
        <c:barDir val="bar"/>
        <c:grouping val="percentStacked"/>
        <c:ser>
          <c:idx val="0"/>
          <c:order val="0"/>
          <c:tx>
            <c:strRef>
              <c:f>tarifs!$H$142</c:f>
              <c:strCache>
                <c:ptCount val="1"/>
                <c:pt idx="0">
                  <c:v>Très complètes</c:v>
                </c:pt>
              </c:strCache>
            </c:strRef>
          </c:tx>
          <c:spPr>
            <a:solidFill>
              <a:srgbClr val="00B050"/>
            </a:solidFill>
          </c:spPr>
          <c:cat>
            <c:strRef>
              <c:f>tarifs!$I$141:$J$141</c:f>
              <c:strCache>
                <c:ptCount val="2"/>
                <c:pt idx="0">
                  <c:v>Formel</c:v>
                </c:pt>
                <c:pt idx="1">
                  <c:v>Informel</c:v>
                </c:pt>
              </c:strCache>
            </c:strRef>
          </c:cat>
          <c:val>
            <c:numRef>
              <c:f>tarifs!$I$142:$J$142</c:f>
              <c:numCache>
                <c:formatCode>0.0%</c:formatCode>
                <c:ptCount val="2"/>
                <c:pt idx="0">
                  <c:v>1.5468607825295719E-2</c:v>
                </c:pt>
                <c:pt idx="1">
                  <c:v>7.0588235294117814E-3</c:v>
                </c:pt>
              </c:numCache>
            </c:numRef>
          </c:val>
        </c:ser>
        <c:ser>
          <c:idx val="1"/>
          <c:order val="1"/>
          <c:tx>
            <c:strRef>
              <c:f>tarifs!$H$143</c:f>
              <c:strCache>
                <c:ptCount val="1"/>
                <c:pt idx="0">
                  <c:v>Complètes</c:v>
                </c:pt>
              </c:strCache>
            </c:strRef>
          </c:tx>
          <c:spPr>
            <a:solidFill>
              <a:srgbClr val="92D050"/>
            </a:solidFill>
          </c:spPr>
          <c:cat>
            <c:strRef>
              <c:f>tarifs!$I$141:$J$141</c:f>
              <c:strCache>
                <c:ptCount val="2"/>
                <c:pt idx="0">
                  <c:v>Formel</c:v>
                </c:pt>
                <c:pt idx="1">
                  <c:v>Informel</c:v>
                </c:pt>
              </c:strCache>
            </c:strRef>
          </c:cat>
          <c:val>
            <c:numRef>
              <c:f>tarifs!$I$143:$J$143</c:f>
              <c:numCache>
                <c:formatCode>0.0%</c:formatCode>
                <c:ptCount val="2"/>
                <c:pt idx="0">
                  <c:v>0.41765241128298991</c:v>
                </c:pt>
                <c:pt idx="1">
                  <c:v>0.32235294117647934</c:v>
                </c:pt>
              </c:numCache>
            </c:numRef>
          </c:val>
        </c:ser>
        <c:ser>
          <c:idx val="2"/>
          <c:order val="2"/>
          <c:tx>
            <c:strRef>
              <c:f>tarifs!$H$144</c:f>
              <c:strCache>
                <c:ptCount val="1"/>
                <c:pt idx="0">
                  <c:v>Incomplètes</c:v>
                </c:pt>
              </c:strCache>
            </c:strRef>
          </c:tx>
          <c:spPr>
            <a:solidFill>
              <a:schemeClr val="accent6">
                <a:lumMod val="75000"/>
              </a:schemeClr>
            </a:solidFill>
          </c:spPr>
          <c:cat>
            <c:strRef>
              <c:f>tarifs!$I$141:$J$141</c:f>
              <c:strCache>
                <c:ptCount val="2"/>
                <c:pt idx="0">
                  <c:v>Formel</c:v>
                </c:pt>
                <c:pt idx="1">
                  <c:v>Informel</c:v>
                </c:pt>
              </c:strCache>
            </c:strRef>
          </c:cat>
          <c:val>
            <c:numRef>
              <c:f>tarifs!$I$144:$J$144</c:f>
              <c:numCache>
                <c:formatCode>0.0%</c:formatCode>
                <c:ptCount val="2"/>
                <c:pt idx="0">
                  <c:v>0.48862602365787855</c:v>
                </c:pt>
                <c:pt idx="1">
                  <c:v>0.50823529411764656</c:v>
                </c:pt>
              </c:numCache>
            </c:numRef>
          </c:val>
        </c:ser>
        <c:ser>
          <c:idx val="3"/>
          <c:order val="3"/>
          <c:tx>
            <c:strRef>
              <c:f>tarifs!$H$145</c:f>
              <c:strCache>
                <c:ptCount val="1"/>
                <c:pt idx="0">
                  <c:v>Très incomplètes</c:v>
                </c:pt>
              </c:strCache>
            </c:strRef>
          </c:tx>
          <c:spPr>
            <a:solidFill>
              <a:srgbClr val="FF0000"/>
            </a:solidFill>
          </c:spPr>
          <c:cat>
            <c:strRef>
              <c:f>tarifs!$I$141:$J$141</c:f>
              <c:strCache>
                <c:ptCount val="2"/>
                <c:pt idx="0">
                  <c:v>Formel</c:v>
                </c:pt>
                <c:pt idx="1">
                  <c:v>Informel</c:v>
                </c:pt>
              </c:strCache>
            </c:strRef>
          </c:cat>
          <c:val>
            <c:numRef>
              <c:f>tarifs!$I$145:$J$145</c:f>
              <c:numCache>
                <c:formatCode>0.0%</c:formatCode>
                <c:ptCount val="2"/>
                <c:pt idx="0">
                  <c:v>7.8252957233849021E-2</c:v>
                </c:pt>
                <c:pt idx="1">
                  <c:v>0.16235294117647295</c:v>
                </c:pt>
              </c:numCache>
            </c:numRef>
          </c:val>
        </c:ser>
        <c:shape val="cylinder"/>
        <c:axId val="219136768"/>
        <c:axId val="219138304"/>
        <c:axId val="0"/>
      </c:bar3DChart>
      <c:catAx>
        <c:axId val="219136768"/>
        <c:scaling>
          <c:orientation val="minMax"/>
        </c:scaling>
        <c:axPos val="l"/>
        <c:numFmt formatCode="General" sourceLinked="0"/>
        <c:tickLblPos val="nextTo"/>
        <c:txPr>
          <a:bodyPr/>
          <a:lstStyle/>
          <a:p>
            <a:pPr>
              <a:defRPr sz="800" b="1">
                <a:latin typeface="Book Antiqua" pitchFamily="18" charset="0"/>
              </a:defRPr>
            </a:pPr>
            <a:endParaRPr lang="fr-FR"/>
          </a:p>
        </c:txPr>
        <c:crossAx val="219138304"/>
        <c:crosses val="autoZero"/>
        <c:auto val="1"/>
        <c:lblAlgn val="ctr"/>
        <c:lblOffset val="100"/>
      </c:catAx>
      <c:valAx>
        <c:axId val="219138304"/>
        <c:scaling>
          <c:orientation val="minMax"/>
        </c:scaling>
        <c:axPos val="b"/>
        <c:majorGridlines/>
        <c:numFmt formatCode="0%" sourceLinked="1"/>
        <c:tickLblPos val="nextTo"/>
        <c:txPr>
          <a:bodyPr/>
          <a:lstStyle/>
          <a:p>
            <a:pPr>
              <a:defRPr sz="800">
                <a:latin typeface="Book Antiqua" pitchFamily="18" charset="0"/>
              </a:defRPr>
            </a:pPr>
            <a:endParaRPr lang="fr-FR"/>
          </a:p>
        </c:txPr>
        <c:crossAx val="219136768"/>
        <c:crosses val="autoZero"/>
        <c:crossBetween val="between"/>
      </c:valAx>
    </c:plotArea>
    <c:legend>
      <c:legendPos val="r"/>
      <c:layout>
        <c:manualLayout>
          <c:xMode val="edge"/>
          <c:yMode val="edge"/>
          <c:x val="3.8069772528434492E-2"/>
          <c:y val="0.86196536406026358"/>
          <c:w val="0.94804133858268724"/>
          <c:h val="7.9665906281130724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Feuil3!$B$3</c:f>
              <c:strCache>
                <c:ptCount val="1"/>
                <c:pt idx="0">
                  <c:v>Formel</c:v>
                </c:pt>
              </c:strCache>
            </c:strRef>
          </c:tx>
          <c:dLbls>
            <c:dLbl>
              <c:idx val="0"/>
              <c:layout>
                <c:manualLayout>
                  <c:x val="-9.1244721696414205E-3"/>
                  <c:y val="-5.8292043136112012E-2"/>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Feuil3!$A$4:$A$7</c:f>
              <c:strCache>
                <c:ptCount val="4"/>
                <c:pt idx="0">
                  <c:v>Oui, 1 fois</c:v>
                </c:pt>
                <c:pt idx="1">
                  <c:v>Oui, 2 fois</c:v>
                </c:pt>
                <c:pt idx="2">
                  <c:v>Oui, plus de 2 fois</c:v>
                </c:pt>
                <c:pt idx="3">
                  <c:v>Non</c:v>
                </c:pt>
              </c:strCache>
            </c:strRef>
          </c:cat>
          <c:val>
            <c:numRef>
              <c:f>Feuil3!$B$4:$B$7</c:f>
              <c:numCache>
                <c:formatCode>###0.0%</c:formatCode>
                <c:ptCount val="4"/>
                <c:pt idx="0">
                  <c:v>0.15840840840841541</c:v>
                </c:pt>
                <c:pt idx="1">
                  <c:v>3.228228228228229E-2</c:v>
                </c:pt>
                <c:pt idx="2">
                  <c:v>1.1261261261261665E-2</c:v>
                </c:pt>
                <c:pt idx="3">
                  <c:v>0.79804804804804863</c:v>
                </c:pt>
              </c:numCache>
            </c:numRef>
          </c:val>
        </c:ser>
        <c:ser>
          <c:idx val="1"/>
          <c:order val="1"/>
          <c:tx>
            <c:strRef>
              <c:f>Feuil3!$C$3</c:f>
              <c:strCache>
                <c:ptCount val="1"/>
                <c:pt idx="0">
                  <c:v>Informel</c:v>
                </c:pt>
              </c:strCache>
            </c:strRef>
          </c:tx>
          <c:dLbls>
            <c:dLbl>
              <c:idx val="1"/>
              <c:tx>
                <c:rich>
                  <a:bodyPr/>
                  <a:lstStyle/>
                  <a:p>
                    <a:r>
                      <a:rPr lang="en-US" b="1"/>
                      <a:t>0,6%</a:t>
                    </a:r>
                  </a:p>
                </c:rich>
              </c:tx>
              <c:showVal val="1"/>
              <c:extLst>
                <c:ext xmlns:c15="http://schemas.microsoft.com/office/drawing/2012/chart" uri="{CE6537A1-D6FC-4f65-9D91-7224C49458BB}"/>
              </c:extLst>
            </c:dLbl>
            <c:dLbl>
              <c:idx val="3"/>
              <c:layout>
                <c:manualLayout>
                  <c:x val="2.129043506249665E-2"/>
                  <c:y val="-2.3316817254444781E-2"/>
                </c:manualLayout>
              </c:layout>
              <c:showVal val="1"/>
              <c:extLst>
                <c:ext xmlns:c15="http://schemas.microsoft.com/office/drawing/2012/chart" uri="{CE6537A1-D6FC-4f65-9D91-7224C49458BB}"/>
              </c:extLst>
            </c:dLbl>
            <c:spPr>
              <a:noFill/>
              <a:ln>
                <a:noFill/>
              </a:ln>
              <a:effectLst/>
            </c:spPr>
            <c:txPr>
              <a:bodyPr/>
              <a:lstStyle/>
              <a:p>
                <a:pPr>
                  <a:defRPr sz="800" b="1"/>
                </a:pPr>
                <a:endParaRPr lang="fr-FR"/>
              </a:p>
            </c:txPr>
            <c:showVal val="1"/>
            <c:extLst>
              <c:ext xmlns:c15="http://schemas.microsoft.com/office/drawing/2012/chart" uri="{CE6537A1-D6FC-4f65-9D91-7224C49458BB}">
                <c15:showLeaderLines val="0"/>
              </c:ext>
            </c:extLst>
          </c:dLbls>
          <c:cat>
            <c:strRef>
              <c:f>Feuil3!$A$4:$A$7</c:f>
              <c:strCache>
                <c:ptCount val="4"/>
                <c:pt idx="0">
                  <c:v>Oui, 1 fois</c:v>
                </c:pt>
                <c:pt idx="1">
                  <c:v>Oui, 2 fois</c:v>
                </c:pt>
                <c:pt idx="2">
                  <c:v>Oui, plus de 2 fois</c:v>
                </c:pt>
                <c:pt idx="3">
                  <c:v>Non</c:v>
                </c:pt>
              </c:strCache>
            </c:strRef>
          </c:cat>
          <c:val>
            <c:numRef>
              <c:f>Feuil3!$C$4:$C$7</c:f>
              <c:numCache>
                <c:formatCode>####.0%</c:formatCode>
                <c:ptCount val="4"/>
                <c:pt idx="0" formatCode="###0.0%">
                  <c:v>0.10885608856088562</c:v>
                </c:pt>
                <c:pt idx="1">
                  <c:v>5.5350553505535104E-3</c:v>
                </c:pt>
                <c:pt idx="3" formatCode="###0.0%">
                  <c:v>0.88560885608859807</c:v>
                </c:pt>
              </c:numCache>
            </c:numRef>
          </c:val>
        </c:ser>
        <c:shape val="cylinder"/>
        <c:axId val="230369536"/>
        <c:axId val="230400384"/>
        <c:axId val="0"/>
      </c:bar3DChart>
      <c:catAx>
        <c:axId val="230369536"/>
        <c:scaling>
          <c:orientation val="minMax"/>
        </c:scaling>
        <c:axPos val="b"/>
        <c:numFmt formatCode="General" sourceLinked="0"/>
        <c:tickLblPos val="nextTo"/>
        <c:txPr>
          <a:bodyPr/>
          <a:lstStyle/>
          <a:p>
            <a:pPr>
              <a:defRPr sz="700" b="1">
                <a:latin typeface="Book Antiqua" pitchFamily="18" charset="0"/>
              </a:defRPr>
            </a:pPr>
            <a:endParaRPr lang="fr-FR"/>
          </a:p>
        </c:txPr>
        <c:crossAx val="230400384"/>
        <c:crosses val="autoZero"/>
        <c:auto val="1"/>
        <c:lblAlgn val="ctr"/>
        <c:lblOffset val="100"/>
      </c:catAx>
      <c:valAx>
        <c:axId val="230400384"/>
        <c:scaling>
          <c:orientation val="minMax"/>
        </c:scaling>
        <c:axPos val="l"/>
        <c:majorGridlines>
          <c:spPr>
            <a:ln w="3175">
              <a:solidFill>
                <a:sysClr val="window" lastClr="FFFFFF">
                  <a:lumMod val="85000"/>
                </a:sysClr>
              </a:solidFill>
            </a:ln>
          </c:spPr>
        </c:majorGridlines>
        <c:numFmt formatCode="0%" sourceLinked="0"/>
        <c:tickLblPos val="nextTo"/>
        <c:txPr>
          <a:bodyPr/>
          <a:lstStyle/>
          <a:p>
            <a:pPr>
              <a:defRPr sz="700" b="1">
                <a:latin typeface="Book Antiqua" pitchFamily="18" charset="0"/>
              </a:defRPr>
            </a:pPr>
            <a:endParaRPr lang="fr-FR"/>
          </a:p>
        </c:txPr>
        <c:crossAx val="230369536"/>
        <c:crosses val="autoZero"/>
        <c:crossBetween val="between"/>
      </c:valAx>
    </c:plotArea>
    <c:legend>
      <c:legendPos val="b"/>
      <c:txPr>
        <a:bodyPr/>
        <a:lstStyle/>
        <a:p>
          <a:pPr>
            <a:defRPr sz="800">
              <a:latin typeface="Book Antiqua" pitchFamily="18" charset="0"/>
            </a:defRPr>
          </a:pPr>
          <a:endParaRPr lang="fr-FR"/>
        </a:p>
      </c:txPr>
    </c:legend>
    <c:plotVisOnly val="1"/>
    <c:dispBlanksAs val="gap"/>
  </c:chart>
  <c:externalData r:id="rId2"/>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explosion val="25"/>
          <c:dPt>
            <c:idx val="0"/>
            <c:spPr>
              <a:solidFill>
                <a:srgbClr val="00B050"/>
              </a:solidFill>
            </c:spPr>
          </c:dPt>
          <c:dPt>
            <c:idx val="1"/>
            <c:spPr>
              <a:solidFill>
                <a:srgbClr val="FF0000"/>
              </a:solidFill>
            </c:spPr>
          </c:dPt>
          <c:dLbls>
            <c:dLbl>
              <c:idx val="0"/>
              <c:layout>
                <c:manualLayout>
                  <c:x val="0.11508683289588795"/>
                  <c:y val="-0.3887849956255558"/>
                </c:manualLayout>
              </c:layout>
              <c:showCatName val="1"/>
              <c:showPercent val="1"/>
              <c:extLst>
                <c:ext xmlns:c15="http://schemas.microsoft.com/office/drawing/2012/chart" uri="{CE6537A1-D6FC-4f65-9D91-7224C49458BB}"/>
              </c:extLst>
            </c:dLbl>
            <c:dLbl>
              <c:idx val="1"/>
              <c:layout>
                <c:manualLayout>
                  <c:x val="-8.0673447069116361E-2"/>
                  <c:y val="1.7128900554097406E-2"/>
                </c:manualLayout>
              </c:layout>
              <c:showCatName val="1"/>
              <c:showPercent val="1"/>
              <c:extLst>
                <c:ext xmlns:c15="http://schemas.microsoft.com/office/drawing/2012/chart" uri="{CE6537A1-D6FC-4f65-9D91-7224C49458BB}"/>
              </c:extLst>
            </c:dLbl>
            <c:numFmt formatCode="0.0%" sourceLinked="0"/>
            <c:spPr>
              <a:noFill/>
              <a:ln>
                <a:noFill/>
              </a:ln>
              <a:effectLst/>
            </c:spPr>
            <c:txPr>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ouverture!$I$3:$I$4</c:f>
              <c:strCache>
                <c:ptCount val="2"/>
                <c:pt idx="0">
                  <c:v>Oui</c:v>
                </c:pt>
                <c:pt idx="1">
                  <c:v>Non</c:v>
                </c:pt>
              </c:strCache>
            </c:strRef>
          </c:cat>
          <c:val>
            <c:numRef>
              <c:f>ouverture!$J$3:$J$4</c:f>
              <c:numCache>
                <c:formatCode>0.0%</c:formatCode>
                <c:ptCount val="2"/>
                <c:pt idx="0">
                  <c:v>0.81003201707577865</c:v>
                </c:pt>
                <c:pt idx="1">
                  <c:v>0.18996798292423075</c:v>
                </c:pt>
              </c:numCache>
            </c:numRef>
          </c:val>
        </c:ser>
        <c:dLbls>
          <c:showCatName val="1"/>
          <c:showPercent val="1"/>
        </c:dLbls>
      </c:pie3DChart>
    </c:plotArea>
    <c:plotVisOnly val="1"/>
    <c:dispBlanksAs val="zero"/>
  </c:chart>
  <c:externalData r:id="rId1"/>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7073840769904094"/>
          <c:y val="0.10791448554964149"/>
          <c:w val="0.76774212598425196"/>
          <c:h val="0.737594392879661"/>
        </c:manualLayout>
      </c:layout>
      <c:bar3DChart>
        <c:barDir val="bar"/>
        <c:grouping val="percentStacked"/>
        <c:ser>
          <c:idx val="0"/>
          <c:order val="0"/>
          <c:tx>
            <c:strRef>
              <c:f>TB_CROISES_PM_FNDIAYE!$B$1312</c:f>
              <c:strCache>
                <c:ptCount val="1"/>
                <c:pt idx="0">
                  <c:v>Oui</c:v>
                </c:pt>
              </c:strCache>
            </c:strRef>
          </c:tx>
          <c:spPr>
            <a:solidFill>
              <a:srgbClr val="00B050"/>
            </a:solidFill>
          </c:spPr>
          <c:cat>
            <c:strRef>
              <c:f>TB_CROISES_PM_FNDIAYE!$C$1311:$P$1311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TB_CROISES_PM_FNDIAYE!$C$1312:$P$1312</c:f>
              <c:numCache>
                <c:formatCode>###0.0%</c:formatCode>
                <c:ptCount val="14"/>
                <c:pt idx="0">
                  <c:v>0.80871212121211256</c:v>
                </c:pt>
                <c:pt idx="1">
                  <c:v>0.84210526315790002</c:v>
                </c:pt>
                <c:pt idx="2">
                  <c:v>0.65000000000001557</c:v>
                </c:pt>
                <c:pt idx="3">
                  <c:v>0.85294117647061585</c:v>
                </c:pt>
                <c:pt idx="4">
                  <c:v>0.93548387096773356</c:v>
                </c:pt>
                <c:pt idx="5">
                  <c:v>0.65853658536585358</c:v>
                </c:pt>
                <c:pt idx="6">
                  <c:v>0.85714285714285765</c:v>
                </c:pt>
                <c:pt idx="7">
                  <c:v>0.8837209302325586</c:v>
                </c:pt>
                <c:pt idx="8">
                  <c:v>0.97560975609758782</c:v>
                </c:pt>
                <c:pt idx="9">
                  <c:v>0.85185185185185264</c:v>
                </c:pt>
                <c:pt idx="10">
                  <c:v>0.78723404255320062</c:v>
                </c:pt>
                <c:pt idx="11">
                  <c:v>0.9677419354839073</c:v>
                </c:pt>
                <c:pt idx="12">
                  <c:v>0.94444444444444464</c:v>
                </c:pt>
                <c:pt idx="13">
                  <c:v>0.51546391752577325</c:v>
                </c:pt>
              </c:numCache>
            </c:numRef>
          </c:val>
        </c:ser>
        <c:ser>
          <c:idx val="1"/>
          <c:order val="1"/>
          <c:tx>
            <c:strRef>
              <c:f>TB_CROISES_PM_FNDIAYE!$B$1313</c:f>
              <c:strCache>
                <c:ptCount val="1"/>
                <c:pt idx="0">
                  <c:v>Non</c:v>
                </c:pt>
              </c:strCache>
            </c:strRef>
          </c:tx>
          <c:spPr>
            <a:solidFill>
              <a:srgbClr val="FF0000"/>
            </a:solidFill>
          </c:spPr>
          <c:cat>
            <c:strRef>
              <c:f>TB_CROISES_PM_FNDIAYE!$C$1311:$P$1311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TB_CROISES_PM_FNDIAYE!$C$1313:$P$1313</c:f>
              <c:numCache>
                <c:formatCode>###0.0%</c:formatCode>
                <c:ptCount val="14"/>
                <c:pt idx="0">
                  <c:v>0.19128787878787878</c:v>
                </c:pt>
                <c:pt idx="1">
                  <c:v>0.15789473684211225</c:v>
                </c:pt>
                <c:pt idx="2">
                  <c:v>0.35000000000000031</c:v>
                </c:pt>
                <c:pt idx="3">
                  <c:v>0.14705882352941191</c:v>
                </c:pt>
                <c:pt idx="4">
                  <c:v>6.4516129032258132E-2</c:v>
                </c:pt>
                <c:pt idx="5">
                  <c:v>0.34146341463414637</c:v>
                </c:pt>
                <c:pt idx="6">
                  <c:v>0.14285714285714779</c:v>
                </c:pt>
                <c:pt idx="7">
                  <c:v>0.11627906976744186</c:v>
                </c:pt>
                <c:pt idx="8">
                  <c:v>2.4390243902439025E-2</c:v>
                </c:pt>
                <c:pt idx="9">
                  <c:v>0.14814814814814894</c:v>
                </c:pt>
                <c:pt idx="10">
                  <c:v>0.21276595744681312</c:v>
                </c:pt>
                <c:pt idx="11">
                  <c:v>3.225806451613001E-2</c:v>
                </c:pt>
                <c:pt idx="12">
                  <c:v>5.5555555555555455E-2</c:v>
                </c:pt>
                <c:pt idx="13">
                  <c:v>0.4845360824742268</c:v>
                </c:pt>
              </c:numCache>
            </c:numRef>
          </c:val>
        </c:ser>
        <c:gapWidth val="55"/>
        <c:gapDepth val="55"/>
        <c:shape val="cylinder"/>
        <c:axId val="219235456"/>
        <c:axId val="219236992"/>
        <c:axId val="0"/>
      </c:bar3DChart>
      <c:catAx>
        <c:axId val="219235456"/>
        <c:scaling>
          <c:orientation val="minMax"/>
        </c:scaling>
        <c:axPos val="l"/>
        <c:numFmt formatCode="General" sourceLinked="0"/>
        <c:majorTickMark val="none"/>
        <c:tickLblPos val="nextTo"/>
        <c:txPr>
          <a:bodyPr/>
          <a:lstStyle/>
          <a:p>
            <a:pPr>
              <a:defRPr sz="800" b="1">
                <a:latin typeface="Book Antiqua" pitchFamily="18" charset="0"/>
              </a:defRPr>
            </a:pPr>
            <a:endParaRPr lang="fr-FR"/>
          </a:p>
        </c:txPr>
        <c:crossAx val="219236992"/>
        <c:crosses val="autoZero"/>
        <c:auto val="1"/>
        <c:lblAlgn val="ctr"/>
        <c:lblOffset val="100"/>
      </c:catAx>
      <c:valAx>
        <c:axId val="219236992"/>
        <c:scaling>
          <c:orientation val="minMax"/>
        </c:scaling>
        <c:axPos val="b"/>
        <c:numFmt formatCode="0%" sourceLinked="1"/>
        <c:majorTickMark val="none"/>
        <c:tickLblPos val="nextTo"/>
        <c:txPr>
          <a:bodyPr/>
          <a:lstStyle/>
          <a:p>
            <a:pPr>
              <a:defRPr sz="700" b="1">
                <a:latin typeface="Book Antiqua" pitchFamily="18" charset="0"/>
              </a:defRPr>
            </a:pPr>
            <a:endParaRPr lang="fr-FR"/>
          </a:p>
        </c:txPr>
        <c:crossAx val="219235456"/>
        <c:crosses val="autoZero"/>
        <c:crossBetween val="between"/>
      </c:valAx>
    </c:plotArea>
    <c:legend>
      <c:legendPos val="r"/>
      <c:layout>
        <c:manualLayout>
          <c:xMode val="edge"/>
          <c:yMode val="edge"/>
          <c:x val="0.32508464566930712"/>
          <c:y val="0.91491458819044258"/>
          <c:w val="0.40824868766405392"/>
          <c:h val="7.1381105294799005E-2"/>
        </c:manualLayout>
      </c:layout>
      <c:txPr>
        <a:bodyPr/>
        <a:lstStyle/>
        <a:p>
          <a:pPr>
            <a:defRPr sz="700" b="1">
              <a:latin typeface="Book Antiqua" pitchFamily="18" charset="0"/>
            </a:defRPr>
          </a:pPr>
          <a:endParaRPr lang="fr-FR"/>
        </a:p>
      </c:txPr>
    </c:legend>
    <c:plotVisOnly val="1"/>
    <c:dispBlanksAs val="gap"/>
  </c:chart>
  <c:externalData r:id="rId2"/>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1286351706036735"/>
          <c:y val="5.1400554097404488E-2"/>
          <c:w val="0.8761097987751536"/>
          <c:h val="0.74928623505395153"/>
        </c:manualLayout>
      </c:layout>
      <c:bar3DChart>
        <c:barDir val="col"/>
        <c:grouping val="clustered"/>
        <c:ser>
          <c:idx val="0"/>
          <c:order val="0"/>
          <c:tx>
            <c:strRef>
              <c:f>tarifs!$H$198</c:f>
              <c:strCache>
                <c:ptCount val="1"/>
                <c:pt idx="0">
                  <c:v>Oui</c:v>
                </c:pt>
              </c:strCache>
            </c:strRef>
          </c:tx>
          <c:spPr>
            <a:solidFill>
              <a:srgbClr val="00B050"/>
            </a:solidFill>
          </c:spPr>
          <c:dLbls>
            <c:dLbl>
              <c:idx val="0"/>
              <c:layout>
                <c:manualLayout>
                  <c:x val="2.777777777777864E-2"/>
                  <c:y val="-3.2407407407408079E-2"/>
                </c:manualLayout>
              </c:layout>
              <c:showVal val="1"/>
              <c:extLst>
                <c:ext xmlns:c15="http://schemas.microsoft.com/office/drawing/2012/chart" uri="{CE6537A1-D6FC-4f65-9D91-7224C49458BB}"/>
              </c:extLst>
            </c:dLbl>
            <c:dLbl>
              <c:idx val="1"/>
              <c:layout>
                <c:manualLayout>
                  <c:x val="2.777777777777864E-2"/>
                  <c:y val="-2.3148148148148147E-2"/>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tarifs!$I$197:$J$197</c:f>
              <c:strCache>
                <c:ptCount val="2"/>
                <c:pt idx="0">
                  <c:v>Formel</c:v>
                </c:pt>
                <c:pt idx="1">
                  <c:v>Informel</c:v>
                </c:pt>
              </c:strCache>
            </c:strRef>
          </c:cat>
          <c:val>
            <c:numRef>
              <c:f>tarifs!$I$198:$J$198</c:f>
              <c:numCache>
                <c:formatCode>0.0%</c:formatCode>
                <c:ptCount val="2"/>
                <c:pt idx="0">
                  <c:v>0.82057057057058091</c:v>
                </c:pt>
                <c:pt idx="1">
                  <c:v>0.78413284132841332</c:v>
                </c:pt>
              </c:numCache>
            </c:numRef>
          </c:val>
        </c:ser>
        <c:ser>
          <c:idx val="1"/>
          <c:order val="1"/>
          <c:tx>
            <c:strRef>
              <c:f>tarifs!$H$199</c:f>
              <c:strCache>
                <c:ptCount val="1"/>
                <c:pt idx="0">
                  <c:v>Non</c:v>
                </c:pt>
              </c:strCache>
            </c:strRef>
          </c:tx>
          <c:spPr>
            <a:solidFill>
              <a:srgbClr val="FF0000"/>
            </a:solidFill>
          </c:spPr>
          <c:dLbls>
            <c:dLbl>
              <c:idx val="0"/>
              <c:layout>
                <c:manualLayout>
                  <c:x val="1.6666666666666701E-2"/>
                  <c:y val="-9.2592592592594999E-3"/>
                </c:manualLayout>
              </c:layout>
              <c:showVal val="1"/>
              <c:extLst>
                <c:ext xmlns:c15="http://schemas.microsoft.com/office/drawing/2012/chart" uri="{CE6537A1-D6FC-4f65-9D91-7224C49458BB}"/>
              </c:extLst>
            </c:dLbl>
            <c:dLbl>
              <c:idx val="1"/>
              <c:layout>
                <c:manualLayout>
                  <c:x val="2.777777777777864E-2"/>
                  <c:y val="-3.7037037037037056E-2"/>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tarifs!$I$197:$J$197</c:f>
              <c:strCache>
                <c:ptCount val="2"/>
                <c:pt idx="0">
                  <c:v>Formel</c:v>
                </c:pt>
                <c:pt idx="1">
                  <c:v>Informel</c:v>
                </c:pt>
              </c:strCache>
            </c:strRef>
          </c:cat>
          <c:val>
            <c:numRef>
              <c:f>tarifs!$I$199:$J$199</c:f>
              <c:numCache>
                <c:formatCode>0.0%</c:formatCode>
                <c:ptCount val="2"/>
                <c:pt idx="0">
                  <c:v>0.17942942942943277</c:v>
                </c:pt>
                <c:pt idx="1">
                  <c:v>0.21586715867158671</c:v>
                </c:pt>
              </c:numCache>
            </c:numRef>
          </c:val>
        </c:ser>
        <c:shape val="cylinder"/>
        <c:axId val="219283456"/>
        <c:axId val="219284992"/>
        <c:axId val="0"/>
      </c:bar3DChart>
      <c:catAx>
        <c:axId val="219283456"/>
        <c:scaling>
          <c:orientation val="minMax"/>
        </c:scaling>
        <c:axPos val="b"/>
        <c:numFmt formatCode="General" sourceLinked="0"/>
        <c:tickLblPos val="nextTo"/>
        <c:txPr>
          <a:bodyPr/>
          <a:lstStyle/>
          <a:p>
            <a:pPr>
              <a:defRPr sz="800">
                <a:latin typeface="Book Antiqua" pitchFamily="18" charset="0"/>
              </a:defRPr>
            </a:pPr>
            <a:endParaRPr lang="fr-FR"/>
          </a:p>
        </c:txPr>
        <c:crossAx val="219284992"/>
        <c:crosses val="autoZero"/>
        <c:auto val="1"/>
        <c:lblAlgn val="ctr"/>
        <c:lblOffset val="100"/>
      </c:catAx>
      <c:valAx>
        <c:axId val="219284992"/>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19283456"/>
        <c:crosses val="autoZero"/>
        <c:crossBetween val="between"/>
      </c:valAx>
    </c:plotArea>
    <c:legend>
      <c:legendPos val="r"/>
      <c:layout>
        <c:manualLayout>
          <c:xMode val="edge"/>
          <c:yMode val="edge"/>
          <c:x val="0.29730664916886279"/>
          <c:y val="0.89776428988042956"/>
          <c:w val="0.33602668416449144"/>
          <c:h val="6.0952901720618929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dLbl>
              <c:idx val="0"/>
              <c:numFmt formatCode="0.0%" sourceLinked="0"/>
              <c:spPr>
                <a:noFill/>
                <a:ln>
                  <a:noFill/>
                </a:ln>
                <a:effectLst/>
              </c:spPr>
              <c:txPr>
                <a:bodyPr/>
                <a:lstStyle/>
                <a:p>
                  <a:pPr>
                    <a:defRPr sz="800" b="1">
                      <a:latin typeface="Book Antiqua" pitchFamily="18" charset="0"/>
                    </a:defRPr>
                  </a:pPr>
                  <a:endParaRPr lang="fr-FR"/>
                </a:p>
              </c:txPr>
            </c:dLbl>
            <c:dLbl>
              <c:idx val="1"/>
              <c:layout>
                <c:manualLayout>
                  <c:x val="-9.2291119860017506E-3"/>
                  <c:y val="-4.3316564596092164E-2"/>
                </c:manualLayout>
              </c:layout>
              <c:numFmt formatCode="0.0%" sourceLinked="0"/>
              <c:spPr>
                <a:noFill/>
                <a:ln>
                  <a:noFill/>
                </a:ln>
                <a:effectLst/>
              </c:spPr>
              <c:txPr>
                <a:bodyPr/>
                <a:lstStyle/>
                <a:p>
                  <a:pPr>
                    <a:defRPr sz="800" b="1">
                      <a:latin typeface="Book Antiqua" pitchFamily="18" charset="0"/>
                    </a:defRPr>
                  </a:pPr>
                  <a:endParaRPr lang="fr-FR"/>
                </a:p>
              </c:txPr>
              <c:showCatName val="1"/>
              <c:showPercent val="1"/>
              <c:extLst>
                <c:ext xmlns:c15="http://schemas.microsoft.com/office/drawing/2012/chart" uri="{CE6537A1-D6FC-4f65-9D91-7224C49458BB}"/>
              </c:extLst>
            </c:dLbl>
            <c:dLbl>
              <c:idx val="2"/>
              <c:layout>
                <c:manualLayout>
                  <c:x val="1.836111111111138E-2"/>
                  <c:y val="5.705781568970545E-2"/>
                </c:manualLayout>
              </c:layout>
              <c:showCatName val="1"/>
              <c:showPercent val="1"/>
              <c:extLst>
                <c:ext xmlns:c15="http://schemas.microsoft.com/office/drawing/2012/chart" uri="{CE6537A1-D6FC-4f65-9D91-7224C49458BB}"/>
              </c:extLst>
            </c:dLbl>
            <c:dLbl>
              <c:idx val="3"/>
              <c:layout>
                <c:manualLayout>
                  <c:x val="-0.18291885389326781"/>
                  <c:y val="1.6203703703703703E-2"/>
                </c:manualLayout>
              </c:layout>
              <c:numFmt formatCode="0.0%" sourceLinked="0"/>
              <c:spPr>
                <a:noFill/>
                <a:ln>
                  <a:noFill/>
                </a:ln>
                <a:effectLst/>
              </c:spPr>
              <c:txPr>
                <a:bodyPr/>
                <a:lstStyle/>
                <a:p>
                  <a:pPr>
                    <a:defRPr sz="800" b="1">
                      <a:latin typeface="Book Antiqua" pitchFamily="18" charset="0"/>
                    </a:defRPr>
                  </a:pPr>
                  <a:endParaRPr lang="fr-FR"/>
                </a:p>
              </c:txPr>
              <c:showCatName val="1"/>
              <c:showPercent val="1"/>
              <c:extLst>
                <c:ext xmlns:c15="http://schemas.microsoft.com/office/drawing/2012/chart" uri="{CE6537A1-D6FC-4f65-9D91-7224C49458BB}"/>
              </c:extLst>
            </c:dLbl>
            <c:numFmt formatCode="0.0%" sourceLinked="0"/>
            <c:spPr>
              <a:noFill/>
              <a:ln>
                <a:noFill/>
              </a:ln>
              <a:effectLst/>
            </c:spPr>
            <c:txPr>
              <a:bodyPr/>
              <a:lstStyle/>
              <a:p>
                <a:pPr>
                  <a:defRPr sz="800">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ouverture!$N$53:$N$56</c:f>
              <c:strCache>
                <c:ptCount val="4"/>
                <c:pt idx="0">
                  <c:v>Très complètes</c:v>
                </c:pt>
                <c:pt idx="1">
                  <c:v>Complètes</c:v>
                </c:pt>
                <c:pt idx="2">
                  <c:v>Incomplètes</c:v>
                </c:pt>
                <c:pt idx="3">
                  <c:v>Très incomplètes</c:v>
                </c:pt>
              </c:strCache>
            </c:strRef>
          </c:cat>
          <c:val>
            <c:numRef>
              <c:f>ouverture!$O$53:$O$56</c:f>
              <c:numCache>
                <c:formatCode>0.0%</c:formatCode>
                <c:ptCount val="4"/>
                <c:pt idx="0">
                  <c:v>1.3123359580052583E-2</c:v>
                </c:pt>
                <c:pt idx="1">
                  <c:v>0.39107611548557025</c:v>
                </c:pt>
                <c:pt idx="2">
                  <c:v>0.49409448818898039</c:v>
                </c:pt>
                <c:pt idx="3">
                  <c:v>0.10170603674540712</c:v>
                </c:pt>
              </c:numCache>
            </c:numRef>
          </c:val>
        </c:ser>
        <c:dLbls>
          <c:showCatName val="1"/>
          <c:showPercent val="1"/>
        </c:dLbls>
      </c:pie3DChart>
    </c:plotArea>
    <c:plotVisOnly val="1"/>
    <c:dispBlanksAs val="zero"/>
  </c:chart>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6620333172639587"/>
          <c:y val="5.8424743016633002E-2"/>
          <c:w val="0.75193011587838032"/>
          <c:h val="0.68936773393239359"/>
        </c:manualLayout>
      </c:layout>
      <c:bar3DChart>
        <c:barDir val="bar"/>
        <c:grouping val="percentStacked"/>
        <c:ser>
          <c:idx val="0"/>
          <c:order val="0"/>
          <c:tx>
            <c:strRef>
              <c:f>TB_CROISES_PM_FNDIAYE!$B$1360</c:f>
              <c:strCache>
                <c:ptCount val="1"/>
                <c:pt idx="0">
                  <c:v>Très complètes</c:v>
                </c:pt>
              </c:strCache>
            </c:strRef>
          </c:tx>
          <c:spPr>
            <a:solidFill>
              <a:srgbClr val="00B050"/>
            </a:solidFill>
          </c:spPr>
          <c:cat>
            <c:strRef>
              <c:f>TB_CROISES_PM_FNDIAYE!$C$1359:$P$1359</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TB_CROISES_PM_FNDIAYE!$C$1360:$P$1360</c:f>
              <c:numCache>
                <c:formatCode>General</c:formatCode>
                <c:ptCount val="14"/>
                <c:pt idx="0" formatCode="###0.0%">
                  <c:v>1.5151515151515181E-2</c:v>
                </c:pt>
                <c:pt idx="2" formatCode="###0.0%">
                  <c:v>3.8461538461538464E-2</c:v>
                </c:pt>
                <c:pt idx="6" formatCode="###0.0%">
                  <c:v>3.6363636363636362E-2</c:v>
                </c:pt>
                <c:pt idx="8" formatCode="###0.0%">
                  <c:v>0.05</c:v>
                </c:pt>
                <c:pt idx="10" formatCode="###0.0%">
                  <c:v>2.7027027027028003E-2</c:v>
                </c:pt>
                <c:pt idx="11" formatCode="###0.0%">
                  <c:v>1.6666666666666701E-2</c:v>
                </c:pt>
              </c:numCache>
            </c:numRef>
          </c:val>
        </c:ser>
        <c:ser>
          <c:idx val="1"/>
          <c:order val="1"/>
          <c:tx>
            <c:strRef>
              <c:f>TB_CROISES_PM_FNDIAYE!$B$1361</c:f>
              <c:strCache>
                <c:ptCount val="1"/>
                <c:pt idx="0">
                  <c:v>Complètes</c:v>
                </c:pt>
              </c:strCache>
            </c:strRef>
          </c:tx>
          <c:spPr>
            <a:solidFill>
              <a:srgbClr val="92D050"/>
            </a:solidFill>
          </c:spPr>
          <c:cat>
            <c:strRef>
              <c:f>TB_CROISES_PM_FNDIAYE!$C$1359:$P$1359</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TB_CROISES_PM_FNDIAYE!$C$1361:$P$1361</c:f>
              <c:numCache>
                <c:formatCode>###0.0%</c:formatCode>
                <c:ptCount val="14"/>
                <c:pt idx="0">
                  <c:v>0.43240093240093236</c:v>
                </c:pt>
                <c:pt idx="1">
                  <c:v>0.18750000000000044</c:v>
                </c:pt>
                <c:pt idx="2">
                  <c:v>0.26923076923076938</c:v>
                </c:pt>
                <c:pt idx="3">
                  <c:v>0.17241379310345245</c:v>
                </c:pt>
                <c:pt idx="4">
                  <c:v>0.24137931034482771</c:v>
                </c:pt>
                <c:pt idx="5">
                  <c:v>0.38888888888890943</c:v>
                </c:pt>
                <c:pt idx="6">
                  <c:v>0.2181818181818182</c:v>
                </c:pt>
                <c:pt idx="7">
                  <c:v>0.52631578947368418</c:v>
                </c:pt>
                <c:pt idx="8">
                  <c:v>0.52500000000000002</c:v>
                </c:pt>
                <c:pt idx="9">
                  <c:v>0.56521739130434756</c:v>
                </c:pt>
                <c:pt idx="10">
                  <c:v>0.16216216216216592</c:v>
                </c:pt>
                <c:pt idx="11">
                  <c:v>0.15000000000000024</c:v>
                </c:pt>
                <c:pt idx="12">
                  <c:v>0.39534883720931779</c:v>
                </c:pt>
                <c:pt idx="13">
                  <c:v>0.5</c:v>
                </c:pt>
              </c:numCache>
            </c:numRef>
          </c:val>
        </c:ser>
        <c:ser>
          <c:idx val="2"/>
          <c:order val="2"/>
          <c:tx>
            <c:strRef>
              <c:f>TB_CROISES_PM_FNDIAYE!$B$1362</c:f>
              <c:strCache>
                <c:ptCount val="1"/>
                <c:pt idx="0">
                  <c:v>Incomplètes</c:v>
                </c:pt>
              </c:strCache>
            </c:strRef>
          </c:tx>
          <c:spPr>
            <a:solidFill>
              <a:schemeClr val="accent6">
                <a:lumMod val="75000"/>
              </a:schemeClr>
            </a:solidFill>
          </c:spPr>
          <c:cat>
            <c:strRef>
              <c:f>TB_CROISES_PM_FNDIAYE!$C$1359:$P$1359</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TB_CROISES_PM_FNDIAYE!$C$1362:$P$1362</c:f>
              <c:numCache>
                <c:formatCode>###0.0%</c:formatCode>
                <c:ptCount val="14"/>
                <c:pt idx="0">
                  <c:v>0.5174825174825175</c:v>
                </c:pt>
                <c:pt idx="1">
                  <c:v>0.53125</c:v>
                </c:pt>
                <c:pt idx="2">
                  <c:v>0.5</c:v>
                </c:pt>
                <c:pt idx="3">
                  <c:v>0.51724137931034486</c:v>
                </c:pt>
                <c:pt idx="4">
                  <c:v>0.44827586206896552</c:v>
                </c:pt>
                <c:pt idx="5">
                  <c:v>0.53703703703703698</c:v>
                </c:pt>
                <c:pt idx="6">
                  <c:v>0.30909090909091835</c:v>
                </c:pt>
                <c:pt idx="7">
                  <c:v>0.31578947368422511</c:v>
                </c:pt>
                <c:pt idx="8">
                  <c:v>0.37500000000000488</c:v>
                </c:pt>
                <c:pt idx="9">
                  <c:v>0.37681159420291188</c:v>
                </c:pt>
                <c:pt idx="10">
                  <c:v>0.48648648648649417</c:v>
                </c:pt>
                <c:pt idx="11">
                  <c:v>0.5</c:v>
                </c:pt>
                <c:pt idx="12">
                  <c:v>0.56976744186046457</c:v>
                </c:pt>
                <c:pt idx="13">
                  <c:v>0.5</c:v>
                </c:pt>
              </c:numCache>
            </c:numRef>
          </c:val>
        </c:ser>
        <c:ser>
          <c:idx val="3"/>
          <c:order val="3"/>
          <c:tx>
            <c:strRef>
              <c:f>TB_CROISES_PM_FNDIAYE!$B$1363</c:f>
              <c:strCache>
                <c:ptCount val="1"/>
                <c:pt idx="0">
                  <c:v>Très incomplètes</c:v>
                </c:pt>
              </c:strCache>
            </c:strRef>
          </c:tx>
          <c:spPr>
            <a:solidFill>
              <a:srgbClr val="FF0000"/>
            </a:solidFill>
          </c:spPr>
          <c:cat>
            <c:strRef>
              <c:f>TB_CROISES_PM_FNDIAYE!$C$1359:$P$1359</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TB_CROISES_PM_FNDIAYE!$C$1363:$P$1363</c:f>
              <c:numCache>
                <c:formatCode>###0.0%</c:formatCode>
                <c:ptCount val="14"/>
                <c:pt idx="0">
                  <c:v>3.4965034965034968E-2</c:v>
                </c:pt>
                <c:pt idx="1">
                  <c:v>0.28125</c:v>
                </c:pt>
                <c:pt idx="2">
                  <c:v>0.19230769230769229</c:v>
                </c:pt>
                <c:pt idx="3">
                  <c:v>0.31034482758621512</c:v>
                </c:pt>
                <c:pt idx="4">
                  <c:v>0.31034482758621512</c:v>
                </c:pt>
                <c:pt idx="5">
                  <c:v>7.407407407407407E-2</c:v>
                </c:pt>
                <c:pt idx="6">
                  <c:v>0.43636363636364772</c:v>
                </c:pt>
                <c:pt idx="7">
                  <c:v>0.15789473684211225</c:v>
                </c:pt>
                <c:pt idx="8">
                  <c:v>0.05</c:v>
                </c:pt>
                <c:pt idx="9">
                  <c:v>5.7971014492753624E-2</c:v>
                </c:pt>
                <c:pt idx="10">
                  <c:v>0.32432432432433889</c:v>
                </c:pt>
                <c:pt idx="11">
                  <c:v>0.33333333333333337</c:v>
                </c:pt>
                <c:pt idx="12">
                  <c:v>3.4883720930232558E-2</c:v>
                </c:pt>
              </c:numCache>
            </c:numRef>
          </c:val>
        </c:ser>
        <c:gapWidth val="55"/>
        <c:gapDepth val="55"/>
        <c:shape val="cylinder"/>
        <c:axId val="219406336"/>
        <c:axId val="219407872"/>
        <c:axId val="0"/>
      </c:bar3DChart>
      <c:catAx>
        <c:axId val="219406336"/>
        <c:scaling>
          <c:orientation val="minMax"/>
        </c:scaling>
        <c:axPos val="l"/>
        <c:numFmt formatCode="General" sourceLinked="0"/>
        <c:majorTickMark val="none"/>
        <c:tickLblPos val="nextTo"/>
        <c:txPr>
          <a:bodyPr/>
          <a:lstStyle/>
          <a:p>
            <a:pPr>
              <a:defRPr sz="700" b="1">
                <a:latin typeface="Book Antiqua" pitchFamily="18" charset="0"/>
              </a:defRPr>
            </a:pPr>
            <a:endParaRPr lang="fr-FR"/>
          </a:p>
        </c:txPr>
        <c:crossAx val="219407872"/>
        <c:crosses val="autoZero"/>
        <c:auto val="1"/>
        <c:lblAlgn val="ctr"/>
        <c:lblOffset val="100"/>
      </c:catAx>
      <c:valAx>
        <c:axId val="219407872"/>
        <c:scaling>
          <c:orientation val="minMax"/>
        </c:scaling>
        <c:axPos val="b"/>
        <c:numFmt formatCode="0%" sourceLinked="1"/>
        <c:majorTickMark val="none"/>
        <c:tickLblPos val="nextTo"/>
        <c:txPr>
          <a:bodyPr/>
          <a:lstStyle/>
          <a:p>
            <a:pPr>
              <a:defRPr sz="700" b="1"/>
            </a:pPr>
            <a:endParaRPr lang="fr-FR"/>
          </a:p>
        </c:txPr>
        <c:crossAx val="219406336"/>
        <c:crosses val="autoZero"/>
        <c:crossBetween val="between"/>
      </c:valAx>
    </c:plotArea>
    <c:legend>
      <c:legendPos val="r"/>
      <c:layout>
        <c:manualLayout>
          <c:xMode val="edge"/>
          <c:yMode val="edge"/>
          <c:x val="8.5293088363954467E-2"/>
          <c:y val="0.83597177154010438"/>
          <c:w val="0.86192913385826864"/>
          <c:h val="7.4281089503581491E-2"/>
        </c:manualLayout>
      </c:layout>
      <c:txPr>
        <a:bodyPr/>
        <a:lstStyle/>
        <a:p>
          <a:pPr>
            <a:defRPr sz="800" b="1">
              <a:latin typeface="Book Antiqua" pitchFamily="18" charset="0"/>
            </a:defRPr>
          </a:pPr>
          <a:endParaRPr lang="fr-FR"/>
        </a:p>
      </c:txPr>
    </c:legend>
    <c:plotVisOnly val="1"/>
    <c:dispBlanksAs val="gap"/>
  </c:chart>
  <c:externalData r:id="rId2"/>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4061395450568678"/>
          <c:y val="5.0925925925925923E-2"/>
          <c:w val="0.76917804024496961"/>
          <c:h val="0.61087197433655194"/>
        </c:manualLayout>
      </c:layout>
      <c:bar3DChart>
        <c:barDir val="bar"/>
        <c:grouping val="percentStacked"/>
        <c:ser>
          <c:idx val="0"/>
          <c:order val="0"/>
          <c:tx>
            <c:strRef>
              <c:f>ouverture!$N$104</c:f>
              <c:strCache>
                <c:ptCount val="1"/>
                <c:pt idx="0">
                  <c:v>Très complètes</c:v>
                </c:pt>
              </c:strCache>
            </c:strRef>
          </c:tx>
          <c:spPr>
            <a:solidFill>
              <a:srgbClr val="00B05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ouverture!$O$103:$P$103</c:f>
              <c:strCache>
                <c:ptCount val="2"/>
                <c:pt idx="0">
                  <c:v>Formel</c:v>
                </c:pt>
                <c:pt idx="1">
                  <c:v>Informel</c:v>
                </c:pt>
              </c:strCache>
            </c:strRef>
          </c:cat>
          <c:val>
            <c:numRef>
              <c:f>ouverture!$O$104:$P$104</c:f>
              <c:numCache>
                <c:formatCode>0.0%</c:formatCode>
                <c:ptCount val="2"/>
                <c:pt idx="0">
                  <c:v>1.5468607825295719E-2</c:v>
                </c:pt>
                <c:pt idx="1">
                  <c:v>7.0588235294117814E-3</c:v>
                </c:pt>
              </c:numCache>
            </c:numRef>
          </c:val>
        </c:ser>
        <c:ser>
          <c:idx val="1"/>
          <c:order val="1"/>
          <c:tx>
            <c:strRef>
              <c:f>ouverture!$N$105</c:f>
              <c:strCache>
                <c:ptCount val="1"/>
                <c:pt idx="0">
                  <c:v>Complètes</c:v>
                </c:pt>
              </c:strCache>
            </c:strRef>
          </c:tx>
          <c:spPr>
            <a:solidFill>
              <a:srgbClr val="92D05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ouverture!$O$103:$P$103</c:f>
              <c:strCache>
                <c:ptCount val="2"/>
                <c:pt idx="0">
                  <c:v>Formel</c:v>
                </c:pt>
                <c:pt idx="1">
                  <c:v>Informel</c:v>
                </c:pt>
              </c:strCache>
            </c:strRef>
          </c:cat>
          <c:val>
            <c:numRef>
              <c:f>ouverture!$O$105:$P$105</c:f>
              <c:numCache>
                <c:formatCode>0.0%</c:formatCode>
                <c:ptCount val="2"/>
                <c:pt idx="0">
                  <c:v>0.41765241128298991</c:v>
                </c:pt>
                <c:pt idx="1">
                  <c:v>0.32235294117647934</c:v>
                </c:pt>
              </c:numCache>
            </c:numRef>
          </c:val>
        </c:ser>
        <c:ser>
          <c:idx val="2"/>
          <c:order val="2"/>
          <c:tx>
            <c:strRef>
              <c:f>ouverture!$N$106</c:f>
              <c:strCache>
                <c:ptCount val="1"/>
                <c:pt idx="0">
                  <c:v>Incomplètes</c:v>
                </c:pt>
              </c:strCache>
            </c:strRef>
          </c:tx>
          <c:spPr>
            <a:solidFill>
              <a:schemeClr val="accent6">
                <a:lumMod val="75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ouverture!$O$103:$P$103</c:f>
              <c:strCache>
                <c:ptCount val="2"/>
                <c:pt idx="0">
                  <c:v>Formel</c:v>
                </c:pt>
                <c:pt idx="1">
                  <c:v>Informel</c:v>
                </c:pt>
              </c:strCache>
            </c:strRef>
          </c:cat>
          <c:val>
            <c:numRef>
              <c:f>ouverture!$O$106:$P$106</c:f>
              <c:numCache>
                <c:formatCode>0.0%</c:formatCode>
                <c:ptCount val="2"/>
                <c:pt idx="0">
                  <c:v>0.48862602365787855</c:v>
                </c:pt>
                <c:pt idx="1">
                  <c:v>0.50823529411764656</c:v>
                </c:pt>
              </c:numCache>
            </c:numRef>
          </c:val>
        </c:ser>
        <c:ser>
          <c:idx val="3"/>
          <c:order val="3"/>
          <c:tx>
            <c:strRef>
              <c:f>ouverture!$N$107</c:f>
              <c:strCache>
                <c:ptCount val="1"/>
                <c:pt idx="0">
                  <c:v>Très incomplètes</c:v>
                </c:pt>
              </c:strCache>
            </c:strRef>
          </c:tx>
          <c:spPr>
            <a:solidFill>
              <a:srgbClr val="FF000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ouverture!$O$103:$P$103</c:f>
              <c:strCache>
                <c:ptCount val="2"/>
                <c:pt idx="0">
                  <c:v>Formel</c:v>
                </c:pt>
                <c:pt idx="1">
                  <c:v>Informel</c:v>
                </c:pt>
              </c:strCache>
            </c:strRef>
          </c:cat>
          <c:val>
            <c:numRef>
              <c:f>ouverture!$O$107:$P$107</c:f>
              <c:numCache>
                <c:formatCode>0.0%</c:formatCode>
                <c:ptCount val="2"/>
                <c:pt idx="0">
                  <c:v>7.8252957233849021E-2</c:v>
                </c:pt>
                <c:pt idx="1">
                  <c:v>0.16235294117647295</c:v>
                </c:pt>
              </c:numCache>
            </c:numRef>
          </c:val>
        </c:ser>
        <c:shape val="cylinder"/>
        <c:axId val="219440256"/>
        <c:axId val="219441792"/>
        <c:axId val="0"/>
      </c:bar3DChart>
      <c:catAx>
        <c:axId val="219440256"/>
        <c:scaling>
          <c:orientation val="minMax"/>
        </c:scaling>
        <c:axPos val="l"/>
        <c:numFmt formatCode="General" sourceLinked="0"/>
        <c:tickLblPos val="nextTo"/>
        <c:txPr>
          <a:bodyPr/>
          <a:lstStyle/>
          <a:p>
            <a:pPr>
              <a:defRPr sz="800">
                <a:latin typeface="Book Antiqua" pitchFamily="18" charset="0"/>
              </a:defRPr>
            </a:pPr>
            <a:endParaRPr lang="fr-FR"/>
          </a:p>
        </c:txPr>
        <c:crossAx val="219441792"/>
        <c:crosses val="autoZero"/>
        <c:auto val="1"/>
        <c:lblAlgn val="ctr"/>
        <c:lblOffset val="100"/>
      </c:catAx>
      <c:valAx>
        <c:axId val="219441792"/>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9440256"/>
        <c:crosses val="autoZero"/>
        <c:crossBetween val="between"/>
      </c:valAx>
    </c:plotArea>
    <c:legend>
      <c:legendPos val="r"/>
      <c:layout>
        <c:manualLayout>
          <c:xMode val="edge"/>
          <c:yMode val="edge"/>
          <c:x val="2.9736439195100588E-2"/>
          <c:y val="0.80478783902012263"/>
          <c:w val="0.92859689413823276"/>
          <c:h val="5.7090988626422132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explosion val="25"/>
          <c:dLbls>
            <c:numFmt formatCode="0.0%" sourceLinked="0"/>
            <c:spPr>
              <a:noFill/>
              <a:ln>
                <a:noFill/>
              </a:ln>
              <a:effectLst/>
            </c:spPr>
            <c:txPr>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reclamations!$W$4:$W$5</c:f>
              <c:strCache>
                <c:ptCount val="2"/>
                <c:pt idx="0">
                  <c:v>Oui</c:v>
                </c:pt>
                <c:pt idx="1">
                  <c:v>Non</c:v>
                </c:pt>
              </c:strCache>
            </c:strRef>
          </c:cat>
          <c:val>
            <c:numRef>
              <c:f>reclamations!$X$4:$X$5</c:f>
              <c:numCache>
                <c:formatCode>0.0%</c:formatCode>
                <c:ptCount val="2"/>
                <c:pt idx="0">
                  <c:v>0.29615795090715047</c:v>
                </c:pt>
                <c:pt idx="1">
                  <c:v>0.70384204909284953</c:v>
                </c:pt>
              </c:numCache>
            </c:numRef>
          </c:val>
        </c:ser>
        <c:dLbls>
          <c:showCatName val="1"/>
          <c:showPercent val="1"/>
        </c:dLbls>
      </c:pie3DChart>
    </c:plotArea>
    <c:plotVisOnly val="1"/>
    <c:dispBlanksAs val="zero"/>
  </c:chart>
  <c:externalData r:id="rId1"/>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bar"/>
        <c:grouping val="stacked"/>
        <c:varyColors val="1"/>
        <c:ser>
          <c:idx val="0"/>
          <c:order val="0"/>
          <c:dLbls>
            <c:dLbl>
              <c:idx val="0"/>
              <c:layout>
                <c:manualLayout>
                  <c:x val="0.35000000000000031"/>
                  <c:y val="-1.3888888888889067E-2"/>
                </c:manualLayout>
              </c:layout>
              <c:showVal val="1"/>
              <c:extLst>
                <c:ext xmlns:c15="http://schemas.microsoft.com/office/drawing/2012/chart" uri="{CE6537A1-D6FC-4f65-9D91-7224C49458BB}"/>
              </c:extLst>
            </c:dLbl>
            <c:dLbl>
              <c:idx val="1"/>
              <c:layout>
                <c:manualLayout>
                  <c:x val="0.125"/>
                  <c:y val="-1.3888888888889148E-2"/>
                </c:manualLayout>
              </c:layout>
              <c:showVal val="1"/>
              <c:extLst>
                <c:ext xmlns:c15="http://schemas.microsoft.com/office/drawing/2012/chart" uri="{CE6537A1-D6FC-4f65-9D91-7224C49458BB}"/>
              </c:extLst>
            </c:dLbl>
            <c:dLbl>
              <c:idx val="2"/>
              <c:layout>
                <c:manualLayout>
                  <c:x val="0.22500000000000001"/>
                  <c:y val="-4.6296296296297014E-3"/>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reclamations!$W$9:$W$11</c:f>
              <c:strCache>
                <c:ptCount val="3"/>
                <c:pt idx="0">
                  <c:v>Oui, 1 fois</c:v>
                </c:pt>
                <c:pt idx="1">
                  <c:v>Oui, 2 fois</c:v>
                </c:pt>
                <c:pt idx="2">
                  <c:v>Oui, Plus de 2 fois</c:v>
                </c:pt>
              </c:strCache>
            </c:strRef>
          </c:cat>
          <c:val>
            <c:numRef>
              <c:f>reclamations!$X$9:$X$11</c:f>
              <c:numCache>
                <c:formatCode>0.0%</c:formatCode>
                <c:ptCount val="3"/>
                <c:pt idx="0">
                  <c:v>0.60180180180180265</c:v>
                </c:pt>
                <c:pt idx="1">
                  <c:v>0.12972972972972968</c:v>
                </c:pt>
                <c:pt idx="2">
                  <c:v>0.2684684684684725</c:v>
                </c:pt>
              </c:numCache>
            </c:numRef>
          </c:val>
        </c:ser>
        <c:shape val="cylinder"/>
        <c:axId val="219492736"/>
        <c:axId val="219494272"/>
        <c:axId val="0"/>
      </c:bar3DChart>
      <c:catAx>
        <c:axId val="219492736"/>
        <c:scaling>
          <c:orientation val="minMax"/>
        </c:scaling>
        <c:axPos val="l"/>
        <c:numFmt formatCode="General" sourceLinked="0"/>
        <c:tickLblPos val="nextTo"/>
        <c:txPr>
          <a:bodyPr/>
          <a:lstStyle/>
          <a:p>
            <a:pPr>
              <a:defRPr sz="800" b="1">
                <a:latin typeface="Book Antiqua" pitchFamily="18" charset="0"/>
              </a:defRPr>
            </a:pPr>
            <a:endParaRPr lang="fr-FR"/>
          </a:p>
        </c:txPr>
        <c:crossAx val="219494272"/>
        <c:crosses val="autoZero"/>
        <c:auto val="1"/>
        <c:lblAlgn val="ctr"/>
        <c:lblOffset val="100"/>
      </c:catAx>
      <c:valAx>
        <c:axId val="219494272"/>
        <c:scaling>
          <c:orientation val="minMax"/>
        </c:scaling>
        <c:axPos val="b"/>
        <c:majorGridlines/>
        <c:numFmt formatCode="0.0%" sourceLinked="1"/>
        <c:tickLblPos val="nextTo"/>
        <c:txPr>
          <a:bodyPr/>
          <a:lstStyle/>
          <a:p>
            <a:pPr>
              <a:defRPr sz="800" b="1">
                <a:latin typeface="Book Antiqua" pitchFamily="18" charset="0"/>
              </a:defRPr>
            </a:pPr>
            <a:endParaRPr lang="fr-FR"/>
          </a:p>
        </c:txPr>
        <c:crossAx val="219492736"/>
        <c:crosses val="autoZero"/>
        <c:crossBetween val="between"/>
      </c:valAx>
    </c:plotArea>
    <c:plotVisOnly val="1"/>
    <c:dispBlanksAs val="gap"/>
  </c:chart>
  <c:externalData r:id="rId1"/>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bar"/>
        <c:grouping val="stacked"/>
        <c:varyColors val="1"/>
        <c:ser>
          <c:idx val="0"/>
          <c:order val="0"/>
          <c:dLbls>
            <c:dLbl>
              <c:idx val="0"/>
              <c:layout>
                <c:manualLayout>
                  <c:x val="0.16388888888888889"/>
                  <c:y val="-1.3888888888889067E-2"/>
                </c:manualLayout>
              </c:layout>
              <c:showVal val="1"/>
              <c:extLst>
                <c:ext xmlns:c15="http://schemas.microsoft.com/office/drawing/2012/chart" uri="{CE6537A1-D6FC-4f65-9D91-7224C49458BB}"/>
              </c:extLst>
            </c:dLbl>
            <c:dLbl>
              <c:idx val="1"/>
              <c:layout>
                <c:manualLayout>
                  <c:x val="0.24722222222222459"/>
                  <c:y val="-1.3888888888889148E-2"/>
                </c:manualLayout>
              </c:layout>
              <c:showVal val="1"/>
              <c:extLst>
                <c:ext xmlns:c15="http://schemas.microsoft.com/office/drawing/2012/chart" uri="{CE6537A1-D6FC-4f65-9D91-7224C49458BB}"/>
              </c:extLst>
            </c:dLbl>
            <c:dLbl>
              <c:idx val="2"/>
              <c:layout>
                <c:manualLayout>
                  <c:x val="0.26388888888889733"/>
                  <c:y val="-1.3888888888889148E-2"/>
                </c:manualLayout>
              </c:layout>
              <c:showVal val="1"/>
              <c:extLst>
                <c:ext xmlns:c15="http://schemas.microsoft.com/office/drawing/2012/chart" uri="{CE6537A1-D6FC-4f65-9D91-7224C49458BB}"/>
              </c:extLst>
            </c:dLbl>
            <c:dLbl>
              <c:idx val="3"/>
              <c:layout>
                <c:manualLayout>
                  <c:x val="0.26944444444444482"/>
                  <c:y val="-1.3888888888889148E-2"/>
                </c:manualLayout>
              </c:layout>
              <c:showVal val="1"/>
              <c:extLst>
                <c:ext xmlns:c15="http://schemas.microsoft.com/office/drawing/2012/chart" uri="{CE6537A1-D6FC-4f65-9D91-7224C49458BB}"/>
              </c:extLst>
            </c:dLbl>
            <c:dLbl>
              <c:idx val="4"/>
              <c:layout>
                <c:manualLayout>
                  <c:x val="0.35277777777778291"/>
                  <c:y val="-9.2592592592594999E-3"/>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litige!$G$7:$G$11</c:f>
              <c:strCache>
                <c:ptCount val="5"/>
                <c:pt idx="0">
                  <c:v>Autre </c:v>
                </c:pt>
                <c:pt idx="1">
                  <c:v>Absence de diligence</c:v>
                </c:pt>
                <c:pt idx="2">
                  <c:v>Contestation du relevé</c:v>
                </c:pt>
                <c:pt idx="3">
                  <c:v>Déficit d'information</c:v>
                </c:pt>
                <c:pt idx="4">
                  <c:v>Facturation d'un service</c:v>
                </c:pt>
              </c:strCache>
            </c:strRef>
          </c:cat>
          <c:val>
            <c:numRef>
              <c:f>litige!$H$7:$H$11</c:f>
              <c:numCache>
                <c:formatCode>0.0%</c:formatCode>
                <c:ptCount val="5"/>
                <c:pt idx="0">
                  <c:v>0.11064425770308255</c:v>
                </c:pt>
                <c:pt idx="1">
                  <c:v>0.18767507002801118</c:v>
                </c:pt>
                <c:pt idx="2">
                  <c:v>0.19607843137254904</c:v>
                </c:pt>
                <c:pt idx="3">
                  <c:v>0.22128851540616246</c:v>
                </c:pt>
                <c:pt idx="4">
                  <c:v>0.28431372549019607</c:v>
                </c:pt>
              </c:numCache>
            </c:numRef>
          </c:val>
        </c:ser>
        <c:shape val="cylinder"/>
        <c:axId val="219526656"/>
        <c:axId val="219528192"/>
        <c:axId val="0"/>
      </c:bar3DChart>
      <c:catAx>
        <c:axId val="219526656"/>
        <c:scaling>
          <c:orientation val="minMax"/>
        </c:scaling>
        <c:axPos val="l"/>
        <c:numFmt formatCode="General" sourceLinked="0"/>
        <c:tickLblPos val="nextTo"/>
        <c:txPr>
          <a:bodyPr/>
          <a:lstStyle/>
          <a:p>
            <a:pPr>
              <a:defRPr sz="800">
                <a:latin typeface="Book Antiqua" pitchFamily="18" charset="0"/>
              </a:defRPr>
            </a:pPr>
            <a:endParaRPr lang="fr-FR"/>
          </a:p>
        </c:txPr>
        <c:crossAx val="219528192"/>
        <c:crosses val="autoZero"/>
        <c:auto val="1"/>
        <c:lblAlgn val="ctr"/>
        <c:lblOffset val="100"/>
      </c:catAx>
      <c:valAx>
        <c:axId val="219528192"/>
        <c:scaling>
          <c:orientation val="minMax"/>
        </c:scaling>
        <c:axPos val="b"/>
        <c:majorGridlines/>
        <c:numFmt formatCode="0.0%" sourceLinked="1"/>
        <c:tickLblPos val="nextTo"/>
        <c:txPr>
          <a:bodyPr/>
          <a:lstStyle/>
          <a:p>
            <a:pPr>
              <a:defRPr sz="800" b="1">
                <a:latin typeface="Book Antiqua" pitchFamily="18" charset="0"/>
              </a:defRPr>
            </a:pPr>
            <a:endParaRPr lang="fr-FR"/>
          </a:p>
        </c:txPr>
        <c:crossAx val="219526656"/>
        <c:crosses val="autoZero"/>
        <c:crossBetween val="between"/>
      </c:valAx>
    </c:plotArea>
    <c:plotVisOnly val="1"/>
    <c:dispBlanksAs val="gap"/>
  </c:chart>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21211439195100854"/>
          <c:y val="5.0925925925925923E-2"/>
          <c:w val="0.71802559055119553"/>
          <c:h val="0.69420530766988886"/>
        </c:manualLayout>
      </c:layout>
      <c:bar3DChart>
        <c:barDir val="bar"/>
        <c:grouping val="percentStacked"/>
        <c:ser>
          <c:idx val="0"/>
          <c:order val="0"/>
          <c:tx>
            <c:strRef>
              <c:f>reclamations!$C$56</c:f>
              <c:strCache>
                <c:ptCount val="1"/>
                <c:pt idx="0">
                  <c:v>Oui</c:v>
                </c:pt>
              </c:strCache>
            </c:strRef>
          </c:tx>
          <c:spPr>
            <a:solidFill>
              <a:srgbClr val="00B050"/>
            </a:solidFill>
          </c:spPr>
          <c:cat>
            <c:strRef>
              <c:f>reclamations!$D$55:$K$55</c:f>
              <c:strCache>
                <c:ptCount val="8"/>
                <c:pt idx="0">
                  <c:v>Industrie</c:v>
                </c:pt>
                <c:pt idx="1">
                  <c:v>Commerce</c:v>
                </c:pt>
                <c:pt idx="2">
                  <c:v>BTP</c:v>
                </c:pt>
                <c:pt idx="3">
                  <c:v>Services</c:v>
                </c:pt>
                <c:pt idx="4">
                  <c:v>Agriculture</c:v>
                </c:pt>
                <c:pt idx="5">
                  <c:v>Artisanat</c:v>
                </c:pt>
                <c:pt idx="6">
                  <c:v>Administration</c:v>
                </c:pt>
                <c:pt idx="7">
                  <c:v>Autre </c:v>
                </c:pt>
              </c:strCache>
            </c:strRef>
          </c:cat>
          <c:val>
            <c:numRef>
              <c:f>reclamations!$D$56:$K$56</c:f>
              <c:numCache>
                <c:formatCode>0.0%</c:formatCode>
                <c:ptCount val="8"/>
                <c:pt idx="0">
                  <c:v>0.39473684210526438</c:v>
                </c:pt>
                <c:pt idx="1">
                  <c:v>0.27182044887781265</c:v>
                </c:pt>
                <c:pt idx="2">
                  <c:v>0.3053435114503818</c:v>
                </c:pt>
                <c:pt idx="3">
                  <c:v>0.33564013840830426</c:v>
                </c:pt>
                <c:pt idx="4">
                  <c:v>0.10869565217391575</c:v>
                </c:pt>
                <c:pt idx="5">
                  <c:v>0.16853932584269943</c:v>
                </c:pt>
                <c:pt idx="6">
                  <c:v>0.58333333333333326</c:v>
                </c:pt>
                <c:pt idx="7">
                  <c:v>0.43617021276596252</c:v>
                </c:pt>
              </c:numCache>
            </c:numRef>
          </c:val>
        </c:ser>
        <c:ser>
          <c:idx val="1"/>
          <c:order val="1"/>
          <c:tx>
            <c:strRef>
              <c:f>reclamations!$C$57</c:f>
              <c:strCache>
                <c:ptCount val="1"/>
                <c:pt idx="0">
                  <c:v>Non</c:v>
                </c:pt>
              </c:strCache>
            </c:strRef>
          </c:tx>
          <c:spPr>
            <a:solidFill>
              <a:srgbClr val="FF0000"/>
            </a:solidFill>
          </c:spPr>
          <c:cat>
            <c:strRef>
              <c:f>reclamations!$D$55:$K$55</c:f>
              <c:strCache>
                <c:ptCount val="8"/>
                <c:pt idx="0">
                  <c:v>Industrie</c:v>
                </c:pt>
                <c:pt idx="1">
                  <c:v>Commerce</c:v>
                </c:pt>
                <c:pt idx="2">
                  <c:v>BTP</c:v>
                </c:pt>
                <c:pt idx="3">
                  <c:v>Services</c:v>
                </c:pt>
                <c:pt idx="4">
                  <c:v>Agriculture</c:v>
                </c:pt>
                <c:pt idx="5">
                  <c:v>Artisanat</c:v>
                </c:pt>
                <c:pt idx="6">
                  <c:v>Administration</c:v>
                </c:pt>
                <c:pt idx="7">
                  <c:v>Autre </c:v>
                </c:pt>
              </c:strCache>
            </c:strRef>
          </c:cat>
          <c:val>
            <c:numRef>
              <c:f>reclamations!$D$57:$K$57</c:f>
              <c:numCache>
                <c:formatCode>0.0%</c:formatCode>
                <c:ptCount val="8"/>
                <c:pt idx="0">
                  <c:v>0.6052631578947365</c:v>
                </c:pt>
                <c:pt idx="1">
                  <c:v>0.72817955112220001</c:v>
                </c:pt>
                <c:pt idx="2">
                  <c:v>0.6946564885496187</c:v>
                </c:pt>
                <c:pt idx="3">
                  <c:v>0.66435986159170446</c:v>
                </c:pt>
                <c:pt idx="4">
                  <c:v>0.89130434782608658</c:v>
                </c:pt>
                <c:pt idx="5">
                  <c:v>0.8314606741573034</c:v>
                </c:pt>
                <c:pt idx="6">
                  <c:v>0.41666666666667185</c:v>
                </c:pt>
                <c:pt idx="7">
                  <c:v>0.56382978723404265</c:v>
                </c:pt>
              </c:numCache>
            </c:numRef>
          </c:val>
        </c:ser>
        <c:shape val="cylinder"/>
        <c:axId val="219569152"/>
        <c:axId val="219579136"/>
        <c:axId val="0"/>
      </c:bar3DChart>
      <c:catAx>
        <c:axId val="219569152"/>
        <c:scaling>
          <c:orientation val="minMax"/>
        </c:scaling>
        <c:axPos val="l"/>
        <c:numFmt formatCode="General" sourceLinked="0"/>
        <c:tickLblPos val="nextTo"/>
        <c:txPr>
          <a:bodyPr/>
          <a:lstStyle/>
          <a:p>
            <a:pPr>
              <a:defRPr sz="800" b="1">
                <a:latin typeface="Book Antiqua" pitchFamily="18" charset="0"/>
              </a:defRPr>
            </a:pPr>
            <a:endParaRPr lang="fr-FR"/>
          </a:p>
        </c:txPr>
        <c:crossAx val="219579136"/>
        <c:crosses val="autoZero"/>
        <c:auto val="1"/>
        <c:lblAlgn val="ctr"/>
        <c:lblOffset val="100"/>
      </c:catAx>
      <c:valAx>
        <c:axId val="219579136"/>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9569152"/>
        <c:crosses val="autoZero"/>
        <c:crossBetween val="between"/>
      </c:valAx>
    </c:plotArea>
    <c:legend>
      <c:legendPos val="r"/>
      <c:layout>
        <c:manualLayout>
          <c:xMode val="edge"/>
          <c:yMode val="edge"/>
          <c:x val="0.37508442694663685"/>
          <c:y val="0.82831984543598713"/>
          <c:w val="0.24436001749781291"/>
          <c:h val="0.16743438320210333"/>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Feuil4!$A$3</c:f>
              <c:strCache>
                <c:ptCount val="1"/>
                <c:pt idx="0">
                  <c:v>Oui, 1 fois</c:v>
                </c:pt>
              </c:strCache>
            </c:strRef>
          </c:tx>
          <c:cat>
            <c:strRef>
              <c:f>Feuil4!$B$2:$G$2</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Feuil4!$B$3:$G$3</c:f>
              <c:numCache>
                <c:formatCode>###0.0%</c:formatCode>
                <c:ptCount val="6"/>
                <c:pt idx="0">
                  <c:v>0.125</c:v>
                </c:pt>
                <c:pt idx="1">
                  <c:v>0.1560846560846561</c:v>
                </c:pt>
                <c:pt idx="2">
                  <c:v>0.21621621621622059</c:v>
                </c:pt>
                <c:pt idx="3">
                  <c:v>0.1623931623931624</c:v>
                </c:pt>
                <c:pt idx="4">
                  <c:v>0.28333333333333333</c:v>
                </c:pt>
                <c:pt idx="5">
                  <c:v>9.1954022988505746E-2</c:v>
                </c:pt>
              </c:numCache>
            </c:numRef>
          </c:val>
        </c:ser>
        <c:ser>
          <c:idx val="1"/>
          <c:order val="1"/>
          <c:tx>
            <c:strRef>
              <c:f>Feuil4!$A$4</c:f>
              <c:strCache>
                <c:ptCount val="1"/>
                <c:pt idx="0">
                  <c:v>Oui, 2 fois</c:v>
                </c:pt>
              </c:strCache>
            </c:strRef>
          </c:tx>
          <c:cat>
            <c:strRef>
              <c:f>Feuil4!$B$2:$G$2</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Feuil4!$B$4:$G$4</c:f>
              <c:numCache>
                <c:formatCode>###0.0%</c:formatCode>
                <c:ptCount val="6"/>
                <c:pt idx="0" formatCode="####.0%">
                  <c:v>6.8359375E-3</c:v>
                </c:pt>
                <c:pt idx="1">
                  <c:v>2.3809523809523812E-2</c:v>
                </c:pt>
                <c:pt idx="2">
                  <c:v>6.0810810810812806E-2</c:v>
                </c:pt>
                <c:pt idx="3">
                  <c:v>7.6923076923076927E-2</c:v>
                </c:pt>
                <c:pt idx="4">
                  <c:v>8.3333333333333343E-2</c:v>
                </c:pt>
                <c:pt idx="5">
                  <c:v>8.0459770114942528E-2</c:v>
                </c:pt>
              </c:numCache>
            </c:numRef>
          </c:val>
        </c:ser>
        <c:ser>
          <c:idx val="2"/>
          <c:order val="2"/>
          <c:tx>
            <c:strRef>
              <c:f>Feuil4!$A$5</c:f>
              <c:strCache>
                <c:ptCount val="1"/>
                <c:pt idx="0">
                  <c:v>Oui, plus de 2 fois</c:v>
                </c:pt>
              </c:strCache>
            </c:strRef>
          </c:tx>
          <c:cat>
            <c:strRef>
              <c:f>Feuil4!$B$2:$G$2</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Feuil4!$B$5:$G$5</c:f>
              <c:numCache>
                <c:formatCode>####.0%</c:formatCode>
                <c:ptCount val="6"/>
                <c:pt idx="1">
                  <c:v>5.2910052910052924E-3</c:v>
                </c:pt>
                <c:pt idx="3" formatCode="###0.0%">
                  <c:v>5.1282051282051294E-2</c:v>
                </c:pt>
                <c:pt idx="4" formatCode="###0.0%">
                  <c:v>1.6666666666666701E-2</c:v>
                </c:pt>
                <c:pt idx="5" formatCode="###0.0%">
                  <c:v>5.7471264367816112E-2</c:v>
                </c:pt>
              </c:numCache>
            </c:numRef>
          </c:val>
        </c:ser>
        <c:ser>
          <c:idx val="3"/>
          <c:order val="3"/>
          <c:tx>
            <c:strRef>
              <c:f>Feuil4!$A$6</c:f>
              <c:strCache>
                <c:ptCount val="1"/>
                <c:pt idx="0">
                  <c:v>Non</c:v>
                </c:pt>
              </c:strCache>
            </c:strRef>
          </c:tx>
          <c:cat>
            <c:strRef>
              <c:f>Feuil4!$B$2:$G$2</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Feuil4!$B$6:$G$6</c:f>
              <c:numCache>
                <c:formatCode>###0.0%</c:formatCode>
                <c:ptCount val="6"/>
                <c:pt idx="0">
                  <c:v>0.86816406250001454</c:v>
                </c:pt>
                <c:pt idx="1">
                  <c:v>0.81481481481481965</c:v>
                </c:pt>
                <c:pt idx="2">
                  <c:v>0.72297297297297292</c:v>
                </c:pt>
                <c:pt idx="3">
                  <c:v>0.70940170940170943</c:v>
                </c:pt>
                <c:pt idx="4">
                  <c:v>0.6166666666666667</c:v>
                </c:pt>
                <c:pt idx="5">
                  <c:v>0.77011494252875223</c:v>
                </c:pt>
              </c:numCache>
            </c:numRef>
          </c:val>
        </c:ser>
        <c:shape val="cylinder"/>
        <c:axId val="231139584"/>
        <c:axId val="231535360"/>
        <c:axId val="0"/>
      </c:bar3DChart>
      <c:catAx>
        <c:axId val="231139584"/>
        <c:scaling>
          <c:orientation val="minMax"/>
        </c:scaling>
        <c:axPos val="b"/>
        <c:numFmt formatCode="General" sourceLinked="0"/>
        <c:tickLblPos val="nextTo"/>
        <c:txPr>
          <a:bodyPr/>
          <a:lstStyle/>
          <a:p>
            <a:pPr>
              <a:defRPr sz="500" b="1">
                <a:latin typeface="Book Antiqua" pitchFamily="18" charset="0"/>
              </a:defRPr>
            </a:pPr>
            <a:endParaRPr lang="fr-FR"/>
          </a:p>
        </c:txPr>
        <c:crossAx val="231535360"/>
        <c:crosses val="autoZero"/>
        <c:auto val="1"/>
        <c:lblAlgn val="ctr"/>
        <c:lblOffset val="100"/>
      </c:catAx>
      <c:valAx>
        <c:axId val="231535360"/>
        <c:scaling>
          <c:orientation val="minMax"/>
        </c:scaling>
        <c:axPos val="l"/>
        <c:majorGridlines>
          <c:spPr>
            <a:ln w="3175">
              <a:solidFill>
                <a:sysClr val="window" lastClr="FFFFFF">
                  <a:lumMod val="95000"/>
                </a:sysClr>
              </a:solidFill>
            </a:ln>
          </c:spPr>
        </c:majorGridlines>
        <c:numFmt formatCode="0%" sourceLinked="0"/>
        <c:tickLblPos val="nextTo"/>
        <c:txPr>
          <a:bodyPr/>
          <a:lstStyle/>
          <a:p>
            <a:pPr>
              <a:defRPr sz="600" b="1">
                <a:latin typeface="Book Antiqua" pitchFamily="18" charset="0"/>
              </a:defRPr>
            </a:pPr>
            <a:endParaRPr lang="fr-FR"/>
          </a:p>
        </c:txPr>
        <c:crossAx val="231139584"/>
        <c:crosses val="autoZero"/>
        <c:crossBetween val="between"/>
      </c:valAx>
    </c:plotArea>
    <c:legend>
      <c:legendPos val="b"/>
      <c:txPr>
        <a:bodyPr/>
        <a:lstStyle/>
        <a:p>
          <a:pPr>
            <a:defRPr sz="700" b="1">
              <a:latin typeface="Book Antiqua" pitchFamily="18" charset="0"/>
            </a:defRPr>
          </a:pPr>
          <a:endParaRPr lang="fr-FR"/>
        </a:p>
      </c:txPr>
    </c:legend>
    <c:plotVisOnly val="1"/>
    <c:dispBlanksAs val="gap"/>
  </c:chart>
  <c:externalData r:id="rId2"/>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4061395450568678"/>
          <c:y val="5.0925925925925923E-2"/>
          <c:w val="0.81166382327209163"/>
          <c:h val="0.71272382618841112"/>
        </c:manualLayout>
      </c:layout>
      <c:bar3DChart>
        <c:barDir val="bar"/>
        <c:grouping val="percentStacked"/>
        <c:ser>
          <c:idx val="0"/>
          <c:order val="0"/>
          <c:tx>
            <c:strRef>
              <c:f>reclamations!$I$70</c:f>
              <c:strCache>
                <c:ptCount val="1"/>
                <c:pt idx="0">
                  <c:v>OUI</c:v>
                </c:pt>
              </c:strCache>
            </c:strRef>
          </c:tx>
          <c:spPr>
            <a:solidFill>
              <a:srgbClr val="00B050"/>
            </a:solidFill>
          </c:spPr>
          <c:cat>
            <c:strRef>
              <c:f>reclamations!$J$69:$K$69</c:f>
              <c:strCache>
                <c:ptCount val="2"/>
                <c:pt idx="0">
                  <c:v>Formel</c:v>
                </c:pt>
                <c:pt idx="1">
                  <c:v>Informel</c:v>
                </c:pt>
              </c:strCache>
            </c:strRef>
          </c:cat>
          <c:val>
            <c:numRef>
              <c:f>reclamations!$J$70:$K$70</c:f>
              <c:numCache>
                <c:formatCode>0.0%</c:formatCode>
                <c:ptCount val="2"/>
                <c:pt idx="0">
                  <c:v>0.33333333333333331</c:v>
                </c:pt>
                <c:pt idx="1">
                  <c:v>0.20479704797048245</c:v>
                </c:pt>
              </c:numCache>
            </c:numRef>
          </c:val>
        </c:ser>
        <c:ser>
          <c:idx val="1"/>
          <c:order val="1"/>
          <c:tx>
            <c:strRef>
              <c:f>reclamations!$I$71</c:f>
              <c:strCache>
                <c:ptCount val="1"/>
                <c:pt idx="0">
                  <c:v>NON</c:v>
                </c:pt>
              </c:strCache>
            </c:strRef>
          </c:tx>
          <c:spPr>
            <a:solidFill>
              <a:srgbClr val="FF0000"/>
            </a:solidFill>
          </c:spPr>
          <c:cat>
            <c:strRef>
              <c:f>reclamations!$J$69:$K$69</c:f>
              <c:strCache>
                <c:ptCount val="2"/>
                <c:pt idx="0">
                  <c:v>Formel</c:v>
                </c:pt>
                <c:pt idx="1">
                  <c:v>Informel</c:v>
                </c:pt>
              </c:strCache>
            </c:strRef>
          </c:cat>
          <c:val>
            <c:numRef>
              <c:f>reclamations!$J$71:$K$71</c:f>
              <c:numCache>
                <c:formatCode>0.0%</c:formatCode>
                <c:ptCount val="2"/>
                <c:pt idx="0">
                  <c:v>0.66666666666666663</c:v>
                </c:pt>
                <c:pt idx="1">
                  <c:v>0.79520295202952063</c:v>
                </c:pt>
              </c:numCache>
            </c:numRef>
          </c:val>
        </c:ser>
        <c:shape val="cylinder"/>
        <c:axId val="219595904"/>
        <c:axId val="219597440"/>
        <c:axId val="0"/>
      </c:bar3DChart>
      <c:catAx>
        <c:axId val="219595904"/>
        <c:scaling>
          <c:orientation val="minMax"/>
        </c:scaling>
        <c:axPos val="l"/>
        <c:numFmt formatCode="General" sourceLinked="0"/>
        <c:tickLblPos val="nextTo"/>
        <c:txPr>
          <a:bodyPr/>
          <a:lstStyle/>
          <a:p>
            <a:pPr>
              <a:defRPr sz="800" b="1">
                <a:latin typeface="Book Antiqua" pitchFamily="18" charset="0"/>
              </a:defRPr>
            </a:pPr>
            <a:endParaRPr lang="fr-FR"/>
          </a:p>
        </c:txPr>
        <c:crossAx val="219597440"/>
        <c:crosses val="autoZero"/>
        <c:auto val="1"/>
        <c:lblAlgn val="ctr"/>
        <c:lblOffset val="100"/>
      </c:catAx>
      <c:valAx>
        <c:axId val="219597440"/>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9595904"/>
        <c:crosses val="autoZero"/>
        <c:crossBetween val="between"/>
      </c:valAx>
    </c:plotArea>
    <c:legend>
      <c:legendPos val="r"/>
      <c:layout>
        <c:manualLayout>
          <c:xMode val="edge"/>
          <c:yMode val="edge"/>
          <c:x val="0.201348425196852"/>
          <c:y val="0.87461614173227731"/>
          <c:w val="0.50976268591424556"/>
          <c:h val="7.9471420239137613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0"/>
          <c:order val="0"/>
          <c:tx>
            <c:strRef>
              <c:f>reclamations!$C$96</c:f>
              <c:strCache>
                <c:ptCount val="1"/>
                <c:pt idx="0">
                  <c:v>OUI</c:v>
                </c:pt>
              </c:strCache>
            </c:strRef>
          </c:tx>
          <c:marker>
            <c:symbol val="none"/>
          </c:marke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reclamations!$D$95:$I$95</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reclamations!$D$96:$I$96</c:f>
              <c:numCache>
                <c:formatCode>0.0%</c:formatCode>
                <c:ptCount val="6"/>
                <c:pt idx="0">
                  <c:v>0.23046875000000044</c:v>
                </c:pt>
                <c:pt idx="1">
                  <c:v>0.26719576719576732</c:v>
                </c:pt>
                <c:pt idx="2">
                  <c:v>0.36486486486487768</c:v>
                </c:pt>
                <c:pt idx="3">
                  <c:v>0.45299145299145305</c:v>
                </c:pt>
                <c:pt idx="4">
                  <c:v>0.5</c:v>
                </c:pt>
                <c:pt idx="5">
                  <c:v>0.73563218390804597</c:v>
                </c:pt>
              </c:numCache>
            </c:numRef>
          </c:val>
        </c:ser>
        <c:marker val="1"/>
        <c:axId val="219629824"/>
        <c:axId val="219631616"/>
      </c:lineChart>
      <c:catAx>
        <c:axId val="219629824"/>
        <c:scaling>
          <c:orientation val="minMax"/>
        </c:scaling>
        <c:axPos val="b"/>
        <c:numFmt formatCode="General" sourceLinked="0"/>
        <c:tickLblPos val="nextTo"/>
        <c:txPr>
          <a:bodyPr/>
          <a:lstStyle/>
          <a:p>
            <a:pPr>
              <a:defRPr sz="800">
                <a:latin typeface="Book Antiqua" pitchFamily="18" charset="0"/>
              </a:defRPr>
            </a:pPr>
            <a:endParaRPr lang="fr-FR"/>
          </a:p>
        </c:txPr>
        <c:crossAx val="219631616"/>
        <c:crosses val="autoZero"/>
        <c:auto val="1"/>
        <c:lblAlgn val="ctr"/>
        <c:lblOffset val="100"/>
      </c:catAx>
      <c:valAx>
        <c:axId val="219631616"/>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19629824"/>
        <c:crosses val="autoZero"/>
        <c:crossBetween val="between"/>
      </c:valAx>
    </c:plotArea>
    <c:plotVisOnly val="1"/>
    <c:dispBlanksAs val="gap"/>
  </c:chart>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explosion val="25"/>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numFmt formatCode="0.0%" sourceLinked="0"/>
            <c:spPr>
              <a:noFill/>
              <a:ln>
                <a:noFill/>
              </a:ln>
              <a:effectLst/>
            </c:spPr>
            <c:txPr>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reclamations!$T$104:$T$107</c:f>
              <c:strCache>
                <c:ptCount val="4"/>
                <c:pt idx="0">
                  <c:v>Très bonne</c:v>
                </c:pt>
                <c:pt idx="1">
                  <c:v>Bonne</c:v>
                </c:pt>
                <c:pt idx="2">
                  <c:v>Mauvaise</c:v>
                </c:pt>
                <c:pt idx="3">
                  <c:v>Très mauvaise</c:v>
                </c:pt>
              </c:strCache>
            </c:strRef>
          </c:cat>
          <c:val>
            <c:numRef>
              <c:f>reclamations!$U$104:$U$107</c:f>
              <c:numCache>
                <c:formatCode>0.0%</c:formatCode>
                <c:ptCount val="4"/>
                <c:pt idx="0">
                  <c:v>3.3868092691622102E-2</c:v>
                </c:pt>
                <c:pt idx="1">
                  <c:v>0.47771836007130131</c:v>
                </c:pt>
                <c:pt idx="2">
                  <c:v>0.37254901960784914</c:v>
                </c:pt>
                <c:pt idx="3">
                  <c:v>0.11586452762923352</c:v>
                </c:pt>
              </c:numCache>
            </c:numRef>
          </c:val>
        </c:ser>
        <c:dLbls>
          <c:showCatName val="1"/>
          <c:showPercent val="1"/>
        </c:dLbls>
      </c:pie3DChart>
    </c:plotArea>
    <c:plotVisOnly val="1"/>
    <c:dispBlanksAs val="zero"/>
  </c:chart>
  <c:externalData r:id="rId1"/>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21211439195100854"/>
          <c:y val="5.0925925925925923E-2"/>
          <c:w val="0.70680293088363955"/>
          <c:h val="0.70346456692913351"/>
        </c:manualLayout>
      </c:layout>
      <c:bar3DChart>
        <c:barDir val="bar"/>
        <c:grouping val="percentStacked"/>
        <c:ser>
          <c:idx val="0"/>
          <c:order val="0"/>
          <c:tx>
            <c:strRef>
              <c:f>reclamations!$B$182</c:f>
              <c:strCache>
                <c:ptCount val="1"/>
                <c:pt idx="0">
                  <c:v>Très bonne</c:v>
                </c:pt>
              </c:strCache>
            </c:strRef>
          </c:tx>
          <c:spPr>
            <a:solidFill>
              <a:srgbClr val="00B050"/>
            </a:solidFill>
          </c:spPr>
          <c:cat>
            <c:strRef>
              <c:f>reclamations!$C$181:$J$181</c:f>
              <c:strCache>
                <c:ptCount val="8"/>
                <c:pt idx="0">
                  <c:v>Industrie</c:v>
                </c:pt>
                <c:pt idx="1">
                  <c:v>Commerce</c:v>
                </c:pt>
                <c:pt idx="2">
                  <c:v>BTP</c:v>
                </c:pt>
                <c:pt idx="3">
                  <c:v>Services</c:v>
                </c:pt>
                <c:pt idx="4">
                  <c:v>Agriculture</c:v>
                </c:pt>
                <c:pt idx="5">
                  <c:v>Artisanat</c:v>
                </c:pt>
                <c:pt idx="6">
                  <c:v>Administration</c:v>
                </c:pt>
                <c:pt idx="7">
                  <c:v>Autre </c:v>
                </c:pt>
              </c:strCache>
            </c:strRef>
          </c:cat>
          <c:val>
            <c:numRef>
              <c:f>reclamations!$C$182:$J$182</c:f>
              <c:numCache>
                <c:formatCode>0.0%</c:formatCode>
                <c:ptCount val="8"/>
                <c:pt idx="0">
                  <c:v>3.333333333333334E-2</c:v>
                </c:pt>
                <c:pt idx="1">
                  <c:v>3.1963470319634701E-2</c:v>
                </c:pt>
                <c:pt idx="2">
                  <c:v>0.05</c:v>
                </c:pt>
                <c:pt idx="3">
                  <c:v>3.0456852791878191E-2</c:v>
                </c:pt>
                <c:pt idx="4">
                  <c:v>0</c:v>
                </c:pt>
                <c:pt idx="5">
                  <c:v>6.666666666666668E-2</c:v>
                </c:pt>
                <c:pt idx="6">
                  <c:v>0</c:v>
                </c:pt>
                <c:pt idx="7">
                  <c:v>4.7619047619047623E-2</c:v>
                </c:pt>
              </c:numCache>
            </c:numRef>
          </c:val>
        </c:ser>
        <c:ser>
          <c:idx val="1"/>
          <c:order val="1"/>
          <c:tx>
            <c:strRef>
              <c:f>reclamations!$B$183</c:f>
              <c:strCache>
                <c:ptCount val="1"/>
                <c:pt idx="0">
                  <c:v>Bonne</c:v>
                </c:pt>
              </c:strCache>
            </c:strRef>
          </c:tx>
          <c:spPr>
            <a:solidFill>
              <a:srgbClr val="92D050"/>
            </a:solidFill>
          </c:spPr>
          <c:cat>
            <c:strRef>
              <c:f>reclamations!$C$181:$J$181</c:f>
              <c:strCache>
                <c:ptCount val="8"/>
                <c:pt idx="0">
                  <c:v>Industrie</c:v>
                </c:pt>
                <c:pt idx="1">
                  <c:v>Commerce</c:v>
                </c:pt>
                <c:pt idx="2">
                  <c:v>BTP</c:v>
                </c:pt>
                <c:pt idx="3">
                  <c:v>Services</c:v>
                </c:pt>
                <c:pt idx="4">
                  <c:v>Agriculture</c:v>
                </c:pt>
                <c:pt idx="5">
                  <c:v>Artisanat</c:v>
                </c:pt>
                <c:pt idx="6">
                  <c:v>Administration</c:v>
                </c:pt>
                <c:pt idx="7">
                  <c:v>Autre </c:v>
                </c:pt>
              </c:strCache>
            </c:strRef>
          </c:cat>
          <c:val>
            <c:numRef>
              <c:f>reclamations!$C$183:$J$183</c:f>
              <c:numCache>
                <c:formatCode>0.0%</c:formatCode>
                <c:ptCount val="8"/>
                <c:pt idx="0">
                  <c:v>0.43333333333333335</c:v>
                </c:pt>
                <c:pt idx="1">
                  <c:v>0.49771689497717492</c:v>
                </c:pt>
                <c:pt idx="2">
                  <c:v>0.35000000000000031</c:v>
                </c:pt>
                <c:pt idx="3">
                  <c:v>0.54822335025380764</c:v>
                </c:pt>
                <c:pt idx="4">
                  <c:v>0.18181818181818507</c:v>
                </c:pt>
                <c:pt idx="5">
                  <c:v>0.53333333333333333</c:v>
                </c:pt>
                <c:pt idx="6">
                  <c:v>0.14285714285714576</c:v>
                </c:pt>
                <c:pt idx="7">
                  <c:v>0.30952380952381553</c:v>
                </c:pt>
              </c:numCache>
            </c:numRef>
          </c:val>
        </c:ser>
        <c:ser>
          <c:idx val="2"/>
          <c:order val="2"/>
          <c:tx>
            <c:strRef>
              <c:f>reclamations!$B$184</c:f>
              <c:strCache>
                <c:ptCount val="1"/>
                <c:pt idx="0">
                  <c:v>Mauvaise</c:v>
                </c:pt>
              </c:strCache>
            </c:strRef>
          </c:tx>
          <c:spPr>
            <a:solidFill>
              <a:schemeClr val="accent6">
                <a:lumMod val="75000"/>
              </a:schemeClr>
            </a:solidFill>
          </c:spPr>
          <c:cat>
            <c:strRef>
              <c:f>reclamations!$C$181:$J$181</c:f>
              <c:strCache>
                <c:ptCount val="8"/>
                <c:pt idx="0">
                  <c:v>Industrie</c:v>
                </c:pt>
                <c:pt idx="1">
                  <c:v>Commerce</c:v>
                </c:pt>
                <c:pt idx="2">
                  <c:v>BTP</c:v>
                </c:pt>
                <c:pt idx="3">
                  <c:v>Services</c:v>
                </c:pt>
                <c:pt idx="4">
                  <c:v>Agriculture</c:v>
                </c:pt>
                <c:pt idx="5">
                  <c:v>Artisanat</c:v>
                </c:pt>
                <c:pt idx="6">
                  <c:v>Administration</c:v>
                </c:pt>
                <c:pt idx="7">
                  <c:v>Autre </c:v>
                </c:pt>
              </c:strCache>
            </c:strRef>
          </c:cat>
          <c:val>
            <c:numRef>
              <c:f>reclamations!$C$184:$J$184</c:f>
              <c:numCache>
                <c:formatCode>0.0%</c:formatCode>
                <c:ptCount val="8"/>
                <c:pt idx="0">
                  <c:v>0.46666666666667117</c:v>
                </c:pt>
                <c:pt idx="1">
                  <c:v>0.38812785388128357</c:v>
                </c:pt>
                <c:pt idx="2">
                  <c:v>0.4</c:v>
                </c:pt>
                <c:pt idx="3">
                  <c:v>0.34010152284263961</c:v>
                </c:pt>
                <c:pt idx="4">
                  <c:v>0.54545454545454541</c:v>
                </c:pt>
                <c:pt idx="5">
                  <c:v>0.4</c:v>
                </c:pt>
                <c:pt idx="6">
                  <c:v>0.71428571428571463</c:v>
                </c:pt>
                <c:pt idx="7">
                  <c:v>0.23809523809524175</c:v>
                </c:pt>
              </c:numCache>
            </c:numRef>
          </c:val>
        </c:ser>
        <c:ser>
          <c:idx val="3"/>
          <c:order val="3"/>
          <c:tx>
            <c:strRef>
              <c:f>reclamations!$B$185</c:f>
              <c:strCache>
                <c:ptCount val="1"/>
                <c:pt idx="0">
                  <c:v>Très mauvaise</c:v>
                </c:pt>
              </c:strCache>
            </c:strRef>
          </c:tx>
          <c:spPr>
            <a:solidFill>
              <a:srgbClr val="FF0000"/>
            </a:solidFill>
          </c:spPr>
          <c:cat>
            <c:strRef>
              <c:f>reclamations!$C$181:$J$181</c:f>
              <c:strCache>
                <c:ptCount val="8"/>
                <c:pt idx="0">
                  <c:v>Industrie</c:v>
                </c:pt>
                <c:pt idx="1">
                  <c:v>Commerce</c:v>
                </c:pt>
                <c:pt idx="2">
                  <c:v>BTP</c:v>
                </c:pt>
                <c:pt idx="3">
                  <c:v>Services</c:v>
                </c:pt>
                <c:pt idx="4">
                  <c:v>Agriculture</c:v>
                </c:pt>
                <c:pt idx="5">
                  <c:v>Artisanat</c:v>
                </c:pt>
                <c:pt idx="6">
                  <c:v>Administration</c:v>
                </c:pt>
                <c:pt idx="7">
                  <c:v>Autre </c:v>
                </c:pt>
              </c:strCache>
            </c:strRef>
          </c:cat>
          <c:val>
            <c:numRef>
              <c:f>reclamations!$C$185:$J$185</c:f>
              <c:numCache>
                <c:formatCode>0.0%</c:formatCode>
                <c:ptCount val="8"/>
                <c:pt idx="0">
                  <c:v>6.666666666666668E-2</c:v>
                </c:pt>
                <c:pt idx="1">
                  <c:v>8.2191780821916499E-2</c:v>
                </c:pt>
                <c:pt idx="2">
                  <c:v>0.2</c:v>
                </c:pt>
                <c:pt idx="3">
                  <c:v>8.1218274111675079E-2</c:v>
                </c:pt>
                <c:pt idx="4">
                  <c:v>0.27272727272727282</c:v>
                </c:pt>
                <c:pt idx="5">
                  <c:v>0</c:v>
                </c:pt>
                <c:pt idx="6">
                  <c:v>0.14285714285714576</c:v>
                </c:pt>
                <c:pt idx="7">
                  <c:v>0.40476190476190477</c:v>
                </c:pt>
              </c:numCache>
            </c:numRef>
          </c:val>
        </c:ser>
        <c:shape val="cylinder"/>
        <c:axId val="219824896"/>
        <c:axId val="219826432"/>
        <c:axId val="0"/>
      </c:bar3DChart>
      <c:catAx>
        <c:axId val="219824896"/>
        <c:scaling>
          <c:orientation val="minMax"/>
        </c:scaling>
        <c:axPos val="l"/>
        <c:numFmt formatCode="General" sourceLinked="0"/>
        <c:tickLblPos val="nextTo"/>
        <c:txPr>
          <a:bodyPr/>
          <a:lstStyle/>
          <a:p>
            <a:pPr>
              <a:defRPr sz="800">
                <a:latin typeface="Book Antiqua" pitchFamily="18" charset="0"/>
              </a:defRPr>
            </a:pPr>
            <a:endParaRPr lang="fr-FR"/>
          </a:p>
        </c:txPr>
        <c:crossAx val="219826432"/>
        <c:crosses val="autoZero"/>
        <c:auto val="1"/>
        <c:lblAlgn val="ctr"/>
        <c:lblOffset val="100"/>
      </c:catAx>
      <c:valAx>
        <c:axId val="219826432"/>
        <c:scaling>
          <c:orientation val="minMax"/>
        </c:scaling>
        <c:axPos val="b"/>
        <c:majorGridlines/>
        <c:numFmt formatCode="0%" sourceLinked="1"/>
        <c:tickLblPos val="nextTo"/>
        <c:txPr>
          <a:bodyPr/>
          <a:lstStyle/>
          <a:p>
            <a:pPr>
              <a:defRPr sz="800">
                <a:latin typeface="Book Antiqua" pitchFamily="18" charset="0"/>
              </a:defRPr>
            </a:pPr>
            <a:endParaRPr lang="fr-FR"/>
          </a:p>
        </c:txPr>
        <c:crossAx val="219824896"/>
        <c:crosses val="autoZero"/>
        <c:crossBetween val="between"/>
      </c:valAx>
    </c:plotArea>
    <c:legend>
      <c:legendPos val="r"/>
      <c:layout>
        <c:manualLayout>
          <c:xMode val="edge"/>
          <c:yMode val="edge"/>
          <c:x val="4.9972878390201224E-2"/>
          <c:y val="0.84182487605716982"/>
          <c:w val="0.88891601049868774"/>
          <c:h val="0.15431321084864391"/>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4061395450568678"/>
          <c:y val="5.0925925925925923E-2"/>
          <c:w val="0.79497003499562569"/>
          <c:h val="0.66179790026246765"/>
        </c:manualLayout>
      </c:layout>
      <c:bar3DChart>
        <c:barDir val="bar"/>
        <c:grouping val="percentStacked"/>
        <c:ser>
          <c:idx val="0"/>
          <c:order val="0"/>
          <c:tx>
            <c:strRef>
              <c:f>reclamations!$I$128</c:f>
              <c:strCache>
                <c:ptCount val="1"/>
                <c:pt idx="0">
                  <c:v>Très bonne</c:v>
                </c:pt>
              </c:strCache>
            </c:strRef>
          </c:tx>
          <c:spPr>
            <a:solidFill>
              <a:srgbClr val="00B050"/>
            </a:solidFill>
          </c:spPr>
          <c:cat>
            <c:strRef>
              <c:f>reclamations!$J$127:$K$127</c:f>
              <c:strCache>
                <c:ptCount val="2"/>
                <c:pt idx="0">
                  <c:v>Formel</c:v>
                </c:pt>
                <c:pt idx="1">
                  <c:v>Informel</c:v>
                </c:pt>
              </c:strCache>
            </c:strRef>
          </c:cat>
          <c:val>
            <c:numRef>
              <c:f>reclamations!$J$128:$K$128</c:f>
              <c:numCache>
                <c:formatCode>0.0%</c:formatCode>
                <c:ptCount val="2"/>
                <c:pt idx="0">
                  <c:v>3.8031319910515268E-2</c:v>
                </c:pt>
                <c:pt idx="1">
                  <c:v>1.7543859649123261E-2</c:v>
                </c:pt>
              </c:numCache>
            </c:numRef>
          </c:val>
        </c:ser>
        <c:ser>
          <c:idx val="1"/>
          <c:order val="1"/>
          <c:tx>
            <c:strRef>
              <c:f>reclamations!$I$129</c:f>
              <c:strCache>
                <c:ptCount val="1"/>
                <c:pt idx="0">
                  <c:v>Bonne</c:v>
                </c:pt>
              </c:strCache>
            </c:strRef>
          </c:tx>
          <c:spPr>
            <a:solidFill>
              <a:srgbClr val="92D050"/>
            </a:solidFill>
          </c:spPr>
          <c:cat>
            <c:strRef>
              <c:f>reclamations!$J$127:$K$127</c:f>
              <c:strCache>
                <c:ptCount val="2"/>
                <c:pt idx="0">
                  <c:v>Formel</c:v>
                </c:pt>
                <c:pt idx="1">
                  <c:v>Informel</c:v>
                </c:pt>
              </c:strCache>
            </c:strRef>
          </c:cat>
          <c:val>
            <c:numRef>
              <c:f>reclamations!$J$129:$K$129</c:f>
              <c:numCache>
                <c:formatCode>0.0%</c:formatCode>
                <c:ptCount val="2"/>
                <c:pt idx="0">
                  <c:v>0.49888143176734462</c:v>
                </c:pt>
                <c:pt idx="1">
                  <c:v>0.39473684210526438</c:v>
                </c:pt>
              </c:numCache>
            </c:numRef>
          </c:val>
        </c:ser>
        <c:ser>
          <c:idx val="2"/>
          <c:order val="2"/>
          <c:tx>
            <c:strRef>
              <c:f>reclamations!$I$130</c:f>
              <c:strCache>
                <c:ptCount val="1"/>
                <c:pt idx="0">
                  <c:v>Mauvaise</c:v>
                </c:pt>
              </c:strCache>
            </c:strRef>
          </c:tx>
          <c:spPr>
            <a:solidFill>
              <a:schemeClr val="accent6">
                <a:lumMod val="75000"/>
              </a:schemeClr>
            </a:solidFill>
          </c:spPr>
          <c:cat>
            <c:strRef>
              <c:f>reclamations!$J$127:$K$127</c:f>
              <c:strCache>
                <c:ptCount val="2"/>
                <c:pt idx="0">
                  <c:v>Formel</c:v>
                </c:pt>
                <c:pt idx="1">
                  <c:v>Informel</c:v>
                </c:pt>
              </c:strCache>
            </c:strRef>
          </c:cat>
          <c:val>
            <c:numRef>
              <c:f>reclamations!$J$130:$K$130</c:f>
              <c:numCache>
                <c:formatCode>0.0%</c:formatCode>
                <c:ptCount val="2"/>
                <c:pt idx="0">
                  <c:v>0.34228187919463804</c:v>
                </c:pt>
                <c:pt idx="1">
                  <c:v>0.49122807017544612</c:v>
                </c:pt>
              </c:numCache>
            </c:numRef>
          </c:val>
        </c:ser>
        <c:ser>
          <c:idx val="3"/>
          <c:order val="3"/>
          <c:tx>
            <c:strRef>
              <c:f>reclamations!$I$131</c:f>
              <c:strCache>
                <c:ptCount val="1"/>
                <c:pt idx="0">
                  <c:v>Très mauvaise</c:v>
                </c:pt>
              </c:strCache>
            </c:strRef>
          </c:tx>
          <c:spPr>
            <a:solidFill>
              <a:srgbClr val="FF0000"/>
            </a:solidFill>
          </c:spPr>
          <c:cat>
            <c:strRef>
              <c:f>reclamations!$J$127:$K$127</c:f>
              <c:strCache>
                <c:ptCount val="2"/>
                <c:pt idx="0">
                  <c:v>Formel</c:v>
                </c:pt>
                <c:pt idx="1">
                  <c:v>Informel</c:v>
                </c:pt>
              </c:strCache>
            </c:strRef>
          </c:cat>
          <c:val>
            <c:numRef>
              <c:f>reclamations!$J$131:$K$131</c:f>
              <c:numCache>
                <c:formatCode>0.0%</c:formatCode>
                <c:ptCount val="2"/>
                <c:pt idx="0">
                  <c:v>0.12080536912751665</c:v>
                </c:pt>
                <c:pt idx="1">
                  <c:v>9.6491228070175433E-2</c:v>
                </c:pt>
              </c:numCache>
            </c:numRef>
          </c:val>
        </c:ser>
        <c:shape val="cylinder"/>
        <c:axId val="219865472"/>
        <c:axId val="219867008"/>
        <c:axId val="0"/>
      </c:bar3DChart>
      <c:catAx>
        <c:axId val="219865472"/>
        <c:scaling>
          <c:orientation val="minMax"/>
        </c:scaling>
        <c:axPos val="l"/>
        <c:numFmt formatCode="General" sourceLinked="0"/>
        <c:tickLblPos val="nextTo"/>
        <c:txPr>
          <a:bodyPr/>
          <a:lstStyle/>
          <a:p>
            <a:pPr>
              <a:defRPr sz="800">
                <a:latin typeface="Book Antiqua" pitchFamily="18" charset="0"/>
              </a:defRPr>
            </a:pPr>
            <a:endParaRPr lang="fr-FR"/>
          </a:p>
        </c:txPr>
        <c:crossAx val="219867008"/>
        <c:crosses val="autoZero"/>
        <c:auto val="1"/>
        <c:lblAlgn val="ctr"/>
        <c:lblOffset val="100"/>
      </c:catAx>
      <c:valAx>
        <c:axId val="219867008"/>
        <c:scaling>
          <c:orientation val="minMax"/>
        </c:scaling>
        <c:axPos val="b"/>
        <c:majorGridlines/>
        <c:numFmt formatCode="0%" sourceLinked="1"/>
        <c:tickLblPos val="nextTo"/>
        <c:txPr>
          <a:bodyPr/>
          <a:lstStyle/>
          <a:p>
            <a:pPr>
              <a:defRPr sz="800">
                <a:latin typeface="Book Antiqua" pitchFamily="18" charset="0"/>
              </a:defRPr>
            </a:pPr>
            <a:endParaRPr lang="fr-FR"/>
          </a:p>
        </c:txPr>
        <c:crossAx val="219865472"/>
        <c:crosses val="autoZero"/>
        <c:crossBetween val="between"/>
      </c:valAx>
    </c:plotArea>
    <c:legend>
      <c:legendPos val="r"/>
      <c:layout>
        <c:manualLayout>
          <c:xMode val="edge"/>
          <c:yMode val="edge"/>
          <c:x val="2.7750656167979011E-2"/>
          <c:y val="0.83719524642754184"/>
          <c:w val="0.93891601049869611"/>
          <c:h val="0.15894284047827781"/>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explosion val="25"/>
          <c:dLbls>
            <c:dLbl>
              <c:idx val="0"/>
              <c:numFmt formatCode="0.0%" sourceLinked="0"/>
              <c:spPr>
                <a:noFill/>
                <a:ln>
                  <a:noFill/>
                </a:ln>
                <a:effectLst/>
              </c:spPr>
              <c:txPr>
                <a:bodyPr/>
                <a:lstStyle/>
                <a:p>
                  <a:pPr>
                    <a:defRPr sz="800" b="1">
                      <a:latin typeface="Book Antiqua" pitchFamily="18" charset="0"/>
                    </a:defRPr>
                  </a:pPr>
                  <a:endParaRPr lang="fr-FR"/>
                </a:p>
              </c:txPr>
            </c:dLbl>
            <c:dLbl>
              <c:idx val="1"/>
              <c:layout>
                <c:manualLayout>
                  <c:x val="-0.29322211286089644"/>
                  <c:y val="-0.14565106445027706"/>
                </c:manualLayout>
              </c:layout>
              <c:numFmt formatCode="0.0%" sourceLinked="0"/>
              <c:spPr>
                <a:noFill/>
                <a:ln>
                  <a:noFill/>
                </a:ln>
                <a:effectLst/>
              </c:spPr>
              <c:txPr>
                <a:bodyPr/>
                <a:lstStyle/>
                <a:p>
                  <a:pPr>
                    <a:defRPr sz="800" b="1">
                      <a:latin typeface="Book Antiqua" pitchFamily="18" charset="0"/>
                    </a:defRPr>
                  </a:pPr>
                  <a:endParaRPr lang="fr-FR"/>
                </a:p>
              </c:txPr>
              <c:showCatName val="1"/>
              <c:showPercent val="1"/>
              <c:extLst>
                <c:ext xmlns:c15="http://schemas.microsoft.com/office/drawing/2012/chart" uri="{CE6537A1-D6FC-4f65-9D91-7224C49458BB}"/>
              </c:extLst>
            </c:dLbl>
            <c:numFmt formatCode="0.0%" sourceLinked="0"/>
            <c:spPr>
              <a:noFill/>
              <a:ln>
                <a:noFill/>
              </a:ln>
              <a:effectLst/>
            </c:spPr>
            <c:txPr>
              <a:bodyPr/>
              <a:lstStyle/>
              <a:p>
                <a:pPr>
                  <a:defRPr>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litige!$I$25:$I$26</c:f>
              <c:strCache>
                <c:ptCount val="2"/>
                <c:pt idx="0">
                  <c:v>OUI</c:v>
                </c:pt>
                <c:pt idx="1">
                  <c:v>NON</c:v>
                </c:pt>
              </c:strCache>
            </c:strRef>
          </c:cat>
          <c:val>
            <c:numRef>
              <c:f>litige!$J$25:$J$26</c:f>
              <c:numCache>
                <c:formatCode>0.0%</c:formatCode>
                <c:ptCount val="2"/>
                <c:pt idx="0">
                  <c:v>4.9626467449307134E-2</c:v>
                </c:pt>
                <c:pt idx="1">
                  <c:v>0.95037353255070256</c:v>
                </c:pt>
              </c:numCache>
            </c:numRef>
          </c:val>
        </c:ser>
        <c:dLbls>
          <c:showCatName val="1"/>
          <c:showPercent val="1"/>
        </c:dLbls>
      </c:pie3DChart>
    </c:plotArea>
    <c:plotVisOnly val="1"/>
    <c:dispBlanksAs val="zero"/>
  </c:chart>
  <c:externalData r:id="rId1"/>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5823928258968076"/>
          <c:y val="1.6418351654959341E-2"/>
          <c:w val="0.79403849518810365"/>
          <c:h val="0.83516112569262158"/>
        </c:manualLayout>
      </c:layout>
      <c:bar3DChart>
        <c:barDir val="bar"/>
        <c:grouping val="percentStacked"/>
        <c:ser>
          <c:idx val="0"/>
          <c:order val="0"/>
          <c:tx>
            <c:strRef>
              <c:f>Feuil7!$B$34</c:f>
              <c:strCache>
                <c:ptCount val="1"/>
                <c:pt idx="0">
                  <c:v>OUI</c:v>
                </c:pt>
              </c:strCache>
            </c:strRef>
          </c:tx>
          <c:cat>
            <c:strRef>
              <c:f>Feuil7!$C$33:$P$33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Feuil7!$C$34:$P$34</c:f>
              <c:numCache>
                <c:formatCode>0.0%</c:formatCode>
                <c:ptCount val="14"/>
                <c:pt idx="0">
                  <c:v>3.7878787878788012E-2</c:v>
                </c:pt>
                <c:pt idx="1">
                  <c:v>0</c:v>
                </c:pt>
                <c:pt idx="2">
                  <c:v>0.1</c:v>
                </c:pt>
                <c:pt idx="3">
                  <c:v>5.8823529411764705E-2</c:v>
                </c:pt>
                <c:pt idx="4">
                  <c:v>0</c:v>
                </c:pt>
                <c:pt idx="5">
                  <c:v>4.8780487804879251E-2</c:v>
                </c:pt>
                <c:pt idx="6">
                  <c:v>0</c:v>
                </c:pt>
                <c:pt idx="7">
                  <c:v>6.9767441860465934E-2</c:v>
                </c:pt>
                <c:pt idx="8">
                  <c:v>4.8780487804879251E-2</c:v>
                </c:pt>
                <c:pt idx="9">
                  <c:v>6.1728395061728392E-2</c:v>
                </c:pt>
                <c:pt idx="10">
                  <c:v>0.2978723404255319</c:v>
                </c:pt>
                <c:pt idx="11">
                  <c:v>1.6129032258064523E-2</c:v>
                </c:pt>
                <c:pt idx="12">
                  <c:v>5.5555555555555455E-2</c:v>
                </c:pt>
                <c:pt idx="13">
                  <c:v>0.13402061855670103</c:v>
                </c:pt>
              </c:numCache>
            </c:numRef>
          </c:val>
        </c:ser>
        <c:ser>
          <c:idx val="1"/>
          <c:order val="1"/>
          <c:tx>
            <c:strRef>
              <c:f>Feuil7!$B$35</c:f>
              <c:strCache>
                <c:ptCount val="1"/>
                <c:pt idx="0">
                  <c:v>NON</c:v>
                </c:pt>
              </c:strCache>
            </c:strRef>
          </c:tx>
          <c:cat>
            <c:strRef>
              <c:f>Feuil7!$C$33:$P$33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Feuil7!$C$35:$P$35</c:f>
              <c:numCache>
                <c:formatCode>0.0%</c:formatCode>
                <c:ptCount val="14"/>
                <c:pt idx="0">
                  <c:v>0.96212121212122248</c:v>
                </c:pt>
                <c:pt idx="1">
                  <c:v>1</c:v>
                </c:pt>
                <c:pt idx="2">
                  <c:v>0.9</c:v>
                </c:pt>
                <c:pt idx="3">
                  <c:v>0.94117647058823561</c:v>
                </c:pt>
                <c:pt idx="4">
                  <c:v>1</c:v>
                </c:pt>
                <c:pt idx="5">
                  <c:v>0.9512195121951309</c:v>
                </c:pt>
                <c:pt idx="6">
                  <c:v>1</c:v>
                </c:pt>
                <c:pt idx="7">
                  <c:v>0.93023255813953487</c:v>
                </c:pt>
                <c:pt idx="8">
                  <c:v>0.9512195121951309</c:v>
                </c:pt>
                <c:pt idx="9">
                  <c:v>0.93827160493827955</c:v>
                </c:pt>
                <c:pt idx="10">
                  <c:v>0.70212765957446865</c:v>
                </c:pt>
                <c:pt idx="11">
                  <c:v>0.98387096774192506</c:v>
                </c:pt>
                <c:pt idx="12">
                  <c:v>0.94444444444444464</c:v>
                </c:pt>
                <c:pt idx="13">
                  <c:v>0.86597938144330722</c:v>
                </c:pt>
              </c:numCache>
            </c:numRef>
          </c:val>
        </c:ser>
        <c:shape val="cylinder"/>
        <c:axId val="220091136"/>
        <c:axId val="220092672"/>
        <c:axId val="0"/>
      </c:bar3DChart>
      <c:catAx>
        <c:axId val="220091136"/>
        <c:scaling>
          <c:orientation val="minMax"/>
        </c:scaling>
        <c:axPos val="l"/>
        <c:numFmt formatCode="General" sourceLinked="0"/>
        <c:tickLblPos val="nextTo"/>
        <c:txPr>
          <a:bodyPr/>
          <a:lstStyle/>
          <a:p>
            <a:pPr>
              <a:defRPr sz="800" b="1">
                <a:latin typeface="Book Antiqua" pitchFamily="18" charset="0"/>
              </a:defRPr>
            </a:pPr>
            <a:endParaRPr lang="fr-FR"/>
          </a:p>
        </c:txPr>
        <c:crossAx val="220092672"/>
        <c:crosses val="autoZero"/>
        <c:auto val="1"/>
        <c:lblAlgn val="ctr"/>
        <c:lblOffset val="100"/>
      </c:catAx>
      <c:valAx>
        <c:axId val="220092672"/>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20091136"/>
        <c:crosses val="autoZero"/>
        <c:crossBetween val="between"/>
      </c:valAx>
    </c:plotArea>
    <c:legend>
      <c:legendPos val="r"/>
      <c:layout>
        <c:manualLayout>
          <c:xMode val="edge"/>
          <c:yMode val="edge"/>
          <c:x val="0.29857064741907785"/>
          <c:y val="0.92289404783812512"/>
          <c:w val="0.31531824146982529"/>
          <c:h val="7.3086919861399313E-2"/>
        </c:manualLayout>
      </c:layout>
      <c:txPr>
        <a:bodyPr/>
        <a:lstStyle/>
        <a:p>
          <a:pPr>
            <a:defRPr sz="800" b="1"/>
          </a:pPr>
          <a:endParaRPr lang="fr-FR"/>
        </a:p>
      </c:txPr>
    </c:legend>
    <c:plotVisOnly val="1"/>
    <c:dispBlanksAs val="gap"/>
  </c:chart>
  <c:externalData r:id="rId1"/>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0"/>
          <c:y val="8.4734905748058933E-2"/>
          <c:w val="0.95277777777777772"/>
          <c:h val="0.62775408282298062"/>
        </c:manualLayout>
      </c:layout>
      <c:pie3DChart>
        <c:varyColors val="1"/>
        <c:ser>
          <c:idx val="0"/>
          <c:order val="0"/>
          <c:explosion val="25"/>
          <c:dPt>
            <c:idx val="1"/>
            <c:spPr>
              <a:solidFill>
                <a:srgbClr val="FFC000"/>
              </a:solidFill>
            </c:spPr>
          </c:dPt>
          <c:dPt>
            <c:idx val="3"/>
            <c:spPr>
              <a:solidFill>
                <a:srgbClr val="FFFF00"/>
              </a:solidFill>
            </c:spPr>
          </c:dPt>
          <c:dLbls>
            <c:dLbl>
              <c:idx val="0"/>
              <c:layout>
                <c:manualLayout>
                  <c:x val="-1.58753280839895E-2"/>
                  <c:y val="0"/>
                </c:manualLayout>
              </c:layout>
              <c:showPercent val="1"/>
              <c:extLst>
                <c:ext xmlns:c15="http://schemas.microsoft.com/office/drawing/2012/chart" uri="{CE6537A1-D6FC-4f65-9D91-7224C49458BB}"/>
              </c:extLst>
            </c:dLbl>
            <c:dLbl>
              <c:idx val="1"/>
              <c:layout>
                <c:manualLayout>
                  <c:x val="-1.3706255468066786E-3"/>
                  <c:y val="-1.095071449402158E-3"/>
                </c:manualLayout>
              </c:layout>
              <c:showPercent val="1"/>
              <c:extLst>
                <c:ext xmlns:c15="http://schemas.microsoft.com/office/drawing/2012/chart" uri="{CE6537A1-D6FC-4f65-9D91-7224C49458BB}"/>
              </c:extLst>
            </c:dLbl>
            <c:dLbl>
              <c:idx val="2"/>
              <c:layout>
                <c:manualLayout>
                  <c:x val="-1.0060804899387895E-2"/>
                  <c:y val="-3.1518299795858844E-2"/>
                </c:manualLayout>
              </c:layout>
              <c:showPercent val="1"/>
              <c:extLst>
                <c:ext xmlns:c15="http://schemas.microsoft.com/office/drawing/2012/chart" uri="{CE6537A1-D6FC-4f65-9D91-7224C49458BB}"/>
              </c:extLst>
            </c:dLbl>
            <c:dLbl>
              <c:idx val="3"/>
              <c:layout>
                <c:manualLayout>
                  <c:x val="5.3580489938757914E-3"/>
                  <c:y val="-2.8654491105278467E-2"/>
                </c:manualLayout>
              </c:layout>
              <c:showPercent val="1"/>
              <c:extLst>
                <c:ext xmlns:c15="http://schemas.microsoft.com/office/drawing/2012/chart" uri="{CE6537A1-D6FC-4f65-9D91-7224C49458BB}"/>
              </c:extLst>
            </c:dLbl>
            <c:dLbl>
              <c:idx val="4"/>
              <c:layout>
                <c:manualLayout>
                  <c:x val="-6.3479099709397415E-3"/>
                  <c:y val="-1.7436591747361521E-2"/>
                </c:manualLayout>
              </c:layout>
              <c:showPercent val="1"/>
              <c:extLst>
                <c:ext xmlns:c15="http://schemas.microsoft.com/office/drawing/2012/chart" uri="{CE6537A1-D6FC-4f65-9D91-7224C49458BB}"/>
              </c:extLst>
            </c:dLbl>
            <c:dLbl>
              <c:idx val="5"/>
              <c:layout>
                <c:manualLayout>
                  <c:x val="3.5508530183727044E-2"/>
                  <c:y val="-2.506233595800525E-2"/>
                </c:manualLayout>
              </c:layout>
              <c:showPercent val="1"/>
              <c:extLst>
                <c:ext xmlns:c15="http://schemas.microsoft.com/office/drawing/2012/chart" uri="{CE6537A1-D6FC-4f65-9D91-7224C49458BB}"/>
              </c:extLst>
            </c:dLbl>
            <c:numFmt formatCode="0.0%" sourceLinked="0"/>
            <c:spPr>
              <a:noFill/>
              <a:ln>
                <a:noFill/>
              </a:ln>
              <a:effectLst/>
            </c:spPr>
            <c:txPr>
              <a:bodyPr/>
              <a:lstStyle/>
              <a:p>
                <a:pPr>
                  <a:defRPr sz="800" b="1">
                    <a:latin typeface="Book Antiqua" pitchFamily="18" charset="0"/>
                  </a:defRPr>
                </a:pPr>
                <a:endParaRPr lang="fr-FR"/>
              </a:p>
            </c:txPr>
            <c:showPercent val="1"/>
            <c:showLeaderLines val="1"/>
            <c:extLst>
              <c:ext xmlns:c15="http://schemas.microsoft.com/office/drawing/2012/chart" uri="{CE6537A1-D6FC-4f65-9D91-7224C49458BB}"/>
            </c:extLst>
          </c:dLbls>
          <c:cat>
            <c:strRef>
              <c:f>litige!$P$33:$P$38</c:f>
              <c:strCache>
                <c:ptCount val="6"/>
                <c:pt idx="0">
                  <c:v>Non-conformité des produits</c:v>
                </c:pt>
                <c:pt idx="1">
                  <c:v>Autre </c:v>
                </c:pt>
                <c:pt idx="2">
                  <c:v>Interprétation divergente du contrat</c:v>
                </c:pt>
                <c:pt idx="3">
                  <c:v>Prélèvement indû</c:v>
                </c:pt>
                <c:pt idx="4">
                  <c:v>Déficit d'information</c:v>
                </c:pt>
                <c:pt idx="5">
                  <c:v>Coût des services</c:v>
                </c:pt>
              </c:strCache>
            </c:strRef>
          </c:cat>
          <c:val>
            <c:numRef>
              <c:f>litige!$Q$33:$Q$38</c:f>
              <c:numCache>
                <c:formatCode>0.0%</c:formatCode>
                <c:ptCount val="6"/>
                <c:pt idx="0">
                  <c:v>6.25E-2</c:v>
                </c:pt>
                <c:pt idx="1">
                  <c:v>7.6388888888888895E-2</c:v>
                </c:pt>
                <c:pt idx="2">
                  <c:v>0.1388888888888889</c:v>
                </c:pt>
                <c:pt idx="3">
                  <c:v>0.2013888888888889</c:v>
                </c:pt>
                <c:pt idx="4">
                  <c:v>0.24305555555555555</c:v>
                </c:pt>
                <c:pt idx="5">
                  <c:v>0.27777777777778234</c:v>
                </c:pt>
              </c:numCache>
            </c:numRef>
          </c:val>
        </c:ser>
        <c:dLbls>
          <c:showPercent val="1"/>
        </c:dLbls>
      </c:pie3DChart>
    </c:plotArea>
    <c:legend>
      <c:legendPos val="t"/>
      <c:layout>
        <c:manualLayout>
          <c:xMode val="edge"/>
          <c:yMode val="edge"/>
          <c:x val="5.0259461842078912E-2"/>
          <c:y val="0.79375723838471623"/>
          <c:w val="0.90391276472119575"/>
          <c:h val="0.14604568666591394"/>
        </c:manualLayout>
      </c:layout>
      <c:txPr>
        <a:bodyPr/>
        <a:lstStyle/>
        <a:p>
          <a:pPr algn="just">
            <a:defRPr sz="800" b="1">
              <a:latin typeface="Book Antiqua" pitchFamily="18" charset="0"/>
            </a:defRPr>
          </a:pPr>
          <a:endParaRPr lang="fr-FR"/>
        </a:p>
      </c:txPr>
    </c:legend>
    <c:plotVisOnly val="1"/>
    <c:dispBlanksAs val="zero"/>
  </c:chart>
  <c:externalData r:id="rId1"/>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263888888888888"/>
          <c:y val="8.101851851851849E-2"/>
          <c:w val="0.55138888888888893"/>
          <c:h val="0.91898148148148162"/>
        </c:manualLayout>
      </c:layout>
      <c:pieChart>
        <c:varyColors val="1"/>
        <c:ser>
          <c:idx val="0"/>
          <c:order val="0"/>
          <c:tx>
            <c:strRef>
              <c:f>ESUB_2015_PERSONNES_PHYSIQUES!$C$128</c:f>
              <c:strCache>
                <c:ptCount val="1"/>
                <c:pt idx="0">
                  <c:v>Effectifs</c:v>
                </c:pt>
              </c:strCache>
            </c:strRef>
          </c:tx>
          <c:spPr>
            <a:effectLst>
              <a:softEdge rad="31750"/>
            </a:effectLst>
            <a:scene3d>
              <a:camera prst="orthographicFront"/>
              <a:lightRig rig="threePt" dir="t"/>
            </a:scene3d>
            <a:sp3d>
              <a:bevelT w="63500" h="82550"/>
              <a:bevelB w="6350"/>
            </a:sp3d>
          </c:spPr>
          <c:dPt>
            <c:idx val="0"/>
            <c:spPr>
              <a:solidFill>
                <a:schemeClr val="accent1"/>
              </a:solidFill>
              <a:ln w="19050">
                <a:solidFill>
                  <a:schemeClr val="lt1"/>
                </a:solidFill>
              </a:ln>
              <a:effectLst>
                <a:softEdge rad="31750"/>
              </a:effectLst>
              <a:scene3d>
                <a:camera prst="orthographicFront"/>
                <a:lightRig rig="threePt" dir="t"/>
              </a:scene3d>
              <a:sp3d>
                <a:bevelT w="63500" h="82550"/>
                <a:bevelB w="6350"/>
              </a:sp3d>
            </c:spPr>
          </c:dPt>
          <c:dPt>
            <c:idx val="1"/>
            <c:spPr>
              <a:solidFill>
                <a:schemeClr val="accent2"/>
              </a:solidFill>
              <a:ln w="19050">
                <a:solidFill>
                  <a:schemeClr val="lt1"/>
                </a:solidFill>
              </a:ln>
              <a:effectLst>
                <a:softEdge rad="31750"/>
              </a:effectLst>
              <a:scene3d>
                <a:camera prst="orthographicFront"/>
                <a:lightRig rig="threePt" dir="t"/>
              </a:scene3d>
              <a:sp3d>
                <a:bevelT w="63500" h="82550"/>
                <a:bevelB w="6350"/>
              </a:sp3d>
            </c:spPr>
          </c:dPt>
          <c:dPt>
            <c:idx val="2"/>
            <c:spPr>
              <a:solidFill>
                <a:schemeClr val="accent3"/>
              </a:solidFill>
              <a:ln w="19050">
                <a:solidFill>
                  <a:schemeClr val="lt1"/>
                </a:solidFill>
              </a:ln>
              <a:effectLst>
                <a:softEdge rad="31750"/>
              </a:effectLst>
              <a:scene3d>
                <a:camera prst="orthographicFront"/>
                <a:lightRig rig="threePt" dir="t"/>
              </a:scene3d>
              <a:sp3d>
                <a:bevelT w="63500" h="82550"/>
                <a:bevelB w="6350"/>
              </a:sp3d>
            </c:spPr>
          </c:dPt>
          <c:dPt>
            <c:idx val="3"/>
            <c:spPr>
              <a:solidFill>
                <a:schemeClr val="accent4"/>
              </a:solidFill>
              <a:ln w="19050">
                <a:solidFill>
                  <a:schemeClr val="lt1"/>
                </a:solidFill>
              </a:ln>
              <a:effectLst>
                <a:softEdge rad="31750"/>
              </a:effectLst>
              <a:scene3d>
                <a:camera prst="orthographicFront"/>
                <a:lightRig rig="threePt" dir="t"/>
              </a:scene3d>
              <a:sp3d>
                <a:bevelT w="63500" h="82550"/>
                <a:bevelB w="6350"/>
              </a:sp3d>
            </c:spPr>
          </c:dPt>
          <c:dPt>
            <c:idx val="4"/>
            <c:spPr>
              <a:solidFill>
                <a:schemeClr val="accent5"/>
              </a:solidFill>
              <a:ln w="19050">
                <a:solidFill>
                  <a:schemeClr val="lt1"/>
                </a:solidFill>
              </a:ln>
              <a:effectLst>
                <a:softEdge rad="31750"/>
              </a:effectLst>
              <a:scene3d>
                <a:camera prst="orthographicFront"/>
                <a:lightRig rig="threePt" dir="t"/>
              </a:scene3d>
              <a:sp3d>
                <a:bevelT w="63500" h="82550"/>
                <a:bevelB w="6350"/>
              </a:sp3d>
            </c:spPr>
          </c:dPt>
          <c:dPt>
            <c:idx val="5"/>
            <c:spPr>
              <a:solidFill>
                <a:schemeClr val="accent6"/>
              </a:solidFill>
              <a:ln w="19050">
                <a:solidFill>
                  <a:schemeClr val="lt1"/>
                </a:solidFill>
              </a:ln>
              <a:effectLst>
                <a:softEdge rad="31750"/>
              </a:effectLst>
              <a:scene3d>
                <a:camera prst="orthographicFront"/>
                <a:lightRig rig="threePt" dir="t"/>
              </a:scene3d>
              <a:sp3d>
                <a:bevelT w="63500" h="82550"/>
                <a:bevelB w="6350"/>
              </a:sp3d>
            </c:spPr>
          </c:dPt>
          <c:dPt>
            <c:idx val="6"/>
            <c:spPr>
              <a:solidFill>
                <a:schemeClr val="accent1">
                  <a:lumMod val="60000"/>
                </a:schemeClr>
              </a:solidFill>
              <a:ln w="19050">
                <a:solidFill>
                  <a:schemeClr val="lt1"/>
                </a:solidFill>
              </a:ln>
              <a:effectLst>
                <a:softEdge rad="31750"/>
              </a:effectLst>
              <a:scene3d>
                <a:camera prst="orthographicFront"/>
                <a:lightRig rig="threePt" dir="t"/>
              </a:scene3d>
              <a:sp3d>
                <a:bevelT w="63500" h="82550"/>
                <a:bevelB w="6350"/>
              </a:sp3d>
            </c:spPr>
          </c:dPt>
          <c:dPt>
            <c:idx val="7"/>
            <c:spPr>
              <a:solidFill>
                <a:schemeClr val="accent2">
                  <a:lumMod val="60000"/>
                </a:schemeClr>
              </a:solidFill>
              <a:ln w="19050">
                <a:solidFill>
                  <a:schemeClr val="lt1"/>
                </a:solidFill>
              </a:ln>
              <a:effectLst>
                <a:softEdge rad="31750"/>
              </a:effectLst>
              <a:scene3d>
                <a:camera prst="orthographicFront"/>
                <a:lightRig rig="threePt" dir="t"/>
              </a:scene3d>
              <a:sp3d>
                <a:bevelT w="63500" h="82550"/>
                <a:bevelB w="6350"/>
              </a:sp3d>
            </c:spPr>
          </c:dPt>
          <c:dPt>
            <c:idx val="8"/>
            <c:spPr>
              <a:solidFill>
                <a:schemeClr val="accent3">
                  <a:lumMod val="60000"/>
                </a:schemeClr>
              </a:solidFill>
              <a:ln w="19050">
                <a:solidFill>
                  <a:schemeClr val="lt1"/>
                </a:solidFill>
              </a:ln>
              <a:effectLst>
                <a:softEdge rad="31750"/>
              </a:effectLst>
              <a:scene3d>
                <a:camera prst="orthographicFront"/>
                <a:lightRig rig="threePt" dir="t"/>
              </a:scene3d>
              <a:sp3d>
                <a:bevelT w="63500" h="82550"/>
                <a:bevelB w="6350"/>
              </a:sp3d>
            </c:spPr>
          </c:dPt>
          <c:dPt>
            <c:idx val="9"/>
            <c:spPr>
              <a:solidFill>
                <a:schemeClr val="accent4">
                  <a:lumMod val="60000"/>
                </a:schemeClr>
              </a:solidFill>
              <a:ln w="19050">
                <a:solidFill>
                  <a:schemeClr val="lt1"/>
                </a:solidFill>
              </a:ln>
              <a:effectLst>
                <a:softEdge rad="31750"/>
              </a:effectLst>
              <a:scene3d>
                <a:camera prst="orthographicFront"/>
                <a:lightRig rig="threePt" dir="t"/>
              </a:scene3d>
              <a:sp3d>
                <a:bevelT w="63500" h="82550"/>
                <a:bevelB w="6350"/>
              </a:sp3d>
            </c:spPr>
          </c:dPt>
          <c:dPt>
            <c:idx val="10"/>
            <c:spPr>
              <a:solidFill>
                <a:schemeClr val="accent5">
                  <a:lumMod val="60000"/>
                </a:schemeClr>
              </a:solidFill>
              <a:ln w="19050">
                <a:solidFill>
                  <a:schemeClr val="lt1"/>
                </a:solidFill>
              </a:ln>
              <a:effectLst>
                <a:softEdge rad="31750"/>
              </a:effectLst>
              <a:scene3d>
                <a:camera prst="orthographicFront"/>
                <a:lightRig rig="threePt" dir="t"/>
              </a:scene3d>
              <a:sp3d>
                <a:bevelT w="63500" h="82550"/>
                <a:bevelB w="6350"/>
              </a:sp3d>
            </c:spPr>
          </c:dPt>
          <c:dPt>
            <c:idx val="11"/>
            <c:spPr>
              <a:solidFill>
                <a:schemeClr val="accent6">
                  <a:lumMod val="60000"/>
                </a:schemeClr>
              </a:solidFill>
              <a:ln w="19050">
                <a:solidFill>
                  <a:schemeClr val="lt1"/>
                </a:solidFill>
              </a:ln>
              <a:effectLst>
                <a:softEdge rad="31750"/>
              </a:effectLst>
              <a:scene3d>
                <a:camera prst="orthographicFront"/>
                <a:lightRig rig="threePt" dir="t"/>
              </a:scene3d>
              <a:sp3d>
                <a:bevelT w="63500" h="82550"/>
                <a:bevelB w="6350"/>
              </a:sp3d>
            </c:spPr>
          </c:dPt>
          <c:dPt>
            <c:idx val="12"/>
            <c:spPr>
              <a:solidFill>
                <a:schemeClr val="accent1">
                  <a:lumMod val="80000"/>
                  <a:lumOff val="20000"/>
                </a:schemeClr>
              </a:solidFill>
              <a:ln w="19050">
                <a:solidFill>
                  <a:schemeClr val="lt1"/>
                </a:solidFill>
              </a:ln>
              <a:effectLst>
                <a:softEdge rad="31750"/>
              </a:effectLst>
              <a:scene3d>
                <a:camera prst="orthographicFront"/>
                <a:lightRig rig="threePt" dir="t"/>
              </a:scene3d>
              <a:sp3d>
                <a:bevelT w="63500" h="82550"/>
                <a:bevelB w="6350"/>
              </a:sp3d>
            </c:spPr>
          </c:dPt>
          <c:dPt>
            <c:idx val="13"/>
            <c:spPr>
              <a:solidFill>
                <a:schemeClr val="accent2">
                  <a:lumMod val="80000"/>
                  <a:lumOff val="20000"/>
                </a:schemeClr>
              </a:solidFill>
              <a:ln w="19050">
                <a:solidFill>
                  <a:schemeClr val="lt1"/>
                </a:solidFill>
              </a:ln>
              <a:effectLst>
                <a:softEdge rad="31750"/>
              </a:effectLst>
              <a:scene3d>
                <a:camera prst="orthographicFront"/>
                <a:lightRig rig="threePt" dir="t"/>
              </a:scene3d>
              <a:sp3d>
                <a:bevelT w="63500" h="82550"/>
                <a:bevelB w="6350"/>
              </a:sp3d>
            </c:spPr>
          </c:dPt>
          <c:dLbls>
            <c:dLbl>
              <c:idx val="0"/>
              <c:layout>
                <c:manualLayout>
                  <c:x val="7.9578083989501933E-2"/>
                  <c:y val="3.450641586468358E-2"/>
                </c:manualLayout>
              </c:layout>
              <c:showCatName val="1"/>
              <c:showPercent val="1"/>
              <c:extLst>
                <c:ext xmlns:c15="http://schemas.microsoft.com/office/drawing/2012/chart" uri="{CE6537A1-D6FC-4f65-9D91-7224C49458BB}"/>
              </c:extLst>
            </c:dLbl>
            <c:dLbl>
              <c:idx val="1"/>
              <c:layout>
                <c:manualLayout>
                  <c:x val="1.1759514435695541E-2"/>
                  <c:y val="-8.3785360163317439E-3"/>
                </c:manualLayout>
              </c:layout>
              <c:showCatName val="1"/>
              <c:showPercent val="1"/>
              <c:extLst>
                <c:ext xmlns:c15="http://schemas.microsoft.com/office/drawing/2012/chart" uri="{CE6537A1-D6FC-4f65-9D91-7224C49458BB}"/>
              </c:extLst>
            </c:dLbl>
            <c:dLbl>
              <c:idx val="2"/>
              <c:layout>
                <c:manualLayout>
                  <c:x val="-0.11916152668416449"/>
                  <c:y val="7.8613662875473903E-2"/>
                </c:manualLayout>
              </c:layout>
              <c:showCatName val="1"/>
              <c:showPercent val="1"/>
              <c:extLst>
                <c:ext xmlns:c15="http://schemas.microsoft.com/office/drawing/2012/chart" uri="{CE6537A1-D6FC-4f65-9D91-7224C49458BB}"/>
              </c:extLst>
            </c:dLbl>
            <c:dLbl>
              <c:idx val="3"/>
              <c:layout>
                <c:manualLayout>
                  <c:x val="-6.8204615048118991E-2"/>
                  <c:y val="3.8546952464275412E-2"/>
                </c:manualLayout>
              </c:layout>
              <c:showCatName val="1"/>
              <c:showPercent val="1"/>
              <c:extLst>
                <c:ext xmlns:c15="http://schemas.microsoft.com/office/drawing/2012/chart" uri="{CE6537A1-D6FC-4f65-9D91-7224C49458BB}"/>
              </c:extLst>
            </c:dLbl>
            <c:dLbl>
              <c:idx val="5"/>
              <c:layout>
                <c:manualLayout>
                  <c:x val="-0.10824245406824423"/>
                  <c:y val="4.6854039078448532E-2"/>
                </c:manualLayout>
              </c:layout>
              <c:showCatName val="1"/>
              <c:showPercent val="1"/>
              <c:extLst>
                <c:ext xmlns:c15="http://schemas.microsoft.com/office/drawing/2012/chart" uri="{CE6537A1-D6FC-4f65-9D91-7224C49458BB}"/>
              </c:extLst>
            </c:dLbl>
            <c:dLbl>
              <c:idx val="8"/>
              <c:layout>
                <c:manualLayout>
                  <c:x val="-5.9759405074365703E-2"/>
                  <c:y val="-1.6575532225138931E-3"/>
                </c:manualLayout>
              </c:layout>
              <c:showCatName val="1"/>
              <c:showPercent val="1"/>
              <c:extLst>
                <c:ext xmlns:c15="http://schemas.microsoft.com/office/drawing/2012/chart" uri="{CE6537A1-D6FC-4f65-9D91-7224C49458BB}"/>
              </c:extLst>
            </c:dLbl>
            <c:dLbl>
              <c:idx val="11"/>
              <c:layout>
                <c:manualLayout>
                  <c:x val="-8.7641076115485564E-2"/>
                  <c:y val="-2.9072251385243601E-2"/>
                </c:manualLayout>
              </c:layout>
              <c:showCatName val="1"/>
              <c:showPercent val="1"/>
              <c:extLst>
                <c:ext xmlns:c15="http://schemas.microsoft.com/office/drawing/2012/chart" uri="{CE6537A1-D6FC-4f65-9D91-7224C49458BB}"/>
              </c:extLst>
            </c:dLbl>
            <c:dLbl>
              <c:idx val="12"/>
              <c:layout>
                <c:manualLayout>
                  <c:x val="-2.4141732283465386E-2"/>
                  <c:y val="-5.4356226305048048E-3"/>
                </c:manualLayout>
              </c:layout>
              <c:showCatName val="1"/>
              <c:showPercent val="1"/>
              <c:extLst>
                <c:ext xmlns:c15="http://schemas.microsoft.com/office/drawing/2012/chart" uri="{CE6537A1-D6FC-4f65-9D91-7224C49458BB}"/>
              </c:extLst>
            </c:dLbl>
            <c:dLbl>
              <c:idx val="13"/>
              <c:layout>
                <c:manualLayout>
                  <c:x val="3.2705818022748134E-2"/>
                  <c:y val="1.3939924176144638E-3"/>
                </c:manualLayout>
              </c:layout>
              <c:showCatName val="1"/>
              <c:showPercent val="1"/>
              <c:extLst>
                <c:ext xmlns:c15="http://schemas.microsoft.com/office/drawing/2012/chart" uri="{CE6537A1-D6FC-4f65-9D91-7224C49458BB}"/>
              </c:extLst>
            </c:dLbl>
            <c:numFmt formatCode="0.0%" sourceLinked="0"/>
            <c:spPr>
              <a:noFill/>
              <a:ln>
                <a:noFill/>
              </a:ln>
              <a:effectLst/>
            </c:spPr>
            <c:txPr>
              <a:bodyPr rot="0" vert="horz"/>
              <a:lstStyle/>
              <a:p>
                <a:pPr>
                  <a:defRPr/>
                </a:pPr>
                <a:endParaRPr lang="fr-FR"/>
              </a:p>
            </c:txPr>
            <c:showCatName val="1"/>
            <c:showPercent val="1"/>
            <c:showLeaderLines val="1"/>
            <c:leaderLines>
              <c:spPr>
                <a:ln w="9525" cap="flat" cmpd="sng" algn="ctr">
                  <a:solidFill>
                    <a:srgbClr val="5B9BD5"/>
                  </a:solidFill>
                  <a:prstDash val="dash"/>
                  <a:round/>
                </a:ln>
                <a:effectLst/>
              </c:spPr>
            </c:leaderLines>
            <c:extLst>
              <c:ext xmlns:c15="http://schemas.microsoft.com/office/drawing/2012/chart" uri="{CE6537A1-D6FC-4f65-9D91-7224C49458BB}"/>
            </c:extLst>
          </c:dLbls>
          <c:cat>
            <c:strRef>
              <c:f>ESUB_2015_PERSONNES_PHYSIQUES!$B$129:$B$142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extLst/>
            </c:strRef>
          </c:cat>
          <c:val>
            <c:numRef>
              <c:f>ESUB_2015_PERSONNES_PHYSIQUES!$C$129:$C$142</c:f>
              <c:numCache>
                <c:formatCode>###0</c:formatCode>
                <c:ptCount val="14"/>
                <c:pt idx="0">
                  <c:v>2274</c:v>
                </c:pt>
                <c:pt idx="1">
                  <c:v>161</c:v>
                </c:pt>
                <c:pt idx="2">
                  <c:v>80</c:v>
                </c:pt>
                <c:pt idx="3">
                  <c:v>77</c:v>
                </c:pt>
                <c:pt idx="4">
                  <c:v>115</c:v>
                </c:pt>
                <c:pt idx="5">
                  <c:v>119</c:v>
                </c:pt>
                <c:pt idx="6">
                  <c:v>73</c:v>
                </c:pt>
                <c:pt idx="7">
                  <c:v>120</c:v>
                </c:pt>
                <c:pt idx="8">
                  <c:v>100</c:v>
                </c:pt>
                <c:pt idx="9">
                  <c:v>161</c:v>
                </c:pt>
                <c:pt idx="10">
                  <c:v>108</c:v>
                </c:pt>
                <c:pt idx="11">
                  <c:v>104</c:v>
                </c:pt>
                <c:pt idx="12">
                  <c:v>139</c:v>
                </c:pt>
                <c:pt idx="13">
                  <c:v>170</c:v>
                </c:pt>
              </c:numCache>
              <c:extLst/>
            </c:numRef>
          </c:val>
          <c:extLst/>
        </c:ser>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Book Antiqua" pitchFamily="18" charset="0"/>
        </a:defRPr>
      </a:pPr>
      <a:endParaRPr lang="fr-FR"/>
    </a:p>
  </c:txPr>
  <c:externalData r:id="rId2"/>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1286351706036735"/>
          <c:y val="4.2722531998269322E-2"/>
          <c:w val="0.87201268591425041"/>
          <c:h val="0.73310552346024571"/>
        </c:manualLayout>
      </c:layout>
      <c:bar3DChart>
        <c:barDir val="col"/>
        <c:grouping val="clustered"/>
        <c:ser>
          <c:idx val="0"/>
          <c:order val="0"/>
          <c:tx>
            <c:strRef>
              <c:f>'Socio demographique'!$H$5</c:f>
              <c:strCache>
                <c:ptCount val="1"/>
                <c:pt idx="0">
                  <c:v>Homme</c:v>
                </c:pt>
              </c:strCache>
            </c:strRef>
          </c:tx>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'Socio demographique'!$G$6:$G$11</c:f>
              <c:strCache>
                <c:ptCount val="6"/>
                <c:pt idx="0">
                  <c:v>18-24 ans</c:v>
                </c:pt>
                <c:pt idx="1">
                  <c:v>25-34  ans</c:v>
                </c:pt>
                <c:pt idx="2">
                  <c:v>35-44 ans</c:v>
                </c:pt>
                <c:pt idx="3">
                  <c:v>45-54 ans</c:v>
                </c:pt>
                <c:pt idx="4">
                  <c:v>55-64 ans</c:v>
                </c:pt>
                <c:pt idx="5">
                  <c:v>65 ans ou plus</c:v>
                </c:pt>
              </c:strCache>
            </c:strRef>
          </c:cat>
          <c:val>
            <c:numRef>
              <c:f>'Socio demographique'!$H$6:$H$11</c:f>
              <c:numCache>
                <c:formatCode>0.0%</c:formatCode>
                <c:ptCount val="6"/>
                <c:pt idx="0">
                  <c:v>2.8444139821795791E-2</c:v>
                </c:pt>
                <c:pt idx="1">
                  <c:v>0.33584647018506769</c:v>
                </c:pt>
                <c:pt idx="2">
                  <c:v>0.33310486634682196</c:v>
                </c:pt>
                <c:pt idx="3">
                  <c:v>0.18471555860178204</c:v>
                </c:pt>
                <c:pt idx="4">
                  <c:v>0.10520904729266621</c:v>
                </c:pt>
                <c:pt idx="5">
                  <c:v>1.2679917751884644E-2</c:v>
                </c:pt>
              </c:numCache>
            </c:numRef>
          </c:val>
        </c:ser>
        <c:ser>
          <c:idx val="1"/>
          <c:order val="1"/>
          <c:tx>
            <c:strRef>
              <c:f>'Socio demographique'!$I$5</c:f>
              <c:strCache>
                <c:ptCount val="1"/>
                <c:pt idx="0">
                  <c:v>Femme</c:v>
                </c:pt>
              </c:strCache>
            </c:strRef>
          </c:tx>
          <c:dLbls>
            <c:dLbl>
              <c:idx val="0"/>
              <c:layout>
                <c:manualLayout>
                  <c:x val="0"/>
                  <c:y val="-2.2296544035674472E-2"/>
                </c:manualLayout>
              </c:layout>
              <c:showVal val="1"/>
              <c:extLst>
                <c:ext xmlns:c15="http://schemas.microsoft.com/office/drawing/2012/chart" uri="{CE6537A1-D6FC-4f65-9D91-7224C49458BB}"/>
              </c:extLst>
            </c:dLbl>
            <c:dLbl>
              <c:idx val="2"/>
              <c:layout>
                <c:manualLayout>
                  <c:x val="3.0555555555555516E-2"/>
                  <c:y val="-6.2430323299888534E-2"/>
                </c:manualLayout>
              </c:layout>
              <c:showVal val="1"/>
              <c:extLst>
                <c:ext xmlns:c15="http://schemas.microsoft.com/office/drawing/2012/chart" uri="{CE6537A1-D6FC-4f65-9D91-7224C49458BB}"/>
              </c:extLst>
            </c:dLbl>
            <c:dLbl>
              <c:idx val="3"/>
              <c:layout>
                <c:manualLayout>
                  <c:x val="3.333333333333334E-2"/>
                  <c:y val="0"/>
                </c:manualLayout>
              </c:layout>
              <c:showVal val="1"/>
              <c:extLst>
                <c:ext xmlns:c15="http://schemas.microsoft.com/office/drawing/2012/chart" uri="{CE6537A1-D6FC-4f65-9D91-7224C49458BB}"/>
              </c:extLst>
            </c:dLbl>
            <c:dLbl>
              <c:idx val="4"/>
              <c:layout>
                <c:manualLayout>
                  <c:x val="2.5000000000000001E-2"/>
                  <c:y val="4.4593088071349114E-3"/>
                </c:manualLayout>
              </c:layout>
              <c:showVal val="1"/>
              <c:extLst>
                <c:ext xmlns:c15="http://schemas.microsoft.com/office/drawing/2012/chart" uri="{CE6537A1-D6FC-4f65-9D91-7224C49458BB}"/>
              </c:extLst>
            </c:dLbl>
            <c:dLbl>
              <c:idx val="5"/>
              <c:layout>
                <c:manualLayout>
                  <c:x val="3.0555555555555659E-2"/>
                  <c:y val="8.1753050379265554E-17"/>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'Socio demographique'!$G$6:$G$11</c:f>
              <c:strCache>
                <c:ptCount val="6"/>
                <c:pt idx="0">
                  <c:v>18-24 ans</c:v>
                </c:pt>
                <c:pt idx="1">
                  <c:v>25-34  ans</c:v>
                </c:pt>
                <c:pt idx="2">
                  <c:v>35-44 ans</c:v>
                </c:pt>
                <c:pt idx="3">
                  <c:v>45-54 ans</c:v>
                </c:pt>
                <c:pt idx="4">
                  <c:v>55-64 ans</c:v>
                </c:pt>
                <c:pt idx="5">
                  <c:v>65 ans ou plus</c:v>
                </c:pt>
              </c:strCache>
            </c:strRef>
          </c:cat>
          <c:val>
            <c:numRef>
              <c:f>'Socio demographique'!$I$6:$I$11</c:f>
              <c:numCache>
                <c:formatCode>0.0%</c:formatCode>
                <c:ptCount val="6"/>
                <c:pt idx="0">
                  <c:v>4.3035107587768955E-2</c:v>
                </c:pt>
                <c:pt idx="1">
                  <c:v>0.44733861834654587</c:v>
                </c:pt>
                <c:pt idx="2">
                  <c:v>0.32502831257078652</c:v>
                </c:pt>
                <c:pt idx="3">
                  <c:v>0.13137032842582105</c:v>
                </c:pt>
                <c:pt idx="4">
                  <c:v>4.9830124575311524E-2</c:v>
                </c:pt>
                <c:pt idx="5">
                  <c:v>3.3975084937712344E-3</c:v>
                </c:pt>
              </c:numCache>
            </c:numRef>
          </c:val>
        </c:ser>
        <c:shape val="cylinder"/>
        <c:axId val="220268032"/>
        <c:axId val="220269568"/>
        <c:axId val="0"/>
      </c:bar3DChart>
      <c:catAx>
        <c:axId val="220268032"/>
        <c:scaling>
          <c:orientation val="minMax"/>
        </c:scaling>
        <c:axPos val="b"/>
        <c:numFmt formatCode="General" sourceLinked="0"/>
        <c:tickLblPos val="nextTo"/>
        <c:txPr>
          <a:bodyPr/>
          <a:lstStyle/>
          <a:p>
            <a:pPr>
              <a:defRPr sz="800" b="1">
                <a:latin typeface="Book Antiqua" pitchFamily="18" charset="0"/>
              </a:defRPr>
            </a:pPr>
            <a:endParaRPr lang="fr-FR"/>
          </a:p>
        </c:txPr>
        <c:crossAx val="220269568"/>
        <c:crosses val="autoZero"/>
        <c:auto val="1"/>
        <c:lblAlgn val="ctr"/>
        <c:lblOffset val="100"/>
      </c:catAx>
      <c:valAx>
        <c:axId val="220269568"/>
        <c:scaling>
          <c:orientation val="minMax"/>
        </c:scaling>
        <c:axPos val="l"/>
        <c:majorGridlines/>
        <c:numFmt formatCode="0.0%" sourceLinked="1"/>
        <c:tickLblPos val="nextTo"/>
        <c:crossAx val="220268032"/>
        <c:crosses val="autoZero"/>
        <c:crossBetween val="between"/>
      </c:valAx>
    </c:plotArea>
    <c:legend>
      <c:legendPos val="r"/>
      <c:layout>
        <c:manualLayout>
          <c:xMode val="edge"/>
          <c:yMode val="edge"/>
          <c:x val="0.273877761777157"/>
          <c:y val="0.88900732855298858"/>
          <c:w val="0.47333838086351288"/>
          <c:h val="4.2474711178206434E-2"/>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Feuil1!$B$66</c:f>
              <c:strCache>
                <c:ptCount val="1"/>
                <c:pt idx="0">
                  <c:v>Oui, 1 fois</c:v>
                </c:pt>
              </c:strCache>
            </c:strRef>
          </c:tx>
          <c:cat>
            <c:strRef>
              <c:f>Feuil1!$C$65:$I$65</c:f>
              <c:strCache>
                <c:ptCount val="7"/>
                <c:pt idx="0">
                  <c:v>Industrie</c:v>
                </c:pt>
                <c:pt idx="1">
                  <c:v>Commerce</c:v>
                </c:pt>
                <c:pt idx="2">
                  <c:v>BTP</c:v>
                </c:pt>
                <c:pt idx="3">
                  <c:v>Services</c:v>
                </c:pt>
                <c:pt idx="4">
                  <c:v>Agriculture</c:v>
                </c:pt>
                <c:pt idx="5">
                  <c:v>Artisanat</c:v>
                </c:pt>
                <c:pt idx="6">
                  <c:v>Administration</c:v>
                </c:pt>
              </c:strCache>
            </c:strRef>
          </c:cat>
          <c:val>
            <c:numRef>
              <c:f>Feuil1!$C$66:$I$66</c:f>
              <c:numCache>
                <c:formatCode>0.0%</c:formatCode>
                <c:ptCount val="7"/>
                <c:pt idx="0">
                  <c:v>7.8947368421052475E-2</c:v>
                </c:pt>
                <c:pt idx="1">
                  <c:v>0.15835411471321695</c:v>
                </c:pt>
                <c:pt idx="2">
                  <c:v>0.18320610687023481</c:v>
                </c:pt>
                <c:pt idx="3">
                  <c:v>0.14186851211072671</c:v>
                </c:pt>
                <c:pt idx="4">
                  <c:v>0</c:v>
                </c:pt>
                <c:pt idx="5">
                  <c:v>0.11235955056179735</c:v>
                </c:pt>
                <c:pt idx="6">
                  <c:v>0.16666666666666666</c:v>
                </c:pt>
              </c:numCache>
            </c:numRef>
          </c:val>
        </c:ser>
        <c:ser>
          <c:idx val="1"/>
          <c:order val="1"/>
          <c:tx>
            <c:strRef>
              <c:f>Feuil1!$B$67</c:f>
              <c:strCache>
                <c:ptCount val="1"/>
                <c:pt idx="0">
                  <c:v>Oui, 2 fois</c:v>
                </c:pt>
              </c:strCache>
            </c:strRef>
          </c:tx>
          <c:cat>
            <c:strRef>
              <c:f>Feuil1!$C$65:$I$65</c:f>
              <c:strCache>
                <c:ptCount val="7"/>
                <c:pt idx="0">
                  <c:v>Industrie</c:v>
                </c:pt>
                <c:pt idx="1">
                  <c:v>Commerce</c:v>
                </c:pt>
                <c:pt idx="2">
                  <c:v>BTP</c:v>
                </c:pt>
                <c:pt idx="3">
                  <c:v>Services</c:v>
                </c:pt>
                <c:pt idx="4">
                  <c:v>Agriculture</c:v>
                </c:pt>
                <c:pt idx="5">
                  <c:v>Artisanat</c:v>
                </c:pt>
                <c:pt idx="6">
                  <c:v>Administration</c:v>
                </c:pt>
              </c:strCache>
            </c:strRef>
          </c:cat>
          <c:val>
            <c:numRef>
              <c:f>Feuil1!$C$67:$I$67</c:f>
              <c:numCache>
                <c:formatCode>0.0%</c:formatCode>
                <c:ptCount val="7"/>
                <c:pt idx="0">
                  <c:v>7.8947368421052475E-2</c:v>
                </c:pt>
                <c:pt idx="1">
                  <c:v>1.6209476309226943E-2</c:v>
                </c:pt>
                <c:pt idx="2">
                  <c:v>4.5801526717557252E-2</c:v>
                </c:pt>
                <c:pt idx="3">
                  <c:v>2.9411764705882353E-2</c:v>
                </c:pt>
                <c:pt idx="4">
                  <c:v>0</c:v>
                </c:pt>
                <c:pt idx="5">
                  <c:v>2.2471910112360823E-2</c:v>
                </c:pt>
                <c:pt idx="6">
                  <c:v>0</c:v>
                </c:pt>
              </c:numCache>
            </c:numRef>
          </c:val>
        </c:ser>
        <c:ser>
          <c:idx val="2"/>
          <c:order val="2"/>
          <c:tx>
            <c:strRef>
              <c:f>Feuil1!$B$68</c:f>
              <c:strCache>
                <c:ptCount val="1"/>
                <c:pt idx="0">
                  <c:v>Oui, plus de 2 fois</c:v>
                </c:pt>
              </c:strCache>
            </c:strRef>
          </c:tx>
          <c:cat>
            <c:strRef>
              <c:f>Feuil1!$C$65:$I$65</c:f>
              <c:strCache>
                <c:ptCount val="7"/>
                <c:pt idx="0">
                  <c:v>Industrie</c:v>
                </c:pt>
                <c:pt idx="1">
                  <c:v>Commerce</c:v>
                </c:pt>
                <c:pt idx="2">
                  <c:v>BTP</c:v>
                </c:pt>
                <c:pt idx="3">
                  <c:v>Services</c:v>
                </c:pt>
                <c:pt idx="4">
                  <c:v>Agriculture</c:v>
                </c:pt>
                <c:pt idx="5">
                  <c:v>Artisanat</c:v>
                </c:pt>
                <c:pt idx="6">
                  <c:v>Administration</c:v>
                </c:pt>
              </c:strCache>
            </c:strRef>
          </c:cat>
          <c:val>
            <c:numRef>
              <c:f>Feuil1!$C$68:$I$68</c:f>
              <c:numCache>
                <c:formatCode>0.0%</c:formatCode>
                <c:ptCount val="7"/>
                <c:pt idx="0">
                  <c:v>2.6315789473684216E-2</c:v>
                </c:pt>
                <c:pt idx="1">
                  <c:v>7.48129675810498E-3</c:v>
                </c:pt>
                <c:pt idx="2">
                  <c:v>0</c:v>
                </c:pt>
                <c:pt idx="3">
                  <c:v>1.2110726643598621E-2</c:v>
                </c:pt>
                <c:pt idx="4">
                  <c:v>0</c:v>
                </c:pt>
                <c:pt idx="5">
                  <c:v>0</c:v>
                </c:pt>
                <c:pt idx="6">
                  <c:v>0</c:v>
                </c:pt>
              </c:numCache>
            </c:numRef>
          </c:val>
        </c:ser>
        <c:ser>
          <c:idx val="3"/>
          <c:order val="3"/>
          <c:tx>
            <c:strRef>
              <c:f>Feuil1!$B$69</c:f>
              <c:strCache>
                <c:ptCount val="1"/>
                <c:pt idx="0">
                  <c:v>Non</c:v>
                </c:pt>
              </c:strCache>
            </c:strRef>
          </c:tx>
          <c:cat>
            <c:strRef>
              <c:f>Feuil1!$C$65:$I$65</c:f>
              <c:strCache>
                <c:ptCount val="7"/>
                <c:pt idx="0">
                  <c:v>Industrie</c:v>
                </c:pt>
                <c:pt idx="1">
                  <c:v>Commerce</c:v>
                </c:pt>
                <c:pt idx="2">
                  <c:v>BTP</c:v>
                </c:pt>
                <c:pt idx="3">
                  <c:v>Services</c:v>
                </c:pt>
                <c:pt idx="4">
                  <c:v>Agriculture</c:v>
                </c:pt>
                <c:pt idx="5">
                  <c:v>Artisanat</c:v>
                </c:pt>
                <c:pt idx="6">
                  <c:v>Administration</c:v>
                </c:pt>
              </c:strCache>
            </c:strRef>
          </c:cat>
          <c:val>
            <c:numRef>
              <c:f>Feuil1!$C$69:$I$69</c:f>
              <c:numCache>
                <c:formatCode>0.0%</c:formatCode>
                <c:ptCount val="7"/>
                <c:pt idx="0">
                  <c:v>0.81578947368422583</c:v>
                </c:pt>
                <c:pt idx="1">
                  <c:v>0.81795511221946493</c:v>
                </c:pt>
                <c:pt idx="2">
                  <c:v>0.77099236641221369</c:v>
                </c:pt>
                <c:pt idx="3">
                  <c:v>0.81660899653981611</c:v>
                </c:pt>
                <c:pt idx="4">
                  <c:v>1</c:v>
                </c:pt>
                <c:pt idx="5">
                  <c:v>0.8651685393258427</c:v>
                </c:pt>
                <c:pt idx="6">
                  <c:v>0.8333333333333337</c:v>
                </c:pt>
              </c:numCache>
            </c:numRef>
          </c:val>
        </c:ser>
        <c:shape val="cylinder"/>
        <c:axId val="236935424"/>
        <c:axId val="237475328"/>
        <c:axId val="0"/>
      </c:bar3DChart>
      <c:catAx>
        <c:axId val="236935424"/>
        <c:scaling>
          <c:orientation val="minMax"/>
        </c:scaling>
        <c:axPos val="b"/>
        <c:numFmt formatCode="General" sourceLinked="0"/>
        <c:tickLblPos val="nextTo"/>
        <c:txPr>
          <a:bodyPr/>
          <a:lstStyle/>
          <a:p>
            <a:pPr>
              <a:defRPr sz="600" b="1">
                <a:latin typeface="Book Antiqua" pitchFamily="18" charset="0"/>
              </a:defRPr>
            </a:pPr>
            <a:endParaRPr lang="fr-FR"/>
          </a:p>
        </c:txPr>
        <c:crossAx val="237475328"/>
        <c:crosses val="autoZero"/>
        <c:auto val="1"/>
        <c:lblAlgn val="ctr"/>
        <c:lblOffset val="100"/>
      </c:catAx>
      <c:valAx>
        <c:axId val="237475328"/>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36935424"/>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dLbls>
            <c:numFmt formatCode="0.0%" sourceLinked="0"/>
            <c:spPr>
              <a:noFill/>
              <a:ln>
                <a:noFill/>
              </a:ln>
              <a:effectLst/>
            </c:spPr>
            <c:txPr>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'Socio demographique'!$B$22:$B$25</c:f>
              <c:strCache>
                <c:ptCount val="4"/>
                <c:pt idx="0">
                  <c:v>Marié</c:v>
                </c:pt>
                <c:pt idx="1">
                  <c:v>Célibataire</c:v>
                </c:pt>
                <c:pt idx="2">
                  <c:v>Divorcé</c:v>
                </c:pt>
                <c:pt idx="3">
                  <c:v>Veuf</c:v>
                </c:pt>
              </c:strCache>
            </c:strRef>
          </c:cat>
          <c:val>
            <c:numRef>
              <c:f>'Socio demographique'!$D$22:$D$25</c:f>
              <c:numCache>
                <c:formatCode>###0.0</c:formatCode>
                <c:ptCount val="4"/>
                <c:pt idx="0">
                  <c:v>72.165219679031836</c:v>
                </c:pt>
                <c:pt idx="1">
                  <c:v>25.440673506971304</c:v>
                </c:pt>
                <c:pt idx="2">
                  <c:v>1.7100762957116538</c:v>
                </c:pt>
                <c:pt idx="3" formatCode="####.0">
                  <c:v>0.68403051828466188</c:v>
                </c:pt>
              </c:numCache>
            </c:numRef>
          </c:val>
        </c:ser>
        <c:dLbls>
          <c:showCatName val="1"/>
          <c:showPercent val="1"/>
        </c:dLbls>
      </c:pie3DChart>
    </c:plotArea>
    <c:plotVisOnly val="1"/>
    <c:dispBlanksAs val="zero"/>
  </c:chart>
  <c:externalData r:id="rId1"/>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bar"/>
        <c:grouping val="stacked"/>
        <c:varyColors val="1"/>
        <c:ser>
          <c:idx val="0"/>
          <c:order val="0"/>
          <c:dLbls>
            <c:dLbl>
              <c:idx val="0"/>
              <c:layout>
                <c:manualLayout>
                  <c:x val="0.05"/>
                  <c:y val="4.6296296296297014E-3"/>
                </c:manualLayout>
              </c:layout>
              <c:showVal val="1"/>
              <c:extLst>
                <c:ext xmlns:c15="http://schemas.microsoft.com/office/drawing/2012/chart" uri="{CE6537A1-D6FC-4f65-9D91-7224C49458BB}"/>
              </c:extLst>
            </c:dLbl>
            <c:dLbl>
              <c:idx val="1"/>
              <c:layout>
                <c:manualLayout>
                  <c:x val="0.13611111111111121"/>
                  <c:y val="8.4875562720140346E-17"/>
                </c:manualLayout>
              </c:layout>
              <c:showVal val="1"/>
              <c:extLst>
                <c:ext xmlns:c15="http://schemas.microsoft.com/office/drawing/2012/chart" uri="{CE6537A1-D6FC-4f65-9D91-7224C49458BB}"/>
              </c:extLst>
            </c:dLbl>
            <c:dLbl>
              <c:idx val="2"/>
              <c:layout>
                <c:manualLayout>
                  <c:x val="0.30277777777778386"/>
                  <c:y val="-8.4875562720140346E-17"/>
                </c:manualLayout>
              </c:layout>
              <c:showVal val="1"/>
              <c:extLst>
                <c:ext xmlns:c15="http://schemas.microsoft.com/office/drawing/2012/chart" uri="{CE6537A1-D6FC-4f65-9D91-7224C49458BB}"/>
              </c:extLst>
            </c:dLbl>
            <c:dLbl>
              <c:idx val="3"/>
              <c:layout>
                <c:manualLayout>
                  <c:x val="0.34722222222222232"/>
                  <c:y val="0"/>
                </c:manualLayout>
              </c:layout>
              <c:showVal val="1"/>
              <c:extLst>
                <c:ext xmlns:c15="http://schemas.microsoft.com/office/drawing/2012/chart" uri="{CE6537A1-D6FC-4f65-9D91-7224C49458BB}"/>
              </c:extLst>
            </c:dLbl>
            <c:dLbl>
              <c:idx val="4"/>
              <c:layout>
                <c:manualLayout>
                  <c:x val="0.23333333333333545"/>
                  <c:y val="0"/>
                </c:manualLayout>
              </c:layout>
              <c:showVal val="1"/>
              <c:extLst>
                <c:ext xmlns:c15="http://schemas.microsoft.com/office/drawing/2012/chart" uri="{CE6537A1-D6FC-4f65-9D91-7224C49458BB}"/>
              </c:extLst>
            </c:dLbl>
            <c:dLbl>
              <c:idx val="5"/>
              <c:layout>
                <c:manualLayout>
                  <c:x val="7.7777777777777724E-2"/>
                  <c:y val="0"/>
                </c:manualLayout>
              </c:layout>
              <c:showVal val="1"/>
              <c:extLst>
                <c:ext xmlns:c15="http://schemas.microsoft.com/office/drawing/2012/chart" uri="{CE6537A1-D6FC-4f65-9D91-7224C49458BB}"/>
              </c:extLst>
            </c:dLbl>
            <c:dLbl>
              <c:idx val="6"/>
              <c:layout>
                <c:manualLayout>
                  <c:x val="6.1111111111111123E-2"/>
                  <c:y val="4.6296296296295903E-3"/>
                </c:manualLayout>
              </c:layout>
              <c:showVal val="1"/>
              <c:extLst>
                <c:ext xmlns:c15="http://schemas.microsoft.com/office/drawing/2012/chart" uri="{CE6537A1-D6FC-4f65-9D91-7224C49458BB}"/>
              </c:extLst>
            </c:dLbl>
            <c:dLbl>
              <c:idx val="7"/>
              <c:layout>
                <c:manualLayout>
                  <c:x val="0.05"/>
                  <c:y val="0"/>
                </c:manualLayout>
              </c:layout>
              <c:showVal val="1"/>
              <c:extLst>
                <c:ext xmlns:c15="http://schemas.microsoft.com/office/drawing/2012/chart" uri="{CE6537A1-D6FC-4f65-9D91-7224C49458BB}"/>
              </c:extLst>
            </c:dLbl>
            <c:dLbl>
              <c:idx val="8"/>
              <c:layout>
                <c:manualLayout>
                  <c:x val="5.8333333333334444E-2"/>
                  <c:y val="0"/>
                </c:manualLayout>
              </c:layout>
              <c:showVal val="1"/>
              <c:extLst>
                <c:ext xmlns:c15="http://schemas.microsoft.com/office/drawing/2012/chart" uri="{CE6537A1-D6FC-4f65-9D91-7224C49458BB}"/>
              </c:extLst>
            </c:dLbl>
            <c:dLbl>
              <c:idx val="9"/>
              <c:layout>
                <c:manualLayout>
                  <c:x val="6.3888888888888842E-2"/>
                  <c:y val="0"/>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'Socio demographique'!$H$39:$H$48</c:f>
              <c:strCache>
                <c:ptCount val="10"/>
                <c:pt idx="0">
                  <c:v>Aucun</c:v>
                </c:pt>
                <c:pt idx="1">
                  <c:v>Primaire</c:v>
                </c:pt>
                <c:pt idx="2">
                  <c:v>Secondaire</c:v>
                </c:pt>
                <c:pt idx="3">
                  <c:v>Bac+2/ Bac+3</c:v>
                </c:pt>
                <c:pt idx="4">
                  <c:v>Bac+4 ou plus</c:v>
                </c:pt>
                <c:pt idx="5">
                  <c:v>Primaire en Arabe</c:v>
                </c:pt>
                <c:pt idx="6">
                  <c:v>Secondaire en Arabe</c:v>
                </c:pt>
                <c:pt idx="7">
                  <c:v>Bac+2/ Bac+3 en Arabe</c:v>
                </c:pt>
                <c:pt idx="8">
                  <c:v>Bac+4 ou plus en Arabe</c:v>
                </c:pt>
                <c:pt idx="9">
                  <c:v> Enseignement coranique</c:v>
                </c:pt>
              </c:strCache>
            </c:strRef>
          </c:cat>
          <c:val>
            <c:numRef>
              <c:f>'Socio demographique'!$I$39:$I$48</c:f>
              <c:numCache>
                <c:formatCode>0.0%</c:formatCode>
                <c:ptCount val="10"/>
                <c:pt idx="0">
                  <c:v>1.3943699026571955E-2</c:v>
                </c:pt>
                <c:pt idx="1">
                  <c:v>8.5240726124704014E-2</c:v>
                </c:pt>
                <c:pt idx="2">
                  <c:v>0.30334122599315982</c:v>
                </c:pt>
                <c:pt idx="3">
                  <c:v>0.32833464877663782</c:v>
                </c:pt>
                <c:pt idx="4">
                  <c:v>0.21362799263351737</c:v>
                </c:pt>
                <c:pt idx="5">
                  <c:v>8.4188371481189548E-3</c:v>
                </c:pt>
                <c:pt idx="6">
                  <c:v>5.2617732175744133E-3</c:v>
                </c:pt>
                <c:pt idx="7">
                  <c:v>4.998684556695606E-3</c:v>
                </c:pt>
                <c:pt idx="8">
                  <c:v>1.1312812417784793E-2</c:v>
                </c:pt>
                <c:pt idx="9">
                  <c:v>2.5519600105235466E-2</c:v>
                </c:pt>
              </c:numCache>
            </c:numRef>
          </c:val>
        </c:ser>
        <c:shape val="cylinder"/>
        <c:axId val="220353280"/>
        <c:axId val="220354816"/>
        <c:axId val="0"/>
      </c:bar3DChart>
      <c:catAx>
        <c:axId val="220353280"/>
        <c:scaling>
          <c:orientation val="minMax"/>
        </c:scaling>
        <c:axPos val="l"/>
        <c:numFmt formatCode="General" sourceLinked="0"/>
        <c:tickLblPos val="nextTo"/>
        <c:txPr>
          <a:bodyPr/>
          <a:lstStyle/>
          <a:p>
            <a:pPr>
              <a:defRPr sz="800" b="1">
                <a:latin typeface="Book Antiqua" pitchFamily="18" charset="0"/>
              </a:defRPr>
            </a:pPr>
            <a:endParaRPr lang="fr-FR"/>
          </a:p>
        </c:txPr>
        <c:crossAx val="220354816"/>
        <c:crosses val="autoZero"/>
        <c:auto val="1"/>
        <c:lblAlgn val="ctr"/>
        <c:lblOffset val="100"/>
      </c:catAx>
      <c:valAx>
        <c:axId val="220354816"/>
        <c:scaling>
          <c:orientation val="minMax"/>
        </c:scaling>
        <c:axPos val="b"/>
        <c:majorGridlines/>
        <c:numFmt formatCode="0.0%" sourceLinked="1"/>
        <c:tickLblPos val="nextTo"/>
        <c:txPr>
          <a:bodyPr/>
          <a:lstStyle/>
          <a:p>
            <a:pPr>
              <a:defRPr sz="800" b="1">
                <a:latin typeface="Book Antiqua" pitchFamily="18" charset="0"/>
              </a:defRPr>
            </a:pPr>
            <a:endParaRPr lang="fr-FR"/>
          </a:p>
        </c:txPr>
        <c:crossAx val="220353280"/>
        <c:crosses val="autoZero"/>
        <c:crossBetween val="between"/>
      </c:valAx>
    </c:plotArea>
    <c:plotVisOnly val="1"/>
    <c:dispBlanksAs val="gap"/>
  </c:chart>
  <c:externalData r:id="rId1"/>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bar"/>
        <c:grouping val="stacked"/>
        <c:varyColors val="1"/>
        <c:ser>
          <c:idx val="0"/>
          <c:order val="0"/>
          <c:dLbls>
            <c:dLbl>
              <c:idx val="0"/>
              <c:layout>
                <c:manualLayout>
                  <c:x val="3.333333333333334E-2"/>
                  <c:y val="0"/>
                </c:manualLayout>
              </c:layout>
              <c:showVal val="1"/>
              <c:extLst>
                <c:ext xmlns:c15="http://schemas.microsoft.com/office/drawing/2012/chart" uri="{CE6537A1-D6FC-4f65-9D91-7224C49458BB}"/>
              </c:extLst>
            </c:dLbl>
            <c:dLbl>
              <c:idx val="1"/>
              <c:layout>
                <c:manualLayout>
                  <c:x val="3.333333333333334E-2"/>
                  <c:y val="-3.8929446355835985E-3"/>
                </c:manualLayout>
              </c:layout>
              <c:showVal val="1"/>
              <c:extLst>
                <c:ext xmlns:c15="http://schemas.microsoft.com/office/drawing/2012/chart" uri="{CE6537A1-D6FC-4f65-9D91-7224C49458BB}"/>
              </c:extLst>
            </c:dLbl>
            <c:dLbl>
              <c:idx val="2"/>
              <c:layout>
                <c:manualLayout>
                  <c:x val="4.4444444444444502E-2"/>
                  <c:y val="-3.8929446355835985E-3"/>
                </c:manualLayout>
              </c:layout>
              <c:showVal val="1"/>
              <c:extLst>
                <c:ext xmlns:c15="http://schemas.microsoft.com/office/drawing/2012/chart" uri="{CE6537A1-D6FC-4f65-9D91-7224C49458BB}"/>
              </c:extLst>
            </c:dLbl>
            <c:dLbl>
              <c:idx val="3"/>
              <c:layout>
                <c:manualLayout>
                  <c:x val="4.1666666666666664E-2"/>
                  <c:y val="0"/>
                </c:manualLayout>
              </c:layout>
              <c:showVal val="1"/>
              <c:extLst>
                <c:ext xmlns:c15="http://schemas.microsoft.com/office/drawing/2012/chart" uri="{CE6537A1-D6FC-4f65-9D91-7224C49458BB}"/>
              </c:extLst>
            </c:dLbl>
            <c:dLbl>
              <c:idx val="4"/>
              <c:layout>
                <c:manualLayout>
                  <c:x val="4.1666666666666664E-2"/>
                  <c:y val="-7.7858892711672014E-3"/>
                </c:manualLayout>
              </c:layout>
              <c:showVal val="1"/>
              <c:extLst>
                <c:ext xmlns:c15="http://schemas.microsoft.com/office/drawing/2012/chart" uri="{CE6537A1-D6FC-4f65-9D91-7224C49458BB}"/>
              </c:extLst>
            </c:dLbl>
            <c:dLbl>
              <c:idx val="5"/>
              <c:layout>
                <c:manualLayout>
                  <c:x val="3.888888888888889E-2"/>
                  <c:y val="-7.1369827182036875E-17"/>
                </c:manualLayout>
              </c:layout>
              <c:showVal val="1"/>
              <c:extLst>
                <c:ext xmlns:c15="http://schemas.microsoft.com/office/drawing/2012/chart" uri="{CE6537A1-D6FC-4f65-9D91-7224C49458BB}"/>
              </c:extLst>
            </c:dLbl>
            <c:dLbl>
              <c:idx val="6"/>
              <c:layout>
                <c:manualLayout>
                  <c:x val="4.7222222222222332E-2"/>
                  <c:y val="-7.7858892711672014E-3"/>
                </c:manualLayout>
              </c:layout>
              <c:showVal val="1"/>
              <c:extLst>
                <c:ext xmlns:c15="http://schemas.microsoft.com/office/drawing/2012/chart" uri="{CE6537A1-D6FC-4f65-9D91-7224C49458BB}"/>
              </c:extLst>
            </c:dLbl>
            <c:dLbl>
              <c:idx val="7"/>
              <c:layout>
                <c:manualLayout>
                  <c:x val="4.4444444444444502E-2"/>
                  <c:y val="-7.7858892711672014E-3"/>
                </c:manualLayout>
              </c:layout>
              <c:showVal val="1"/>
              <c:extLst>
                <c:ext xmlns:c15="http://schemas.microsoft.com/office/drawing/2012/chart" uri="{CE6537A1-D6FC-4f65-9D91-7224C49458BB}"/>
              </c:extLst>
            </c:dLbl>
            <c:dLbl>
              <c:idx val="8"/>
              <c:layout>
                <c:manualLayout>
                  <c:x val="4.4444444444444502E-2"/>
                  <c:y val="-7.7858892711672014E-3"/>
                </c:manualLayout>
              </c:layout>
              <c:showVal val="1"/>
              <c:extLst>
                <c:ext xmlns:c15="http://schemas.microsoft.com/office/drawing/2012/chart" uri="{CE6537A1-D6FC-4f65-9D91-7224C49458BB}"/>
              </c:extLst>
            </c:dLbl>
            <c:dLbl>
              <c:idx val="9"/>
              <c:layout>
                <c:manualLayout>
                  <c:x val="4.7222222222222332E-2"/>
                  <c:y val="-3.8929446355835985E-3"/>
                </c:manualLayout>
              </c:layout>
              <c:showVal val="1"/>
              <c:extLst>
                <c:ext xmlns:c15="http://schemas.microsoft.com/office/drawing/2012/chart" uri="{CE6537A1-D6FC-4f65-9D91-7224C49458BB}"/>
              </c:extLst>
            </c:dLbl>
            <c:dLbl>
              <c:idx val="10"/>
              <c:layout>
                <c:manualLayout>
                  <c:x val="5.2777777777777792E-2"/>
                  <c:y val="0"/>
                </c:manualLayout>
              </c:layout>
              <c:showVal val="1"/>
              <c:extLst>
                <c:ext xmlns:c15="http://schemas.microsoft.com/office/drawing/2012/chart" uri="{CE6537A1-D6FC-4f65-9D91-7224C49458BB}"/>
              </c:extLst>
            </c:dLbl>
            <c:dLbl>
              <c:idx val="11"/>
              <c:layout>
                <c:manualLayout>
                  <c:x val="6.666666666666668E-2"/>
                  <c:y val="0"/>
                </c:manualLayout>
              </c:layout>
              <c:showVal val="1"/>
              <c:extLst>
                <c:ext xmlns:c15="http://schemas.microsoft.com/office/drawing/2012/chart" uri="{CE6537A1-D6FC-4f65-9D91-7224C49458BB}"/>
              </c:extLst>
            </c:dLbl>
            <c:dLbl>
              <c:idx val="12"/>
              <c:layout>
                <c:manualLayout>
                  <c:x val="6.666666666666668E-2"/>
                  <c:y val="-3.8929446355835985E-3"/>
                </c:manualLayout>
              </c:layout>
              <c:showVal val="1"/>
              <c:extLst>
                <c:ext xmlns:c15="http://schemas.microsoft.com/office/drawing/2012/chart" uri="{CE6537A1-D6FC-4f65-9D91-7224C49458BB}"/>
              </c:extLst>
            </c:dLbl>
            <c:dLbl>
              <c:idx val="13"/>
              <c:layout>
                <c:manualLayout>
                  <c:x val="9.7222222222222293E-2"/>
                  <c:y val="-3.8929446355835985E-3"/>
                </c:manualLayout>
              </c:layout>
              <c:showVal val="1"/>
              <c:extLst>
                <c:ext xmlns:c15="http://schemas.microsoft.com/office/drawing/2012/chart" uri="{CE6537A1-D6FC-4f65-9D91-7224C49458BB}"/>
              </c:extLst>
            </c:dLbl>
            <c:dLbl>
              <c:idx val="14"/>
              <c:layout>
                <c:manualLayout>
                  <c:x val="0.31388888888890076"/>
                  <c:y val="-7.7858892711672014E-3"/>
                </c:manualLayout>
              </c:layout>
              <c:showVal val="1"/>
              <c:extLst>
                <c:ext xmlns:c15="http://schemas.microsoft.com/office/drawing/2012/chart" uri="{CE6537A1-D6FC-4f65-9D91-7224C49458BB}"/>
              </c:extLst>
            </c:dLbl>
            <c:spPr>
              <a:noFill/>
              <a:ln>
                <a:noFill/>
              </a:ln>
              <a:effectLst/>
            </c:spPr>
            <c:txPr>
              <a:bodyPr/>
              <a:lstStyle/>
              <a:p>
                <a:pPr>
                  <a:defRPr b="1">
                    <a:latin typeface="Book Antiqua" pitchFamily="18" charset="0"/>
                  </a:defRPr>
                </a:pPr>
                <a:endParaRPr lang="fr-FR"/>
              </a:p>
            </c:txPr>
            <c:showVal val="1"/>
            <c:extLst>
              <c:ext xmlns:c15="http://schemas.microsoft.com/office/drawing/2012/chart" uri="{CE6537A1-D6FC-4f65-9D91-7224C49458BB}">
                <c15:showLeaderLines val="0"/>
              </c:ext>
            </c:extLst>
          </c:dLbls>
          <c:cat>
            <c:strRef>
              <c:f>Feuil2!$A$1:$A$15</c:f>
              <c:strCache>
                <c:ptCount val="15"/>
                <c:pt idx="0">
                  <c:v>Pêcheur</c:v>
                </c:pt>
                <c:pt idx="1">
                  <c:v>Eleveur</c:v>
                </c:pt>
                <c:pt idx="2">
                  <c:v>Directeur Général</c:v>
                </c:pt>
                <c:pt idx="3">
                  <c:v>Agriculteur</c:v>
                </c:pt>
                <c:pt idx="4">
                  <c:v>Retraité</c:v>
                </c:pt>
                <c:pt idx="5">
                  <c:v>Artisan</c:v>
                </c:pt>
                <c:pt idx="6">
                  <c:v>Directeur</c:v>
                </c:pt>
                <c:pt idx="7">
                  <c:v>Chef de division</c:v>
                </c:pt>
                <c:pt idx="8">
                  <c:v>Chef de bureau</c:v>
                </c:pt>
                <c:pt idx="9">
                  <c:v>Autre </c:v>
                </c:pt>
                <c:pt idx="10">
                  <c:v>Profession libérale</c:v>
                </c:pt>
                <c:pt idx="11">
                  <c:v>Etudiant</c:v>
                </c:pt>
                <c:pt idx="12">
                  <c:v>Corps habillé</c:v>
                </c:pt>
                <c:pt idx="13">
                  <c:v>Commerçant/Mareyeur</c:v>
                </c:pt>
                <c:pt idx="14">
                  <c:v>Employé</c:v>
                </c:pt>
              </c:strCache>
            </c:strRef>
          </c:cat>
          <c:val>
            <c:numRef>
              <c:f>Feuil2!$C$1:$C$15</c:f>
              <c:numCache>
                <c:formatCode>0.0%</c:formatCode>
                <c:ptCount val="15"/>
                <c:pt idx="0">
                  <c:v>2.6329647182728405E-4</c:v>
                </c:pt>
                <c:pt idx="1">
                  <c:v>1.05318588730911E-3</c:v>
                </c:pt>
                <c:pt idx="2">
                  <c:v>4.7393364928911786E-3</c:v>
                </c:pt>
                <c:pt idx="3">
                  <c:v>8.1621906266457767E-3</c:v>
                </c:pt>
                <c:pt idx="4">
                  <c:v>1.5271195365982383E-2</c:v>
                </c:pt>
                <c:pt idx="5">
                  <c:v>1.8694049499736725E-2</c:v>
                </c:pt>
                <c:pt idx="6">
                  <c:v>2.5013164823591401E-2</c:v>
                </c:pt>
                <c:pt idx="7">
                  <c:v>2.8699315429174355E-2</c:v>
                </c:pt>
                <c:pt idx="8">
                  <c:v>3.0542390731964211E-2</c:v>
                </c:pt>
                <c:pt idx="9">
                  <c:v>3.317535545023699E-2</c:v>
                </c:pt>
                <c:pt idx="10">
                  <c:v>3.3438651922064244E-2</c:v>
                </c:pt>
                <c:pt idx="11">
                  <c:v>4.2654028436018961E-2</c:v>
                </c:pt>
                <c:pt idx="12">
                  <c:v>5.8451816745655555E-2</c:v>
                </c:pt>
                <c:pt idx="13">
                  <c:v>8.1095313322801565E-2</c:v>
                </c:pt>
                <c:pt idx="14">
                  <c:v>0.61874670879410265</c:v>
                </c:pt>
              </c:numCache>
            </c:numRef>
          </c:val>
        </c:ser>
        <c:shape val="cylinder"/>
        <c:axId val="220600192"/>
        <c:axId val="220601728"/>
        <c:axId val="0"/>
      </c:bar3DChart>
      <c:catAx>
        <c:axId val="220600192"/>
        <c:scaling>
          <c:orientation val="minMax"/>
        </c:scaling>
        <c:axPos val="l"/>
        <c:numFmt formatCode="General" sourceLinked="0"/>
        <c:tickLblPos val="nextTo"/>
        <c:txPr>
          <a:bodyPr/>
          <a:lstStyle/>
          <a:p>
            <a:pPr>
              <a:defRPr sz="800" b="1">
                <a:latin typeface="Book Antiqua" pitchFamily="18" charset="0"/>
              </a:defRPr>
            </a:pPr>
            <a:endParaRPr lang="fr-FR"/>
          </a:p>
        </c:txPr>
        <c:crossAx val="220601728"/>
        <c:crosses val="autoZero"/>
        <c:auto val="1"/>
        <c:lblAlgn val="ctr"/>
        <c:lblOffset val="100"/>
      </c:catAx>
      <c:valAx>
        <c:axId val="220601728"/>
        <c:scaling>
          <c:orientation val="minMax"/>
        </c:scaling>
        <c:axPos val="b"/>
        <c:majorGridlines/>
        <c:numFmt formatCode="0.0%" sourceLinked="1"/>
        <c:tickLblPos val="nextTo"/>
        <c:txPr>
          <a:bodyPr/>
          <a:lstStyle/>
          <a:p>
            <a:pPr>
              <a:defRPr sz="800" b="1">
                <a:latin typeface="Book Antiqua" pitchFamily="18" charset="0"/>
              </a:defRPr>
            </a:pPr>
            <a:endParaRPr lang="fr-FR"/>
          </a:p>
        </c:txPr>
        <c:crossAx val="220600192"/>
        <c:crosses val="autoZero"/>
        <c:crossBetween val="between"/>
      </c:valAx>
    </c:plotArea>
    <c:plotVisOnly val="1"/>
    <c:dispBlanksAs val="gap"/>
  </c:chart>
  <c:externalData r:id="rId1"/>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8.9443258105378759E-2"/>
          <c:y val="0.11397492721833467"/>
          <c:w val="0.80886650445365738"/>
          <c:h val="0.75801151020711965"/>
        </c:manualLayout>
      </c:layout>
      <c:pie3DChart>
        <c:varyColors val="1"/>
        <c:ser>
          <c:idx val="0"/>
          <c:order val="0"/>
          <c:dLbls>
            <c:numFmt formatCode="0.0%" sourceLinked="0"/>
            <c:spPr>
              <a:noFill/>
              <a:ln>
                <a:noFill/>
              </a:ln>
              <a:effectLst/>
            </c:spPr>
            <c:txPr>
              <a:bodyPr/>
              <a:lstStyle/>
              <a:p>
                <a:pPr>
                  <a:defRPr sz="800" b="1"/>
                </a:pPr>
                <a:endParaRPr lang="fr-FR"/>
              </a:p>
            </c:txPr>
            <c:showCatName val="1"/>
            <c:showPercent val="1"/>
            <c:showLeaderLines val="1"/>
            <c:extLst>
              <c:ext xmlns:c15="http://schemas.microsoft.com/office/drawing/2012/chart" uri="{CE6537A1-D6FC-4f65-9D91-7224C49458BB}"/>
            </c:extLst>
          </c:dLbls>
          <c:cat>
            <c:strRef>
              <c:f>'Socio demographique'!$H$94:$H$101</c:f>
              <c:strCache>
                <c:ptCount val="8"/>
                <c:pt idx="0">
                  <c:v>50 000 ou Moins</c:v>
                </c:pt>
                <c:pt idx="1">
                  <c:v>]50 000 ; 100 000]</c:v>
                </c:pt>
                <c:pt idx="2">
                  <c:v>]100 000 ; 200 000]</c:v>
                </c:pt>
                <c:pt idx="3">
                  <c:v>]200 000 ; 300 000]</c:v>
                </c:pt>
                <c:pt idx="4">
                  <c:v>]300 000 ; 500 000]</c:v>
                </c:pt>
                <c:pt idx="5">
                  <c:v>]500 000 ; 1 million]</c:v>
                </c:pt>
                <c:pt idx="6">
                  <c:v>]1 million ; 1,5 million]</c:v>
                </c:pt>
                <c:pt idx="7">
                  <c:v>Plus de 1,5 million</c:v>
                </c:pt>
              </c:strCache>
            </c:strRef>
          </c:cat>
          <c:val>
            <c:numRef>
              <c:f>'Socio demographique'!$I$94:$I$101</c:f>
              <c:numCache>
                <c:formatCode>0.0%</c:formatCode>
                <c:ptCount val="8"/>
                <c:pt idx="0">
                  <c:v>4.0583554376657796E-2</c:v>
                </c:pt>
                <c:pt idx="1">
                  <c:v>9.0981432360742728E-2</c:v>
                </c:pt>
                <c:pt idx="2">
                  <c:v>0.33607427055703637</c:v>
                </c:pt>
                <c:pt idx="3">
                  <c:v>0.28647214854111375</c:v>
                </c:pt>
                <c:pt idx="4">
                  <c:v>0.18222811671087541</c:v>
                </c:pt>
                <c:pt idx="5">
                  <c:v>5.2519893899204313E-2</c:v>
                </c:pt>
                <c:pt idx="6">
                  <c:v>6.6312997347482009E-3</c:v>
                </c:pt>
                <c:pt idx="7">
                  <c:v>4.5092838196286534E-3</c:v>
                </c:pt>
              </c:numCache>
            </c:numRef>
          </c:val>
        </c:ser>
        <c:dLbls>
          <c:showCatName val="1"/>
          <c:showPercent val="1"/>
        </c:dLbls>
      </c:pie3DChart>
    </c:plotArea>
    <c:plotVisOnly val="1"/>
    <c:dispBlanksAs val="zero"/>
  </c:chart>
  <c:externalData r:id="rId1"/>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dLbls>
            <c:dLbl>
              <c:idx val="0"/>
              <c:layout>
                <c:manualLayout>
                  <c:x val="6.1751772632898501E-2"/>
                  <c:y val="1.0911072866034721E-3"/>
                </c:manualLayout>
              </c:layout>
              <c:showCatName val="1"/>
              <c:showPercent val="1"/>
              <c:extLst>
                <c:ext xmlns:c15="http://schemas.microsoft.com/office/drawing/2012/chart" uri="{CE6537A1-D6FC-4f65-9D91-7224C49458BB}"/>
              </c:extLst>
            </c:dLbl>
            <c:dLbl>
              <c:idx val="1"/>
              <c:layout>
                <c:manualLayout>
                  <c:x val="8.6294903435578021E-3"/>
                  <c:y val="-4.4202407915947962E-2"/>
                </c:manualLayout>
              </c:layout>
              <c:showCatName val="1"/>
              <c:showPercent val="1"/>
              <c:extLst>
                <c:ext xmlns:c15="http://schemas.microsoft.com/office/drawing/2012/chart" uri="{CE6537A1-D6FC-4f65-9D91-7224C49458BB}"/>
              </c:extLst>
            </c:dLbl>
            <c:dLbl>
              <c:idx val="9"/>
              <c:layout>
                <c:manualLayout>
                  <c:x val="1.1890645199200861E-2"/>
                  <c:y val="7.6377510062243534E-3"/>
                </c:manualLayout>
              </c:layout>
              <c:showCatName val="1"/>
              <c:showPercent val="1"/>
              <c:extLst>
                <c:ext xmlns:c15="http://schemas.microsoft.com/office/drawing/2012/chart" uri="{CE6537A1-D6FC-4f65-9D91-7224C49458BB}"/>
              </c:extLst>
            </c:dLbl>
            <c:numFmt formatCode="0.0%" sourceLinked="0"/>
            <c:spPr>
              <a:noFill/>
              <a:ln>
                <a:noFill/>
              </a:ln>
              <a:effectLst/>
            </c:spPr>
            <c:txPr>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'Socio demographique'!$H$77:$H$86</c:f>
              <c:strCache>
                <c:ptCount val="10"/>
                <c:pt idx="0">
                  <c:v>Industrie</c:v>
                </c:pt>
                <c:pt idx="1">
                  <c:v>Commerce</c:v>
                </c:pt>
                <c:pt idx="2">
                  <c:v>BTP</c:v>
                </c:pt>
                <c:pt idx="3">
                  <c:v>Services</c:v>
                </c:pt>
                <c:pt idx="4">
                  <c:v>Agriculture</c:v>
                </c:pt>
                <c:pt idx="5">
                  <c:v>Artisanat</c:v>
                </c:pt>
                <c:pt idx="6">
                  <c:v>Enseignement</c:v>
                </c:pt>
                <c:pt idx="7">
                  <c:v>Pêche</c:v>
                </c:pt>
                <c:pt idx="8">
                  <c:v>Administration (Autre que Enseignement)</c:v>
                </c:pt>
                <c:pt idx="9">
                  <c:v>Autre </c:v>
                </c:pt>
              </c:strCache>
            </c:strRef>
          </c:cat>
          <c:val>
            <c:numRef>
              <c:f>'Socio demographique'!$I$77:$I$86</c:f>
              <c:numCache>
                <c:formatCode>0.0%</c:formatCode>
                <c:ptCount val="10"/>
                <c:pt idx="0">
                  <c:v>3.7095501183898982E-2</c:v>
                </c:pt>
                <c:pt idx="1">
                  <c:v>0.16337805840568267</c:v>
                </c:pt>
                <c:pt idx="2">
                  <c:v>3.6832412523021218E-2</c:v>
                </c:pt>
                <c:pt idx="3">
                  <c:v>0.19205472244146279</c:v>
                </c:pt>
                <c:pt idx="4">
                  <c:v>2.3151802157327019E-2</c:v>
                </c:pt>
                <c:pt idx="5">
                  <c:v>1.973164956590372E-2</c:v>
                </c:pt>
                <c:pt idx="6">
                  <c:v>0.21731123388582449</c:v>
                </c:pt>
                <c:pt idx="7">
                  <c:v>8.4188371481189548E-3</c:v>
                </c:pt>
                <c:pt idx="8">
                  <c:v>0.23704288345172725</c:v>
                </c:pt>
                <c:pt idx="9">
                  <c:v>6.4982899237044228E-2</c:v>
                </c:pt>
              </c:numCache>
            </c:numRef>
          </c:val>
        </c:ser>
        <c:dLbls>
          <c:showCatName val="1"/>
          <c:showPercent val="1"/>
        </c:dLbls>
      </c:pie3DChart>
    </c:plotArea>
    <c:plotVisOnly val="1"/>
    <c:dispBlanksAs val="zero"/>
  </c:chart>
  <c:externalData r:id="rId1"/>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6952179672267781"/>
          <c:y val="5.1942191476504466E-2"/>
          <c:w val="0.76536403455398305"/>
          <c:h val="0.81179237710849783"/>
        </c:manualLayout>
      </c:layout>
      <c:bar3DChart>
        <c:barDir val="bar"/>
        <c:grouping val="stacked"/>
        <c:varyColors val="1"/>
        <c:ser>
          <c:idx val="0"/>
          <c:order val="0"/>
          <c:dLbls>
            <c:dLbl>
              <c:idx val="0"/>
              <c:layout>
                <c:manualLayout>
                  <c:x val="3.333333333333334E-2"/>
                  <c:y val="0"/>
                </c:manualLayout>
              </c:layout>
              <c:showVal val="1"/>
              <c:extLst>
                <c:ext xmlns:c15="http://schemas.microsoft.com/office/drawing/2012/chart" uri="{CE6537A1-D6FC-4f65-9D91-7224C49458BB}"/>
              </c:extLst>
            </c:dLbl>
            <c:dLbl>
              <c:idx val="1"/>
              <c:layout>
                <c:manualLayout>
                  <c:x val="3.333333333333334E-2"/>
                  <c:y val="0"/>
                </c:manualLayout>
              </c:layout>
              <c:showVal val="1"/>
              <c:extLst>
                <c:ext xmlns:c15="http://schemas.microsoft.com/office/drawing/2012/chart" uri="{CE6537A1-D6FC-4f65-9D91-7224C49458BB}"/>
              </c:extLst>
            </c:dLbl>
            <c:dLbl>
              <c:idx val="2"/>
              <c:layout>
                <c:manualLayout>
                  <c:x val="3.333333333333334E-2"/>
                  <c:y val="0"/>
                </c:manualLayout>
              </c:layout>
              <c:showVal val="1"/>
              <c:extLst>
                <c:ext xmlns:c15="http://schemas.microsoft.com/office/drawing/2012/chart" uri="{CE6537A1-D6FC-4f65-9D91-7224C49458BB}"/>
              </c:extLst>
            </c:dLbl>
            <c:dLbl>
              <c:idx val="3"/>
              <c:layout>
                <c:manualLayout>
                  <c:x val="3.333333333333334E-2"/>
                  <c:y val="-3.2362459546925572E-3"/>
                </c:manualLayout>
              </c:layout>
              <c:showVal val="1"/>
              <c:extLst>
                <c:ext xmlns:c15="http://schemas.microsoft.com/office/drawing/2012/chart" uri="{CE6537A1-D6FC-4f65-9D91-7224C49458BB}"/>
              </c:extLst>
            </c:dLbl>
            <c:dLbl>
              <c:idx val="4"/>
              <c:layout>
                <c:manualLayout>
                  <c:x val="3.333333333333334E-2"/>
                  <c:y val="0"/>
                </c:manualLayout>
              </c:layout>
              <c:showVal val="1"/>
              <c:extLst>
                <c:ext xmlns:c15="http://schemas.microsoft.com/office/drawing/2012/chart" uri="{CE6537A1-D6FC-4f65-9D91-7224C49458BB}"/>
              </c:extLst>
            </c:dLbl>
            <c:dLbl>
              <c:idx val="5"/>
              <c:layout>
                <c:manualLayout>
                  <c:x val="4.1666666666666664E-2"/>
                  <c:y val="-6.4724919093851934E-3"/>
                </c:manualLayout>
              </c:layout>
              <c:showVal val="1"/>
              <c:extLst>
                <c:ext xmlns:c15="http://schemas.microsoft.com/office/drawing/2012/chart" uri="{CE6537A1-D6FC-4f65-9D91-7224C49458BB}"/>
              </c:extLst>
            </c:dLbl>
            <c:dLbl>
              <c:idx val="6"/>
              <c:layout>
                <c:manualLayout>
                  <c:x val="4.4444444444444502E-2"/>
                  <c:y val="0"/>
                </c:manualLayout>
              </c:layout>
              <c:showVal val="1"/>
              <c:extLst>
                <c:ext xmlns:c15="http://schemas.microsoft.com/office/drawing/2012/chart" uri="{CE6537A1-D6FC-4f65-9D91-7224C49458BB}"/>
              </c:extLst>
            </c:dLbl>
            <c:dLbl>
              <c:idx val="7"/>
              <c:layout>
                <c:manualLayout>
                  <c:x val="4.7222222222222332E-2"/>
                  <c:y val="0"/>
                </c:manualLayout>
              </c:layout>
              <c:showVal val="1"/>
              <c:extLst>
                <c:ext xmlns:c15="http://schemas.microsoft.com/office/drawing/2012/chart" uri="{CE6537A1-D6FC-4f65-9D91-7224C49458BB}"/>
              </c:extLst>
            </c:dLbl>
            <c:dLbl>
              <c:idx val="8"/>
              <c:layout>
                <c:manualLayout>
                  <c:x val="0.05"/>
                  <c:y val="0"/>
                </c:manualLayout>
              </c:layout>
              <c:showVal val="1"/>
              <c:extLst>
                <c:ext xmlns:c15="http://schemas.microsoft.com/office/drawing/2012/chart" uri="{CE6537A1-D6FC-4f65-9D91-7224C49458BB}"/>
              </c:extLst>
            </c:dLbl>
            <c:dLbl>
              <c:idx val="9"/>
              <c:layout>
                <c:manualLayout>
                  <c:x val="5.5555555555555455E-2"/>
                  <c:y val="-5.9330490445147176E-17"/>
                </c:manualLayout>
              </c:layout>
              <c:showVal val="1"/>
              <c:extLst>
                <c:ext xmlns:c15="http://schemas.microsoft.com/office/drawing/2012/chart" uri="{CE6537A1-D6FC-4f65-9D91-7224C49458BB}"/>
              </c:extLst>
            </c:dLbl>
            <c:dLbl>
              <c:idx val="10"/>
              <c:layout>
                <c:manualLayout>
                  <c:x val="6.666666666666668E-2"/>
                  <c:y val="-6.4724919093851934E-3"/>
                </c:manualLayout>
              </c:layout>
              <c:showVal val="1"/>
              <c:extLst>
                <c:ext xmlns:c15="http://schemas.microsoft.com/office/drawing/2012/chart" uri="{CE6537A1-D6FC-4f65-9D91-7224C49458BB}"/>
              </c:extLst>
            </c:dLbl>
            <c:dLbl>
              <c:idx val="11"/>
              <c:layout>
                <c:manualLayout>
                  <c:x val="8.3333333333333343E-2"/>
                  <c:y val="0"/>
                </c:manualLayout>
              </c:layout>
              <c:showVal val="1"/>
              <c:extLst>
                <c:ext xmlns:c15="http://schemas.microsoft.com/office/drawing/2012/chart" uri="{CE6537A1-D6FC-4f65-9D91-7224C49458BB}"/>
              </c:extLst>
            </c:dLbl>
            <c:dLbl>
              <c:idx val="12"/>
              <c:layout>
                <c:manualLayout>
                  <c:x val="0.15833333333333657"/>
                  <c:y val="0"/>
                </c:manualLayout>
              </c:layout>
              <c:showVal val="1"/>
              <c:extLst>
                <c:ext xmlns:c15="http://schemas.microsoft.com/office/drawing/2012/chart" uri="{CE6537A1-D6FC-4f65-9D91-7224C49458BB}"/>
              </c:extLst>
            </c:dLbl>
            <c:dLbl>
              <c:idx val="13"/>
              <c:layout>
                <c:manualLayout>
                  <c:x val="0.15833333333333663"/>
                  <c:y val="0"/>
                </c:manualLayout>
              </c:layout>
              <c:showVal val="1"/>
              <c:extLst>
                <c:ext xmlns:c15="http://schemas.microsoft.com/office/drawing/2012/chart" uri="{CE6537A1-D6FC-4f65-9D91-7224C49458BB}"/>
              </c:extLst>
            </c:dLbl>
            <c:dLbl>
              <c:idx val="14"/>
              <c:layout>
                <c:manualLayout>
                  <c:x val="0.2"/>
                  <c:y val="6.4724919093851934E-3"/>
                </c:manualLayout>
              </c:layout>
              <c:showVal val="1"/>
              <c:extLst>
                <c:ext xmlns:c15="http://schemas.microsoft.com/office/drawing/2012/chart" uri="{CE6537A1-D6FC-4f65-9D91-7224C49458BB}"/>
              </c:extLst>
            </c:dLbl>
            <c:dLbl>
              <c:idx val="15"/>
              <c:layout>
                <c:manualLayout>
                  <c:x val="0.20277777777777778"/>
                  <c:y val="0"/>
                </c:manualLayout>
              </c:layout>
              <c:showVal val="1"/>
              <c:extLst>
                <c:ext xmlns:c15="http://schemas.microsoft.com/office/drawing/2012/chart" uri="{CE6537A1-D6FC-4f65-9D91-7224C49458BB}"/>
              </c:extLst>
            </c:dLbl>
            <c:dLbl>
              <c:idx val="16"/>
              <c:layout>
                <c:manualLayout>
                  <c:x val="0.28888888888889785"/>
                  <c:y val="0"/>
                </c:manualLayout>
              </c:layout>
              <c:showVal val="1"/>
              <c:extLst>
                <c:ext xmlns:c15="http://schemas.microsoft.com/office/drawing/2012/chart" uri="{CE6537A1-D6FC-4f65-9D91-7224C49458BB}"/>
              </c:extLst>
            </c:dLbl>
            <c:dLbl>
              <c:idx val="17"/>
              <c:layout>
                <c:manualLayout>
                  <c:x val="0.29444444444444895"/>
                  <c:y val="0"/>
                </c:manualLayout>
              </c:layout>
              <c:showVal val="1"/>
              <c:extLst>
                <c:ext xmlns:c15="http://schemas.microsoft.com/office/drawing/2012/chart" uri="{CE6537A1-D6FC-4f65-9D91-7224C49458BB}"/>
              </c:extLst>
            </c:dLbl>
            <c:dLbl>
              <c:idx val="18"/>
              <c:layout>
                <c:manualLayout>
                  <c:x val="0.39166666666667393"/>
                  <c:y val="0"/>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domiciliation!$I$3:$I$21</c:f>
              <c:strCache>
                <c:ptCount val="19"/>
                <c:pt idx="0">
                  <c:v>ICB</c:v>
                </c:pt>
                <c:pt idx="1">
                  <c:v>BRM</c:v>
                </c:pt>
                <c:pt idx="2">
                  <c:v>CI</c:v>
                </c:pt>
                <c:pt idx="3">
                  <c:v>BNDE</c:v>
                </c:pt>
                <c:pt idx="4">
                  <c:v>ORABANK</c:v>
                </c:pt>
                <c:pt idx="5">
                  <c:v>DIAMOND</c:v>
                </c:pt>
                <c:pt idx="6">
                  <c:v>CDS</c:v>
                </c:pt>
                <c:pt idx="7">
                  <c:v>BIMAO</c:v>
                </c:pt>
                <c:pt idx="8">
                  <c:v>BSIC</c:v>
                </c:pt>
                <c:pt idx="9">
                  <c:v>UBA</c:v>
                </c:pt>
                <c:pt idx="10">
                  <c:v>BA</c:v>
                </c:pt>
                <c:pt idx="11">
                  <c:v>BIS</c:v>
                </c:pt>
                <c:pt idx="12">
                  <c:v>BHS</c:v>
                </c:pt>
                <c:pt idx="13">
                  <c:v>BOA</c:v>
                </c:pt>
                <c:pt idx="14">
                  <c:v>CNCAS</c:v>
                </c:pt>
                <c:pt idx="15">
                  <c:v>BICIS</c:v>
                </c:pt>
                <c:pt idx="16">
                  <c:v>ECOBANK</c:v>
                </c:pt>
                <c:pt idx="17">
                  <c:v>SGBS</c:v>
                </c:pt>
                <c:pt idx="18">
                  <c:v>CBAO</c:v>
                </c:pt>
              </c:strCache>
            </c:strRef>
          </c:cat>
          <c:val>
            <c:numRef>
              <c:f>domiciliation!$J$3:$J$21</c:f>
              <c:numCache>
                <c:formatCode>0.0%</c:formatCode>
                <c:ptCount val="19"/>
                <c:pt idx="0">
                  <c:v>2.3815194093831864E-4</c:v>
                </c:pt>
                <c:pt idx="1">
                  <c:v>4.7630388187663728E-4</c:v>
                </c:pt>
                <c:pt idx="2">
                  <c:v>1.9052155275065972E-3</c:v>
                </c:pt>
                <c:pt idx="3">
                  <c:v>2.6196713503215292E-3</c:v>
                </c:pt>
                <c:pt idx="4">
                  <c:v>6.4301024053348152E-3</c:v>
                </c:pt>
                <c:pt idx="5">
                  <c:v>6.668254346272922E-3</c:v>
                </c:pt>
                <c:pt idx="6">
                  <c:v>7.3827101690878824E-3</c:v>
                </c:pt>
                <c:pt idx="7">
                  <c:v>9.5260776375327566E-3</c:v>
                </c:pt>
                <c:pt idx="8">
                  <c:v>1.2145748987854248E-2</c:v>
                </c:pt>
                <c:pt idx="9">
                  <c:v>1.3336508692546045E-2</c:v>
                </c:pt>
                <c:pt idx="10">
                  <c:v>2.3338890211955229E-2</c:v>
                </c:pt>
                <c:pt idx="11">
                  <c:v>2.5958561562276741E-2</c:v>
                </c:pt>
                <c:pt idx="12">
                  <c:v>7.7637532745891913E-2</c:v>
                </c:pt>
                <c:pt idx="13">
                  <c:v>7.8590140509645148E-2</c:v>
                </c:pt>
                <c:pt idx="14">
                  <c:v>9.5022624434389164E-2</c:v>
                </c:pt>
                <c:pt idx="15">
                  <c:v>9.7165991902834023E-2</c:v>
                </c:pt>
                <c:pt idx="16">
                  <c:v>0.15741843296023464</c:v>
                </c:pt>
                <c:pt idx="17">
                  <c:v>0.15837104072398189</c:v>
                </c:pt>
                <c:pt idx="18">
                  <c:v>0.22576804000952624</c:v>
                </c:pt>
              </c:numCache>
            </c:numRef>
          </c:val>
        </c:ser>
        <c:shape val="cylinder"/>
        <c:axId val="220715264"/>
        <c:axId val="220758016"/>
        <c:axId val="0"/>
      </c:bar3DChart>
      <c:catAx>
        <c:axId val="220715264"/>
        <c:scaling>
          <c:orientation val="minMax"/>
        </c:scaling>
        <c:axPos val="l"/>
        <c:numFmt formatCode="General" sourceLinked="0"/>
        <c:tickLblPos val="nextTo"/>
        <c:txPr>
          <a:bodyPr/>
          <a:lstStyle/>
          <a:p>
            <a:pPr>
              <a:defRPr sz="600" b="1">
                <a:latin typeface="Book Antiqua" pitchFamily="18" charset="0"/>
              </a:defRPr>
            </a:pPr>
            <a:endParaRPr lang="fr-FR"/>
          </a:p>
        </c:txPr>
        <c:crossAx val="220758016"/>
        <c:crosses val="autoZero"/>
        <c:auto val="1"/>
        <c:lblAlgn val="ctr"/>
        <c:lblOffset val="100"/>
      </c:catAx>
      <c:valAx>
        <c:axId val="220758016"/>
        <c:scaling>
          <c:orientation val="minMax"/>
        </c:scaling>
        <c:axPos val="b"/>
        <c:majorGridlines/>
        <c:numFmt formatCode="0.0%" sourceLinked="1"/>
        <c:tickLblPos val="nextTo"/>
        <c:txPr>
          <a:bodyPr/>
          <a:lstStyle/>
          <a:p>
            <a:pPr>
              <a:defRPr sz="800" b="1">
                <a:latin typeface="Book Antiqua" pitchFamily="18" charset="0"/>
              </a:defRPr>
            </a:pPr>
            <a:endParaRPr lang="fr-FR"/>
          </a:p>
        </c:txPr>
        <c:crossAx val="220715264"/>
        <c:crosses val="autoZero"/>
        <c:crossBetween val="between"/>
      </c:valAx>
    </c:plotArea>
    <c:plotVisOnly val="1"/>
    <c:dispBlanksAs val="gap"/>
  </c:chart>
  <c:externalData r:id="rId1"/>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8621194225721786"/>
          <c:y val="3.5685884557640192E-2"/>
          <c:w val="0.53590966754155922"/>
          <c:h val="0.82702109188511963"/>
        </c:manualLayout>
      </c:layout>
      <c:pieChart>
        <c:varyColors val="1"/>
        <c:ser>
          <c:idx val="0"/>
          <c:order val="0"/>
          <c:explosion val="25"/>
          <c:dLbls>
            <c:dLbl>
              <c:idx val="0"/>
              <c:layout>
                <c:manualLayout>
                  <c:x val="0.1361373578302735"/>
                  <c:y val="-0.19324758541695491"/>
                </c:manualLayout>
              </c:layout>
              <c:showPercent val="1"/>
              <c:extLst>
                <c:ext xmlns:c15="http://schemas.microsoft.com/office/drawing/2012/chart" uri="{CE6537A1-D6FC-4f65-9D91-7224C49458BB}"/>
              </c:extLst>
            </c:dLbl>
            <c:dLbl>
              <c:idx val="1"/>
              <c:layout>
                <c:manualLayout>
                  <c:x val="-3.452766841644795E-2"/>
                  <c:y val="3.2096092155147284E-2"/>
                </c:manualLayout>
              </c:layout>
              <c:showPercent val="1"/>
              <c:extLst>
                <c:ext xmlns:c15="http://schemas.microsoft.com/office/drawing/2012/chart" uri="{CE6537A1-D6FC-4f65-9D91-7224C49458BB}"/>
              </c:extLst>
            </c:dLbl>
            <c:dLbl>
              <c:idx val="2"/>
              <c:layout>
                <c:manualLayout>
                  <c:x val="-3.6558836395450565E-2"/>
                  <c:y val="-1.7671332750072908E-2"/>
                </c:manualLayout>
              </c:layout>
              <c:showPercent val="1"/>
              <c:extLst>
                <c:ext xmlns:c15="http://schemas.microsoft.com/office/drawing/2012/chart" uri="{CE6537A1-D6FC-4f65-9D91-7224C49458BB}"/>
              </c:extLst>
            </c:dLbl>
            <c:dLbl>
              <c:idx val="3"/>
              <c:layout>
                <c:manualLayout>
                  <c:x val="9.9399606299212708E-3"/>
                  <c:y val="-1.4976305045202701E-2"/>
                </c:manualLayout>
              </c:layout>
              <c:showPercent val="1"/>
              <c:extLst>
                <c:ext xmlns:c15="http://schemas.microsoft.com/office/drawing/2012/chart" uri="{CE6537A1-D6FC-4f65-9D91-7224C49458BB}"/>
              </c:extLst>
            </c:dLbl>
            <c:numFmt formatCode="0.0%" sourceLinked="0"/>
            <c:spPr>
              <a:noFill/>
              <a:ln>
                <a:noFill/>
              </a:ln>
              <a:effectLst/>
            </c:spPr>
            <c:txPr>
              <a:bodyPr/>
              <a:lstStyle/>
              <a:p>
                <a:pPr>
                  <a:defRPr sz="1000" b="1">
                    <a:latin typeface="Book Antiqua" pitchFamily="18" charset="0"/>
                  </a:defRPr>
                </a:pPr>
                <a:endParaRPr lang="fr-FR"/>
              </a:p>
            </c:txPr>
            <c:showPercent val="1"/>
            <c:showLeaderLines val="1"/>
            <c:extLst>
              <c:ext xmlns:c15="http://schemas.microsoft.com/office/drawing/2012/chart" uri="{CE6537A1-D6FC-4f65-9D91-7224C49458BB}"/>
            </c:extLst>
          </c:dLbls>
          <c:cat>
            <c:strRef>
              <c:f>domiciliation!$J$29:$J$33</c:f>
              <c:strCache>
                <c:ptCount val="5"/>
                <c:pt idx="0">
                  <c:v> Epargne à vue</c:v>
                </c:pt>
                <c:pt idx="1">
                  <c:v>DAT</c:v>
                </c:pt>
                <c:pt idx="2">
                  <c:v>PEL</c:v>
                </c:pt>
                <c:pt idx="3">
                  <c:v>PEP</c:v>
                </c:pt>
                <c:pt idx="4">
                  <c:v>Autre </c:v>
                </c:pt>
              </c:strCache>
            </c:strRef>
          </c:cat>
          <c:val>
            <c:numRef>
              <c:f>domiciliation!$K$29:$K$33</c:f>
              <c:numCache>
                <c:formatCode>###0</c:formatCode>
                <c:ptCount val="5"/>
                <c:pt idx="0">
                  <c:v>1707</c:v>
                </c:pt>
                <c:pt idx="1">
                  <c:v>78</c:v>
                </c:pt>
                <c:pt idx="2">
                  <c:v>69</c:v>
                </c:pt>
                <c:pt idx="3">
                  <c:v>30</c:v>
                </c:pt>
                <c:pt idx="4">
                  <c:v>18</c:v>
                </c:pt>
              </c:numCache>
            </c:numRef>
          </c:val>
        </c:ser>
        <c:dLbls>
          <c:showPercent val="1"/>
        </c:dLbls>
        <c:firstSliceAng val="0"/>
      </c:pieChart>
    </c:plotArea>
    <c:legend>
      <c:legendPos val="t"/>
      <c:layout>
        <c:manualLayout>
          <c:xMode val="edge"/>
          <c:yMode val="edge"/>
          <c:x val="0.20114741907261594"/>
          <c:y val="0.87740054869684503"/>
          <c:w val="0.61992738407699033"/>
          <c:h val="8.2833656752486967E-2"/>
        </c:manualLayout>
      </c:layout>
      <c:txPr>
        <a:bodyPr/>
        <a:lstStyle/>
        <a:p>
          <a:pPr>
            <a:defRPr sz="900" b="1">
              <a:latin typeface="Book Antiqua" pitchFamily="18" charset="0"/>
            </a:defRPr>
          </a:pPr>
          <a:endParaRPr lang="fr-FR"/>
        </a:p>
      </c:txPr>
    </c:legend>
    <c:plotVisOnly val="1"/>
    <c:dispBlanksAs val="zero"/>
  </c:chart>
  <c:externalData r:id="rId1"/>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bar"/>
        <c:grouping val="stacked"/>
        <c:varyColors val="1"/>
        <c:ser>
          <c:idx val="0"/>
          <c:order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dLbl>
            <c:dLbl>
              <c:idx val="8"/>
              <c:layout>
                <c:manualLayout>
                  <c:x val="4.7430622555579824E-2"/>
                  <c:y val="-6.3343744739747035E-3"/>
                </c:manualLayout>
              </c:layout>
              <c:showVal val="1"/>
              <c:extLst>
                <c:ext xmlns:c15="http://schemas.microsoft.com/office/drawing/2012/chart" uri="{CE6537A1-D6FC-4f65-9D91-7224C49458BB}"/>
              </c:extLst>
            </c:dLbl>
            <c:dLbl>
              <c:idx val="9"/>
              <c:layout>
                <c:manualLayout>
                  <c:x val="5.0065876152832714E-2"/>
                  <c:y val="-3.1670625494854229E-3"/>
                </c:manualLayout>
              </c:layout>
              <c:showVal val="1"/>
              <c:extLst>
                <c:ext xmlns:c15="http://schemas.microsoft.com/office/drawing/2012/chart" uri="{CE6537A1-D6FC-4f65-9D91-7224C49458BB}"/>
              </c:extLst>
            </c:dLbl>
            <c:dLbl>
              <c:idx val="10"/>
              <c:layout>
                <c:manualLayout>
                  <c:x val="6.8511198945981594E-2"/>
                  <c:y val="-3.1670625494854229E-3"/>
                </c:manualLayout>
              </c:layout>
              <c:showVal val="1"/>
              <c:extLst>
                <c:ext xmlns:c15="http://schemas.microsoft.com/office/drawing/2012/chart" uri="{CE6537A1-D6FC-4f65-9D91-7224C49458BB}"/>
              </c:extLst>
            </c:dLbl>
            <c:dLbl>
              <c:idx val="11"/>
              <c:layout>
                <c:manualLayout>
                  <c:x val="7.1146245059288543E-2"/>
                  <c:y val="-3.1670625494854229E-3"/>
                </c:manualLayout>
              </c:layout>
              <c:showVal val="1"/>
              <c:extLst>
                <c:ext xmlns:c15="http://schemas.microsoft.com/office/drawing/2012/chart" uri="{CE6537A1-D6FC-4f65-9D91-7224C49458BB}"/>
              </c:extLst>
            </c:dLbl>
            <c:dLbl>
              <c:idx val="12"/>
              <c:layout>
                <c:manualLayout>
                  <c:x val="0.15283267457180499"/>
                  <c:y val="0"/>
                </c:manualLayout>
              </c:layout>
              <c:showVal val="1"/>
              <c:extLst>
                <c:ext xmlns:c15="http://schemas.microsoft.com/office/drawing/2012/chart" uri="{CE6537A1-D6FC-4f65-9D91-7224C49458BB}"/>
              </c:extLst>
            </c:dLbl>
            <c:dLbl>
              <c:idx val="13"/>
              <c:layout>
                <c:manualLayout>
                  <c:x val="0.15546772068511241"/>
                  <c:y val="-3.1670625494854229E-3"/>
                </c:manualLayout>
              </c:layout>
              <c:showVal val="1"/>
              <c:extLst>
                <c:ext xmlns:c15="http://schemas.microsoft.com/office/drawing/2012/chart" uri="{CE6537A1-D6FC-4f65-9D91-7224C49458BB}"/>
              </c:extLst>
            </c:dLbl>
            <c:dLbl>
              <c:idx val="14"/>
              <c:layout>
                <c:manualLayout>
                  <c:x val="0.19762845849802371"/>
                  <c:y val="2.903107133420433E-17"/>
                </c:manualLayout>
              </c:layout>
              <c:showVal val="1"/>
              <c:extLst>
                <c:ext xmlns:c15="http://schemas.microsoft.com/office/drawing/2012/chart" uri="{CE6537A1-D6FC-4f65-9D91-7224C49458BB}"/>
              </c:extLst>
            </c:dLbl>
            <c:dLbl>
              <c:idx val="15"/>
              <c:layout>
                <c:manualLayout>
                  <c:x val="0.19762845849802371"/>
                  <c:y val="-3.1670625494854229E-3"/>
                </c:manualLayout>
              </c:layout>
              <c:showVal val="1"/>
              <c:extLst>
                <c:ext xmlns:c15="http://schemas.microsoft.com/office/drawing/2012/chart" uri="{CE6537A1-D6FC-4f65-9D91-7224C49458BB}"/>
              </c:extLst>
            </c:dLbl>
            <c:dLbl>
              <c:idx val="16"/>
              <c:layout>
                <c:manualLayout>
                  <c:x val="0.28194993412385116"/>
                  <c:y val="0"/>
                </c:manualLayout>
              </c:layout>
              <c:showVal val="1"/>
              <c:extLst>
                <c:ext xmlns:c15="http://schemas.microsoft.com/office/drawing/2012/chart" uri="{CE6537A1-D6FC-4f65-9D91-7224C49458BB}"/>
              </c:extLst>
            </c:dLbl>
            <c:dLbl>
              <c:idx val="17"/>
              <c:layout>
                <c:manualLayout>
                  <c:x val="0.30039525691699603"/>
                  <c:y val="-3.1670625494854229E-3"/>
                </c:manualLayout>
              </c:layout>
              <c:showVal val="1"/>
              <c:extLst>
                <c:ext xmlns:c15="http://schemas.microsoft.com/office/drawing/2012/chart" uri="{CE6537A1-D6FC-4f65-9D91-7224C49458BB}"/>
              </c:extLst>
            </c:dLbl>
            <c:dLbl>
              <c:idx val="18"/>
              <c:layout>
                <c:manualLayout>
                  <c:x val="0.38735177865612647"/>
                  <c:y val="-3.1670625494854229E-3"/>
                </c:manualLayout>
              </c:layout>
              <c:showVal val="1"/>
              <c:extLst>
                <c:ext xmlns:c15="http://schemas.microsoft.com/office/drawing/2012/chart" uri="{CE6537A1-D6FC-4f65-9D91-7224C49458BB}"/>
              </c:extLst>
            </c:dLbl>
            <c:spPr>
              <a:noFill/>
              <a:ln>
                <a:noFill/>
              </a:ln>
              <a:effectLst/>
            </c:spPr>
            <c:txPr>
              <a:bodyPr/>
              <a:lstStyle/>
              <a:p>
                <a:pPr>
                  <a:defRPr b="1">
                    <a:latin typeface="Book Antiqua" pitchFamily="18" charset="0"/>
                  </a:defRPr>
                </a:pPr>
                <a:endParaRPr lang="fr-FR"/>
              </a:p>
            </c:txPr>
            <c:showVal val="1"/>
            <c:extLst>
              <c:ext xmlns:c15="http://schemas.microsoft.com/office/drawing/2012/chart" uri="{CE6537A1-D6FC-4f65-9D91-7224C49458BB}">
                <c15:showLeaderLines val="0"/>
              </c:ext>
            </c:extLst>
          </c:dLbls>
          <c:cat>
            <c:strRef>
              <c:f>Feuil4!$A$1:$A$19</c:f>
              <c:strCache>
                <c:ptCount val="19"/>
                <c:pt idx="0">
                  <c:v>BRM</c:v>
                </c:pt>
                <c:pt idx="1">
                  <c:v>ICB</c:v>
                </c:pt>
                <c:pt idx="2">
                  <c:v>CI</c:v>
                </c:pt>
                <c:pt idx="3">
                  <c:v>BNDE</c:v>
                </c:pt>
                <c:pt idx="4">
                  <c:v>DIAMOND</c:v>
                </c:pt>
                <c:pt idx="5">
                  <c:v>ORABANK</c:v>
                </c:pt>
                <c:pt idx="6">
                  <c:v>CDS</c:v>
                </c:pt>
                <c:pt idx="7">
                  <c:v>BIMAO</c:v>
                </c:pt>
                <c:pt idx="8">
                  <c:v>UBA</c:v>
                </c:pt>
                <c:pt idx="9">
                  <c:v>BSIC</c:v>
                </c:pt>
                <c:pt idx="10">
                  <c:v>BA</c:v>
                </c:pt>
                <c:pt idx="11">
                  <c:v>BIS</c:v>
                </c:pt>
                <c:pt idx="12">
                  <c:v>BHS</c:v>
                </c:pt>
                <c:pt idx="13">
                  <c:v>BOA</c:v>
                </c:pt>
                <c:pt idx="14">
                  <c:v>CNCAS</c:v>
                </c:pt>
                <c:pt idx="15">
                  <c:v>BICIS</c:v>
                </c:pt>
                <c:pt idx="16">
                  <c:v>ECOBANK</c:v>
                </c:pt>
                <c:pt idx="17">
                  <c:v>SGBS</c:v>
                </c:pt>
                <c:pt idx="18">
                  <c:v>CBAO</c:v>
                </c:pt>
              </c:strCache>
            </c:strRef>
          </c:cat>
          <c:val>
            <c:numRef>
              <c:f>Feuil4!$B$1:$B$19</c:f>
              <c:numCache>
                <c:formatCode>0.0%</c:formatCode>
                <c:ptCount val="19"/>
                <c:pt idx="0">
                  <c:v>2.6308866087872135E-4</c:v>
                </c:pt>
                <c:pt idx="1">
                  <c:v>2.6308866087872135E-4</c:v>
                </c:pt>
                <c:pt idx="2">
                  <c:v>1.3154433043936007E-3</c:v>
                </c:pt>
                <c:pt idx="3">
                  <c:v>2.3677979479085186E-3</c:v>
                </c:pt>
                <c:pt idx="4">
                  <c:v>4.4725072349382014E-3</c:v>
                </c:pt>
                <c:pt idx="5">
                  <c:v>6.314127861089187E-3</c:v>
                </c:pt>
                <c:pt idx="6">
                  <c:v>7.1033938437253434E-3</c:v>
                </c:pt>
                <c:pt idx="7">
                  <c:v>8.9450144698763508E-3</c:v>
                </c:pt>
                <c:pt idx="8">
                  <c:v>1.0260457774269933E-2</c:v>
                </c:pt>
                <c:pt idx="9">
                  <c:v>1.1575901078663509E-2</c:v>
                </c:pt>
                <c:pt idx="10">
                  <c:v>2.2888713496448412E-2</c:v>
                </c:pt>
                <c:pt idx="11">
                  <c:v>2.3151802157327019E-2</c:v>
                </c:pt>
                <c:pt idx="12">
                  <c:v>7.6558800315706388E-2</c:v>
                </c:pt>
                <c:pt idx="13">
                  <c:v>7.8400420941857923E-2</c:v>
                </c:pt>
                <c:pt idx="14">
                  <c:v>9.918442515127876E-2</c:v>
                </c:pt>
                <c:pt idx="15">
                  <c:v>9.9447513812154609E-2</c:v>
                </c:pt>
                <c:pt idx="16">
                  <c:v>0.15364377795317022</c:v>
                </c:pt>
                <c:pt idx="17">
                  <c:v>0.16574585635359121</c:v>
                </c:pt>
                <c:pt idx="18">
                  <c:v>0.22809786898184689</c:v>
                </c:pt>
              </c:numCache>
            </c:numRef>
          </c:val>
        </c:ser>
        <c:shape val="cylinder"/>
        <c:axId val="221214208"/>
        <c:axId val="221215744"/>
        <c:axId val="0"/>
      </c:bar3DChart>
      <c:catAx>
        <c:axId val="221214208"/>
        <c:scaling>
          <c:orientation val="minMax"/>
        </c:scaling>
        <c:axPos val="l"/>
        <c:numFmt formatCode="General" sourceLinked="0"/>
        <c:tickLblPos val="nextTo"/>
        <c:txPr>
          <a:bodyPr/>
          <a:lstStyle/>
          <a:p>
            <a:pPr>
              <a:defRPr sz="700" b="1">
                <a:latin typeface="Book Antiqua" pitchFamily="18" charset="0"/>
              </a:defRPr>
            </a:pPr>
            <a:endParaRPr lang="fr-FR"/>
          </a:p>
        </c:txPr>
        <c:crossAx val="221215744"/>
        <c:crosses val="autoZero"/>
        <c:auto val="1"/>
        <c:lblAlgn val="ctr"/>
        <c:lblOffset val="100"/>
      </c:catAx>
      <c:valAx>
        <c:axId val="221215744"/>
        <c:scaling>
          <c:orientation val="minMax"/>
        </c:scaling>
        <c:axPos val="b"/>
        <c:majorGridlines/>
        <c:numFmt formatCode="0.0%" sourceLinked="1"/>
        <c:tickLblPos val="nextTo"/>
        <c:txPr>
          <a:bodyPr/>
          <a:lstStyle/>
          <a:p>
            <a:pPr>
              <a:defRPr sz="800" b="1">
                <a:latin typeface="Book Antiqua" pitchFamily="18" charset="0"/>
              </a:defRPr>
            </a:pPr>
            <a:endParaRPr lang="fr-FR"/>
          </a:p>
        </c:txPr>
        <c:crossAx val="221214208"/>
        <c:crosses val="autoZero"/>
        <c:crossBetween val="between"/>
      </c:valAx>
    </c:plotArea>
    <c:plotVisOnly val="1"/>
    <c:dispBlanksAs val="gap"/>
  </c:chart>
  <c:externalData r:id="rId1"/>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8810761154855641"/>
          <c:y val="0.17778817121544024"/>
          <c:w val="0.42378477690288918"/>
          <c:h val="0.76472440944882292"/>
        </c:manualLayout>
      </c:layout>
      <c:pieChart>
        <c:varyColors val="1"/>
        <c:ser>
          <c:idx val="0"/>
          <c:order val="0"/>
          <c:explosion val="25"/>
          <c:dLbls>
            <c:dLbl>
              <c:idx val="1"/>
              <c:layout>
                <c:manualLayout>
                  <c:x val="5.9875000000000012E-2"/>
                  <c:y val="-8.9362058909303002E-2"/>
                </c:manualLayout>
              </c:layout>
              <c:showCatName val="1"/>
              <c:showPercent val="1"/>
              <c:extLst>
                <c:ext xmlns:c15="http://schemas.microsoft.com/office/drawing/2012/chart" uri="{CE6537A1-D6FC-4f65-9D91-7224C49458BB}"/>
              </c:extLst>
            </c:dLbl>
            <c:dLbl>
              <c:idx val="2"/>
              <c:layout>
                <c:manualLayout>
                  <c:x val="-2.5309383202099751E-2"/>
                  <c:y val="2.0771076671592496E-2"/>
                </c:manualLayout>
              </c:layout>
              <c:showCatName val="1"/>
              <c:showPercent val="1"/>
              <c:extLst>
                <c:ext xmlns:c15="http://schemas.microsoft.com/office/drawing/2012/chart" uri="{CE6537A1-D6FC-4f65-9D91-7224C49458BB}"/>
              </c:extLst>
            </c:dLbl>
            <c:numFmt formatCode="0.0%" sourceLinked="0"/>
            <c:spPr>
              <a:noFill/>
              <a:ln>
                <a:noFill/>
              </a:ln>
              <a:effectLst/>
            </c:spPr>
            <c:txPr>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Feuil4!$H$27:$H$30</c:f>
              <c:strCache>
                <c:ptCount val="4"/>
                <c:pt idx="0">
                  <c:v>Moins d'un an</c:v>
                </c:pt>
                <c:pt idx="1">
                  <c:v>Entre 1 et 5 ans</c:v>
                </c:pt>
                <c:pt idx="2">
                  <c:v>Entre 6 et 10 ans</c:v>
                </c:pt>
                <c:pt idx="3">
                  <c:v>Plus de 10 ans</c:v>
                </c:pt>
              </c:strCache>
            </c:strRef>
          </c:cat>
          <c:val>
            <c:numRef>
              <c:f>Feuil4!$I$27:$I$30</c:f>
              <c:numCache>
                <c:formatCode>0.0%</c:formatCode>
                <c:ptCount val="4"/>
                <c:pt idx="0">
                  <c:v>0.11496974480399896</c:v>
                </c:pt>
                <c:pt idx="1">
                  <c:v>0.49276506182584012</c:v>
                </c:pt>
                <c:pt idx="2">
                  <c:v>0.25440673506972261</c:v>
                </c:pt>
                <c:pt idx="3">
                  <c:v>0.13785845830044724</c:v>
                </c:pt>
              </c:numCache>
            </c:numRef>
          </c:val>
        </c:ser>
        <c:dLbls>
          <c:showCatName val="1"/>
          <c:showPercent val="1"/>
        </c:dLbls>
        <c:firstSliceAng val="0"/>
      </c:pieChart>
    </c:plotArea>
    <c:plotVisOnly val="1"/>
    <c:dispBlanksAs val="zero"/>
  </c:chart>
  <c:externalData r:id="rId1"/>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varyColors val="1"/>
        <c:ser>
          <c:idx val="0"/>
          <c:order val="0"/>
          <c:dLbls>
            <c:spPr>
              <a:noFill/>
              <a:ln>
                <a:noFill/>
              </a:ln>
              <a:effectLst/>
            </c:spPr>
            <c:txPr>
              <a:bodyPr/>
              <a:lstStyle/>
              <a:p>
                <a:pPr>
                  <a:defRPr sz="7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Feuil1!$B$18:$G$18</c:f>
              <c:strCache>
                <c:ptCount val="6"/>
                <c:pt idx="0">
                  <c:v>18-24 ans</c:v>
                </c:pt>
                <c:pt idx="1">
                  <c:v>25-34  ans</c:v>
                </c:pt>
                <c:pt idx="2">
                  <c:v>35-44 ans</c:v>
                </c:pt>
                <c:pt idx="3">
                  <c:v>45-54 ans</c:v>
                </c:pt>
                <c:pt idx="4">
                  <c:v>55-64 ans</c:v>
                </c:pt>
                <c:pt idx="5">
                  <c:v>65 ans ou plus</c:v>
                </c:pt>
              </c:strCache>
            </c:strRef>
          </c:cat>
          <c:val>
            <c:numRef>
              <c:f>Feuil1!$B$19:$G$19</c:f>
              <c:numCache>
                <c:formatCode>###0.0%</c:formatCode>
                <c:ptCount val="6"/>
                <c:pt idx="0">
                  <c:v>8.2644628099174028E-2</c:v>
                </c:pt>
                <c:pt idx="1">
                  <c:v>0.10909090909090922</c:v>
                </c:pt>
                <c:pt idx="2">
                  <c:v>0.20174741858618703</c:v>
                </c:pt>
                <c:pt idx="3">
                  <c:v>0.22748091603053439</c:v>
                </c:pt>
                <c:pt idx="4">
                  <c:v>0.24501424501424998</c:v>
                </c:pt>
                <c:pt idx="5">
                  <c:v>0.2250000000000002</c:v>
                </c:pt>
              </c:numCache>
            </c:numRef>
          </c:val>
        </c:ser>
        <c:shape val="cylinder"/>
        <c:axId val="221614464"/>
        <c:axId val="221616000"/>
        <c:axId val="0"/>
      </c:bar3DChart>
      <c:catAx>
        <c:axId val="221614464"/>
        <c:scaling>
          <c:orientation val="minMax"/>
        </c:scaling>
        <c:axPos val="b"/>
        <c:numFmt formatCode="General" sourceLinked="0"/>
        <c:tickLblPos val="nextTo"/>
        <c:txPr>
          <a:bodyPr/>
          <a:lstStyle/>
          <a:p>
            <a:pPr>
              <a:defRPr sz="600" b="1">
                <a:latin typeface="Book Antiqua" pitchFamily="18" charset="0"/>
              </a:defRPr>
            </a:pPr>
            <a:endParaRPr lang="fr-FR"/>
          </a:p>
        </c:txPr>
        <c:crossAx val="221616000"/>
        <c:crosses val="autoZero"/>
        <c:auto val="1"/>
        <c:lblAlgn val="ctr"/>
        <c:lblOffset val="100"/>
      </c:catAx>
      <c:valAx>
        <c:axId val="221616000"/>
        <c:scaling>
          <c:orientation val="minMax"/>
        </c:scaling>
        <c:axPos val="l"/>
        <c:numFmt formatCode="###0.0%" sourceLinked="1"/>
        <c:tickLblPos val="nextTo"/>
        <c:txPr>
          <a:bodyPr/>
          <a:lstStyle/>
          <a:p>
            <a:pPr>
              <a:defRPr sz="700" b="1">
                <a:latin typeface="Book Antiqua" pitchFamily="18" charset="0"/>
              </a:defRPr>
            </a:pPr>
            <a:endParaRPr lang="fr-FR"/>
          </a:p>
        </c:txPr>
        <c:crossAx val="221614464"/>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varyColors val="1"/>
        <c:ser>
          <c:idx val="0"/>
          <c:order val="0"/>
          <c:dLbls>
            <c:dLbl>
              <c:idx val="0"/>
              <c:layout>
                <c:manualLayout>
                  <c:x val="5.1626226122870418E-3"/>
                  <c:y val="-3.1131865688237604E-2"/>
                </c:manualLayout>
              </c:layout>
              <c:showVal val="1"/>
              <c:extLst>
                <c:ext xmlns:c15="http://schemas.microsoft.com/office/drawing/2012/chart" uri="{CE6537A1-D6FC-4f65-9D91-7224C49458BB}"/>
              </c:extLst>
            </c:dLbl>
            <c:dLbl>
              <c:idx val="1"/>
              <c:layout>
                <c:manualLayout>
                  <c:x val="6.7125356603456865E-3"/>
                  <c:y val="-1.7376194613379671E-2"/>
                </c:manualLayout>
              </c:layout>
              <c:showVal val="1"/>
              <c:extLst>
                <c:ext xmlns:c15="http://schemas.microsoft.com/office/drawing/2012/chart" uri="{CE6537A1-D6FC-4f65-9D91-7224C49458BB}"/>
              </c:extLst>
            </c:dLbl>
            <c:dLbl>
              <c:idx val="2"/>
              <c:layout>
                <c:manualLayout>
                  <c:x val="1.3425071320691281E-2"/>
                  <c:y val="-3.4752389226759391E-2"/>
                </c:manualLayout>
              </c:layout>
              <c:showVal val="1"/>
              <c:extLst>
                <c:ext xmlns:c15="http://schemas.microsoft.com/office/drawing/2012/chart" uri="{CE6537A1-D6FC-4f65-9D91-7224C49458BB}"/>
              </c:extLst>
            </c:dLbl>
            <c:dLbl>
              <c:idx val="3"/>
              <c:layout>
                <c:manualLayout>
                  <c:x val="1.5487867836861041E-2"/>
                  <c:y val="-2.6684456304202877E-2"/>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Feuil5!$A$3:$A$6</c:f>
              <c:strCache>
                <c:ptCount val="4"/>
                <c:pt idx="0">
                  <c:v>Très coopérative</c:v>
                </c:pt>
                <c:pt idx="1">
                  <c:v>Coopérative</c:v>
                </c:pt>
                <c:pt idx="2">
                  <c:v>Pas coopérative</c:v>
                </c:pt>
                <c:pt idx="3">
                  <c:v>Pas du tout coopérative</c:v>
                </c:pt>
              </c:strCache>
            </c:strRef>
          </c:cat>
          <c:val>
            <c:numRef>
              <c:f>Feuil5!$B$3:$B$6</c:f>
              <c:numCache>
                <c:formatCode>###0.0%</c:formatCode>
                <c:ptCount val="4"/>
                <c:pt idx="0">
                  <c:v>1.4970059880239521E-2</c:v>
                </c:pt>
                <c:pt idx="1">
                  <c:v>0.48502994011977041</c:v>
                </c:pt>
                <c:pt idx="2">
                  <c:v>0.34730538922156534</c:v>
                </c:pt>
                <c:pt idx="3">
                  <c:v>0.15269461077844321</c:v>
                </c:pt>
              </c:numCache>
            </c:numRef>
          </c:val>
        </c:ser>
        <c:shape val="cylinder"/>
        <c:axId val="186585472"/>
        <c:axId val="186587008"/>
        <c:axId val="0"/>
      </c:bar3DChart>
      <c:catAx>
        <c:axId val="186585472"/>
        <c:scaling>
          <c:orientation val="minMax"/>
        </c:scaling>
        <c:axPos val="b"/>
        <c:numFmt formatCode="General" sourceLinked="0"/>
        <c:tickLblPos val="nextTo"/>
        <c:txPr>
          <a:bodyPr/>
          <a:lstStyle/>
          <a:p>
            <a:pPr>
              <a:defRPr sz="700" b="1">
                <a:latin typeface="Book Antiqua" pitchFamily="18" charset="0"/>
              </a:defRPr>
            </a:pPr>
            <a:endParaRPr lang="fr-FR"/>
          </a:p>
        </c:txPr>
        <c:crossAx val="186587008"/>
        <c:crosses val="autoZero"/>
        <c:auto val="1"/>
        <c:lblAlgn val="ctr"/>
        <c:lblOffset val="100"/>
      </c:catAx>
      <c:valAx>
        <c:axId val="186587008"/>
        <c:scaling>
          <c:orientation val="minMax"/>
        </c:scaling>
        <c:axPos val="l"/>
        <c:numFmt formatCode="0%" sourceLinked="0"/>
        <c:tickLblPos val="nextTo"/>
        <c:txPr>
          <a:bodyPr/>
          <a:lstStyle/>
          <a:p>
            <a:pPr>
              <a:defRPr sz="700" b="1">
                <a:latin typeface="Book Antiqua" pitchFamily="18" charset="0"/>
              </a:defRPr>
            </a:pPr>
            <a:endParaRPr lang="fr-FR"/>
          </a:p>
        </c:txPr>
        <c:crossAx val="186585472"/>
        <c:crosses val="autoZero"/>
        <c:crossBetween val="between"/>
      </c:valAx>
    </c:plotArea>
    <c:plotVisOnly val="1"/>
    <c:dispBlanksAs val="gap"/>
  </c:chart>
  <c:externalData r:id="rId2"/>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varyColors val="1"/>
        <c:ser>
          <c:idx val="0"/>
          <c:order val="0"/>
          <c:dLbls>
            <c:spPr>
              <a:noFill/>
              <a:ln>
                <a:noFill/>
              </a:ln>
              <a:effectLst/>
            </c:spPr>
            <c:txPr>
              <a:bodyPr/>
              <a:lstStyle/>
              <a:p>
                <a:pPr>
                  <a:defRPr sz="6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Feuil2!$C$14:$L$14</c:f>
              <c:strCache>
                <c:ptCount val="10"/>
                <c:pt idx="0">
                  <c:v>Aucun</c:v>
                </c:pt>
                <c:pt idx="1">
                  <c:v>Primaire</c:v>
                </c:pt>
                <c:pt idx="2">
                  <c:v>Secondaire</c:v>
                </c:pt>
                <c:pt idx="3">
                  <c:v>Bac+2/ Bac+3</c:v>
                </c:pt>
                <c:pt idx="4">
                  <c:v>Bac+4 ou plus</c:v>
                </c:pt>
                <c:pt idx="5">
                  <c:v>Primaire en Arabe</c:v>
                </c:pt>
                <c:pt idx="6">
                  <c:v>Secondaire en Arabe</c:v>
                </c:pt>
                <c:pt idx="7">
                  <c:v>Bac+2/ Bac+3 en Arabe</c:v>
                </c:pt>
                <c:pt idx="8">
                  <c:v>Bac+4 ou plus en Arabe</c:v>
                </c:pt>
                <c:pt idx="9">
                  <c:v> Enseignement coranique</c:v>
                </c:pt>
              </c:strCache>
            </c:strRef>
          </c:cat>
          <c:val>
            <c:numRef>
              <c:f>Feuil2!$C$15:$L$15</c:f>
              <c:numCache>
                <c:formatCode>0.0%</c:formatCode>
                <c:ptCount val="10"/>
                <c:pt idx="0">
                  <c:v>0.11320754716981132</c:v>
                </c:pt>
                <c:pt idx="1">
                  <c:v>0.12345679012345689</c:v>
                </c:pt>
                <c:pt idx="2">
                  <c:v>0.15177797051170874</c:v>
                </c:pt>
                <c:pt idx="3">
                  <c:v>0.17548076923076916</c:v>
                </c:pt>
                <c:pt idx="4">
                  <c:v>0.21798029556650947</c:v>
                </c:pt>
                <c:pt idx="5">
                  <c:v>0.28125</c:v>
                </c:pt>
                <c:pt idx="6">
                  <c:v>0.1</c:v>
                </c:pt>
                <c:pt idx="7">
                  <c:v>0.21052631578947784</c:v>
                </c:pt>
                <c:pt idx="8">
                  <c:v>0.1395348837209345</c:v>
                </c:pt>
                <c:pt idx="9">
                  <c:v>0.20618556701030918</c:v>
                </c:pt>
              </c:numCache>
            </c:numRef>
          </c:val>
        </c:ser>
        <c:shape val="cylinder"/>
        <c:axId val="221783552"/>
        <c:axId val="221785088"/>
        <c:axId val="0"/>
      </c:bar3DChart>
      <c:catAx>
        <c:axId val="221783552"/>
        <c:scaling>
          <c:orientation val="minMax"/>
        </c:scaling>
        <c:axPos val="b"/>
        <c:numFmt formatCode="General" sourceLinked="0"/>
        <c:tickLblPos val="nextTo"/>
        <c:txPr>
          <a:bodyPr/>
          <a:lstStyle/>
          <a:p>
            <a:pPr>
              <a:defRPr sz="600" b="1">
                <a:latin typeface="Book Antiqua" pitchFamily="18" charset="0"/>
              </a:defRPr>
            </a:pPr>
            <a:endParaRPr lang="fr-FR"/>
          </a:p>
        </c:txPr>
        <c:crossAx val="221785088"/>
        <c:crosses val="autoZero"/>
        <c:auto val="1"/>
        <c:lblAlgn val="ctr"/>
        <c:lblOffset val="100"/>
      </c:catAx>
      <c:valAx>
        <c:axId val="221785088"/>
        <c:scaling>
          <c:orientation val="minMax"/>
        </c:scaling>
        <c:axPos val="l"/>
        <c:numFmt formatCode="0%" sourceLinked="0"/>
        <c:tickLblPos val="nextTo"/>
        <c:txPr>
          <a:bodyPr/>
          <a:lstStyle/>
          <a:p>
            <a:pPr>
              <a:defRPr sz="700" b="1">
                <a:latin typeface="Book Antiqua" pitchFamily="18" charset="0"/>
              </a:defRPr>
            </a:pPr>
            <a:endParaRPr lang="fr-FR"/>
          </a:p>
        </c:txPr>
        <c:crossAx val="221783552"/>
        <c:crosses val="autoZero"/>
        <c:crossBetween val="between"/>
      </c:valAx>
    </c:plotArea>
    <c:plotVisOnly val="1"/>
    <c:dispBlanksAs val="gap"/>
  </c:chart>
  <c:externalData r:id="rId1"/>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manualLayout>
          <c:layoutTarget val="inner"/>
          <c:xMode val="edge"/>
          <c:yMode val="edge"/>
          <c:x val="5.4536270889867934E-2"/>
          <c:y val="9.0006969467801068E-2"/>
          <c:w val="0.94108482732031373"/>
          <c:h val="0.70020225120866519"/>
        </c:manualLayout>
      </c:layout>
      <c:bar3DChart>
        <c:barDir val="col"/>
        <c:grouping val="clustered"/>
        <c:varyColors val="1"/>
        <c:ser>
          <c:idx val="0"/>
          <c:order val="0"/>
          <c:tx>
            <c:strRef>
              <c:f>Feuil6!$A$12</c:f>
              <c:strCache>
                <c:ptCount val="1"/>
                <c:pt idx="0">
                  <c:v>Proportion n'ayant jamais changé de banque </c:v>
                </c:pt>
              </c:strCache>
            </c:strRef>
          </c:tx>
          <c:dLbls>
            <c:spPr>
              <a:noFill/>
              <a:ln>
                <a:noFill/>
              </a:ln>
              <a:effectLst/>
            </c:spPr>
            <c:txPr>
              <a:bodyPr/>
              <a:lstStyle/>
              <a:p>
                <a:pPr>
                  <a:defRPr sz="6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Feuil6!$B$11:$H$11</c:f>
              <c:strCache>
                <c:ptCount val="7"/>
                <c:pt idx="0">
                  <c:v>50 000 ou Moins</c:v>
                </c:pt>
                <c:pt idx="1">
                  <c:v>]50 000 ; 100 000]</c:v>
                </c:pt>
                <c:pt idx="2">
                  <c:v>]100 000 ; 200 000]</c:v>
                </c:pt>
                <c:pt idx="3">
                  <c:v>]200 000 ; 300 000]</c:v>
                </c:pt>
                <c:pt idx="4">
                  <c:v>]300 000 ; 500 000]</c:v>
                </c:pt>
                <c:pt idx="5">
                  <c:v>]500 000 ; 1 million]</c:v>
                </c:pt>
                <c:pt idx="6">
                  <c:v>]1 million ; 1,5 million]</c:v>
                </c:pt>
              </c:strCache>
            </c:strRef>
          </c:cat>
          <c:val>
            <c:numRef>
              <c:f>Feuil6!$B$12:$H$12</c:f>
              <c:numCache>
                <c:formatCode>0.0%</c:formatCode>
                <c:ptCount val="7"/>
                <c:pt idx="0">
                  <c:v>4.5751633986929933E-2</c:v>
                </c:pt>
                <c:pt idx="1">
                  <c:v>0.10204081632653061</c:v>
                </c:pt>
                <c:pt idx="2">
                  <c:v>0.13970007892659819</c:v>
                </c:pt>
                <c:pt idx="3">
                  <c:v>0.17592592592592593</c:v>
                </c:pt>
                <c:pt idx="4">
                  <c:v>0.23726346433770523</c:v>
                </c:pt>
                <c:pt idx="5">
                  <c:v>0.31818181818182634</c:v>
                </c:pt>
                <c:pt idx="6">
                  <c:v>0.32000000000000783</c:v>
                </c:pt>
              </c:numCache>
            </c:numRef>
          </c:val>
        </c:ser>
        <c:shape val="cylinder"/>
        <c:axId val="221837952"/>
        <c:axId val="221860224"/>
        <c:axId val="0"/>
      </c:bar3DChart>
      <c:catAx>
        <c:axId val="221837952"/>
        <c:scaling>
          <c:orientation val="minMax"/>
        </c:scaling>
        <c:axPos val="b"/>
        <c:numFmt formatCode="General" sourceLinked="0"/>
        <c:tickLblPos val="nextTo"/>
        <c:txPr>
          <a:bodyPr/>
          <a:lstStyle/>
          <a:p>
            <a:pPr>
              <a:defRPr sz="600" b="1">
                <a:latin typeface="Book Antiqua" pitchFamily="18" charset="0"/>
              </a:defRPr>
            </a:pPr>
            <a:endParaRPr lang="fr-FR"/>
          </a:p>
        </c:txPr>
        <c:crossAx val="221860224"/>
        <c:crosses val="autoZero"/>
        <c:auto val="1"/>
        <c:lblAlgn val="ctr"/>
        <c:lblOffset val="100"/>
      </c:catAx>
      <c:valAx>
        <c:axId val="221860224"/>
        <c:scaling>
          <c:orientation val="minMax"/>
        </c:scaling>
        <c:axPos val="l"/>
        <c:numFmt formatCode="0%" sourceLinked="0"/>
        <c:tickLblPos val="nextTo"/>
        <c:spPr>
          <a:ln>
            <a:solidFill>
              <a:sysClr val="window" lastClr="FFFFFF">
                <a:lumMod val="95000"/>
                <a:alpha val="96000"/>
              </a:sysClr>
            </a:solidFill>
          </a:ln>
        </c:spPr>
        <c:txPr>
          <a:bodyPr/>
          <a:lstStyle/>
          <a:p>
            <a:pPr>
              <a:defRPr sz="600" b="1">
                <a:latin typeface="Book Antiqua" pitchFamily="18" charset="0"/>
              </a:defRPr>
            </a:pPr>
            <a:endParaRPr lang="fr-FR"/>
          </a:p>
        </c:txPr>
        <c:crossAx val="221837952"/>
        <c:crosses val="autoZero"/>
        <c:crossBetween val="between"/>
      </c:valAx>
    </c:plotArea>
    <c:plotVisOnly val="1"/>
    <c:dispBlanksAs val="gap"/>
  </c:chart>
  <c:externalData r:id="rId1"/>
</c:chartSpace>
</file>

<file path=word/charts/chart142.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9.0676321709787247E-2"/>
          <c:y val="4.2355815040486793E-2"/>
          <c:w val="0.89496875390576158"/>
          <c:h val="0.5083818265490998"/>
        </c:manualLayout>
      </c:layout>
      <c:bar3DChart>
        <c:barDir val="col"/>
        <c:grouping val="clustered"/>
        <c:ser>
          <c:idx val="0"/>
          <c:order val="0"/>
          <c:tx>
            <c:strRef>
              <c:f>Feuil1!$F$24</c:f>
              <c:strCache>
                <c:ptCount val="1"/>
                <c:pt idx="0">
                  <c:v>Oui, 1 fois</c:v>
                </c:pt>
              </c:strCache>
            </c:strRef>
          </c:tx>
          <c:cat>
            <c:strRef>
              <c:f>Feuil1!$G$23:$P$23</c:f>
              <c:strCache>
                <c:ptCount val="10"/>
                <c:pt idx="0">
                  <c:v>Industrie</c:v>
                </c:pt>
                <c:pt idx="1">
                  <c:v>Commerce</c:v>
                </c:pt>
                <c:pt idx="2">
                  <c:v>BTP</c:v>
                </c:pt>
                <c:pt idx="3">
                  <c:v>Services</c:v>
                </c:pt>
                <c:pt idx="4">
                  <c:v>Agriculture</c:v>
                </c:pt>
                <c:pt idx="5">
                  <c:v>Artisanat</c:v>
                </c:pt>
                <c:pt idx="6">
                  <c:v>Enseignement</c:v>
                </c:pt>
                <c:pt idx="7">
                  <c:v>Pêche</c:v>
                </c:pt>
                <c:pt idx="8">
                  <c:v>Administration (Autre que Enseignement)</c:v>
                </c:pt>
                <c:pt idx="9">
                  <c:v>Autre</c:v>
                </c:pt>
              </c:strCache>
            </c:strRef>
          </c:cat>
          <c:val>
            <c:numRef>
              <c:f>Feuil1!$G$24:$P$24</c:f>
              <c:numCache>
                <c:formatCode>0.0%</c:formatCode>
                <c:ptCount val="10"/>
                <c:pt idx="0">
                  <c:v>0.88888888888888884</c:v>
                </c:pt>
                <c:pt idx="1">
                  <c:v>0.88888888888888884</c:v>
                </c:pt>
                <c:pt idx="2">
                  <c:v>0.82857142857142863</c:v>
                </c:pt>
                <c:pt idx="3">
                  <c:v>0.89208633093523992</c:v>
                </c:pt>
                <c:pt idx="4">
                  <c:v>0.8125</c:v>
                </c:pt>
                <c:pt idx="5">
                  <c:v>0.85714285714285765</c:v>
                </c:pt>
                <c:pt idx="6">
                  <c:v>0.84415584415585065</c:v>
                </c:pt>
                <c:pt idx="7">
                  <c:v>0.70000000000000062</c:v>
                </c:pt>
                <c:pt idx="8">
                  <c:v>0.91447368421052633</c:v>
                </c:pt>
                <c:pt idx="9">
                  <c:v>0.84210526315790002</c:v>
                </c:pt>
              </c:numCache>
            </c:numRef>
          </c:val>
        </c:ser>
        <c:ser>
          <c:idx val="1"/>
          <c:order val="1"/>
          <c:tx>
            <c:strRef>
              <c:f>Feuil1!$F$25</c:f>
              <c:strCache>
                <c:ptCount val="1"/>
                <c:pt idx="0">
                  <c:v>Oui, 2 fois</c:v>
                </c:pt>
              </c:strCache>
            </c:strRef>
          </c:tx>
          <c:cat>
            <c:strRef>
              <c:f>Feuil1!$G$23:$P$23</c:f>
              <c:strCache>
                <c:ptCount val="10"/>
                <c:pt idx="0">
                  <c:v>Industrie</c:v>
                </c:pt>
                <c:pt idx="1">
                  <c:v>Commerce</c:v>
                </c:pt>
                <c:pt idx="2">
                  <c:v>BTP</c:v>
                </c:pt>
                <c:pt idx="3">
                  <c:v>Services</c:v>
                </c:pt>
                <c:pt idx="4">
                  <c:v>Agriculture</c:v>
                </c:pt>
                <c:pt idx="5">
                  <c:v>Artisanat</c:v>
                </c:pt>
                <c:pt idx="6">
                  <c:v>Enseignement</c:v>
                </c:pt>
                <c:pt idx="7">
                  <c:v>Pêche</c:v>
                </c:pt>
                <c:pt idx="8">
                  <c:v>Administration (Autre que Enseignement)</c:v>
                </c:pt>
                <c:pt idx="9">
                  <c:v>Autre</c:v>
                </c:pt>
              </c:strCache>
            </c:strRef>
          </c:cat>
          <c:val>
            <c:numRef>
              <c:f>Feuil1!$G$25:$P$25</c:f>
              <c:numCache>
                <c:formatCode>0.0%</c:formatCode>
                <c:ptCount val="10"/>
                <c:pt idx="0">
                  <c:v>5.5555555555555455E-2</c:v>
                </c:pt>
                <c:pt idx="1">
                  <c:v>9.2592592592594766E-2</c:v>
                </c:pt>
                <c:pt idx="2">
                  <c:v>0.14285714285714576</c:v>
                </c:pt>
                <c:pt idx="3">
                  <c:v>9.3525179856115206E-2</c:v>
                </c:pt>
                <c:pt idx="4">
                  <c:v>0.18750000000000044</c:v>
                </c:pt>
                <c:pt idx="5">
                  <c:v>0.14285714285714576</c:v>
                </c:pt>
                <c:pt idx="6">
                  <c:v>0.11688311688311689</c:v>
                </c:pt>
                <c:pt idx="7">
                  <c:v>0.30000000000000032</c:v>
                </c:pt>
                <c:pt idx="8">
                  <c:v>6.5789473684210523E-2</c:v>
                </c:pt>
                <c:pt idx="9">
                  <c:v>0.15789473684210936</c:v>
                </c:pt>
              </c:numCache>
            </c:numRef>
          </c:val>
        </c:ser>
        <c:ser>
          <c:idx val="2"/>
          <c:order val="2"/>
          <c:tx>
            <c:strRef>
              <c:f>Feuil1!$F$26</c:f>
              <c:strCache>
                <c:ptCount val="1"/>
                <c:pt idx="0">
                  <c:v>Oui, plus de 2 fois</c:v>
                </c:pt>
              </c:strCache>
            </c:strRef>
          </c:tx>
          <c:cat>
            <c:strRef>
              <c:f>Feuil1!$G$23:$P$23</c:f>
              <c:strCache>
                <c:ptCount val="10"/>
                <c:pt idx="0">
                  <c:v>Industrie</c:v>
                </c:pt>
                <c:pt idx="1">
                  <c:v>Commerce</c:v>
                </c:pt>
                <c:pt idx="2">
                  <c:v>BTP</c:v>
                </c:pt>
                <c:pt idx="3">
                  <c:v>Services</c:v>
                </c:pt>
                <c:pt idx="4">
                  <c:v>Agriculture</c:v>
                </c:pt>
                <c:pt idx="5">
                  <c:v>Artisanat</c:v>
                </c:pt>
                <c:pt idx="6">
                  <c:v>Enseignement</c:v>
                </c:pt>
                <c:pt idx="7">
                  <c:v>Pêche</c:v>
                </c:pt>
                <c:pt idx="8">
                  <c:v>Administration (Autre que Enseignement)</c:v>
                </c:pt>
                <c:pt idx="9">
                  <c:v>Autre</c:v>
                </c:pt>
              </c:strCache>
            </c:strRef>
          </c:cat>
          <c:val>
            <c:numRef>
              <c:f>Feuil1!$G$26:$P$26</c:f>
              <c:numCache>
                <c:formatCode>0.0%</c:formatCode>
                <c:ptCount val="10"/>
                <c:pt idx="0">
                  <c:v>5.5555555555555455E-2</c:v>
                </c:pt>
                <c:pt idx="1">
                  <c:v>1.8518518518518583E-2</c:v>
                </c:pt>
                <c:pt idx="2">
                  <c:v>2.8571428571428591E-2</c:v>
                </c:pt>
                <c:pt idx="3">
                  <c:v>1.4388489208633365E-2</c:v>
                </c:pt>
                <c:pt idx="4">
                  <c:v>0</c:v>
                </c:pt>
                <c:pt idx="5">
                  <c:v>0</c:v>
                </c:pt>
                <c:pt idx="6">
                  <c:v>3.896103896103896E-2</c:v>
                </c:pt>
                <c:pt idx="7">
                  <c:v>0</c:v>
                </c:pt>
                <c:pt idx="8">
                  <c:v>1.973684210526316E-2</c:v>
                </c:pt>
                <c:pt idx="9">
                  <c:v>0</c:v>
                </c:pt>
              </c:numCache>
            </c:numRef>
          </c:val>
        </c:ser>
        <c:shape val="cylinder"/>
        <c:axId val="221873280"/>
        <c:axId val="221874816"/>
        <c:axId val="0"/>
      </c:bar3DChart>
      <c:catAx>
        <c:axId val="221873280"/>
        <c:scaling>
          <c:orientation val="minMax"/>
        </c:scaling>
        <c:axPos val="b"/>
        <c:numFmt formatCode="General" sourceLinked="0"/>
        <c:tickLblPos val="nextTo"/>
        <c:txPr>
          <a:bodyPr/>
          <a:lstStyle/>
          <a:p>
            <a:pPr>
              <a:defRPr b="1" baseline="-25000"/>
            </a:pPr>
            <a:endParaRPr lang="fr-FR"/>
          </a:p>
        </c:txPr>
        <c:crossAx val="221874816"/>
        <c:crosses val="autoZero"/>
        <c:auto val="1"/>
        <c:lblAlgn val="ctr"/>
        <c:lblOffset val="100"/>
      </c:catAx>
      <c:valAx>
        <c:axId val="221874816"/>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21873280"/>
        <c:crosses val="autoZero"/>
        <c:crossBetween val="between"/>
      </c:valAx>
    </c:plotArea>
    <c:legend>
      <c:legendPos val="r"/>
      <c:layout>
        <c:manualLayout>
          <c:xMode val="edge"/>
          <c:yMode val="edge"/>
          <c:x val="6.5010154980627483E-2"/>
          <c:y val="0.8772077279942132"/>
          <c:w val="0.8576088926384442"/>
          <c:h val="0.11921310620525083"/>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2694685039370079"/>
          <c:y val="5.1400554097404488E-2"/>
          <c:w val="0.8644426946631828"/>
          <c:h val="0.6742629046369204"/>
        </c:manualLayout>
      </c:layout>
      <c:bar3DChart>
        <c:barDir val="col"/>
        <c:grouping val="clustered"/>
        <c:ser>
          <c:idx val="0"/>
          <c:order val="0"/>
          <c:tx>
            <c:strRef>
              <c:f>Feuil1!$N$34</c:f>
              <c:strCache>
                <c:ptCount val="1"/>
                <c:pt idx="0">
                  <c:v>Formel</c:v>
                </c:pt>
              </c:strCache>
            </c:strRef>
          </c:tx>
          <c:cat>
            <c:strRef>
              <c:f>Feuil1!$M$35:$M$37</c:f>
              <c:strCache>
                <c:ptCount val="3"/>
                <c:pt idx="0">
                  <c:v>Oui, 1 fois</c:v>
                </c:pt>
                <c:pt idx="1">
                  <c:v>Oui, 2 fois</c:v>
                </c:pt>
                <c:pt idx="2">
                  <c:v>Oui, plus de 2 fois</c:v>
                </c:pt>
              </c:strCache>
            </c:strRef>
          </c:cat>
          <c:val>
            <c:numRef>
              <c:f>Feuil1!$N$35:$N$37</c:f>
              <c:numCache>
                <c:formatCode>0.0%</c:formatCode>
                <c:ptCount val="3"/>
                <c:pt idx="0">
                  <c:v>0.87183811129849675</c:v>
                </c:pt>
                <c:pt idx="1">
                  <c:v>0.10623946037099496</c:v>
                </c:pt>
                <c:pt idx="2">
                  <c:v>2.1922428330522763E-2</c:v>
                </c:pt>
              </c:numCache>
            </c:numRef>
          </c:val>
        </c:ser>
        <c:ser>
          <c:idx val="1"/>
          <c:order val="1"/>
          <c:tx>
            <c:strRef>
              <c:f>Feuil1!$O$34</c:f>
              <c:strCache>
                <c:ptCount val="1"/>
                <c:pt idx="0">
                  <c:v>Informel</c:v>
                </c:pt>
              </c:strCache>
            </c:strRef>
          </c:tx>
          <c:cat>
            <c:strRef>
              <c:f>Feuil1!$M$35:$M$37</c:f>
              <c:strCache>
                <c:ptCount val="3"/>
                <c:pt idx="0">
                  <c:v>Oui, 1 fois</c:v>
                </c:pt>
                <c:pt idx="1">
                  <c:v>Oui, 2 fois</c:v>
                </c:pt>
                <c:pt idx="2">
                  <c:v>Oui, plus de 2 fois</c:v>
                </c:pt>
              </c:strCache>
            </c:strRef>
          </c:cat>
          <c:val>
            <c:numRef>
              <c:f>Feuil1!$O$35:$O$37</c:f>
              <c:numCache>
                <c:formatCode>0.0%</c:formatCode>
                <c:ptCount val="3"/>
                <c:pt idx="0">
                  <c:v>0.90769230769230769</c:v>
                </c:pt>
                <c:pt idx="1">
                  <c:v>6.1538461538461584E-2</c:v>
                </c:pt>
                <c:pt idx="2">
                  <c:v>3.0769230769230792E-2</c:v>
                </c:pt>
              </c:numCache>
            </c:numRef>
          </c:val>
        </c:ser>
        <c:shape val="cylinder"/>
        <c:axId val="221895680"/>
        <c:axId val="222061312"/>
        <c:axId val="0"/>
      </c:bar3DChart>
      <c:catAx>
        <c:axId val="221895680"/>
        <c:scaling>
          <c:orientation val="minMax"/>
        </c:scaling>
        <c:axPos val="b"/>
        <c:numFmt formatCode="General" sourceLinked="0"/>
        <c:tickLblPos val="nextTo"/>
        <c:txPr>
          <a:bodyPr/>
          <a:lstStyle/>
          <a:p>
            <a:pPr>
              <a:defRPr sz="800">
                <a:latin typeface="Book Antiqua" pitchFamily="18" charset="0"/>
              </a:defRPr>
            </a:pPr>
            <a:endParaRPr lang="fr-FR"/>
          </a:p>
        </c:txPr>
        <c:crossAx val="222061312"/>
        <c:crosses val="autoZero"/>
        <c:auto val="1"/>
        <c:lblAlgn val="ctr"/>
        <c:lblOffset val="100"/>
      </c:catAx>
      <c:valAx>
        <c:axId val="222061312"/>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21895680"/>
        <c:crosses val="autoZero"/>
        <c:crossBetween val="between"/>
      </c:valAx>
    </c:plotArea>
    <c:legend>
      <c:legendPos val="r"/>
      <c:layout>
        <c:manualLayout>
          <c:xMode val="edge"/>
          <c:yMode val="edge"/>
          <c:x val="2.750065616797899E-2"/>
          <c:y val="0.82831984543598713"/>
          <c:w val="0.78083267716535432"/>
          <c:h val="9.394341455349578E-2"/>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cat>
            <c:strRef>
              <c:f>Feuil1!$H$53:$O$53</c:f>
              <c:strCache>
                <c:ptCount val="8"/>
                <c:pt idx="0">
                  <c:v>50 000 ou Moins</c:v>
                </c:pt>
                <c:pt idx="1">
                  <c:v>]50 000 ; 100 000]</c:v>
                </c:pt>
                <c:pt idx="2">
                  <c:v>]100 000 ; 200 000]</c:v>
                </c:pt>
                <c:pt idx="3">
                  <c:v>]200 000 ; 300 000]</c:v>
                </c:pt>
                <c:pt idx="4">
                  <c:v>]300 000 ; 500 000]</c:v>
                </c:pt>
                <c:pt idx="5">
                  <c:v>]500 000 ; 1 million]</c:v>
                </c:pt>
                <c:pt idx="6">
                  <c:v>]1 million ; 1,5 million]</c:v>
                </c:pt>
                <c:pt idx="7">
                  <c:v>Plus de 1,5 million</c:v>
                </c:pt>
              </c:strCache>
            </c:strRef>
          </c:cat>
          <c:val>
            <c:numRef>
              <c:f>Feuil1!$H$54:$O$54</c:f>
              <c:numCache>
                <c:formatCode>0.0%</c:formatCode>
                <c:ptCount val="8"/>
                <c:pt idx="0">
                  <c:v>4.575163398692933E-2</c:v>
                </c:pt>
                <c:pt idx="1">
                  <c:v>0.10204081632653061</c:v>
                </c:pt>
                <c:pt idx="2">
                  <c:v>0.13970007892659828</c:v>
                </c:pt>
                <c:pt idx="3">
                  <c:v>0.17592592592592593</c:v>
                </c:pt>
                <c:pt idx="4">
                  <c:v>0.23726346433770293</c:v>
                </c:pt>
                <c:pt idx="5">
                  <c:v>0.31818181818182267</c:v>
                </c:pt>
                <c:pt idx="6">
                  <c:v>0.3200000000000045</c:v>
                </c:pt>
                <c:pt idx="7">
                  <c:v>0.47058823529412358</c:v>
                </c:pt>
              </c:numCache>
            </c:numRef>
          </c:val>
        </c:ser>
        <c:marker val="1"/>
        <c:axId val="222359552"/>
        <c:axId val="222361088"/>
      </c:lineChart>
      <c:catAx>
        <c:axId val="222359552"/>
        <c:scaling>
          <c:orientation val="minMax"/>
        </c:scaling>
        <c:axPos val="b"/>
        <c:numFmt formatCode="General" sourceLinked="0"/>
        <c:tickLblPos val="nextTo"/>
        <c:txPr>
          <a:bodyPr/>
          <a:lstStyle/>
          <a:p>
            <a:pPr>
              <a:defRPr sz="800" b="1">
                <a:latin typeface="Book Antiqua" pitchFamily="18" charset="0"/>
              </a:defRPr>
            </a:pPr>
            <a:endParaRPr lang="fr-FR"/>
          </a:p>
        </c:txPr>
        <c:crossAx val="222361088"/>
        <c:crosses val="autoZero"/>
        <c:auto val="1"/>
        <c:lblAlgn val="ctr"/>
        <c:lblOffset val="100"/>
      </c:catAx>
      <c:valAx>
        <c:axId val="222361088"/>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22359552"/>
        <c:crosses val="autoZero"/>
        <c:crossBetween val="between"/>
      </c:valAx>
    </c:plotArea>
    <c:plotVisOnly val="1"/>
    <c:dispBlanksAs val="gap"/>
  </c:chart>
  <c:externalData r:id="rId1"/>
</c:chartSpace>
</file>

<file path=word/charts/chart14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9.7504160560374101E-2"/>
          <c:y val="5.1400554097404488E-2"/>
          <c:w val="0.87962111991521563"/>
          <c:h val="0.61408279254565534"/>
        </c:manualLayout>
      </c:layout>
      <c:bar3DChart>
        <c:barDir val="col"/>
        <c:grouping val="clustered"/>
        <c:ser>
          <c:idx val="0"/>
          <c:order val="0"/>
          <c:tx>
            <c:strRef>
              <c:f>Feuil1!$G$56</c:f>
              <c:strCache>
                <c:ptCount val="1"/>
                <c:pt idx="0">
                  <c:v>Oui, 1 fois</c:v>
                </c:pt>
              </c:strCache>
            </c:strRef>
          </c:tx>
          <c:cat>
            <c:strRef>
              <c:f>Feuil1!$H$55:$O$55</c:f>
              <c:strCache>
                <c:ptCount val="8"/>
                <c:pt idx="0">
                  <c:v>50 000 ou Moins</c:v>
                </c:pt>
                <c:pt idx="1">
                  <c:v>]50 000 ; 100 000]</c:v>
                </c:pt>
                <c:pt idx="2">
                  <c:v>]100 000 ; 200 000]</c:v>
                </c:pt>
                <c:pt idx="3">
                  <c:v>]200 000 ; 300 000]</c:v>
                </c:pt>
                <c:pt idx="4">
                  <c:v>]300 000 ; 500 000]</c:v>
                </c:pt>
                <c:pt idx="5">
                  <c:v>]500 000 ; 1 million]</c:v>
                </c:pt>
                <c:pt idx="6">
                  <c:v>]1 million ; 1,5 million]</c:v>
                </c:pt>
                <c:pt idx="7">
                  <c:v>Plus de 1,5 million</c:v>
                </c:pt>
              </c:strCache>
            </c:strRef>
          </c:cat>
          <c:val>
            <c:numRef>
              <c:f>Feuil1!$H$56:$O$56</c:f>
              <c:numCache>
                <c:formatCode>0.0%</c:formatCode>
                <c:ptCount val="8"/>
                <c:pt idx="0">
                  <c:v>1</c:v>
                </c:pt>
                <c:pt idx="1">
                  <c:v>0.9142857142857147</c:v>
                </c:pt>
                <c:pt idx="2">
                  <c:v>0.90960451977401124</c:v>
                </c:pt>
                <c:pt idx="3">
                  <c:v>0.8789473684210527</c:v>
                </c:pt>
                <c:pt idx="4">
                  <c:v>0.83435582822085885</c:v>
                </c:pt>
                <c:pt idx="5">
                  <c:v>0.90476190476189999</c:v>
                </c:pt>
                <c:pt idx="6">
                  <c:v>0.7500000000000081</c:v>
                </c:pt>
                <c:pt idx="7">
                  <c:v>0.375000000000004</c:v>
                </c:pt>
              </c:numCache>
            </c:numRef>
          </c:val>
        </c:ser>
        <c:ser>
          <c:idx val="1"/>
          <c:order val="1"/>
          <c:tx>
            <c:strRef>
              <c:f>Feuil1!$G$57</c:f>
              <c:strCache>
                <c:ptCount val="1"/>
                <c:pt idx="0">
                  <c:v>Oui, 2 fois</c:v>
                </c:pt>
              </c:strCache>
            </c:strRef>
          </c:tx>
          <c:cat>
            <c:strRef>
              <c:f>Feuil1!$H$55:$O$55</c:f>
              <c:strCache>
                <c:ptCount val="8"/>
                <c:pt idx="0">
                  <c:v>50 000 ou Moins</c:v>
                </c:pt>
                <c:pt idx="1">
                  <c:v>]50 000 ; 100 000]</c:v>
                </c:pt>
                <c:pt idx="2">
                  <c:v>]100 000 ; 200 000]</c:v>
                </c:pt>
                <c:pt idx="3">
                  <c:v>]200 000 ; 300 000]</c:v>
                </c:pt>
                <c:pt idx="4">
                  <c:v>]300 000 ; 500 000]</c:v>
                </c:pt>
                <c:pt idx="5">
                  <c:v>]500 000 ; 1 million]</c:v>
                </c:pt>
                <c:pt idx="6">
                  <c:v>]1 million ; 1,5 million]</c:v>
                </c:pt>
                <c:pt idx="7">
                  <c:v>Plus de 1,5 million</c:v>
                </c:pt>
              </c:strCache>
            </c:strRef>
          </c:cat>
          <c:val>
            <c:numRef>
              <c:f>Feuil1!$H$57:$O$57</c:f>
              <c:numCache>
                <c:formatCode>0.0%</c:formatCode>
                <c:ptCount val="8"/>
                <c:pt idx="0">
                  <c:v>0</c:v>
                </c:pt>
                <c:pt idx="1">
                  <c:v>5.7142857142857141E-2</c:v>
                </c:pt>
                <c:pt idx="2">
                  <c:v>7.9096045197740134E-2</c:v>
                </c:pt>
                <c:pt idx="3">
                  <c:v>8.4210526315789527E-2</c:v>
                </c:pt>
                <c:pt idx="4">
                  <c:v>0.15337423312883441</c:v>
                </c:pt>
                <c:pt idx="5">
                  <c:v>7.9365079365079361E-2</c:v>
                </c:pt>
                <c:pt idx="6">
                  <c:v>0.25</c:v>
                </c:pt>
                <c:pt idx="7">
                  <c:v>0.375000000000004</c:v>
                </c:pt>
              </c:numCache>
            </c:numRef>
          </c:val>
        </c:ser>
        <c:ser>
          <c:idx val="2"/>
          <c:order val="2"/>
          <c:tx>
            <c:strRef>
              <c:f>Feuil1!$G$58</c:f>
              <c:strCache>
                <c:ptCount val="1"/>
                <c:pt idx="0">
                  <c:v>Oui, plus de 2 fois</c:v>
                </c:pt>
              </c:strCache>
            </c:strRef>
          </c:tx>
          <c:cat>
            <c:strRef>
              <c:f>Feuil1!$H$55:$O$55</c:f>
              <c:strCache>
                <c:ptCount val="8"/>
                <c:pt idx="0">
                  <c:v>50 000 ou Moins</c:v>
                </c:pt>
                <c:pt idx="1">
                  <c:v>]50 000 ; 100 000]</c:v>
                </c:pt>
                <c:pt idx="2">
                  <c:v>]100 000 ; 200 000]</c:v>
                </c:pt>
                <c:pt idx="3">
                  <c:v>]200 000 ; 300 000]</c:v>
                </c:pt>
                <c:pt idx="4">
                  <c:v>]300 000 ; 500 000]</c:v>
                </c:pt>
                <c:pt idx="5">
                  <c:v>]500 000 ; 1 million]</c:v>
                </c:pt>
                <c:pt idx="6">
                  <c:v>]1 million ; 1,5 million]</c:v>
                </c:pt>
                <c:pt idx="7">
                  <c:v>Plus de 1,5 million</c:v>
                </c:pt>
              </c:strCache>
            </c:strRef>
          </c:cat>
          <c:val>
            <c:numRef>
              <c:f>Feuil1!$H$58:$O$58</c:f>
              <c:numCache>
                <c:formatCode>0.0%</c:formatCode>
                <c:ptCount val="8"/>
                <c:pt idx="0">
                  <c:v>0</c:v>
                </c:pt>
                <c:pt idx="1">
                  <c:v>2.8571428571428591E-2</c:v>
                </c:pt>
                <c:pt idx="2">
                  <c:v>1.1299435028248589E-2</c:v>
                </c:pt>
                <c:pt idx="3">
                  <c:v>3.6842105263157891E-2</c:v>
                </c:pt>
                <c:pt idx="4">
                  <c:v>1.2269938650306744E-2</c:v>
                </c:pt>
                <c:pt idx="5">
                  <c:v>1.5873015873015879E-2</c:v>
                </c:pt>
                <c:pt idx="6">
                  <c:v>0</c:v>
                </c:pt>
                <c:pt idx="7">
                  <c:v>0.25</c:v>
                </c:pt>
              </c:numCache>
            </c:numRef>
          </c:val>
        </c:ser>
        <c:shape val="cylinder"/>
        <c:axId val="222578944"/>
        <c:axId val="222584832"/>
        <c:axId val="0"/>
      </c:bar3DChart>
      <c:catAx>
        <c:axId val="222578944"/>
        <c:scaling>
          <c:orientation val="minMax"/>
        </c:scaling>
        <c:axPos val="b"/>
        <c:numFmt formatCode="General" sourceLinked="0"/>
        <c:tickLblPos val="nextTo"/>
        <c:txPr>
          <a:bodyPr/>
          <a:lstStyle/>
          <a:p>
            <a:pPr>
              <a:defRPr sz="800" b="1">
                <a:latin typeface="Book Antiqua" pitchFamily="18" charset="0"/>
              </a:defRPr>
            </a:pPr>
            <a:endParaRPr lang="fr-FR"/>
          </a:p>
        </c:txPr>
        <c:crossAx val="222584832"/>
        <c:crosses val="autoZero"/>
        <c:auto val="1"/>
        <c:lblAlgn val="ctr"/>
        <c:lblOffset val="100"/>
      </c:catAx>
      <c:valAx>
        <c:axId val="222584832"/>
        <c:scaling>
          <c:orientation val="minMax"/>
        </c:scaling>
        <c:axPos val="l"/>
        <c:majorGridlines/>
        <c:numFmt formatCode="0.0%" sourceLinked="1"/>
        <c:tickLblPos val="nextTo"/>
        <c:txPr>
          <a:bodyPr/>
          <a:lstStyle/>
          <a:p>
            <a:pPr>
              <a:defRPr sz="800" b="1"/>
            </a:pPr>
            <a:endParaRPr lang="fr-FR"/>
          </a:p>
        </c:txPr>
        <c:crossAx val="222578944"/>
        <c:crosses val="autoZero"/>
        <c:crossBetween val="between"/>
      </c:valAx>
    </c:plotArea>
    <c:legend>
      <c:legendPos val="r"/>
      <c:layout>
        <c:manualLayout>
          <c:xMode val="edge"/>
          <c:yMode val="edge"/>
          <c:x val="0.15490313218550925"/>
          <c:y val="0.88271421340943135"/>
          <c:w val="0.72009689413823263"/>
          <c:h val="9.4953446575256936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bar"/>
        <c:grouping val="stacked"/>
        <c:varyColors val="1"/>
        <c:ser>
          <c:idx val="0"/>
          <c:order val="0"/>
          <c:dLbls>
            <c:dLbl>
              <c:idx val="0"/>
              <c:layout>
                <c:manualLayout>
                  <c:x val="6.7567567567567571E-2"/>
                  <c:y val="0"/>
                </c:manualLayout>
              </c:layout>
              <c:showVal val="1"/>
              <c:extLst>
                <c:ext xmlns:c15="http://schemas.microsoft.com/office/drawing/2012/chart" uri="{CE6537A1-D6FC-4f65-9D91-7224C49458BB}"/>
              </c:extLst>
            </c:dLbl>
            <c:dLbl>
              <c:idx val="1"/>
              <c:layout>
                <c:manualLayout>
                  <c:x val="0.10585585585585586"/>
                  <c:y val="0"/>
                </c:manualLayout>
              </c:layout>
              <c:showVal val="1"/>
              <c:extLst>
                <c:ext xmlns:c15="http://schemas.microsoft.com/office/drawing/2012/chart" uri="{CE6537A1-D6FC-4f65-9D91-7224C49458BB}"/>
              </c:extLst>
            </c:dLbl>
            <c:dLbl>
              <c:idx val="2"/>
              <c:layout>
                <c:manualLayout>
                  <c:x val="0.12837837837837837"/>
                  <c:y val="0"/>
                </c:manualLayout>
              </c:layout>
              <c:showVal val="1"/>
              <c:extLst>
                <c:ext xmlns:c15="http://schemas.microsoft.com/office/drawing/2012/chart" uri="{CE6537A1-D6FC-4f65-9D91-7224C49458BB}"/>
              </c:extLst>
            </c:dLbl>
            <c:dLbl>
              <c:idx val="3"/>
              <c:layout>
                <c:manualLayout>
                  <c:x val="0.16216216216216439"/>
                  <c:y val="-1.0796222852175056E-2"/>
                </c:manualLayout>
              </c:layout>
              <c:showVal val="1"/>
              <c:extLst>
                <c:ext xmlns:c15="http://schemas.microsoft.com/office/drawing/2012/chart" uri="{CE6537A1-D6FC-4f65-9D91-7224C49458BB}"/>
              </c:extLst>
            </c:dLbl>
            <c:dLbl>
              <c:idx val="4"/>
              <c:layout>
                <c:manualLayout>
                  <c:x val="0.168918918918919"/>
                  <c:y val="-7.1974819014500374E-3"/>
                </c:manualLayout>
              </c:layout>
              <c:showVal val="1"/>
              <c:extLst>
                <c:ext xmlns:c15="http://schemas.microsoft.com/office/drawing/2012/chart" uri="{CE6537A1-D6FC-4f65-9D91-7224C49458BB}"/>
              </c:extLst>
            </c:dLbl>
            <c:dLbl>
              <c:idx val="5"/>
              <c:layout>
                <c:manualLayout>
                  <c:x val="0.1711711711711712"/>
                  <c:y val="-7.1974819014500374E-3"/>
                </c:manualLayout>
              </c:layout>
              <c:showVal val="1"/>
              <c:extLst>
                <c:ext xmlns:c15="http://schemas.microsoft.com/office/drawing/2012/chart" uri="{CE6537A1-D6FC-4f65-9D91-7224C49458BB}"/>
              </c:extLst>
            </c:dLbl>
            <c:dLbl>
              <c:idx val="6"/>
              <c:layout>
                <c:manualLayout>
                  <c:x val="0.18918918918919275"/>
                  <c:y val="-1.0796222852175056E-2"/>
                </c:manualLayout>
              </c:layout>
              <c:showVal val="1"/>
              <c:extLst>
                <c:ext xmlns:c15="http://schemas.microsoft.com/office/drawing/2012/chart" uri="{CE6537A1-D6FC-4f65-9D91-7224C49458BB}"/>
              </c:extLst>
            </c:dLbl>
            <c:dLbl>
              <c:idx val="7"/>
              <c:layout>
                <c:manualLayout>
                  <c:x val="0.27927927927928525"/>
                  <c:y val="0"/>
                </c:manualLayout>
              </c:layout>
              <c:showVal val="1"/>
              <c:extLst>
                <c:ext xmlns:c15="http://schemas.microsoft.com/office/drawing/2012/chart" uri="{CE6537A1-D6FC-4f65-9D91-7224C49458BB}"/>
              </c:extLst>
            </c:dLbl>
            <c:dLbl>
              <c:idx val="8"/>
              <c:layout>
                <c:manualLayout>
                  <c:x val="0.29054054054054052"/>
                  <c:y val="-1.0796222852175056E-2"/>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Feuil3!$A$1:$A$9</c:f>
              <c:strCache>
                <c:ptCount val="9"/>
                <c:pt idx="0">
                  <c:v>Litige</c:v>
                </c:pt>
                <c:pt idx="1">
                  <c:v>Rachat de crédit</c:v>
                </c:pt>
                <c:pt idx="2">
                  <c:v>Qualité de l'accuei</c:v>
                </c:pt>
                <c:pt idx="3">
                  <c:v>Non conformité des produits</c:v>
                </c:pt>
                <c:pt idx="4">
                  <c:v>Réclamation non satisfaite</c:v>
                </c:pt>
                <c:pt idx="5">
                  <c:v>Autre</c:v>
                </c:pt>
                <c:pt idx="6">
                  <c:v>Inadaptation des produits</c:v>
                </c:pt>
                <c:pt idx="7">
                  <c:v>Coût élevé des services</c:v>
                </c:pt>
                <c:pt idx="8">
                  <c:v>Difficultés d'obtention du crédit</c:v>
                </c:pt>
              </c:strCache>
            </c:strRef>
          </c:cat>
          <c:val>
            <c:numRef>
              <c:f>Feuil3!$B$1:$B$9</c:f>
              <c:numCache>
                <c:formatCode>0.0%</c:formatCode>
                <c:ptCount val="9"/>
                <c:pt idx="0">
                  <c:v>2.6960784313725478E-2</c:v>
                </c:pt>
                <c:pt idx="1">
                  <c:v>5.514705882352941E-2</c:v>
                </c:pt>
                <c:pt idx="2">
                  <c:v>8.0882352941176544E-2</c:v>
                </c:pt>
                <c:pt idx="3">
                  <c:v>0.10171568627451161</c:v>
                </c:pt>
                <c:pt idx="4">
                  <c:v>0.1053921568627451</c:v>
                </c:pt>
                <c:pt idx="5">
                  <c:v>0.11151960784313725</c:v>
                </c:pt>
                <c:pt idx="6">
                  <c:v>0.12132352941176472</c:v>
                </c:pt>
                <c:pt idx="7">
                  <c:v>0.18995098039216018</c:v>
                </c:pt>
                <c:pt idx="8">
                  <c:v>0.20710784313725494</c:v>
                </c:pt>
              </c:numCache>
            </c:numRef>
          </c:val>
        </c:ser>
        <c:shape val="cylinder"/>
        <c:axId val="222629888"/>
        <c:axId val="222631424"/>
        <c:axId val="0"/>
      </c:bar3DChart>
      <c:catAx>
        <c:axId val="222629888"/>
        <c:scaling>
          <c:orientation val="minMax"/>
        </c:scaling>
        <c:axPos val="l"/>
        <c:numFmt formatCode="General" sourceLinked="0"/>
        <c:tickLblPos val="nextTo"/>
        <c:txPr>
          <a:bodyPr/>
          <a:lstStyle/>
          <a:p>
            <a:pPr>
              <a:defRPr sz="800" b="1">
                <a:latin typeface="Book Antiqua" pitchFamily="18" charset="0"/>
              </a:defRPr>
            </a:pPr>
            <a:endParaRPr lang="fr-FR"/>
          </a:p>
        </c:txPr>
        <c:crossAx val="222631424"/>
        <c:crosses val="autoZero"/>
        <c:auto val="1"/>
        <c:lblAlgn val="ctr"/>
        <c:lblOffset val="100"/>
      </c:catAx>
      <c:valAx>
        <c:axId val="222631424"/>
        <c:scaling>
          <c:orientation val="minMax"/>
        </c:scaling>
        <c:axPos val="b"/>
        <c:majorGridlines/>
        <c:numFmt formatCode="0.0%" sourceLinked="1"/>
        <c:tickLblPos val="nextTo"/>
        <c:txPr>
          <a:bodyPr/>
          <a:lstStyle/>
          <a:p>
            <a:pPr>
              <a:defRPr sz="800" b="1">
                <a:latin typeface="Book Antiqua" pitchFamily="18" charset="0"/>
              </a:defRPr>
            </a:pPr>
            <a:endParaRPr lang="fr-FR"/>
          </a:p>
        </c:txPr>
        <c:crossAx val="222629888"/>
        <c:crosses val="autoZero"/>
        <c:crossBetween val="between"/>
      </c:valAx>
    </c:plotArea>
    <c:plotVisOnly val="1"/>
    <c:dispBlanksAs val="gap"/>
  </c:chart>
  <c:externalData r:id="rId1"/>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1147462817147856"/>
          <c:y val="4.4521375166834375E-2"/>
          <c:w val="0.88852537182852143"/>
          <c:h val="0.61842944077841999"/>
        </c:manualLayout>
      </c:layout>
      <c:bar3DChart>
        <c:barDir val="col"/>
        <c:grouping val="clustered"/>
        <c:ser>
          <c:idx val="0"/>
          <c:order val="0"/>
          <c:tx>
            <c:strRef>
              <c:f>Feuil5!$H$65</c:f>
              <c:strCache>
                <c:ptCount val="1"/>
                <c:pt idx="0">
                  <c:v>Qualité de l'accuei</c:v>
                </c:pt>
              </c:strCache>
            </c:strRef>
          </c:tx>
          <c:cat>
            <c:strRef>
              <c:f>Feuil5!$I$64:$J$64</c:f>
              <c:strCache>
                <c:ptCount val="2"/>
                <c:pt idx="0">
                  <c:v>Formelle</c:v>
                </c:pt>
                <c:pt idx="1">
                  <c:v>Informelle</c:v>
                </c:pt>
              </c:strCache>
            </c:strRef>
          </c:cat>
          <c:val>
            <c:numRef>
              <c:f>Feuil5!$I$65:$J$65</c:f>
              <c:numCache>
                <c:formatCode>0.0%</c:formatCode>
                <c:ptCount val="2"/>
                <c:pt idx="0">
                  <c:v>8.4815321477428207E-2</c:v>
                </c:pt>
                <c:pt idx="1">
                  <c:v>5.3333333333334391E-2</c:v>
                </c:pt>
              </c:numCache>
            </c:numRef>
          </c:val>
        </c:ser>
        <c:ser>
          <c:idx val="1"/>
          <c:order val="1"/>
          <c:tx>
            <c:strRef>
              <c:f>Feuil5!$H$66</c:f>
              <c:strCache>
                <c:ptCount val="1"/>
                <c:pt idx="0">
                  <c:v>Inadaptation des produits</c:v>
                </c:pt>
              </c:strCache>
            </c:strRef>
          </c:tx>
          <c:cat>
            <c:strRef>
              <c:f>Feuil5!$I$64:$J$64</c:f>
              <c:strCache>
                <c:ptCount val="2"/>
                <c:pt idx="0">
                  <c:v>Formelle</c:v>
                </c:pt>
                <c:pt idx="1">
                  <c:v>Informelle</c:v>
                </c:pt>
              </c:strCache>
            </c:strRef>
          </c:cat>
          <c:val>
            <c:numRef>
              <c:f>Feuil5!$I$66:$J$66</c:f>
              <c:numCache>
                <c:formatCode>0.0%</c:formatCode>
                <c:ptCount val="2"/>
                <c:pt idx="0">
                  <c:v>0.12311901504787962</c:v>
                </c:pt>
                <c:pt idx="1">
                  <c:v>0.12000000000000002</c:v>
                </c:pt>
              </c:numCache>
            </c:numRef>
          </c:val>
        </c:ser>
        <c:ser>
          <c:idx val="2"/>
          <c:order val="2"/>
          <c:tx>
            <c:strRef>
              <c:f>Feuil5!$H$67</c:f>
              <c:strCache>
                <c:ptCount val="1"/>
                <c:pt idx="0">
                  <c:v>Non conformité des produits</c:v>
                </c:pt>
              </c:strCache>
            </c:strRef>
          </c:tx>
          <c:cat>
            <c:strRef>
              <c:f>Feuil5!$I$64:$J$64</c:f>
              <c:strCache>
                <c:ptCount val="2"/>
                <c:pt idx="0">
                  <c:v>Formelle</c:v>
                </c:pt>
                <c:pt idx="1">
                  <c:v>Informelle</c:v>
                </c:pt>
              </c:strCache>
            </c:strRef>
          </c:cat>
          <c:val>
            <c:numRef>
              <c:f>Feuil5!$I$67:$J$67</c:f>
              <c:numCache>
                <c:formatCode>0.0%</c:formatCode>
                <c:ptCount val="2"/>
                <c:pt idx="0">
                  <c:v>9.4391244870041038E-2</c:v>
                </c:pt>
                <c:pt idx="1">
                  <c:v>5.3333333333334391E-2</c:v>
                </c:pt>
              </c:numCache>
            </c:numRef>
          </c:val>
        </c:ser>
        <c:ser>
          <c:idx val="3"/>
          <c:order val="3"/>
          <c:tx>
            <c:strRef>
              <c:f>Feuil5!$H$68</c:f>
              <c:strCache>
                <c:ptCount val="1"/>
                <c:pt idx="0">
                  <c:v>Difficultés d'obtention du crédit</c:v>
                </c:pt>
              </c:strCache>
            </c:strRef>
          </c:tx>
          <c:cat>
            <c:strRef>
              <c:f>Feuil5!$I$64:$J$64</c:f>
              <c:strCache>
                <c:ptCount val="2"/>
                <c:pt idx="0">
                  <c:v>Formelle</c:v>
                </c:pt>
                <c:pt idx="1">
                  <c:v>Informelle</c:v>
                </c:pt>
              </c:strCache>
            </c:strRef>
          </c:cat>
          <c:val>
            <c:numRef>
              <c:f>Feuil5!$I$68:$J$68</c:f>
              <c:numCache>
                <c:formatCode>0.0%</c:formatCode>
                <c:ptCount val="2"/>
                <c:pt idx="0">
                  <c:v>0.20793433652531274</c:v>
                </c:pt>
                <c:pt idx="1">
                  <c:v>0.22666666666666666</c:v>
                </c:pt>
              </c:numCache>
            </c:numRef>
          </c:val>
        </c:ser>
        <c:ser>
          <c:idx val="4"/>
          <c:order val="4"/>
          <c:tx>
            <c:strRef>
              <c:f>Feuil5!$H$69</c:f>
              <c:strCache>
                <c:ptCount val="1"/>
                <c:pt idx="0">
                  <c:v>Litige</c:v>
                </c:pt>
              </c:strCache>
            </c:strRef>
          </c:tx>
          <c:cat>
            <c:strRef>
              <c:f>Feuil5!$I$64:$J$64</c:f>
              <c:strCache>
                <c:ptCount val="2"/>
                <c:pt idx="0">
                  <c:v>Formelle</c:v>
                </c:pt>
                <c:pt idx="1">
                  <c:v>Informelle</c:v>
                </c:pt>
              </c:strCache>
            </c:strRef>
          </c:cat>
          <c:val>
            <c:numRef>
              <c:f>Feuil5!$I$69:$J$69</c:f>
              <c:numCache>
                <c:formatCode>0.0%</c:formatCode>
                <c:ptCount val="2"/>
                <c:pt idx="0">
                  <c:v>2.7359781121751026E-2</c:v>
                </c:pt>
                <c:pt idx="1">
                  <c:v>2.6666666666666672E-2</c:v>
                </c:pt>
              </c:numCache>
            </c:numRef>
          </c:val>
        </c:ser>
        <c:ser>
          <c:idx val="5"/>
          <c:order val="5"/>
          <c:tx>
            <c:strRef>
              <c:f>Feuil5!$H$70</c:f>
              <c:strCache>
                <c:ptCount val="1"/>
                <c:pt idx="0">
                  <c:v>Réclamation non satisfaite</c:v>
                </c:pt>
              </c:strCache>
            </c:strRef>
          </c:tx>
          <c:cat>
            <c:strRef>
              <c:f>Feuil5!$I$64:$J$64</c:f>
              <c:strCache>
                <c:ptCount val="2"/>
                <c:pt idx="0">
                  <c:v>Formelle</c:v>
                </c:pt>
                <c:pt idx="1">
                  <c:v>Informelle</c:v>
                </c:pt>
              </c:strCache>
            </c:strRef>
          </c:cat>
          <c:val>
            <c:numRef>
              <c:f>Feuil5!$I$70:$J$70</c:f>
              <c:numCache>
                <c:formatCode>0.0%</c:formatCode>
                <c:ptCount val="2"/>
                <c:pt idx="0">
                  <c:v>0.10670314637483092</c:v>
                </c:pt>
                <c:pt idx="1">
                  <c:v>0.1066666666666681</c:v>
                </c:pt>
              </c:numCache>
            </c:numRef>
          </c:val>
        </c:ser>
        <c:ser>
          <c:idx val="6"/>
          <c:order val="6"/>
          <c:tx>
            <c:strRef>
              <c:f>Feuil5!$H$71</c:f>
              <c:strCache>
                <c:ptCount val="1"/>
                <c:pt idx="0">
                  <c:v>Rachat de crédit</c:v>
                </c:pt>
              </c:strCache>
            </c:strRef>
          </c:tx>
          <c:cat>
            <c:strRef>
              <c:f>Feuil5!$I$64:$J$64</c:f>
              <c:strCache>
                <c:ptCount val="2"/>
                <c:pt idx="0">
                  <c:v>Formelle</c:v>
                </c:pt>
                <c:pt idx="1">
                  <c:v>Informelle</c:v>
                </c:pt>
              </c:strCache>
            </c:strRef>
          </c:cat>
          <c:val>
            <c:numRef>
              <c:f>Feuil5!$I$71:$J$71</c:f>
              <c:numCache>
                <c:formatCode>0.0%</c:formatCode>
                <c:ptCount val="2"/>
                <c:pt idx="0">
                  <c:v>6.1559507523939808E-2</c:v>
                </c:pt>
                <c:pt idx="1">
                  <c:v>0</c:v>
                </c:pt>
              </c:numCache>
            </c:numRef>
          </c:val>
        </c:ser>
        <c:ser>
          <c:idx val="7"/>
          <c:order val="7"/>
          <c:tx>
            <c:strRef>
              <c:f>Feuil5!$H$72</c:f>
              <c:strCache>
                <c:ptCount val="1"/>
                <c:pt idx="0">
                  <c:v>Coût élevé des services</c:v>
                </c:pt>
              </c:strCache>
            </c:strRef>
          </c:tx>
          <c:cat>
            <c:strRef>
              <c:f>Feuil5!$I$64:$J$64</c:f>
              <c:strCache>
                <c:ptCount val="2"/>
                <c:pt idx="0">
                  <c:v>Formelle</c:v>
                </c:pt>
                <c:pt idx="1">
                  <c:v>Informelle</c:v>
                </c:pt>
              </c:strCache>
            </c:strRef>
          </c:cat>
          <c:val>
            <c:numRef>
              <c:f>Feuil5!$I$72:$J$72</c:f>
              <c:numCache>
                <c:formatCode>0.0%</c:formatCode>
                <c:ptCount val="2"/>
                <c:pt idx="0">
                  <c:v>0.18467852257181938</c:v>
                </c:pt>
                <c:pt idx="1">
                  <c:v>0.26666666666666738</c:v>
                </c:pt>
              </c:numCache>
            </c:numRef>
          </c:val>
        </c:ser>
        <c:ser>
          <c:idx val="8"/>
          <c:order val="8"/>
          <c:tx>
            <c:strRef>
              <c:f>Feuil5!$H$73</c:f>
              <c:strCache>
                <c:ptCount val="1"/>
                <c:pt idx="0">
                  <c:v>Autre </c:v>
                </c:pt>
              </c:strCache>
            </c:strRef>
          </c:tx>
          <c:cat>
            <c:strRef>
              <c:f>Feuil5!$I$64:$J$64</c:f>
              <c:strCache>
                <c:ptCount val="2"/>
                <c:pt idx="0">
                  <c:v>Formelle</c:v>
                </c:pt>
                <c:pt idx="1">
                  <c:v>Informelle</c:v>
                </c:pt>
              </c:strCache>
            </c:strRef>
          </c:cat>
          <c:val>
            <c:numRef>
              <c:f>Feuil5!$I$73:$J$73</c:f>
              <c:numCache>
                <c:formatCode>0.0%</c:formatCode>
                <c:ptCount val="2"/>
                <c:pt idx="0">
                  <c:v>0.1094391244870053</c:v>
                </c:pt>
                <c:pt idx="1">
                  <c:v>0.1466666666666667</c:v>
                </c:pt>
              </c:numCache>
            </c:numRef>
          </c:val>
        </c:ser>
        <c:shape val="cylinder"/>
        <c:axId val="222788608"/>
        <c:axId val="222802688"/>
        <c:axId val="0"/>
      </c:bar3DChart>
      <c:catAx>
        <c:axId val="222788608"/>
        <c:scaling>
          <c:orientation val="minMax"/>
        </c:scaling>
        <c:axPos val="b"/>
        <c:numFmt formatCode="General" sourceLinked="0"/>
        <c:tickLblPos val="nextTo"/>
        <c:txPr>
          <a:bodyPr/>
          <a:lstStyle/>
          <a:p>
            <a:pPr>
              <a:defRPr sz="800">
                <a:latin typeface="Book Antiqua" pitchFamily="18" charset="0"/>
              </a:defRPr>
            </a:pPr>
            <a:endParaRPr lang="fr-FR"/>
          </a:p>
        </c:txPr>
        <c:crossAx val="222802688"/>
        <c:crosses val="autoZero"/>
        <c:auto val="1"/>
        <c:lblAlgn val="ctr"/>
        <c:lblOffset val="100"/>
      </c:catAx>
      <c:valAx>
        <c:axId val="222802688"/>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22788608"/>
        <c:crosses val="autoZero"/>
        <c:crossBetween val="between"/>
      </c:valAx>
    </c:plotArea>
    <c:legend>
      <c:legendPos val="r"/>
      <c:layout>
        <c:manualLayout>
          <c:xMode val="edge"/>
          <c:yMode val="edge"/>
          <c:x val="5.3041557305336794E-2"/>
          <c:y val="0.73426389055096153"/>
          <c:w val="0.93029177602799662"/>
          <c:h val="0.22921615389400526"/>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fr-FR"/>
  <c:chart>
    <c:view3D>
      <c:rotX val="30"/>
      <c:perspective val="30"/>
    </c:view3D>
    <c:plotArea>
      <c:layout>
        <c:manualLayout>
          <c:layoutTarget val="inner"/>
          <c:xMode val="edge"/>
          <c:yMode val="edge"/>
          <c:x val="2.505323813102845E-2"/>
          <c:y val="5.6020191459470063E-2"/>
          <c:w val="0.96206150668595969"/>
          <c:h val="0.76101904793021191"/>
        </c:manualLayout>
      </c:layout>
      <c:pie3DChart>
        <c:varyColors val="1"/>
        <c:ser>
          <c:idx val="0"/>
          <c:order val="0"/>
          <c:dLbls>
            <c:spPr>
              <a:noFill/>
              <a:ln>
                <a:noFill/>
              </a:ln>
              <a:effectLst/>
            </c:spPr>
            <c:txPr>
              <a:bodyPr/>
              <a:lstStyle/>
              <a:p>
                <a:pPr>
                  <a:defRPr sz="800" b="1">
                    <a:latin typeface="Book Antiqua" pitchFamily="18" charset="0"/>
                  </a:defRPr>
                </a:pPr>
                <a:endParaRPr lang="fr-FR"/>
              </a:p>
            </c:txPr>
            <c:showVal val="1"/>
            <c:showLeaderLines val="1"/>
            <c:extLst>
              <c:ext xmlns:c15="http://schemas.microsoft.com/office/drawing/2012/chart" uri="{CE6537A1-D6FC-4f65-9D91-7224C49458BB}"/>
            </c:extLst>
          </c:dLbls>
          <c:cat>
            <c:strRef>
              <c:f>Feuil3!$B$5:$B$9</c:f>
              <c:strCache>
                <c:ptCount val="5"/>
                <c:pt idx="0">
                  <c:v>Très coopérative</c:v>
                </c:pt>
                <c:pt idx="1">
                  <c:v>Coopérative</c:v>
                </c:pt>
                <c:pt idx="2">
                  <c:v>Neutre</c:v>
                </c:pt>
                <c:pt idx="3">
                  <c:v>Pas coopérative</c:v>
                </c:pt>
                <c:pt idx="4">
                  <c:v>Pas du coopérative </c:v>
                </c:pt>
              </c:strCache>
            </c:strRef>
          </c:cat>
          <c:val>
            <c:numRef>
              <c:f>Feuil3!$C$5:$C$9</c:f>
              <c:numCache>
                <c:formatCode>###0.0%</c:formatCode>
                <c:ptCount val="5"/>
                <c:pt idx="0">
                  <c:v>3.9215686274509803E-2</c:v>
                </c:pt>
                <c:pt idx="1">
                  <c:v>0.39215686274510891</c:v>
                </c:pt>
                <c:pt idx="2">
                  <c:v>0.36802413273001588</c:v>
                </c:pt>
                <c:pt idx="3">
                  <c:v>0.1990950226244344</c:v>
                </c:pt>
                <c:pt idx="4" formatCode="####.0%">
                  <c:v>1.5082956259426861E-3</c:v>
                </c:pt>
              </c:numCache>
            </c:numRef>
          </c:val>
        </c:ser>
      </c:pie3DChart>
    </c:plotArea>
    <c:legend>
      <c:legendPos val="b"/>
      <c:layout>
        <c:manualLayout>
          <c:xMode val="edge"/>
          <c:yMode val="edge"/>
          <c:x val="3.5065467677638476E-2"/>
          <c:y val="0.81004106526611963"/>
          <c:w val="0.93846912236078761"/>
          <c:h val="0.15768943614344838"/>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Feuil4!$A$4</c:f>
              <c:strCache>
                <c:ptCount val="1"/>
                <c:pt idx="0">
                  <c:v>Très coopérative</c:v>
                </c:pt>
              </c:strCache>
            </c:strRef>
          </c:tx>
          <c:cat>
            <c:strRef>
              <c:f>Feuil4!$B$3:$G$3</c:f>
              <c:strCache>
                <c:ptCount val="6"/>
                <c:pt idx="0">
                  <c:v>18-24 ans</c:v>
                </c:pt>
                <c:pt idx="1">
                  <c:v>25-34  ans</c:v>
                </c:pt>
                <c:pt idx="2">
                  <c:v>35-44 ans</c:v>
                </c:pt>
                <c:pt idx="3">
                  <c:v>45-54 ans</c:v>
                </c:pt>
                <c:pt idx="4">
                  <c:v>55-64 ans</c:v>
                </c:pt>
                <c:pt idx="5">
                  <c:v>65 ans ou plus</c:v>
                </c:pt>
              </c:strCache>
            </c:strRef>
          </c:cat>
          <c:val>
            <c:numRef>
              <c:f>Feuil4!$B$4:$G$4</c:f>
              <c:numCache>
                <c:formatCode>###0.0%</c:formatCode>
                <c:ptCount val="6"/>
                <c:pt idx="0">
                  <c:v>0.27272727272727282</c:v>
                </c:pt>
                <c:pt idx="1">
                  <c:v>3.9735099337748346E-2</c:v>
                </c:pt>
                <c:pt idx="2">
                  <c:v>2.343750000000001E-2</c:v>
                </c:pt>
                <c:pt idx="3">
                  <c:v>2.0000000000000011E-2</c:v>
                </c:pt>
                <c:pt idx="4">
                  <c:v>8.1395348837210765E-2</c:v>
                </c:pt>
                <c:pt idx="5">
                  <c:v>0.1111111111111111</c:v>
                </c:pt>
              </c:numCache>
            </c:numRef>
          </c:val>
        </c:ser>
        <c:ser>
          <c:idx val="1"/>
          <c:order val="1"/>
          <c:tx>
            <c:strRef>
              <c:f>Feuil4!$A$5</c:f>
              <c:strCache>
                <c:ptCount val="1"/>
                <c:pt idx="0">
                  <c:v>Coopérative</c:v>
                </c:pt>
              </c:strCache>
            </c:strRef>
          </c:tx>
          <c:cat>
            <c:strRef>
              <c:f>Feuil4!$B$3:$G$3</c:f>
              <c:strCache>
                <c:ptCount val="6"/>
                <c:pt idx="0">
                  <c:v>18-24 ans</c:v>
                </c:pt>
                <c:pt idx="1">
                  <c:v>25-34  ans</c:v>
                </c:pt>
                <c:pt idx="2">
                  <c:v>35-44 ans</c:v>
                </c:pt>
                <c:pt idx="3">
                  <c:v>45-54 ans</c:v>
                </c:pt>
                <c:pt idx="4">
                  <c:v>55-64 ans</c:v>
                </c:pt>
                <c:pt idx="5">
                  <c:v>65 ans ou plus</c:v>
                </c:pt>
              </c:strCache>
            </c:strRef>
          </c:cat>
          <c:val>
            <c:numRef>
              <c:f>Feuil4!$B$5:$G$5</c:f>
              <c:numCache>
                <c:formatCode>###0.0%</c:formatCode>
                <c:ptCount val="6"/>
                <c:pt idx="0">
                  <c:v>0.45454545454545453</c:v>
                </c:pt>
                <c:pt idx="1">
                  <c:v>0.47019867549668881</c:v>
                </c:pt>
                <c:pt idx="2">
                  <c:v>0.36328125</c:v>
                </c:pt>
                <c:pt idx="3">
                  <c:v>0.36000000000000032</c:v>
                </c:pt>
                <c:pt idx="4">
                  <c:v>0.36046511627907873</c:v>
                </c:pt>
                <c:pt idx="5">
                  <c:v>0.66666666666666674</c:v>
                </c:pt>
              </c:numCache>
            </c:numRef>
          </c:val>
        </c:ser>
        <c:ser>
          <c:idx val="2"/>
          <c:order val="2"/>
          <c:tx>
            <c:strRef>
              <c:f>Feuil4!$A$6</c:f>
              <c:strCache>
                <c:ptCount val="1"/>
                <c:pt idx="0">
                  <c:v>Neutre</c:v>
                </c:pt>
              </c:strCache>
            </c:strRef>
          </c:tx>
          <c:cat>
            <c:strRef>
              <c:f>Feuil4!$B$3:$G$3</c:f>
              <c:strCache>
                <c:ptCount val="6"/>
                <c:pt idx="0">
                  <c:v>18-24 ans</c:v>
                </c:pt>
                <c:pt idx="1">
                  <c:v>25-34  ans</c:v>
                </c:pt>
                <c:pt idx="2">
                  <c:v>35-44 ans</c:v>
                </c:pt>
                <c:pt idx="3">
                  <c:v>45-54 ans</c:v>
                </c:pt>
                <c:pt idx="4">
                  <c:v>55-64 ans</c:v>
                </c:pt>
                <c:pt idx="5">
                  <c:v>65 ans ou plus</c:v>
                </c:pt>
              </c:strCache>
            </c:strRef>
          </c:cat>
          <c:val>
            <c:numRef>
              <c:f>Feuil4!$B$6:$G$6</c:f>
              <c:numCache>
                <c:formatCode>###0.0%</c:formatCode>
                <c:ptCount val="6"/>
                <c:pt idx="0">
                  <c:v>0.18181818181818732</c:v>
                </c:pt>
                <c:pt idx="1">
                  <c:v>0.33112582781458438</c:v>
                </c:pt>
                <c:pt idx="2">
                  <c:v>0.39453125</c:v>
                </c:pt>
                <c:pt idx="3">
                  <c:v>0.36000000000000032</c:v>
                </c:pt>
                <c:pt idx="4">
                  <c:v>0.40697674418605462</c:v>
                </c:pt>
                <c:pt idx="5">
                  <c:v>0.22222222222222221</c:v>
                </c:pt>
              </c:numCache>
            </c:numRef>
          </c:val>
        </c:ser>
        <c:ser>
          <c:idx val="3"/>
          <c:order val="3"/>
          <c:tx>
            <c:strRef>
              <c:f>Feuil4!$A$7</c:f>
              <c:strCache>
                <c:ptCount val="1"/>
                <c:pt idx="0">
                  <c:v>Pas coopérative</c:v>
                </c:pt>
              </c:strCache>
            </c:strRef>
          </c:tx>
          <c:cat>
            <c:strRef>
              <c:f>Feuil4!$B$3:$G$3</c:f>
              <c:strCache>
                <c:ptCount val="6"/>
                <c:pt idx="0">
                  <c:v>18-24 ans</c:v>
                </c:pt>
                <c:pt idx="1">
                  <c:v>25-34  ans</c:v>
                </c:pt>
                <c:pt idx="2">
                  <c:v>35-44 ans</c:v>
                </c:pt>
                <c:pt idx="3">
                  <c:v>45-54 ans</c:v>
                </c:pt>
                <c:pt idx="4">
                  <c:v>55-64 ans</c:v>
                </c:pt>
                <c:pt idx="5">
                  <c:v>65 ans ou plus</c:v>
                </c:pt>
              </c:strCache>
            </c:strRef>
          </c:cat>
          <c:val>
            <c:numRef>
              <c:f>Feuil4!$B$7:$G$7</c:f>
              <c:numCache>
                <c:formatCode>###0.0%</c:formatCode>
                <c:ptCount val="6"/>
                <c:pt idx="0">
                  <c:v>9.0909090909091064E-2</c:v>
                </c:pt>
                <c:pt idx="1">
                  <c:v>0.15231788079470704</c:v>
                </c:pt>
                <c:pt idx="2">
                  <c:v>0.21875000000000044</c:v>
                </c:pt>
                <c:pt idx="3">
                  <c:v>0.26</c:v>
                </c:pt>
                <c:pt idx="4">
                  <c:v>0.15116279069767441</c:v>
                </c:pt>
              </c:numCache>
            </c:numRef>
          </c:val>
        </c:ser>
        <c:ser>
          <c:idx val="4"/>
          <c:order val="4"/>
          <c:tx>
            <c:strRef>
              <c:f>Feuil4!$A$8</c:f>
              <c:strCache>
                <c:ptCount val="1"/>
                <c:pt idx="0">
                  <c:v>Pas du coopérative </c:v>
                </c:pt>
              </c:strCache>
            </c:strRef>
          </c:tx>
          <c:cat>
            <c:strRef>
              <c:f>Feuil4!$B$3:$G$3</c:f>
              <c:strCache>
                <c:ptCount val="6"/>
                <c:pt idx="0">
                  <c:v>18-24 ans</c:v>
                </c:pt>
                <c:pt idx="1">
                  <c:v>25-34  ans</c:v>
                </c:pt>
                <c:pt idx="2">
                  <c:v>35-44 ans</c:v>
                </c:pt>
                <c:pt idx="3">
                  <c:v>45-54 ans</c:v>
                </c:pt>
                <c:pt idx="4">
                  <c:v>55-64 ans</c:v>
                </c:pt>
                <c:pt idx="5">
                  <c:v>65 ans ou plus</c:v>
                </c:pt>
              </c:strCache>
            </c:strRef>
          </c:cat>
          <c:val>
            <c:numRef>
              <c:f>Feuil4!$B$8:$G$8</c:f>
              <c:numCache>
                <c:formatCode>####.0%</c:formatCode>
                <c:ptCount val="6"/>
                <c:pt idx="1">
                  <c:v>6.6225165562913656E-3</c:v>
                </c:pt>
              </c:numCache>
            </c:numRef>
          </c:val>
        </c:ser>
        <c:shape val="cylinder"/>
        <c:axId val="223000064"/>
        <c:axId val="223001600"/>
        <c:axId val="0"/>
      </c:bar3DChart>
      <c:catAx>
        <c:axId val="223000064"/>
        <c:scaling>
          <c:orientation val="minMax"/>
        </c:scaling>
        <c:axPos val="b"/>
        <c:numFmt formatCode="General" sourceLinked="0"/>
        <c:tickLblPos val="nextTo"/>
        <c:txPr>
          <a:bodyPr/>
          <a:lstStyle/>
          <a:p>
            <a:pPr>
              <a:defRPr sz="700" b="1">
                <a:latin typeface="Book Antiqua" pitchFamily="18" charset="0"/>
              </a:defRPr>
            </a:pPr>
            <a:endParaRPr lang="fr-FR"/>
          </a:p>
        </c:txPr>
        <c:crossAx val="223001600"/>
        <c:crosses val="autoZero"/>
        <c:auto val="1"/>
        <c:lblAlgn val="ctr"/>
        <c:lblOffset val="100"/>
      </c:catAx>
      <c:valAx>
        <c:axId val="223001600"/>
        <c:scaling>
          <c:orientation val="minMax"/>
        </c:scaling>
        <c:axPos val="l"/>
        <c:majorGridlines/>
        <c:numFmt formatCode="0%" sourceLinked="0"/>
        <c:tickLblPos val="nextTo"/>
        <c:txPr>
          <a:bodyPr/>
          <a:lstStyle/>
          <a:p>
            <a:pPr>
              <a:defRPr sz="700" b="1">
                <a:latin typeface="Book Antiqua" pitchFamily="18" charset="0"/>
              </a:defRPr>
            </a:pPr>
            <a:endParaRPr lang="fr-FR"/>
          </a:p>
        </c:txPr>
        <c:crossAx val="223000064"/>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Feuil7!$B$2</c:f>
              <c:strCache>
                <c:ptCount val="1"/>
                <c:pt idx="0">
                  <c:v>Formelle </c:v>
                </c:pt>
              </c:strCache>
            </c:strRef>
          </c:tx>
          <c:dLbls>
            <c:dLbl>
              <c:idx val="3"/>
              <c:layout>
                <c:manualLayout>
                  <c:x val="5.2590060478569563E-3"/>
                  <c:y val="-8.8144557073601068E-3"/>
                </c:manualLayout>
              </c:layout>
              <c:showVal val="1"/>
              <c:extLst>
                <c:ext xmlns:c15="http://schemas.microsoft.com/office/drawing/2012/chart" uri="{CE6537A1-D6FC-4f65-9D91-7224C49458BB}"/>
              </c:extLst>
            </c:dLbl>
            <c:spPr>
              <a:noFill/>
              <a:ln>
                <a:noFill/>
              </a:ln>
              <a:effectLst/>
            </c:spPr>
            <c:txPr>
              <a:bodyPr/>
              <a:lstStyle/>
              <a:p>
                <a:pPr>
                  <a:defRPr sz="600" b="1">
                    <a:solidFill>
                      <a:sysClr val="windowText" lastClr="000000"/>
                    </a:solidFill>
                    <a:latin typeface="Book Antiqua" pitchFamily="18" charset="0"/>
                  </a:defRPr>
                </a:pPr>
                <a:endParaRPr lang="fr-FR"/>
              </a:p>
            </c:txPr>
            <c:showVal val="1"/>
            <c:extLst>
              <c:ext xmlns:c15="http://schemas.microsoft.com/office/drawing/2012/chart" uri="{CE6537A1-D6FC-4f65-9D91-7224C49458BB}">
                <c15:showLeaderLines val="0"/>
              </c:ext>
            </c:extLst>
          </c:dLbls>
          <c:cat>
            <c:strRef>
              <c:f>Feuil7!$A$3:$A$6</c:f>
              <c:strCache>
                <c:ptCount val="4"/>
                <c:pt idx="0">
                  <c:v>Très coopérative</c:v>
                </c:pt>
                <c:pt idx="1">
                  <c:v>Coopérative</c:v>
                </c:pt>
                <c:pt idx="2">
                  <c:v>Pas coopérative</c:v>
                </c:pt>
                <c:pt idx="3">
                  <c:v>Pas du tout coopérative</c:v>
                </c:pt>
              </c:strCache>
            </c:strRef>
          </c:cat>
          <c:val>
            <c:numRef>
              <c:f>Feuil7!$B$3:$B$6</c:f>
              <c:numCache>
                <c:formatCode>###0.0%</c:formatCode>
                <c:ptCount val="4"/>
                <c:pt idx="0">
                  <c:v>1.8382352941176471E-2</c:v>
                </c:pt>
                <c:pt idx="1">
                  <c:v>0.50367647058823561</c:v>
                </c:pt>
                <c:pt idx="2">
                  <c:v>0.34926470588236386</c:v>
                </c:pt>
                <c:pt idx="3">
                  <c:v>0.12867647058823528</c:v>
                </c:pt>
              </c:numCache>
            </c:numRef>
          </c:val>
        </c:ser>
        <c:ser>
          <c:idx val="1"/>
          <c:order val="1"/>
          <c:tx>
            <c:strRef>
              <c:f>Feuil7!$C$2</c:f>
              <c:strCache>
                <c:ptCount val="1"/>
                <c:pt idx="0">
                  <c:v>Informelle</c:v>
                </c:pt>
              </c:strCache>
            </c:strRef>
          </c:tx>
          <c:dLbls>
            <c:dLbl>
              <c:idx val="1"/>
              <c:layout>
                <c:manualLayout>
                  <c:x val="1.8406521167499561E-2"/>
                  <c:y val="-3.0850594975760245E-2"/>
                </c:manualLayout>
              </c:layout>
              <c:showVal val="1"/>
              <c:extLst>
                <c:ext xmlns:c15="http://schemas.microsoft.com/office/drawing/2012/chart" uri="{CE6537A1-D6FC-4f65-9D91-7224C49458BB}"/>
              </c:extLst>
            </c:dLbl>
            <c:dLbl>
              <c:idx val="2"/>
              <c:layout>
                <c:manualLayout>
                  <c:x val="1.5777018143570864E-2"/>
                  <c:y val="-1.3221683561040146E-2"/>
                </c:manualLayout>
              </c:layout>
              <c:showVal val="1"/>
              <c:extLst>
                <c:ext xmlns:c15="http://schemas.microsoft.com/office/drawing/2012/chart" uri="{CE6537A1-D6FC-4f65-9D91-7224C49458BB}"/>
              </c:extLst>
            </c:dLbl>
            <c:dLbl>
              <c:idx val="3"/>
              <c:layout>
                <c:manualLayout>
                  <c:x val="1.0518012095713814E-2"/>
                  <c:y val="-8.8144557073601068E-3"/>
                </c:manualLayout>
              </c:layout>
              <c:showVal val="1"/>
              <c:extLst>
                <c:ext xmlns:c15="http://schemas.microsoft.com/office/drawing/2012/chart" uri="{CE6537A1-D6FC-4f65-9D91-7224C49458BB}"/>
              </c:extLst>
            </c:dLbl>
            <c:spPr>
              <a:noFill/>
              <a:ln>
                <a:noFill/>
              </a:ln>
              <a:effectLst/>
            </c:spPr>
            <c:txPr>
              <a:bodyPr/>
              <a:lstStyle/>
              <a:p>
                <a:pPr>
                  <a:defRPr sz="600" b="1">
                    <a:solidFill>
                      <a:sysClr val="windowText" lastClr="000000"/>
                    </a:solidFill>
                    <a:latin typeface="Book Antiqua" pitchFamily="18" charset="0"/>
                  </a:defRPr>
                </a:pPr>
                <a:endParaRPr lang="fr-FR"/>
              </a:p>
            </c:txPr>
            <c:showVal val="1"/>
            <c:extLst>
              <c:ext xmlns:c15="http://schemas.microsoft.com/office/drawing/2012/chart" uri="{CE6537A1-D6FC-4f65-9D91-7224C49458BB}">
                <c15:showLeaderLines val="0"/>
              </c:ext>
            </c:extLst>
          </c:dLbls>
          <c:cat>
            <c:strRef>
              <c:f>Feuil7!$A$3:$A$6</c:f>
              <c:strCache>
                <c:ptCount val="4"/>
                <c:pt idx="0">
                  <c:v>Très coopérative</c:v>
                </c:pt>
                <c:pt idx="1">
                  <c:v>Coopérative</c:v>
                </c:pt>
                <c:pt idx="2">
                  <c:v>Pas coopérative</c:v>
                </c:pt>
                <c:pt idx="3">
                  <c:v>Pas du tout coopérative</c:v>
                </c:pt>
              </c:strCache>
            </c:strRef>
          </c:cat>
          <c:val>
            <c:numRef>
              <c:f>Feuil7!$C$3:$C$6</c:f>
              <c:numCache>
                <c:formatCode>###0.0%</c:formatCode>
                <c:ptCount val="4"/>
                <c:pt idx="1">
                  <c:v>0.40322580645161277</c:v>
                </c:pt>
                <c:pt idx="2">
                  <c:v>0.33870967741936603</c:v>
                </c:pt>
                <c:pt idx="3">
                  <c:v>0.25806451612903231</c:v>
                </c:pt>
              </c:numCache>
            </c:numRef>
          </c:val>
        </c:ser>
        <c:shape val="cylinder"/>
        <c:axId val="186698368"/>
        <c:axId val="187097472"/>
        <c:axId val="0"/>
      </c:bar3DChart>
      <c:catAx>
        <c:axId val="186698368"/>
        <c:scaling>
          <c:orientation val="minMax"/>
        </c:scaling>
        <c:axPos val="b"/>
        <c:numFmt formatCode="General" sourceLinked="0"/>
        <c:tickLblPos val="nextTo"/>
        <c:txPr>
          <a:bodyPr/>
          <a:lstStyle/>
          <a:p>
            <a:pPr>
              <a:defRPr sz="600" b="1">
                <a:latin typeface="Book Antiqua" pitchFamily="18" charset="0"/>
              </a:defRPr>
            </a:pPr>
            <a:endParaRPr lang="fr-FR"/>
          </a:p>
        </c:txPr>
        <c:crossAx val="187097472"/>
        <c:crosses val="autoZero"/>
        <c:auto val="1"/>
        <c:lblAlgn val="ctr"/>
        <c:lblOffset val="100"/>
      </c:catAx>
      <c:valAx>
        <c:axId val="187097472"/>
        <c:scaling>
          <c:orientation val="minMax"/>
        </c:scaling>
        <c:axPos val="l"/>
        <c:numFmt formatCode="0%" sourceLinked="0"/>
        <c:tickLblPos val="nextTo"/>
        <c:txPr>
          <a:bodyPr/>
          <a:lstStyle/>
          <a:p>
            <a:pPr>
              <a:defRPr sz="700" b="1">
                <a:latin typeface="Book Antiqua" pitchFamily="18" charset="0"/>
              </a:defRPr>
            </a:pPr>
            <a:endParaRPr lang="fr-FR"/>
          </a:p>
        </c:txPr>
        <c:crossAx val="186698368"/>
        <c:crosses val="autoZero"/>
        <c:crossBetween val="between"/>
      </c:valAx>
    </c:plotArea>
    <c:legend>
      <c:legendPos val="b"/>
      <c:txPr>
        <a:bodyPr/>
        <a:lstStyle/>
        <a:p>
          <a:pPr>
            <a:defRPr sz="600" b="1">
              <a:latin typeface="Book Antiqua" pitchFamily="18" charset="0"/>
            </a:defRPr>
          </a:pPr>
          <a:endParaRPr lang="fr-FR"/>
        </a:p>
      </c:txPr>
    </c:legend>
    <c:plotVisOnly val="1"/>
    <c:dispBlanksAs val="gap"/>
  </c:chart>
  <c:externalData r:id="rId2"/>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8.0736942159431488E-2"/>
          <c:y val="4.3221481200608293E-2"/>
          <c:w val="0.88391283429362688"/>
          <c:h val="0.58008596967856851"/>
        </c:manualLayout>
      </c:layout>
      <c:bar3DChart>
        <c:barDir val="col"/>
        <c:grouping val="clustered"/>
        <c:ser>
          <c:idx val="0"/>
          <c:order val="0"/>
          <c:tx>
            <c:strRef>
              <c:f>Churn!$B$75</c:f>
              <c:strCache>
                <c:ptCount val="1"/>
                <c:pt idx="0">
                  <c:v>Très coopérative</c:v>
                </c:pt>
              </c:strCache>
            </c:strRef>
          </c:tx>
          <c:spPr>
            <a:solidFill>
              <a:schemeClr val="tx2">
                <a:lumMod val="60000"/>
                <a:lumOff val="40000"/>
              </a:schemeClr>
            </a:solidFill>
          </c:spPr>
          <c:cat>
            <c:strRef>
              <c:f>Churn!$C$74:$L$74</c:f>
              <c:strCache>
                <c:ptCount val="10"/>
                <c:pt idx="0">
                  <c:v>Industrie</c:v>
                </c:pt>
                <c:pt idx="1">
                  <c:v>Commerce</c:v>
                </c:pt>
                <c:pt idx="2">
                  <c:v>BTP</c:v>
                </c:pt>
                <c:pt idx="3">
                  <c:v>Services</c:v>
                </c:pt>
                <c:pt idx="4">
                  <c:v>Agriculture</c:v>
                </c:pt>
                <c:pt idx="5">
                  <c:v>Artisanat</c:v>
                </c:pt>
                <c:pt idx="6">
                  <c:v>Enseignement</c:v>
                </c:pt>
                <c:pt idx="7">
                  <c:v>Pêche</c:v>
                </c:pt>
                <c:pt idx="8">
                  <c:v>Administration (Autre que Enseignement)</c:v>
                </c:pt>
                <c:pt idx="9">
                  <c:v>Autre </c:v>
                </c:pt>
              </c:strCache>
            </c:strRef>
          </c:cat>
          <c:val>
            <c:numRef>
              <c:f>Churn!$C$75:$L$75</c:f>
              <c:numCache>
                <c:formatCode>0.0%</c:formatCode>
                <c:ptCount val="10"/>
                <c:pt idx="0">
                  <c:v>5.5555555555555455E-2</c:v>
                </c:pt>
                <c:pt idx="1">
                  <c:v>8.9285714285714159E-3</c:v>
                </c:pt>
                <c:pt idx="2">
                  <c:v>2.8571428571428591E-2</c:v>
                </c:pt>
                <c:pt idx="3">
                  <c:v>4.2857142857142913E-2</c:v>
                </c:pt>
                <c:pt idx="4">
                  <c:v>0</c:v>
                </c:pt>
                <c:pt idx="5">
                  <c:v>0</c:v>
                </c:pt>
                <c:pt idx="6">
                  <c:v>3.896103896103896E-2</c:v>
                </c:pt>
                <c:pt idx="7">
                  <c:v>0.1</c:v>
                </c:pt>
                <c:pt idx="8">
                  <c:v>5.2631578947368432E-2</c:v>
                </c:pt>
                <c:pt idx="9">
                  <c:v>0.10526315789473686</c:v>
                </c:pt>
              </c:numCache>
            </c:numRef>
          </c:val>
        </c:ser>
        <c:ser>
          <c:idx val="1"/>
          <c:order val="1"/>
          <c:tx>
            <c:strRef>
              <c:f>Churn!$B$76</c:f>
              <c:strCache>
                <c:ptCount val="1"/>
                <c:pt idx="0">
                  <c:v>Coopérative</c:v>
                </c:pt>
              </c:strCache>
            </c:strRef>
          </c:tx>
          <c:spPr>
            <a:solidFill>
              <a:srgbClr val="92D050"/>
            </a:solidFill>
          </c:spPr>
          <c:cat>
            <c:strRef>
              <c:f>Churn!$C$74:$L$74</c:f>
              <c:strCache>
                <c:ptCount val="10"/>
                <c:pt idx="0">
                  <c:v>Industrie</c:v>
                </c:pt>
                <c:pt idx="1">
                  <c:v>Commerce</c:v>
                </c:pt>
                <c:pt idx="2">
                  <c:v>BTP</c:v>
                </c:pt>
                <c:pt idx="3">
                  <c:v>Services</c:v>
                </c:pt>
                <c:pt idx="4">
                  <c:v>Agriculture</c:v>
                </c:pt>
                <c:pt idx="5">
                  <c:v>Artisanat</c:v>
                </c:pt>
                <c:pt idx="6">
                  <c:v>Enseignement</c:v>
                </c:pt>
                <c:pt idx="7">
                  <c:v>Pêche</c:v>
                </c:pt>
                <c:pt idx="8">
                  <c:v>Administration (Autre que Enseignement)</c:v>
                </c:pt>
                <c:pt idx="9">
                  <c:v>Autre </c:v>
                </c:pt>
              </c:strCache>
            </c:strRef>
          </c:cat>
          <c:val>
            <c:numRef>
              <c:f>Churn!$C$76:$L$76</c:f>
              <c:numCache>
                <c:formatCode>0.0%</c:formatCode>
                <c:ptCount val="10"/>
                <c:pt idx="0">
                  <c:v>0.44444444444444442</c:v>
                </c:pt>
                <c:pt idx="1">
                  <c:v>0.48214285714286392</c:v>
                </c:pt>
                <c:pt idx="2">
                  <c:v>0.45714285714286218</c:v>
                </c:pt>
                <c:pt idx="3">
                  <c:v>0.4</c:v>
                </c:pt>
                <c:pt idx="4">
                  <c:v>0.5</c:v>
                </c:pt>
                <c:pt idx="5">
                  <c:v>0.42857142857142855</c:v>
                </c:pt>
                <c:pt idx="6">
                  <c:v>0.32467532467532467</c:v>
                </c:pt>
                <c:pt idx="7">
                  <c:v>0.5</c:v>
                </c:pt>
                <c:pt idx="8">
                  <c:v>0.34210526315789991</c:v>
                </c:pt>
                <c:pt idx="9">
                  <c:v>0.42105263157895184</c:v>
                </c:pt>
              </c:numCache>
            </c:numRef>
          </c:val>
        </c:ser>
        <c:ser>
          <c:idx val="2"/>
          <c:order val="2"/>
          <c:tx>
            <c:strRef>
              <c:f>Churn!$B$77</c:f>
              <c:strCache>
                <c:ptCount val="1"/>
                <c:pt idx="0">
                  <c:v>Neutre</c:v>
                </c:pt>
              </c:strCache>
            </c:strRef>
          </c:tx>
          <c:spPr>
            <a:solidFill>
              <a:srgbClr val="FFFF00"/>
            </a:solidFill>
          </c:spPr>
          <c:cat>
            <c:strRef>
              <c:f>Churn!$C$74:$L$74</c:f>
              <c:strCache>
                <c:ptCount val="10"/>
                <c:pt idx="0">
                  <c:v>Industrie</c:v>
                </c:pt>
                <c:pt idx="1">
                  <c:v>Commerce</c:v>
                </c:pt>
                <c:pt idx="2">
                  <c:v>BTP</c:v>
                </c:pt>
                <c:pt idx="3">
                  <c:v>Services</c:v>
                </c:pt>
                <c:pt idx="4">
                  <c:v>Agriculture</c:v>
                </c:pt>
                <c:pt idx="5">
                  <c:v>Artisanat</c:v>
                </c:pt>
                <c:pt idx="6">
                  <c:v>Enseignement</c:v>
                </c:pt>
                <c:pt idx="7">
                  <c:v>Pêche</c:v>
                </c:pt>
                <c:pt idx="8">
                  <c:v>Administration (Autre que Enseignement)</c:v>
                </c:pt>
                <c:pt idx="9">
                  <c:v>Autre </c:v>
                </c:pt>
              </c:strCache>
            </c:strRef>
          </c:cat>
          <c:val>
            <c:numRef>
              <c:f>Churn!$C$77:$L$77</c:f>
              <c:numCache>
                <c:formatCode>0.0%</c:formatCode>
                <c:ptCount val="10"/>
                <c:pt idx="0">
                  <c:v>0.22222222222222221</c:v>
                </c:pt>
                <c:pt idx="1">
                  <c:v>0.39285714285714762</c:v>
                </c:pt>
                <c:pt idx="2">
                  <c:v>0.31428571428571828</c:v>
                </c:pt>
                <c:pt idx="3">
                  <c:v>0.4</c:v>
                </c:pt>
                <c:pt idx="4">
                  <c:v>0.437500000000004</c:v>
                </c:pt>
                <c:pt idx="5">
                  <c:v>0.28571428571429164</c:v>
                </c:pt>
                <c:pt idx="6">
                  <c:v>0.35064935064935066</c:v>
                </c:pt>
                <c:pt idx="7">
                  <c:v>0.4</c:v>
                </c:pt>
                <c:pt idx="8">
                  <c:v>0.38157894736843007</c:v>
                </c:pt>
                <c:pt idx="9">
                  <c:v>0.21052631578947606</c:v>
                </c:pt>
              </c:numCache>
            </c:numRef>
          </c:val>
        </c:ser>
        <c:ser>
          <c:idx val="3"/>
          <c:order val="3"/>
          <c:tx>
            <c:strRef>
              <c:f>Churn!$B$78</c:f>
              <c:strCache>
                <c:ptCount val="1"/>
                <c:pt idx="0">
                  <c:v>Pas coopérative</c:v>
                </c:pt>
              </c:strCache>
            </c:strRef>
          </c:tx>
          <c:spPr>
            <a:solidFill>
              <a:schemeClr val="accent6">
                <a:lumMod val="75000"/>
              </a:schemeClr>
            </a:solidFill>
          </c:spPr>
          <c:cat>
            <c:strRef>
              <c:f>Churn!$C$74:$L$74</c:f>
              <c:strCache>
                <c:ptCount val="10"/>
                <c:pt idx="0">
                  <c:v>Industrie</c:v>
                </c:pt>
                <c:pt idx="1">
                  <c:v>Commerce</c:v>
                </c:pt>
                <c:pt idx="2">
                  <c:v>BTP</c:v>
                </c:pt>
                <c:pt idx="3">
                  <c:v>Services</c:v>
                </c:pt>
                <c:pt idx="4">
                  <c:v>Agriculture</c:v>
                </c:pt>
                <c:pt idx="5">
                  <c:v>Artisanat</c:v>
                </c:pt>
                <c:pt idx="6">
                  <c:v>Enseignement</c:v>
                </c:pt>
                <c:pt idx="7">
                  <c:v>Pêche</c:v>
                </c:pt>
                <c:pt idx="8">
                  <c:v>Administration (Autre que Enseignement)</c:v>
                </c:pt>
                <c:pt idx="9">
                  <c:v>Autre </c:v>
                </c:pt>
              </c:strCache>
            </c:strRef>
          </c:cat>
          <c:val>
            <c:numRef>
              <c:f>Churn!$C$78:$L$78</c:f>
              <c:numCache>
                <c:formatCode>0.0%</c:formatCode>
                <c:ptCount val="10"/>
                <c:pt idx="0">
                  <c:v>0.27777777777778234</c:v>
                </c:pt>
                <c:pt idx="1">
                  <c:v>0.11607142857142859</c:v>
                </c:pt>
                <c:pt idx="2">
                  <c:v>0.2</c:v>
                </c:pt>
                <c:pt idx="3">
                  <c:v>0.15714285714285744</c:v>
                </c:pt>
                <c:pt idx="4">
                  <c:v>6.25E-2</c:v>
                </c:pt>
                <c:pt idx="5">
                  <c:v>0.28571428571429164</c:v>
                </c:pt>
                <c:pt idx="6">
                  <c:v>0.28571428571429164</c:v>
                </c:pt>
                <c:pt idx="7">
                  <c:v>0</c:v>
                </c:pt>
                <c:pt idx="8">
                  <c:v>0.21710526315789833</c:v>
                </c:pt>
                <c:pt idx="9">
                  <c:v>0.26315789473684231</c:v>
                </c:pt>
              </c:numCache>
            </c:numRef>
          </c:val>
        </c:ser>
        <c:ser>
          <c:idx val="4"/>
          <c:order val="4"/>
          <c:tx>
            <c:strRef>
              <c:f>Churn!$B$79</c:f>
              <c:strCache>
                <c:ptCount val="1"/>
                <c:pt idx="0">
                  <c:v>Pas du tout coopérative</c:v>
                </c:pt>
              </c:strCache>
            </c:strRef>
          </c:tx>
          <c:spPr>
            <a:solidFill>
              <a:srgbClr val="FF0000"/>
            </a:solidFill>
          </c:spPr>
          <c:cat>
            <c:strRef>
              <c:f>Churn!$C$74:$L$74</c:f>
              <c:strCache>
                <c:ptCount val="10"/>
                <c:pt idx="0">
                  <c:v>Industrie</c:v>
                </c:pt>
                <c:pt idx="1">
                  <c:v>Commerce</c:v>
                </c:pt>
                <c:pt idx="2">
                  <c:v>BTP</c:v>
                </c:pt>
                <c:pt idx="3">
                  <c:v>Services</c:v>
                </c:pt>
                <c:pt idx="4">
                  <c:v>Agriculture</c:v>
                </c:pt>
                <c:pt idx="5">
                  <c:v>Artisanat</c:v>
                </c:pt>
                <c:pt idx="6">
                  <c:v>Enseignement</c:v>
                </c:pt>
                <c:pt idx="7">
                  <c:v>Pêche</c:v>
                </c:pt>
                <c:pt idx="8">
                  <c:v>Administration (Autre que Enseignement)</c:v>
                </c:pt>
                <c:pt idx="9">
                  <c:v>Autre </c:v>
                </c:pt>
              </c:strCache>
            </c:strRef>
          </c:cat>
          <c:val>
            <c:numRef>
              <c:f>Churn!$C$79:$L$79</c:f>
              <c:numCache>
                <c:formatCode>0.0%</c:formatCode>
                <c:ptCount val="10"/>
                <c:pt idx="0">
                  <c:v>0</c:v>
                </c:pt>
                <c:pt idx="1">
                  <c:v>0</c:v>
                </c:pt>
                <c:pt idx="2">
                  <c:v>0</c:v>
                </c:pt>
                <c:pt idx="3">
                  <c:v>0</c:v>
                </c:pt>
                <c:pt idx="4">
                  <c:v>0</c:v>
                </c:pt>
                <c:pt idx="5">
                  <c:v>0</c:v>
                </c:pt>
                <c:pt idx="6">
                  <c:v>0</c:v>
                </c:pt>
                <c:pt idx="7">
                  <c:v>0</c:v>
                </c:pt>
                <c:pt idx="8">
                  <c:v>6.5789473684210523E-3</c:v>
                </c:pt>
                <c:pt idx="9">
                  <c:v>0</c:v>
                </c:pt>
              </c:numCache>
            </c:numRef>
          </c:val>
        </c:ser>
        <c:shape val="cylinder"/>
        <c:axId val="228210560"/>
        <c:axId val="228212096"/>
        <c:axId val="0"/>
      </c:bar3DChart>
      <c:catAx>
        <c:axId val="228210560"/>
        <c:scaling>
          <c:orientation val="minMax"/>
        </c:scaling>
        <c:axPos val="b"/>
        <c:numFmt formatCode="General" sourceLinked="0"/>
        <c:tickLblPos val="nextTo"/>
        <c:txPr>
          <a:bodyPr/>
          <a:lstStyle/>
          <a:p>
            <a:pPr>
              <a:defRPr sz="800" b="1"/>
            </a:pPr>
            <a:endParaRPr lang="fr-FR"/>
          </a:p>
        </c:txPr>
        <c:crossAx val="228212096"/>
        <c:crosses val="autoZero"/>
        <c:auto val="1"/>
        <c:lblAlgn val="ctr"/>
        <c:lblOffset val="100"/>
      </c:catAx>
      <c:valAx>
        <c:axId val="228212096"/>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28210560"/>
        <c:crosses val="autoZero"/>
        <c:crossBetween val="between"/>
      </c:valAx>
    </c:plotArea>
    <c:legend>
      <c:legendPos val="r"/>
      <c:layout>
        <c:manualLayout>
          <c:xMode val="edge"/>
          <c:yMode val="edge"/>
          <c:x val="1.8797814207650403E-2"/>
          <c:y val="0.84566502355845274"/>
          <c:w val="0.91960258320914068"/>
          <c:h val="8.6786053430469717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151.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Feuil7!$A$4</c:f>
              <c:strCache>
                <c:ptCount val="1"/>
                <c:pt idx="0">
                  <c:v>Très coopérative</c:v>
                </c:pt>
              </c:strCache>
            </c:strRef>
          </c:tx>
          <c:cat>
            <c:strRef>
              <c:f>Feuil7!$B$3:$O$3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Feuil7!$B$4:$O$4</c:f>
              <c:numCache>
                <c:formatCode>General</c:formatCode>
                <c:ptCount val="14"/>
                <c:pt idx="0" formatCode="###0.0%">
                  <c:v>4.301075268817204E-2</c:v>
                </c:pt>
                <c:pt idx="2" formatCode="###0.0%">
                  <c:v>0.16666666666666669</c:v>
                </c:pt>
                <c:pt idx="4" formatCode="###0.0%">
                  <c:v>0.125</c:v>
                </c:pt>
                <c:pt idx="7" formatCode="###0.0%">
                  <c:v>5.2631578947368432E-2</c:v>
                </c:pt>
                <c:pt idx="8" formatCode="###0.0%">
                  <c:v>0.1111111111111111</c:v>
                </c:pt>
                <c:pt idx="9" formatCode="###0.0%">
                  <c:v>2.8571428571428591E-2</c:v>
                </c:pt>
              </c:numCache>
            </c:numRef>
          </c:val>
        </c:ser>
        <c:ser>
          <c:idx val="1"/>
          <c:order val="1"/>
          <c:tx>
            <c:strRef>
              <c:f>Feuil7!$A$5</c:f>
              <c:strCache>
                <c:ptCount val="1"/>
                <c:pt idx="0">
                  <c:v>Coopérative</c:v>
                </c:pt>
              </c:strCache>
            </c:strRef>
          </c:tx>
          <c:cat>
            <c:strRef>
              <c:f>Feuil7!$B$3:$O$3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Feuil7!$B$5:$O$5</c:f>
              <c:numCache>
                <c:formatCode>###0.0%</c:formatCode>
                <c:ptCount val="14"/>
                <c:pt idx="0">
                  <c:v>0.44086021505376388</c:v>
                </c:pt>
                <c:pt idx="1">
                  <c:v>0.29411764705882382</c:v>
                </c:pt>
                <c:pt idx="2">
                  <c:v>0.33333333333333337</c:v>
                </c:pt>
                <c:pt idx="4">
                  <c:v>0.125</c:v>
                </c:pt>
                <c:pt idx="5">
                  <c:v>0.18181818181818754</c:v>
                </c:pt>
                <c:pt idx="6">
                  <c:v>0.4</c:v>
                </c:pt>
                <c:pt idx="7">
                  <c:v>0.21052631578947797</c:v>
                </c:pt>
                <c:pt idx="8">
                  <c:v>0.33333333333333337</c:v>
                </c:pt>
                <c:pt idx="9">
                  <c:v>0.25714285714286522</c:v>
                </c:pt>
                <c:pt idx="11">
                  <c:v>0.63636363636365334</c:v>
                </c:pt>
                <c:pt idx="12">
                  <c:v>0.14285714285714826</c:v>
                </c:pt>
                <c:pt idx="13">
                  <c:v>0.38461538461538458</c:v>
                </c:pt>
              </c:numCache>
            </c:numRef>
          </c:val>
        </c:ser>
        <c:ser>
          <c:idx val="2"/>
          <c:order val="2"/>
          <c:tx>
            <c:strRef>
              <c:f>Feuil7!$A$6</c:f>
              <c:strCache>
                <c:ptCount val="1"/>
                <c:pt idx="0">
                  <c:v>Neutre</c:v>
                </c:pt>
              </c:strCache>
            </c:strRef>
          </c:tx>
          <c:cat>
            <c:strRef>
              <c:f>Feuil7!$B$3:$O$3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Feuil7!$B$6:$O$6</c:f>
              <c:numCache>
                <c:formatCode>###0.0%</c:formatCode>
                <c:ptCount val="14"/>
                <c:pt idx="0">
                  <c:v>0.38064516129032488</c:v>
                </c:pt>
                <c:pt idx="1">
                  <c:v>0.58823529411763009</c:v>
                </c:pt>
                <c:pt idx="2">
                  <c:v>0.25</c:v>
                </c:pt>
                <c:pt idx="3">
                  <c:v>0.8333333333333337</c:v>
                </c:pt>
                <c:pt idx="4">
                  <c:v>0.75000000000001465</c:v>
                </c:pt>
                <c:pt idx="5">
                  <c:v>0.18181818181818754</c:v>
                </c:pt>
                <c:pt idx="6">
                  <c:v>0.4</c:v>
                </c:pt>
                <c:pt idx="7">
                  <c:v>0.26315789473684231</c:v>
                </c:pt>
                <c:pt idx="8">
                  <c:v>0.33333333333333337</c:v>
                </c:pt>
                <c:pt idx="9">
                  <c:v>0.25714285714286522</c:v>
                </c:pt>
                <c:pt idx="10">
                  <c:v>0.2</c:v>
                </c:pt>
                <c:pt idx="11">
                  <c:v>0.36363636363636381</c:v>
                </c:pt>
                <c:pt idx="12">
                  <c:v>0.33333333333333337</c:v>
                </c:pt>
                <c:pt idx="13">
                  <c:v>0.25641025641025644</c:v>
                </c:pt>
              </c:numCache>
            </c:numRef>
          </c:val>
        </c:ser>
        <c:ser>
          <c:idx val="3"/>
          <c:order val="3"/>
          <c:tx>
            <c:strRef>
              <c:f>Feuil7!$A$7</c:f>
              <c:strCache>
                <c:ptCount val="1"/>
                <c:pt idx="0">
                  <c:v>Pas coopérative</c:v>
                </c:pt>
              </c:strCache>
            </c:strRef>
          </c:tx>
          <c:cat>
            <c:strRef>
              <c:f>Feuil7!$B$3:$O$3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Feuil7!$B$7:$O$7</c:f>
              <c:numCache>
                <c:formatCode>###0.0%</c:formatCode>
                <c:ptCount val="14"/>
                <c:pt idx="0">
                  <c:v>0.13548387096774195</c:v>
                </c:pt>
                <c:pt idx="1">
                  <c:v>0.11764705882352942</c:v>
                </c:pt>
                <c:pt idx="2">
                  <c:v>0.25</c:v>
                </c:pt>
                <c:pt idx="3">
                  <c:v>0.16666666666666669</c:v>
                </c:pt>
                <c:pt idx="5">
                  <c:v>0.63636363636365334</c:v>
                </c:pt>
                <c:pt idx="6">
                  <c:v>0.2</c:v>
                </c:pt>
                <c:pt idx="7">
                  <c:v>0.42105263157895589</c:v>
                </c:pt>
                <c:pt idx="8">
                  <c:v>0.22222222222222221</c:v>
                </c:pt>
                <c:pt idx="9">
                  <c:v>0.45714285714286618</c:v>
                </c:pt>
                <c:pt idx="10">
                  <c:v>0.8</c:v>
                </c:pt>
                <c:pt idx="12">
                  <c:v>0.52380952380952384</c:v>
                </c:pt>
                <c:pt idx="13">
                  <c:v>0.35897435897436986</c:v>
                </c:pt>
              </c:numCache>
            </c:numRef>
          </c:val>
        </c:ser>
        <c:ser>
          <c:idx val="4"/>
          <c:order val="4"/>
          <c:tx>
            <c:strRef>
              <c:f>Feuil7!$A$8</c:f>
              <c:strCache>
                <c:ptCount val="1"/>
                <c:pt idx="0">
                  <c:v>Coopérative</c:v>
                </c:pt>
              </c:strCache>
            </c:strRef>
          </c:tx>
          <c:cat>
            <c:strRef>
              <c:f>Feuil7!$B$3:$O$3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Feuil7!$B$8:$O$8</c:f>
              <c:numCache>
                <c:formatCode>General</c:formatCode>
                <c:ptCount val="14"/>
                <c:pt idx="7" formatCode="###0.0%">
                  <c:v>5.2631578947368432E-2</c:v>
                </c:pt>
              </c:numCache>
            </c:numRef>
          </c:val>
        </c:ser>
        <c:shape val="cylinder"/>
        <c:axId val="228260096"/>
        <c:axId val="228278272"/>
        <c:axId val="0"/>
      </c:bar3DChart>
      <c:catAx>
        <c:axId val="228260096"/>
        <c:scaling>
          <c:orientation val="minMax"/>
        </c:scaling>
        <c:axPos val="b"/>
        <c:numFmt formatCode="General" sourceLinked="0"/>
        <c:tickLblPos val="nextTo"/>
        <c:txPr>
          <a:bodyPr/>
          <a:lstStyle/>
          <a:p>
            <a:pPr>
              <a:defRPr sz="700" b="1">
                <a:latin typeface="Book Antiqua" pitchFamily="18" charset="0"/>
              </a:defRPr>
            </a:pPr>
            <a:endParaRPr lang="fr-FR"/>
          </a:p>
        </c:txPr>
        <c:crossAx val="228278272"/>
        <c:crosses val="autoZero"/>
        <c:auto val="1"/>
        <c:lblAlgn val="ctr"/>
        <c:lblOffset val="100"/>
      </c:catAx>
      <c:valAx>
        <c:axId val="228278272"/>
        <c:scaling>
          <c:orientation val="minMax"/>
        </c:scaling>
        <c:axPos val="l"/>
        <c:majorGridlines/>
        <c:numFmt formatCode="0%" sourceLinked="0"/>
        <c:tickLblPos val="nextTo"/>
        <c:txPr>
          <a:bodyPr/>
          <a:lstStyle/>
          <a:p>
            <a:pPr>
              <a:defRPr sz="700" b="1">
                <a:latin typeface="Book Antiqua" pitchFamily="18" charset="0"/>
              </a:defRPr>
            </a:pPr>
            <a:endParaRPr lang="fr-FR"/>
          </a:p>
        </c:txPr>
        <c:crossAx val="228260096"/>
        <c:crosses val="autoZero"/>
        <c:crossBetween val="between"/>
      </c:valAx>
    </c:plotArea>
    <c:legend>
      <c:legendPos val="b"/>
      <c:txPr>
        <a:bodyPr/>
        <a:lstStyle/>
        <a:p>
          <a:pPr>
            <a:defRPr sz="700" b="1">
              <a:latin typeface="Book Antiqua" pitchFamily="18" charset="0"/>
            </a:defRPr>
          </a:pPr>
          <a:endParaRPr lang="fr-FR"/>
        </a:p>
      </c:txPr>
    </c:legend>
    <c:plotVisOnly val="1"/>
    <c:dispBlanksAs val="gap"/>
  </c:chart>
  <c:externalData r:id="rId1"/>
</c:chartSpace>
</file>

<file path=word/charts/chart152.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Feuil10!$A$3</c:f>
              <c:strCache>
                <c:ptCount val="1"/>
                <c:pt idx="0">
                  <c:v>Très bonne</c:v>
                </c:pt>
              </c:strCache>
            </c:strRef>
          </c:tx>
          <c:cat>
            <c:strRef>
              <c:f>Feuil10!$B$2:$O$2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Feuil10!$B$3:$O$3</c:f>
              <c:numCache>
                <c:formatCode>###0.0%</c:formatCode>
                <c:ptCount val="14"/>
                <c:pt idx="0">
                  <c:v>2.4626209322779251E-2</c:v>
                </c:pt>
                <c:pt idx="1">
                  <c:v>2.4844720496894412E-2</c:v>
                </c:pt>
                <c:pt idx="7">
                  <c:v>3.333333333333334E-2</c:v>
                </c:pt>
                <c:pt idx="8">
                  <c:v>1.0000000000000005E-2</c:v>
                </c:pt>
                <c:pt idx="9">
                  <c:v>2.4844720496894412E-2</c:v>
                </c:pt>
                <c:pt idx="12">
                  <c:v>5.0359712230215833E-2</c:v>
                </c:pt>
                <c:pt idx="13" formatCode="####.0%">
                  <c:v>5.8823529411764714E-3</c:v>
                </c:pt>
              </c:numCache>
            </c:numRef>
          </c:val>
        </c:ser>
        <c:ser>
          <c:idx val="1"/>
          <c:order val="1"/>
          <c:tx>
            <c:strRef>
              <c:f>Feuil10!$A$4</c:f>
              <c:strCache>
                <c:ptCount val="1"/>
                <c:pt idx="0">
                  <c:v>Bonne</c:v>
                </c:pt>
              </c:strCache>
            </c:strRef>
          </c:tx>
          <c:cat>
            <c:strRef>
              <c:f>Feuil10!$B$2:$O$2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Feuil10!$B$4:$O$4</c:f>
              <c:numCache>
                <c:formatCode>###0.0%</c:formatCode>
                <c:ptCount val="14"/>
                <c:pt idx="0">
                  <c:v>0.6011433597185577</c:v>
                </c:pt>
                <c:pt idx="1">
                  <c:v>0.24844720496894926</c:v>
                </c:pt>
                <c:pt idx="2">
                  <c:v>0.35000000000000031</c:v>
                </c:pt>
                <c:pt idx="3">
                  <c:v>6.4935064935064929E-2</c:v>
                </c:pt>
                <c:pt idx="4">
                  <c:v>0.31304347826088091</c:v>
                </c:pt>
                <c:pt idx="5">
                  <c:v>0.31932773109245843</c:v>
                </c:pt>
                <c:pt idx="6">
                  <c:v>9.5890410958904146E-2</c:v>
                </c:pt>
                <c:pt idx="7">
                  <c:v>0.45833333333333326</c:v>
                </c:pt>
                <c:pt idx="8">
                  <c:v>0.23</c:v>
                </c:pt>
                <c:pt idx="9">
                  <c:v>0.44720496894410638</c:v>
                </c:pt>
                <c:pt idx="10">
                  <c:v>0.1111111111111111</c:v>
                </c:pt>
                <c:pt idx="11">
                  <c:v>0.20192307692307687</c:v>
                </c:pt>
                <c:pt idx="12">
                  <c:v>0.43165467625900239</c:v>
                </c:pt>
                <c:pt idx="13">
                  <c:v>0.19411764705882351</c:v>
                </c:pt>
              </c:numCache>
            </c:numRef>
          </c:val>
        </c:ser>
        <c:ser>
          <c:idx val="2"/>
          <c:order val="2"/>
          <c:tx>
            <c:strRef>
              <c:f>Feuil10!$A$5</c:f>
              <c:strCache>
                <c:ptCount val="1"/>
                <c:pt idx="0">
                  <c:v>Mauvaise</c:v>
                </c:pt>
              </c:strCache>
            </c:strRef>
          </c:tx>
          <c:cat>
            <c:strRef>
              <c:f>Feuil10!$B$2:$O$2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Feuil10!$B$5:$O$5</c:f>
              <c:numCache>
                <c:formatCode>###0.0%</c:formatCode>
                <c:ptCount val="14"/>
                <c:pt idx="0">
                  <c:v>0.33948988566405286</c:v>
                </c:pt>
                <c:pt idx="1">
                  <c:v>0.63354037267083385</c:v>
                </c:pt>
                <c:pt idx="2">
                  <c:v>0.43750000000000488</c:v>
                </c:pt>
                <c:pt idx="3">
                  <c:v>0.66233766233766234</c:v>
                </c:pt>
                <c:pt idx="4">
                  <c:v>0.64347826086956561</c:v>
                </c:pt>
                <c:pt idx="5">
                  <c:v>0.50420168067226856</c:v>
                </c:pt>
                <c:pt idx="6">
                  <c:v>0.76712328767123283</c:v>
                </c:pt>
                <c:pt idx="7">
                  <c:v>0.46666666666667483</c:v>
                </c:pt>
                <c:pt idx="8">
                  <c:v>0.56999999999999995</c:v>
                </c:pt>
                <c:pt idx="9">
                  <c:v>0.48447204968945801</c:v>
                </c:pt>
                <c:pt idx="10">
                  <c:v>0.65740740740741765</c:v>
                </c:pt>
                <c:pt idx="11">
                  <c:v>0.67307692307692302</c:v>
                </c:pt>
                <c:pt idx="12">
                  <c:v>0.42446043165469177</c:v>
                </c:pt>
                <c:pt idx="13">
                  <c:v>0.61176470588233856</c:v>
                </c:pt>
              </c:numCache>
            </c:numRef>
          </c:val>
        </c:ser>
        <c:ser>
          <c:idx val="3"/>
          <c:order val="3"/>
          <c:tx>
            <c:strRef>
              <c:f>Feuil10!$A$6</c:f>
              <c:strCache>
                <c:ptCount val="1"/>
                <c:pt idx="0">
                  <c:v>Très mauvaise</c:v>
                </c:pt>
              </c:strCache>
            </c:strRef>
          </c:tx>
          <c:cat>
            <c:strRef>
              <c:f>Feuil10!$B$2:$O$2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Feuil10!$B$6:$O$6</c:f>
              <c:numCache>
                <c:formatCode>###0.0%</c:formatCode>
                <c:ptCount val="14"/>
                <c:pt idx="0">
                  <c:v>3.4740545294635002E-2</c:v>
                </c:pt>
                <c:pt idx="1">
                  <c:v>9.3167701863354033E-2</c:v>
                </c:pt>
                <c:pt idx="2">
                  <c:v>0.21250000000000024</c:v>
                </c:pt>
                <c:pt idx="3">
                  <c:v>0.27272727272727282</c:v>
                </c:pt>
                <c:pt idx="4">
                  <c:v>4.3478260869565223E-2</c:v>
                </c:pt>
                <c:pt idx="5">
                  <c:v>0.17647058823529421</c:v>
                </c:pt>
                <c:pt idx="6">
                  <c:v>0.13698630136986734</c:v>
                </c:pt>
                <c:pt idx="7">
                  <c:v>4.1666666666666671E-2</c:v>
                </c:pt>
                <c:pt idx="8">
                  <c:v>0.19</c:v>
                </c:pt>
                <c:pt idx="9">
                  <c:v>4.3478260869565223E-2</c:v>
                </c:pt>
                <c:pt idx="10">
                  <c:v>0.23148148148148992</c:v>
                </c:pt>
                <c:pt idx="11">
                  <c:v>0.125</c:v>
                </c:pt>
                <c:pt idx="12">
                  <c:v>9.3525179856115206E-2</c:v>
                </c:pt>
                <c:pt idx="13">
                  <c:v>0.18823529411765419</c:v>
                </c:pt>
              </c:numCache>
            </c:numRef>
          </c:val>
        </c:ser>
        <c:shape val="cylinder"/>
        <c:axId val="228296576"/>
        <c:axId val="228298112"/>
        <c:axId val="0"/>
      </c:bar3DChart>
      <c:catAx>
        <c:axId val="228296576"/>
        <c:scaling>
          <c:orientation val="minMax"/>
        </c:scaling>
        <c:axPos val="b"/>
        <c:numFmt formatCode="General" sourceLinked="0"/>
        <c:tickLblPos val="nextTo"/>
        <c:txPr>
          <a:bodyPr/>
          <a:lstStyle/>
          <a:p>
            <a:pPr>
              <a:defRPr sz="600" b="1">
                <a:latin typeface="Book Antiqua" pitchFamily="18" charset="0"/>
              </a:defRPr>
            </a:pPr>
            <a:endParaRPr lang="fr-FR"/>
          </a:p>
        </c:txPr>
        <c:crossAx val="228298112"/>
        <c:crosses val="autoZero"/>
        <c:auto val="1"/>
        <c:lblAlgn val="ctr"/>
        <c:lblOffset val="100"/>
      </c:catAx>
      <c:valAx>
        <c:axId val="228298112"/>
        <c:scaling>
          <c:orientation val="minMax"/>
        </c:scaling>
        <c:axPos val="l"/>
        <c:numFmt formatCode="###0.0%" sourceLinked="1"/>
        <c:tickLblPos val="nextTo"/>
        <c:txPr>
          <a:bodyPr/>
          <a:lstStyle/>
          <a:p>
            <a:pPr>
              <a:defRPr sz="700" b="1">
                <a:latin typeface="Book Antiqua" pitchFamily="18" charset="0"/>
              </a:defRPr>
            </a:pPr>
            <a:endParaRPr lang="fr-FR"/>
          </a:p>
        </c:txPr>
        <c:crossAx val="228296576"/>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15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Feuil9!$A$4</c:f>
              <c:strCache>
                <c:ptCount val="1"/>
                <c:pt idx="0">
                  <c:v>Très suffisant</c:v>
                </c:pt>
              </c:strCache>
            </c:strRef>
          </c:tx>
          <c:cat>
            <c:strRef>
              <c:f>Feuil9!$B$3:$O$3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Feuil9!$B$4:$O$4</c:f>
              <c:numCache>
                <c:formatCode>###0.0%</c:formatCode>
                <c:ptCount val="14"/>
                <c:pt idx="0">
                  <c:v>3.0782761653474211E-2</c:v>
                </c:pt>
                <c:pt idx="1">
                  <c:v>4.3478260869565223E-2</c:v>
                </c:pt>
                <c:pt idx="2">
                  <c:v>1.2500000000000001E-2</c:v>
                </c:pt>
                <c:pt idx="7">
                  <c:v>2.5000000000000001E-2</c:v>
                </c:pt>
                <c:pt idx="8">
                  <c:v>2.0000000000000011E-2</c:v>
                </c:pt>
                <c:pt idx="9">
                  <c:v>4.3478260869565223E-2</c:v>
                </c:pt>
                <c:pt idx="10" formatCode="####.0%">
                  <c:v>9.2592592592597115E-3</c:v>
                </c:pt>
                <c:pt idx="12">
                  <c:v>3.5971223021582746E-2</c:v>
                </c:pt>
                <c:pt idx="13">
                  <c:v>1.7647058823529412E-2</c:v>
                </c:pt>
              </c:numCache>
            </c:numRef>
          </c:val>
        </c:ser>
        <c:ser>
          <c:idx val="1"/>
          <c:order val="1"/>
          <c:tx>
            <c:strRef>
              <c:f>Feuil9!$A$5</c:f>
              <c:strCache>
                <c:ptCount val="1"/>
                <c:pt idx="0">
                  <c:v>Suffisant</c:v>
                </c:pt>
              </c:strCache>
            </c:strRef>
          </c:tx>
          <c:cat>
            <c:strRef>
              <c:f>Feuil9!$B$3:$O$3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Feuil9!$B$5:$O$5</c:f>
              <c:numCache>
                <c:formatCode>###0.0%</c:formatCode>
                <c:ptCount val="14"/>
                <c:pt idx="0">
                  <c:v>0.5712401055409001</c:v>
                </c:pt>
                <c:pt idx="1">
                  <c:v>0.20496894409938499</c:v>
                </c:pt>
                <c:pt idx="2">
                  <c:v>0.43750000000000488</c:v>
                </c:pt>
                <c:pt idx="3">
                  <c:v>6.4935064935064929E-2</c:v>
                </c:pt>
                <c:pt idx="4">
                  <c:v>0.32173913043478253</c:v>
                </c:pt>
                <c:pt idx="5">
                  <c:v>0.21848739495799044</c:v>
                </c:pt>
                <c:pt idx="6">
                  <c:v>0.1095890410958904</c:v>
                </c:pt>
                <c:pt idx="7">
                  <c:v>0.37500000000000488</c:v>
                </c:pt>
                <c:pt idx="8">
                  <c:v>0.22</c:v>
                </c:pt>
                <c:pt idx="9">
                  <c:v>0.39130434782609752</c:v>
                </c:pt>
                <c:pt idx="10">
                  <c:v>6.481481481481785E-2</c:v>
                </c:pt>
                <c:pt idx="11">
                  <c:v>0.17307692307692321</c:v>
                </c:pt>
                <c:pt idx="12">
                  <c:v>0.42446043165469194</c:v>
                </c:pt>
                <c:pt idx="13">
                  <c:v>0.2352941176470589</c:v>
                </c:pt>
              </c:numCache>
            </c:numRef>
          </c:val>
        </c:ser>
        <c:ser>
          <c:idx val="2"/>
          <c:order val="2"/>
          <c:tx>
            <c:strRef>
              <c:f>Feuil9!$A$6</c:f>
              <c:strCache>
                <c:ptCount val="1"/>
                <c:pt idx="0">
                  <c:v>Non suffisant</c:v>
                </c:pt>
              </c:strCache>
            </c:strRef>
          </c:tx>
          <c:cat>
            <c:strRef>
              <c:f>Feuil9!$B$3:$O$3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Feuil9!$B$6:$O$6</c:f>
              <c:numCache>
                <c:formatCode>###0.0%</c:formatCode>
                <c:ptCount val="14"/>
                <c:pt idx="0">
                  <c:v>0.33948988566405325</c:v>
                </c:pt>
                <c:pt idx="1">
                  <c:v>0.59627329192544831</c:v>
                </c:pt>
                <c:pt idx="2">
                  <c:v>0.32500000000000862</c:v>
                </c:pt>
                <c:pt idx="3">
                  <c:v>0.64935064935064934</c:v>
                </c:pt>
                <c:pt idx="4">
                  <c:v>0.60869565217395261</c:v>
                </c:pt>
                <c:pt idx="5">
                  <c:v>0.59663865546218564</c:v>
                </c:pt>
                <c:pt idx="6">
                  <c:v>0.68493150684931503</c:v>
                </c:pt>
                <c:pt idx="7">
                  <c:v>0.5</c:v>
                </c:pt>
                <c:pt idx="8">
                  <c:v>0.52</c:v>
                </c:pt>
                <c:pt idx="9">
                  <c:v>0.48447204968945823</c:v>
                </c:pt>
                <c:pt idx="10">
                  <c:v>0.69444444444444464</c:v>
                </c:pt>
                <c:pt idx="11">
                  <c:v>0.61538461538461564</c:v>
                </c:pt>
                <c:pt idx="12">
                  <c:v>0.38848920863309488</c:v>
                </c:pt>
                <c:pt idx="13">
                  <c:v>0.50588235294117645</c:v>
                </c:pt>
              </c:numCache>
            </c:numRef>
          </c:val>
        </c:ser>
        <c:ser>
          <c:idx val="3"/>
          <c:order val="3"/>
          <c:tx>
            <c:strRef>
              <c:f>Feuil9!$A$7</c:f>
              <c:strCache>
                <c:ptCount val="1"/>
                <c:pt idx="0">
                  <c:v>Pas du tout suffisant</c:v>
                </c:pt>
              </c:strCache>
            </c:strRef>
          </c:tx>
          <c:cat>
            <c:strRef>
              <c:f>Feuil9!$B$3:$O$3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Feuil9!$B$7:$O$7</c:f>
              <c:numCache>
                <c:formatCode>###0.0%</c:formatCode>
                <c:ptCount val="14"/>
                <c:pt idx="0">
                  <c:v>5.8487247141600834E-2</c:v>
                </c:pt>
                <c:pt idx="1">
                  <c:v>0.15527950310559024</c:v>
                </c:pt>
                <c:pt idx="2">
                  <c:v>0.22500000000000001</c:v>
                </c:pt>
                <c:pt idx="3">
                  <c:v>0.28571428571429686</c:v>
                </c:pt>
                <c:pt idx="4">
                  <c:v>6.9565217391304404E-2</c:v>
                </c:pt>
                <c:pt idx="5">
                  <c:v>0.18487394957983191</c:v>
                </c:pt>
                <c:pt idx="6">
                  <c:v>0.20547945205479909</c:v>
                </c:pt>
                <c:pt idx="7">
                  <c:v>0.1</c:v>
                </c:pt>
                <c:pt idx="8">
                  <c:v>0.24000000000000021</c:v>
                </c:pt>
                <c:pt idx="9">
                  <c:v>8.0745341614906846E-2</c:v>
                </c:pt>
                <c:pt idx="10">
                  <c:v>0.23148148148149003</c:v>
                </c:pt>
                <c:pt idx="11">
                  <c:v>0.21153846153846981</c:v>
                </c:pt>
                <c:pt idx="12">
                  <c:v>0.15107913669064749</c:v>
                </c:pt>
                <c:pt idx="13">
                  <c:v>0.24117647058823541</c:v>
                </c:pt>
              </c:numCache>
            </c:numRef>
          </c:val>
        </c:ser>
        <c:shape val="cylinder"/>
        <c:axId val="228791808"/>
        <c:axId val="228793344"/>
        <c:axId val="0"/>
      </c:bar3DChart>
      <c:catAx>
        <c:axId val="228791808"/>
        <c:scaling>
          <c:orientation val="minMax"/>
        </c:scaling>
        <c:axPos val="b"/>
        <c:numFmt formatCode="General" sourceLinked="0"/>
        <c:tickLblPos val="nextTo"/>
        <c:txPr>
          <a:bodyPr/>
          <a:lstStyle/>
          <a:p>
            <a:pPr>
              <a:defRPr sz="700" b="1">
                <a:latin typeface="Book Antiqua" pitchFamily="18" charset="0"/>
              </a:defRPr>
            </a:pPr>
            <a:endParaRPr lang="fr-FR"/>
          </a:p>
        </c:txPr>
        <c:crossAx val="228793344"/>
        <c:crosses val="autoZero"/>
        <c:auto val="1"/>
        <c:lblAlgn val="ctr"/>
        <c:lblOffset val="100"/>
      </c:catAx>
      <c:valAx>
        <c:axId val="228793344"/>
        <c:scaling>
          <c:orientation val="minMax"/>
        </c:scaling>
        <c:axPos val="l"/>
        <c:numFmt formatCode="###0.0%" sourceLinked="1"/>
        <c:tickLblPos val="nextTo"/>
        <c:txPr>
          <a:bodyPr/>
          <a:lstStyle/>
          <a:p>
            <a:pPr>
              <a:defRPr sz="700" b="1">
                <a:latin typeface="Book Antiqua" pitchFamily="18" charset="0"/>
              </a:defRPr>
            </a:pPr>
            <a:endParaRPr lang="fr-FR"/>
          </a:p>
        </c:txPr>
        <c:crossAx val="228791808"/>
        <c:crosses val="autoZero"/>
        <c:crossBetween val="between"/>
      </c:valAx>
    </c:plotArea>
    <c:legend>
      <c:legendPos val="b"/>
      <c:txPr>
        <a:bodyPr/>
        <a:lstStyle/>
        <a:p>
          <a:pPr>
            <a:defRPr sz="700" b="1">
              <a:latin typeface="Book Antiqua" pitchFamily="18" charset="0"/>
            </a:defRPr>
          </a:pPr>
          <a:endParaRPr lang="fr-FR"/>
        </a:p>
      </c:txPr>
    </c:legend>
    <c:plotVisOnly val="1"/>
    <c:dispBlanksAs val="gap"/>
  </c:chart>
  <c:externalData r:id="rId1"/>
</c:chartSpace>
</file>

<file path=word/charts/chart15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Feuil16!$A$3</c:f>
              <c:strCache>
                <c:ptCount val="1"/>
                <c:pt idx="0">
                  <c:v>Très suffisant</c:v>
                </c:pt>
              </c:strCache>
            </c:strRef>
          </c:tx>
          <c:cat>
            <c:strRef>
              <c:f>Feuil16!$B$2:$O$2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Feuil16!$B$3:$O$3</c:f>
              <c:numCache>
                <c:formatCode>###0.0%</c:formatCode>
                <c:ptCount val="14"/>
                <c:pt idx="0">
                  <c:v>1.2313104661389625E-2</c:v>
                </c:pt>
                <c:pt idx="1">
                  <c:v>1.242236024844766E-2</c:v>
                </c:pt>
                <c:pt idx="7">
                  <c:v>2.5000000000000001E-2</c:v>
                </c:pt>
                <c:pt idx="8">
                  <c:v>1.0000000000000005E-2</c:v>
                </c:pt>
                <c:pt idx="9">
                  <c:v>2.4844720496894412E-2</c:v>
                </c:pt>
                <c:pt idx="12">
                  <c:v>1.4388489208633578E-2</c:v>
                </c:pt>
                <c:pt idx="13">
                  <c:v>2.9411764705882353E-2</c:v>
                </c:pt>
              </c:numCache>
            </c:numRef>
          </c:val>
        </c:ser>
        <c:ser>
          <c:idx val="1"/>
          <c:order val="1"/>
          <c:tx>
            <c:strRef>
              <c:f>Feuil16!$A$4</c:f>
              <c:strCache>
                <c:ptCount val="1"/>
                <c:pt idx="0">
                  <c:v>Suffisant</c:v>
                </c:pt>
              </c:strCache>
            </c:strRef>
          </c:tx>
          <c:cat>
            <c:strRef>
              <c:f>Feuil16!$B$2:$O$2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Feuil16!$B$4:$O$4</c:f>
              <c:numCache>
                <c:formatCode>###0.0%</c:formatCode>
                <c:ptCount val="14"/>
                <c:pt idx="0">
                  <c:v>0.39182058047495466</c:v>
                </c:pt>
                <c:pt idx="1">
                  <c:v>0.14285714285714826</c:v>
                </c:pt>
                <c:pt idx="2">
                  <c:v>0.45</c:v>
                </c:pt>
                <c:pt idx="3">
                  <c:v>9.0909090909091064E-2</c:v>
                </c:pt>
                <c:pt idx="4">
                  <c:v>0.2</c:v>
                </c:pt>
                <c:pt idx="5">
                  <c:v>0.38655462184875511</c:v>
                </c:pt>
                <c:pt idx="6">
                  <c:v>9.5890410958904146E-2</c:v>
                </c:pt>
                <c:pt idx="7">
                  <c:v>0.2416666666666667</c:v>
                </c:pt>
                <c:pt idx="8">
                  <c:v>0.21000000000000021</c:v>
                </c:pt>
                <c:pt idx="9">
                  <c:v>0.29192546583852053</c:v>
                </c:pt>
                <c:pt idx="10">
                  <c:v>0.16666666666666669</c:v>
                </c:pt>
                <c:pt idx="11">
                  <c:v>0.13461538461538491</c:v>
                </c:pt>
                <c:pt idx="12">
                  <c:v>0.41726618705036761</c:v>
                </c:pt>
                <c:pt idx="13">
                  <c:v>0.25294117647058773</c:v>
                </c:pt>
              </c:numCache>
            </c:numRef>
          </c:val>
        </c:ser>
        <c:ser>
          <c:idx val="2"/>
          <c:order val="2"/>
          <c:tx>
            <c:strRef>
              <c:f>Feuil16!$A$5</c:f>
              <c:strCache>
                <c:ptCount val="1"/>
                <c:pt idx="0">
                  <c:v>Non suffisant</c:v>
                </c:pt>
              </c:strCache>
            </c:strRef>
          </c:tx>
          <c:cat>
            <c:strRef>
              <c:f>Feuil16!$B$2:$O$2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Feuil16!$B$5:$O$5</c:f>
              <c:numCache>
                <c:formatCode>###0.0%</c:formatCode>
                <c:ptCount val="14"/>
                <c:pt idx="0">
                  <c:v>0.51890941072999164</c:v>
                </c:pt>
                <c:pt idx="1">
                  <c:v>0.63354037267083385</c:v>
                </c:pt>
                <c:pt idx="2">
                  <c:v>0.41250000000000031</c:v>
                </c:pt>
                <c:pt idx="3">
                  <c:v>0.64935064935064934</c:v>
                </c:pt>
                <c:pt idx="4">
                  <c:v>0.75652173913043563</c:v>
                </c:pt>
                <c:pt idx="5">
                  <c:v>0.44537815126051233</c:v>
                </c:pt>
                <c:pt idx="6">
                  <c:v>0.73972602739726023</c:v>
                </c:pt>
                <c:pt idx="7">
                  <c:v>0.60833333333333361</c:v>
                </c:pt>
                <c:pt idx="8">
                  <c:v>0.63000000000001577</c:v>
                </c:pt>
                <c:pt idx="9">
                  <c:v>0.56521739130434756</c:v>
                </c:pt>
                <c:pt idx="10">
                  <c:v>0.66666666666666674</c:v>
                </c:pt>
                <c:pt idx="11">
                  <c:v>0.68269230769230771</c:v>
                </c:pt>
                <c:pt idx="12">
                  <c:v>0.4820143884892184</c:v>
                </c:pt>
                <c:pt idx="13">
                  <c:v>0.5411764705882357</c:v>
                </c:pt>
              </c:numCache>
            </c:numRef>
          </c:val>
        </c:ser>
        <c:ser>
          <c:idx val="3"/>
          <c:order val="3"/>
          <c:tx>
            <c:strRef>
              <c:f>Feuil16!$A$6</c:f>
              <c:strCache>
                <c:ptCount val="1"/>
                <c:pt idx="0">
                  <c:v>Pas du tout suffisant</c:v>
                </c:pt>
              </c:strCache>
            </c:strRef>
          </c:tx>
          <c:cat>
            <c:strRef>
              <c:f>Feuil16!$B$2:$O$2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Feuil16!$B$6:$O$6</c:f>
              <c:numCache>
                <c:formatCode>###0.0%</c:formatCode>
                <c:ptCount val="14"/>
                <c:pt idx="0">
                  <c:v>7.6956904133685139E-2</c:v>
                </c:pt>
                <c:pt idx="1">
                  <c:v>0.21118012422359839</c:v>
                </c:pt>
                <c:pt idx="2">
                  <c:v>0.13750000000000001</c:v>
                </c:pt>
                <c:pt idx="3">
                  <c:v>0.25974025974025972</c:v>
                </c:pt>
                <c:pt idx="4">
                  <c:v>4.3478260869565223E-2</c:v>
                </c:pt>
                <c:pt idx="5">
                  <c:v>0.16806722689075634</c:v>
                </c:pt>
                <c:pt idx="6">
                  <c:v>0.16438356164383267</c:v>
                </c:pt>
                <c:pt idx="7">
                  <c:v>0.125</c:v>
                </c:pt>
                <c:pt idx="8">
                  <c:v>0.15000000000000024</c:v>
                </c:pt>
                <c:pt idx="9">
                  <c:v>0.11801242236024846</c:v>
                </c:pt>
                <c:pt idx="10">
                  <c:v>0.16666666666666669</c:v>
                </c:pt>
                <c:pt idx="11">
                  <c:v>0.18269230769231293</c:v>
                </c:pt>
                <c:pt idx="12">
                  <c:v>8.6330935251798552E-2</c:v>
                </c:pt>
                <c:pt idx="13">
                  <c:v>0.17647058823529421</c:v>
                </c:pt>
              </c:numCache>
            </c:numRef>
          </c:val>
        </c:ser>
        <c:shape val="cylinder"/>
        <c:axId val="228836480"/>
        <c:axId val="228838016"/>
        <c:axId val="0"/>
      </c:bar3DChart>
      <c:catAx>
        <c:axId val="228836480"/>
        <c:scaling>
          <c:orientation val="minMax"/>
        </c:scaling>
        <c:axPos val="b"/>
        <c:numFmt formatCode="General" sourceLinked="0"/>
        <c:tickLblPos val="nextTo"/>
        <c:txPr>
          <a:bodyPr/>
          <a:lstStyle/>
          <a:p>
            <a:pPr>
              <a:defRPr sz="700" b="1">
                <a:latin typeface="Book Antiqua" pitchFamily="18" charset="0"/>
              </a:defRPr>
            </a:pPr>
            <a:endParaRPr lang="fr-FR"/>
          </a:p>
        </c:txPr>
        <c:crossAx val="228838016"/>
        <c:crosses val="autoZero"/>
        <c:auto val="1"/>
        <c:lblAlgn val="ctr"/>
        <c:lblOffset val="100"/>
      </c:catAx>
      <c:valAx>
        <c:axId val="228838016"/>
        <c:scaling>
          <c:orientation val="minMax"/>
        </c:scaling>
        <c:axPos val="l"/>
        <c:majorGridlines/>
        <c:numFmt formatCode="###0.0%" sourceLinked="1"/>
        <c:tickLblPos val="nextTo"/>
        <c:txPr>
          <a:bodyPr/>
          <a:lstStyle/>
          <a:p>
            <a:pPr>
              <a:defRPr sz="700" b="1">
                <a:latin typeface="Book Antiqua" pitchFamily="18" charset="0"/>
              </a:defRPr>
            </a:pPr>
            <a:endParaRPr lang="fr-FR"/>
          </a:p>
        </c:txPr>
        <c:crossAx val="228836480"/>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155.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cat>
            <c:strRef>
              <c:f>Feuil8!$E$71:$J$71</c:f>
              <c:strCache>
                <c:ptCount val="6"/>
                <c:pt idx="0">
                  <c:v>18-24 ans</c:v>
                </c:pt>
                <c:pt idx="1">
                  <c:v>25-34  ans</c:v>
                </c:pt>
                <c:pt idx="2">
                  <c:v>35-44 ans</c:v>
                </c:pt>
                <c:pt idx="3">
                  <c:v>45-54 ans</c:v>
                </c:pt>
                <c:pt idx="4">
                  <c:v>55-64 ans</c:v>
                </c:pt>
                <c:pt idx="5">
                  <c:v>65 ans ou plus</c:v>
                </c:pt>
              </c:strCache>
            </c:strRef>
          </c:cat>
          <c:val>
            <c:numRef>
              <c:f>Feuil8!$E$72:$J$72</c:f>
              <c:numCache>
                <c:formatCode>0.0%</c:formatCode>
                <c:ptCount val="6"/>
                <c:pt idx="0">
                  <c:v>0.90217391304348871</c:v>
                </c:pt>
                <c:pt idx="1">
                  <c:v>0.90232108317214699</c:v>
                </c:pt>
                <c:pt idx="2">
                  <c:v>0.88354700854700852</c:v>
                </c:pt>
                <c:pt idx="3">
                  <c:v>0.85256410256410264</c:v>
                </c:pt>
                <c:pt idx="4">
                  <c:v>0.83620689655172464</c:v>
                </c:pt>
                <c:pt idx="5">
                  <c:v>0.8</c:v>
                </c:pt>
              </c:numCache>
            </c:numRef>
          </c:val>
        </c:ser>
        <c:marker val="1"/>
        <c:axId val="228878208"/>
        <c:axId val="228879744"/>
      </c:lineChart>
      <c:catAx>
        <c:axId val="228878208"/>
        <c:scaling>
          <c:orientation val="minMax"/>
        </c:scaling>
        <c:axPos val="b"/>
        <c:numFmt formatCode="General" sourceLinked="0"/>
        <c:tickLblPos val="nextTo"/>
        <c:txPr>
          <a:bodyPr/>
          <a:lstStyle/>
          <a:p>
            <a:pPr>
              <a:defRPr sz="800" b="1">
                <a:latin typeface="Book Antiqua" pitchFamily="18" charset="0"/>
              </a:defRPr>
            </a:pPr>
            <a:endParaRPr lang="fr-FR"/>
          </a:p>
        </c:txPr>
        <c:crossAx val="228879744"/>
        <c:crosses val="autoZero"/>
        <c:auto val="1"/>
        <c:lblAlgn val="ctr"/>
        <c:lblOffset val="100"/>
      </c:catAx>
      <c:valAx>
        <c:axId val="228879744"/>
        <c:scaling>
          <c:orientation val="minMax"/>
        </c:scaling>
        <c:axPos val="l"/>
        <c:majorGridlines/>
        <c:numFmt formatCode="0.0%" sourceLinked="1"/>
        <c:tickLblPos val="nextTo"/>
        <c:txPr>
          <a:bodyPr/>
          <a:lstStyle/>
          <a:p>
            <a:pPr>
              <a:defRPr sz="800" b="1">
                <a:latin typeface="Book Antiqua" pitchFamily="18" charset="0"/>
              </a:defRPr>
            </a:pPr>
            <a:endParaRPr lang="fr-FR"/>
          </a:p>
        </c:txPr>
        <c:crossAx val="228878208"/>
        <c:crosses val="autoZero"/>
        <c:crossBetween val="between"/>
      </c:valAx>
    </c:plotArea>
    <c:plotVisOnly val="1"/>
    <c:dispBlanksAs val="gap"/>
  </c:chart>
  <c:externalData r:id="rId1"/>
</c:chartSpace>
</file>

<file path=word/charts/chart15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Feuil13!$A$4</c:f>
              <c:strCache>
                <c:ptCount val="1"/>
                <c:pt idx="0">
                  <c:v>Très bonne</c:v>
                </c:pt>
              </c:strCache>
            </c:strRef>
          </c:tx>
          <c:cat>
            <c:strRef>
              <c:f>Feuil13!$B$3:$O$3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Feuil13!$B$4:$O$4</c:f>
              <c:numCache>
                <c:formatCode>###0.0%</c:formatCode>
                <c:ptCount val="14"/>
                <c:pt idx="0">
                  <c:v>2.0715630885122412E-2</c:v>
                </c:pt>
                <c:pt idx="1">
                  <c:v>3.6036036036036036E-2</c:v>
                </c:pt>
                <c:pt idx="7">
                  <c:v>5.2631578947368432E-2</c:v>
                </c:pt>
                <c:pt idx="8">
                  <c:v>1.8518518518518583E-2</c:v>
                </c:pt>
                <c:pt idx="11">
                  <c:v>1.4492753623188409E-2</c:v>
                </c:pt>
                <c:pt idx="12">
                  <c:v>1.1111111111111125E-2</c:v>
                </c:pt>
              </c:numCache>
            </c:numRef>
          </c:val>
        </c:ser>
        <c:ser>
          <c:idx val="1"/>
          <c:order val="1"/>
          <c:tx>
            <c:strRef>
              <c:f>Feuil13!$A$5</c:f>
              <c:strCache>
                <c:ptCount val="1"/>
                <c:pt idx="0">
                  <c:v>Bonne</c:v>
                </c:pt>
              </c:strCache>
            </c:strRef>
          </c:tx>
          <c:cat>
            <c:strRef>
              <c:f>Feuil13!$B$3:$O$3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Feuil13!$B$5:$O$5</c:f>
              <c:numCache>
                <c:formatCode>###0.0%</c:formatCode>
                <c:ptCount val="14"/>
                <c:pt idx="0">
                  <c:v>0.57187696170747016</c:v>
                </c:pt>
                <c:pt idx="1">
                  <c:v>0.36036036036037483</c:v>
                </c:pt>
                <c:pt idx="2">
                  <c:v>0.47368421052631576</c:v>
                </c:pt>
                <c:pt idx="3">
                  <c:v>6.3829787234042562E-2</c:v>
                </c:pt>
                <c:pt idx="4">
                  <c:v>0.29629629629629628</c:v>
                </c:pt>
                <c:pt idx="5">
                  <c:v>0.55405405405405461</c:v>
                </c:pt>
                <c:pt idx="6">
                  <c:v>0.11538461538461539</c:v>
                </c:pt>
                <c:pt idx="7">
                  <c:v>0.38157894736843612</c:v>
                </c:pt>
                <c:pt idx="8">
                  <c:v>0.20370370370370369</c:v>
                </c:pt>
                <c:pt idx="9">
                  <c:v>0.57731958762886604</c:v>
                </c:pt>
                <c:pt idx="10">
                  <c:v>9.0909090909091064E-2</c:v>
                </c:pt>
                <c:pt idx="11">
                  <c:v>0.15942028985507942</c:v>
                </c:pt>
                <c:pt idx="12">
                  <c:v>0.51111111111111118</c:v>
                </c:pt>
                <c:pt idx="13">
                  <c:v>0.36363636363636381</c:v>
                </c:pt>
              </c:numCache>
            </c:numRef>
          </c:val>
        </c:ser>
        <c:ser>
          <c:idx val="2"/>
          <c:order val="2"/>
          <c:tx>
            <c:strRef>
              <c:f>Feuil13!$A$6</c:f>
              <c:strCache>
                <c:ptCount val="1"/>
                <c:pt idx="0">
                  <c:v>Mauvaise</c:v>
                </c:pt>
              </c:strCache>
            </c:strRef>
          </c:tx>
          <c:cat>
            <c:strRef>
              <c:f>Feuil13!$B$3:$O$3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Feuil13!$B$6:$O$6</c:f>
              <c:numCache>
                <c:formatCode>###0.0%</c:formatCode>
                <c:ptCount val="14"/>
                <c:pt idx="0">
                  <c:v>0.38041431261771241</c:v>
                </c:pt>
                <c:pt idx="1">
                  <c:v>0.46846846846847601</c:v>
                </c:pt>
                <c:pt idx="2">
                  <c:v>0.36842105263157893</c:v>
                </c:pt>
                <c:pt idx="3">
                  <c:v>0.63829787234045376</c:v>
                </c:pt>
                <c:pt idx="4">
                  <c:v>0.70370370370370372</c:v>
                </c:pt>
                <c:pt idx="5">
                  <c:v>0.37837837837839289</c:v>
                </c:pt>
                <c:pt idx="6">
                  <c:v>0.69230769230769262</c:v>
                </c:pt>
                <c:pt idx="7">
                  <c:v>0.53947368421052633</c:v>
                </c:pt>
                <c:pt idx="8">
                  <c:v>0.62962962962965341</c:v>
                </c:pt>
                <c:pt idx="9">
                  <c:v>0.39175257731960367</c:v>
                </c:pt>
                <c:pt idx="10">
                  <c:v>0.45454545454545453</c:v>
                </c:pt>
                <c:pt idx="11">
                  <c:v>0.78260869565219182</c:v>
                </c:pt>
                <c:pt idx="12">
                  <c:v>0.38888888888890893</c:v>
                </c:pt>
                <c:pt idx="13">
                  <c:v>0.49494949494950413</c:v>
                </c:pt>
              </c:numCache>
            </c:numRef>
          </c:val>
        </c:ser>
        <c:ser>
          <c:idx val="3"/>
          <c:order val="3"/>
          <c:tx>
            <c:strRef>
              <c:f>Feuil13!$A$7</c:f>
              <c:strCache>
                <c:ptCount val="1"/>
                <c:pt idx="0">
                  <c:v>Très mauvaise</c:v>
                </c:pt>
              </c:strCache>
            </c:strRef>
          </c:tx>
          <c:cat>
            <c:strRef>
              <c:f>Feuil13!$B$3:$O$3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Feuil13!$B$7:$O$7</c:f>
              <c:numCache>
                <c:formatCode>###0.0%</c:formatCode>
                <c:ptCount val="14"/>
                <c:pt idx="0">
                  <c:v>2.6993094789705012E-2</c:v>
                </c:pt>
                <c:pt idx="1">
                  <c:v>0.13513513513513872</c:v>
                </c:pt>
                <c:pt idx="2">
                  <c:v>0.15789473684211208</c:v>
                </c:pt>
                <c:pt idx="3">
                  <c:v>0.2978723404255319</c:v>
                </c:pt>
                <c:pt idx="5">
                  <c:v>6.7567567567567571E-2</c:v>
                </c:pt>
                <c:pt idx="6">
                  <c:v>0.19230769230769229</c:v>
                </c:pt>
                <c:pt idx="7">
                  <c:v>2.6315789473684216E-2</c:v>
                </c:pt>
                <c:pt idx="8">
                  <c:v>0.14814814814814894</c:v>
                </c:pt>
                <c:pt idx="9">
                  <c:v>3.0927835051546396E-2</c:v>
                </c:pt>
                <c:pt idx="10">
                  <c:v>0.45454545454545453</c:v>
                </c:pt>
                <c:pt idx="11">
                  <c:v>4.3478260869565223E-2</c:v>
                </c:pt>
                <c:pt idx="12">
                  <c:v>8.8888888888889767E-2</c:v>
                </c:pt>
                <c:pt idx="13">
                  <c:v>0.14141414141414688</c:v>
                </c:pt>
              </c:numCache>
            </c:numRef>
          </c:val>
        </c:ser>
        <c:shape val="cylinder"/>
        <c:axId val="229123200"/>
        <c:axId val="229124736"/>
        <c:axId val="0"/>
      </c:bar3DChart>
      <c:catAx>
        <c:axId val="229123200"/>
        <c:scaling>
          <c:orientation val="minMax"/>
        </c:scaling>
        <c:axPos val="b"/>
        <c:numFmt formatCode="General" sourceLinked="0"/>
        <c:tickLblPos val="nextTo"/>
        <c:txPr>
          <a:bodyPr/>
          <a:lstStyle/>
          <a:p>
            <a:pPr>
              <a:defRPr sz="700" b="1">
                <a:latin typeface="Book Antiqua" pitchFamily="18" charset="0"/>
              </a:defRPr>
            </a:pPr>
            <a:endParaRPr lang="fr-FR"/>
          </a:p>
        </c:txPr>
        <c:crossAx val="229124736"/>
        <c:crosses val="autoZero"/>
        <c:auto val="1"/>
        <c:lblAlgn val="ctr"/>
        <c:lblOffset val="100"/>
      </c:catAx>
      <c:valAx>
        <c:axId val="229124736"/>
        <c:scaling>
          <c:orientation val="minMax"/>
        </c:scaling>
        <c:axPos val="l"/>
        <c:majorGridlines/>
        <c:numFmt formatCode="###0.0%" sourceLinked="1"/>
        <c:tickLblPos val="nextTo"/>
        <c:txPr>
          <a:bodyPr/>
          <a:lstStyle/>
          <a:p>
            <a:pPr>
              <a:defRPr sz="700" b="1">
                <a:latin typeface="Book Antiqua" pitchFamily="18" charset="0"/>
              </a:defRPr>
            </a:pPr>
            <a:endParaRPr lang="fr-FR"/>
          </a:p>
        </c:txPr>
        <c:crossAx val="229123200"/>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157.xml><?xml version="1.0" encoding="utf-8"?>
<c:chartSpace xmlns:c="http://schemas.openxmlformats.org/drawingml/2006/chart" xmlns:a="http://schemas.openxmlformats.org/drawingml/2006/main" xmlns:r="http://schemas.openxmlformats.org/officeDocument/2006/relationships">
  <c:date1904 val="1"/>
  <c:lang val="fr-FR"/>
  <c:chart>
    <c:view3D>
      <c:rotX val="30"/>
      <c:perspective val="30"/>
    </c:view3D>
    <c:plotArea>
      <c:layout>
        <c:manualLayout>
          <c:layoutTarget val="inner"/>
          <c:xMode val="edge"/>
          <c:yMode val="edge"/>
          <c:x val="4.2198804751396132E-2"/>
          <c:y val="7.0203550840132911E-2"/>
          <c:w val="0.92534545122160061"/>
          <c:h val="0.77202908548820814"/>
        </c:manualLayout>
      </c:layout>
      <c:pie3DChart>
        <c:varyColors val="1"/>
        <c:ser>
          <c:idx val="0"/>
          <c:order val="0"/>
          <c:dLbls>
            <c:spPr>
              <a:noFill/>
              <a:ln>
                <a:noFill/>
              </a:ln>
              <a:effectLst/>
            </c:spPr>
            <c:txPr>
              <a:bodyPr/>
              <a:lstStyle/>
              <a:p>
                <a:pPr>
                  <a:defRPr sz="800" b="1">
                    <a:latin typeface="Book Antiqua" pitchFamily="18" charset="0"/>
                  </a:defRPr>
                </a:pPr>
                <a:endParaRPr lang="fr-FR"/>
              </a:p>
            </c:txPr>
            <c:showVal val="1"/>
            <c:showLeaderLines val="1"/>
            <c:extLst>
              <c:ext xmlns:c15="http://schemas.microsoft.com/office/drawing/2012/chart" uri="{CE6537A1-D6FC-4f65-9D91-7224C49458BB}"/>
            </c:extLst>
          </c:dLbls>
          <c:cat>
            <c:strRef>
              <c:f>Feuil7!$A$2:$A$6</c:f>
              <c:strCache>
                <c:ptCount val="5"/>
                <c:pt idx="0">
                  <c:v>Très sécurisé</c:v>
                </c:pt>
                <c:pt idx="1">
                  <c:v>Sécurisé</c:v>
                </c:pt>
                <c:pt idx="2">
                  <c:v>Neutre</c:v>
                </c:pt>
                <c:pt idx="3">
                  <c:v>Non sécurisé</c:v>
                </c:pt>
                <c:pt idx="4">
                  <c:v>Très mal sécurisé</c:v>
                </c:pt>
              </c:strCache>
            </c:strRef>
          </c:cat>
          <c:val>
            <c:numRef>
              <c:f>Feuil7!$B$2:$B$6</c:f>
              <c:numCache>
                <c:formatCode>###0.0%</c:formatCode>
                <c:ptCount val="5"/>
                <c:pt idx="0">
                  <c:v>4.7870182555780925E-2</c:v>
                </c:pt>
                <c:pt idx="1">
                  <c:v>0.78498985801218768</c:v>
                </c:pt>
                <c:pt idx="2">
                  <c:v>0.15172413793103881</c:v>
                </c:pt>
                <c:pt idx="3">
                  <c:v>1.5010141987829614E-2</c:v>
                </c:pt>
                <c:pt idx="4" formatCode="####.0%">
                  <c:v>4.0567951318458932E-4</c:v>
                </c:pt>
              </c:numCache>
            </c:numRef>
          </c:val>
        </c:ser>
      </c:pie3DChart>
    </c:plotArea>
    <c:legend>
      <c:legendPos val="b"/>
      <c:layout>
        <c:manualLayout>
          <c:xMode val="edge"/>
          <c:yMode val="edge"/>
          <c:x val="0.17321720926020559"/>
          <c:y val="0.85320137066200064"/>
          <c:w val="0.66683241709215924"/>
          <c:h val="6.3828849188413375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15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8970253359049492"/>
          <c:y val="0.11199787630399501"/>
          <c:w val="0.42059493281901295"/>
          <c:h val="0.74361710937421399"/>
        </c:manualLayout>
      </c:layout>
      <c:pieChart>
        <c:varyColors val="1"/>
        <c:ser>
          <c:idx val="0"/>
          <c:order val="0"/>
          <c:explosion val="25"/>
          <c:dLbls>
            <c:spPr>
              <a:noFill/>
              <a:ln>
                <a:noFill/>
              </a:ln>
              <a:effectLst/>
            </c:spPr>
            <c:txPr>
              <a:bodyPr/>
              <a:lstStyle/>
              <a:p>
                <a:pPr>
                  <a:defRPr sz="800" b="1">
                    <a:latin typeface="Book Antiqua" pitchFamily="18" charset="0"/>
                  </a:defRPr>
                </a:pPr>
                <a:endParaRPr lang="fr-FR"/>
              </a:p>
            </c:txPr>
            <c:showPercent val="1"/>
            <c:extLst>
              <c:ext xmlns:c15="http://schemas.microsoft.com/office/drawing/2012/chart" uri="{CE6537A1-D6FC-4f65-9D91-7224C49458BB}"/>
            </c:extLst>
          </c:dLbls>
          <c:cat>
            <c:strRef>
              <c:f>Feuil6!$H$29:$H$32</c:f>
              <c:strCache>
                <c:ptCount val="4"/>
                <c:pt idx="0">
                  <c:v>Très long</c:v>
                </c:pt>
                <c:pt idx="1">
                  <c:v>Long</c:v>
                </c:pt>
                <c:pt idx="2">
                  <c:v>Correct</c:v>
                </c:pt>
                <c:pt idx="3">
                  <c:v>Très Correct</c:v>
                </c:pt>
              </c:strCache>
            </c:strRef>
          </c:cat>
          <c:val>
            <c:numRef>
              <c:f>Feuil6!$J$29:$J$32</c:f>
              <c:numCache>
                <c:formatCode>0.0%</c:formatCode>
                <c:ptCount val="4"/>
                <c:pt idx="0">
                  <c:v>3.5937499999999997E-2</c:v>
                </c:pt>
                <c:pt idx="1">
                  <c:v>0.15937499999999999</c:v>
                </c:pt>
                <c:pt idx="2">
                  <c:v>0.7416666666666667</c:v>
                </c:pt>
                <c:pt idx="3">
                  <c:v>6.3020833333333331E-2</c:v>
                </c:pt>
              </c:numCache>
            </c:numRef>
          </c:val>
        </c:ser>
        <c:dLbls>
          <c:showPercent val="1"/>
        </c:dLbls>
        <c:firstSliceAng val="0"/>
      </c:pieChart>
    </c:plotArea>
    <c:legend>
      <c:legendPos val="t"/>
      <c:layout>
        <c:manualLayout>
          <c:xMode val="edge"/>
          <c:yMode val="edge"/>
          <c:x val="0.2163685476815399"/>
          <c:y val="0.90945767514418263"/>
          <c:w val="0.60059601924759465"/>
          <c:h val="7.4761411180112758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15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Feuil17!$A$3</c:f>
              <c:strCache>
                <c:ptCount val="1"/>
                <c:pt idx="0">
                  <c:v>Oui</c:v>
                </c:pt>
              </c:strCache>
            </c:strRef>
          </c:tx>
          <c:dLbls>
            <c:dLbl>
              <c:idx val="0"/>
              <c:layout>
                <c:manualLayout>
                  <c:x val="1.1719207781553966E-2"/>
                  <c:y val="-3.8461538461538464E-2"/>
                </c:manualLayout>
              </c:layout>
              <c:showVal val="1"/>
              <c:extLst>
                <c:ext xmlns:c15="http://schemas.microsoft.com/office/drawing/2012/chart" uri="{CE6537A1-D6FC-4f65-9D91-7224C49458BB}">
                  <c15:layout/>
                </c:ext>
              </c:extLst>
            </c:dLbl>
            <c:dLbl>
              <c:idx val="1"/>
              <c:layout>
                <c:manualLayout>
                  <c:x val="7.0315246689323834E-3"/>
                  <c:y val="-3.8461538461538464E-2"/>
                </c:manualLayout>
              </c:layout>
              <c:showVal val="1"/>
              <c:extLst>
                <c:ext xmlns:c15="http://schemas.microsoft.com/office/drawing/2012/chart" uri="{CE6537A1-D6FC-4f65-9D91-7224C49458BB}">
                  <c15:layout/>
                </c:ext>
              </c:extLst>
            </c:dLbl>
            <c:spPr>
              <a:noFill/>
              <a:ln>
                <a:noFill/>
              </a:ln>
              <a:effectLst/>
            </c:spPr>
            <c:txPr>
              <a:bodyPr/>
              <a:lstStyle/>
              <a:p>
                <a:pPr>
                  <a:defRPr sz="700" b="1">
                    <a:solidFill>
                      <a:sysClr val="windowText" lastClr="000000"/>
                    </a:solidFill>
                    <a:latin typeface="Book Antiqua" pitchFamily="18" charset="0"/>
                  </a:defRPr>
                </a:pPr>
                <a:endParaRPr lang="fr-FR"/>
              </a:p>
            </c:txPr>
            <c:showVal val="1"/>
            <c:extLst>
              <c:ext xmlns:c15="http://schemas.microsoft.com/office/drawing/2012/chart" uri="{CE6537A1-D6FC-4f65-9D91-7224C49458BB}">
                <c15:showLeaderLines val="0"/>
              </c:ext>
            </c:extLst>
          </c:dLbls>
          <c:cat>
            <c:strRef>
              <c:f>Feuil17!$B$2:$C$2</c:f>
              <c:strCache>
                <c:ptCount val="2"/>
                <c:pt idx="0">
                  <c:v>Formelle</c:v>
                </c:pt>
                <c:pt idx="1">
                  <c:v>Informelle</c:v>
                </c:pt>
              </c:strCache>
            </c:strRef>
          </c:cat>
          <c:val>
            <c:numRef>
              <c:f>Feuil17!$B$3:$C$3</c:f>
              <c:numCache>
                <c:formatCode>###0.0%</c:formatCode>
                <c:ptCount val="2"/>
                <c:pt idx="0">
                  <c:v>0.11926889714993801</c:v>
                </c:pt>
                <c:pt idx="1">
                  <c:v>6.4685314685314688E-2</c:v>
                </c:pt>
              </c:numCache>
            </c:numRef>
          </c:val>
        </c:ser>
        <c:ser>
          <c:idx val="1"/>
          <c:order val="1"/>
          <c:tx>
            <c:strRef>
              <c:f>Feuil17!$A$4</c:f>
              <c:strCache>
                <c:ptCount val="1"/>
                <c:pt idx="0">
                  <c:v>Non</c:v>
                </c:pt>
              </c:strCache>
            </c:strRef>
          </c:tx>
          <c:dLbls>
            <c:dLbl>
              <c:idx val="0"/>
              <c:layout>
                <c:manualLayout>
                  <c:x val="9.3753662252436774E-3"/>
                  <c:y val="-7.1428571428571425E-2"/>
                </c:manualLayout>
              </c:layout>
              <c:showVal val="1"/>
              <c:extLst>
                <c:ext xmlns:c15="http://schemas.microsoft.com/office/drawing/2012/chart" uri="{CE6537A1-D6FC-4f65-9D91-7224C49458BB}">
                  <c15:layout/>
                </c:ext>
              </c:extLst>
            </c:dLbl>
            <c:dLbl>
              <c:idx val="1"/>
              <c:layout>
                <c:manualLayout>
                  <c:x val="1.1719207781554048E-2"/>
                  <c:y val="-6.0439560439560482E-2"/>
                </c:manualLayout>
              </c:layout>
              <c:showVal val="1"/>
              <c:extLst>
                <c:ext xmlns:c15="http://schemas.microsoft.com/office/drawing/2012/chart" uri="{CE6537A1-D6FC-4f65-9D91-7224C49458BB}">
                  <c15:layout/>
                </c:ext>
              </c:extLst>
            </c:dLbl>
            <c:spPr>
              <a:noFill/>
              <a:ln>
                <a:noFill/>
              </a:ln>
              <a:effectLst/>
            </c:spPr>
            <c:txPr>
              <a:bodyPr/>
              <a:lstStyle/>
              <a:p>
                <a:pPr>
                  <a:defRPr sz="600" b="1">
                    <a:solidFill>
                      <a:sysClr val="windowText" lastClr="000000"/>
                    </a:solidFill>
                    <a:latin typeface="Book Antiqua" pitchFamily="18" charset="0"/>
                  </a:defRPr>
                </a:pPr>
                <a:endParaRPr lang="fr-FR"/>
              </a:p>
            </c:txPr>
            <c:showVal val="1"/>
            <c:extLst>
              <c:ext xmlns:c15="http://schemas.microsoft.com/office/drawing/2012/chart" uri="{CE6537A1-D6FC-4f65-9D91-7224C49458BB}">
                <c15:showLeaderLines val="0"/>
              </c:ext>
            </c:extLst>
          </c:dLbls>
          <c:cat>
            <c:strRef>
              <c:f>Feuil17!$B$2:$C$2</c:f>
              <c:strCache>
                <c:ptCount val="2"/>
                <c:pt idx="0">
                  <c:v>Formelle</c:v>
                </c:pt>
                <c:pt idx="1">
                  <c:v>Informelle</c:v>
                </c:pt>
              </c:strCache>
            </c:strRef>
          </c:cat>
          <c:val>
            <c:numRef>
              <c:f>Feuil17!$B$4:$C$4</c:f>
              <c:numCache>
                <c:formatCode>###0.0%</c:formatCode>
                <c:ptCount val="2"/>
                <c:pt idx="0">
                  <c:v>0.88073110285006151</c:v>
                </c:pt>
                <c:pt idx="1">
                  <c:v>0.93531468531468531</c:v>
                </c:pt>
              </c:numCache>
            </c:numRef>
          </c:val>
        </c:ser>
        <c:shape val="cylinder"/>
        <c:axId val="229322112"/>
        <c:axId val="229323904"/>
        <c:axId val="0"/>
      </c:bar3DChart>
      <c:catAx>
        <c:axId val="229322112"/>
        <c:scaling>
          <c:orientation val="minMax"/>
        </c:scaling>
        <c:axPos val="b"/>
        <c:numFmt formatCode="General" sourceLinked="0"/>
        <c:tickLblPos val="nextTo"/>
        <c:txPr>
          <a:bodyPr/>
          <a:lstStyle/>
          <a:p>
            <a:pPr>
              <a:defRPr sz="800" b="1">
                <a:latin typeface="Book Antiqua" pitchFamily="18" charset="0"/>
              </a:defRPr>
            </a:pPr>
            <a:endParaRPr lang="fr-FR"/>
          </a:p>
        </c:txPr>
        <c:crossAx val="229323904"/>
        <c:crosses val="autoZero"/>
        <c:auto val="1"/>
        <c:lblAlgn val="ctr"/>
        <c:lblOffset val="100"/>
      </c:catAx>
      <c:valAx>
        <c:axId val="229323904"/>
        <c:scaling>
          <c:orientation val="minMax"/>
        </c:scaling>
        <c:axPos val="l"/>
        <c:numFmt formatCode="###0.0%" sourceLinked="1"/>
        <c:tickLblPos val="nextTo"/>
        <c:txPr>
          <a:bodyPr/>
          <a:lstStyle/>
          <a:p>
            <a:pPr>
              <a:defRPr sz="800" b="1">
                <a:latin typeface="Book Antiqua" pitchFamily="18" charset="0"/>
              </a:defRPr>
            </a:pPr>
            <a:endParaRPr lang="fr-FR"/>
          </a:p>
        </c:txPr>
        <c:crossAx val="229322112"/>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8.542261730177711E-2"/>
          <c:y val="0.10284553767954795"/>
          <c:w val="0.79095037189119266"/>
          <c:h val="0.74819941455448247"/>
        </c:manualLayout>
      </c:layout>
      <c:pie3DChart>
        <c:varyColors val="1"/>
        <c:ser>
          <c:idx val="0"/>
          <c:order val="0"/>
          <c:dLbls>
            <c:dLbl>
              <c:idx val="0"/>
              <c:layout>
                <c:manualLayout>
                  <c:x val="0.15550391444622993"/>
                  <c:y val="-4.8117270643763192E-2"/>
                </c:manualLayout>
              </c:layout>
              <c:tx>
                <c:rich>
                  <a:bodyPr/>
                  <a:lstStyle/>
                  <a:p>
                    <a:r>
                      <a:rPr lang="en-US" sz="800" b="1"/>
                      <a:t>Très suffisant 1,8%</a:t>
                    </a:r>
                  </a:p>
                </c:rich>
              </c:tx>
              <c:showVal val="1"/>
              <c:showCatName val="1"/>
              <c:extLst>
                <c:ext xmlns:c15="http://schemas.microsoft.com/office/drawing/2012/chart" uri="{CE6537A1-D6FC-4f65-9D91-7224C49458BB}"/>
              </c:extLst>
            </c:dLbl>
            <c:dLbl>
              <c:idx val="1"/>
              <c:layout>
                <c:manualLayout>
                  <c:x val="-8.7581315945821966E-3"/>
                  <c:y val="0.27960970296581095"/>
                </c:manualLayout>
              </c:layout>
              <c:tx>
                <c:rich>
                  <a:bodyPr/>
                  <a:lstStyle/>
                  <a:p>
                    <a:r>
                      <a:rPr lang="en-US" sz="800" b="1" i="0" u="none" strike="noStrike" kern="1200" baseline="0">
                        <a:solidFill>
                          <a:sysClr val="windowText" lastClr="000000"/>
                        </a:solidFill>
                        <a:latin typeface="Book Antiqua" pitchFamily="18" charset="0"/>
                      </a:rPr>
                      <a:t>Suffisant </a:t>
                    </a:r>
                    <a:r>
                      <a:rPr lang="en-US" sz="800" b="1"/>
                      <a:t>53,5%</a:t>
                    </a:r>
                  </a:p>
                </c:rich>
              </c:tx>
              <c:showVal val="1"/>
              <c:showCatName val="1"/>
              <c:extLst>
                <c:ext xmlns:c15="http://schemas.microsoft.com/office/drawing/2012/chart" uri="{CE6537A1-D6FC-4f65-9D91-7224C49458BB}"/>
              </c:extLst>
            </c:dLbl>
            <c:dLbl>
              <c:idx val="2"/>
              <c:layout>
                <c:manualLayout>
                  <c:x val="0.11366769698200332"/>
                  <c:y val="0.39330277519346835"/>
                </c:manualLayout>
              </c:layout>
              <c:tx>
                <c:rich>
                  <a:bodyPr/>
                  <a:lstStyle/>
                  <a:p>
                    <a:r>
                      <a:rPr lang="en-US" sz="800" b="1"/>
                      <a:t>Insuffiisant 38,4%</a:t>
                    </a:r>
                  </a:p>
                </c:rich>
              </c:tx>
              <c:showVal val="1"/>
              <c:showCatName val="1"/>
              <c:extLst>
                <c:ext xmlns:c15="http://schemas.microsoft.com/office/drawing/2012/chart" uri="{CE6537A1-D6FC-4f65-9D91-7224C49458BB}"/>
              </c:extLst>
            </c:dLbl>
            <c:dLbl>
              <c:idx val="3"/>
              <c:layout>
                <c:manualLayout>
                  <c:x val="-0.15123570155450144"/>
                  <c:y val="-2.6490276611678197E-3"/>
                </c:manualLayout>
              </c:layout>
              <c:tx>
                <c:rich>
                  <a:bodyPr/>
                  <a:lstStyle/>
                  <a:p>
                    <a:r>
                      <a:rPr lang="en-US" sz="800" b="1"/>
                      <a:t>Très </a:t>
                    </a:r>
                    <a:r>
                      <a:rPr lang="en-US" sz="800" b="1" i="0" u="none" strike="noStrike" kern="1200" baseline="0">
                        <a:solidFill>
                          <a:sysClr val="windowText" lastClr="000000"/>
                        </a:solidFill>
                        <a:latin typeface="Book Antiqua" pitchFamily="18" charset="0"/>
                      </a:rPr>
                      <a:t>insuffiisant </a:t>
                    </a:r>
                    <a:r>
                      <a:rPr lang="en-US" sz="800" b="1"/>
                      <a:t>6,3%</a:t>
                    </a:r>
                  </a:p>
                </c:rich>
              </c:tx>
              <c:showVal val="1"/>
              <c:showCatName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showCatName val="1"/>
            <c:showLeaderLines val="1"/>
            <c:extLst>
              <c:ext xmlns:c15="http://schemas.microsoft.com/office/drawing/2012/chart" uri="{CE6537A1-D6FC-4f65-9D91-7224C49458BB}"/>
            </c:extLst>
          </c:dLbls>
          <c:cat>
            <c:strRef>
              <c:f>Feuil1!$A$4:$A$7</c:f>
              <c:strCache>
                <c:ptCount val="4"/>
                <c:pt idx="0">
                  <c:v>Très suffisant</c:v>
                </c:pt>
                <c:pt idx="1">
                  <c:v>Suffisant</c:v>
                </c:pt>
                <c:pt idx="2">
                  <c:v>Non suffisant</c:v>
                </c:pt>
                <c:pt idx="3">
                  <c:v>Pas du tout suffisant</c:v>
                </c:pt>
              </c:strCache>
            </c:strRef>
          </c:cat>
          <c:val>
            <c:numRef>
              <c:f>Feuil1!$B$4:$B$7</c:f>
              <c:numCache>
                <c:formatCode>###0.0</c:formatCode>
                <c:ptCount val="4"/>
                <c:pt idx="0">
                  <c:v>1.8143009605123017</c:v>
                </c:pt>
                <c:pt idx="1">
                  <c:v>53.521878335112056</c:v>
                </c:pt>
                <c:pt idx="2">
                  <c:v>38.367129135538953</c:v>
                </c:pt>
                <c:pt idx="3">
                  <c:v>6.2966915688367076</c:v>
                </c:pt>
              </c:numCache>
            </c:numRef>
          </c:val>
        </c:ser>
      </c:pie3DChart>
    </c:plotArea>
    <c:plotVisOnly val="1"/>
    <c:dispBlanksAs val="zero"/>
  </c:chart>
  <c:externalData r:id="rId2"/>
</c:chartSpace>
</file>

<file path=word/charts/chart160.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Feuil18!$A$3</c:f>
              <c:strCache>
                <c:ptCount val="1"/>
                <c:pt idx="0">
                  <c:v>Oui</c:v>
                </c:pt>
              </c:strCache>
            </c:strRef>
          </c:tx>
          <c:dLbls>
            <c:spPr>
              <a:noFill/>
              <a:ln>
                <a:noFill/>
              </a:ln>
              <a:effectLst/>
            </c:spPr>
            <c:txPr>
              <a:bodyPr/>
              <a:lstStyle/>
              <a:p>
                <a:pPr>
                  <a:defRPr sz="7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Feuil18!$B$2:$I$2</c:f>
              <c:strCache>
                <c:ptCount val="8"/>
                <c:pt idx="0">
                  <c:v>50 000 ou Moins</c:v>
                </c:pt>
                <c:pt idx="1">
                  <c:v>]50 000 ; 100 000]</c:v>
                </c:pt>
                <c:pt idx="2">
                  <c:v>]100 000 ; 200 000]</c:v>
                </c:pt>
                <c:pt idx="3">
                  <c:v>]200 000 ; 300 000]</c:v>
                </c:pt>
                <c:pt idx="4">
                  <c:v>]300 000 ; 500 000]</c:v>
                </c:pt>
                <c:pt idx="5">
                  <c:v>]500 000 ; 1 million]</c:v>
                </c:pt>
                <c:pt idx="6">
                  <c:v>]1 million ; 1,5 million]</c:v>
                </c:pt>
                <c:pt idx="7">
                  <c:v>Plus de 1,5 million</c:v>
                </c:pt>
              </c:strCache>
            </c:strRef>
          </c:cat>
          <c:val>
            <c:numRef>
              <c:f>Feuil18!$B$3:$I$3</c:f>
              <c:numCache>
                <c:formatCode>###0.0%</c:formatCode>
                <c:ptCount val="8"/>
                <c:pt idx="0">
                  <c:v>3.2679738562092726E-2</c:v>
                </c:pt>
                <c:pt idx="1">
                  <c:v>4.6647230320699708E-2</c:v>
                </c:pt>
                <c:pt idx="2">
                  <c:v>5.4459352801894262E-2</c:v>
                </c:pt>
                <c:pt idx="3">
                  <c:v>0.10833333333333336</c:v>
                </c:pt>
                <c:pt idx="4">
                  <c:v>0.18340611353712735</c:v>
                </c:pt>
                <c:pt idx="5">
                  <c:v>0.30808080808082433</c:v>
                </c:pt>
                <c:pt idx="6">
                  <c:v>0.36000000000000032</c:v>
                </c:pt>
                <c:pt idx="7">
                  <c:v>0.70588235294117663</c:v>
                </c:pt>
              </c:numCache>
            </c:numRef>
          </c:val>
        </c:ser>
        <c:ser>
          <c:idx val="1"/>
          <c:order val="1"/>
          <c:tx>
            <c:strRef>
              <c:f>Feuil18!$A$4</c:f>
              <c:strCache>
                <c:ptCount val="1"/>
                <c:pt idx="0">
                  <c:v>Non</c:v>
                </c:pt>
              </c:strCache>
            </c:strRef>
          </c:tx>
          <c:cat>
            <c:strRef>
              <c:f>Feuil18!$B$2:$I$2</c:f>
              <c:strCache>
                <c:ptCount val="8"/>
                <c:pt idx="0">
                  <c:v>50 000 ou Moins</c:v>
                </c:pt>
                <c:pt idx="1">
                  <c:v>]50 000 ; 100 000]</c:v>
                </c:pt>
                <c:pt idx="2">
                  <c:v>]100 000 ; 200 000]</c:v>
                </c:pt>
                <c:pt idx="3">
                  <c:v>]200 000 ; 300 000]</c:v>
                </c:pt>
                <c:pt idx="4">
                  <c:v>]300 000 ; 500 000]</c:v>
                </c:pt>
                <c:pt idx="5">
                  <c:v>]500 000 ; 1 million]</c:v>
                </c:pt>
                <c:pt idx="6">
                  <c:v>]1 million ; 1,5 million]</c:v>
                </c:pt>
                <c:pt idx="7">
                  <c:v>Plus de 1,5 million</c:v>
                </c:pt>
              </c:strCache>
            </c:strRef>
          </c:cat>
          <c:val>
            <c:numRef>
              <c:f>Feuil18!$B$4:$I$4</c:f>
              <c:numCache>
                <c:formatCode>###0.0%</c:formatCode>
                <c:ptCount val="8"/>
                <c:pt idx="0">
                  <c:v>0.9673202614379085</c:v>
                </c:pt>
                <c:pt idx="1">
                  <c:v>0.95335276967930027</c:v>
                </c:pt>
                <c:pt idx="2">
                  <c:v>0.94554064719812514</c:v>
                </c:pt>
                <c:pt idx="3">
                  <c:v>0.8916666666666665</c:v>
                </c:pt>
                <c:pt idx="4">
                  <c:v>0.81659388646289754</c:v>
                </c:pt>
                <c:pt idx="5">
                  <c:v>0.69191919191919193</c:v>
                </c:pt>
                <c:pt idx="6">
                  <c:v>0.640000000000017</c:v>
                </c:pt>
                <c:pt idx="7">
                  <c:v>0.29411764705882382</c:v>
                </c:pt>
              </c:numCache>
            </c:numRef>
          </c:val>
        </c:ser>
        <c:shape val="cylinder"/>
        <c:axId val="229546240"/>
        <c:axId val="229576704"/>
        <c:axId val="0"/>
      </c:bar3DChart>
      <c:catAx>
        <c:axId val="229546240"/>
        <c:scaling>
          <c:orientation val="minMax"/>
        </c:scaling>
        <c:axPos val="b"/>
        <c:numFmt formatCode="General" sourceLinked="0"/>
        <c:tickLblPos val="nextTo"/>
        <c:txPr>
          <a:bodyPr/>
          <a:lstStyle/>
          <a:p>
            <a:pPr>
              <a:defRPr sz="500" b="1">
                <a:latin typeface="Book Antiqua" pitchFamily="18" charset="0"/>
              </a:defRPr>
            </a:pPr>
            <a:endParaRPr lang="fr-FR"/>
          </a:p>
        </c:txPr>
        <c:crossAx val="229576704"/>
        <c:crosses val="autoZero"/>
        <c:auto val="1"/>
        <c:lblAlgn val="ctr"/>
        <c:lblOffset val="100"/>
      </c:catAx>
      <c:valAx>
        <c:axId val="229576704"/>
        <c:scaling>
          <c:orientation val="minMax"/>
        </c:scaling>
        <c:axPos val="l"/>
        <c:majorGridlines/>
        <c:numFmt formatCode="###0.0%" sourceLinked="1"/>
        <c:tickLblPos val="nextTo"/>
        <c:txPr>
          <a:bodyPr/>
          <a:lstStyle/>
          <a:p>
            <a:pPr>
              <a:defRPr sz="700" b="1">
                <a:latin typeface="Book Antiqua" pitchFamily="18" charset="0"/>
              </a:defRPr>
            </a:pPr>
            <a:endParaRPr lang="fr-FR"/>
          </a:p>
        </c:txPr>
        <c:crossAx val="229546240"/>
        <c:crosses val="autoZero"/>
        <c:crossBetween val="between"/>
      </c:valAx>
    </c:plotArea>
    <c:legend>
      <c:legendPos val="b"/>
      <c:txPr>
        <a:bodyPr/>
        <a:lstStyle/>
        <a:p>
          <a:pPr>
            <a:defRPr sz="700">
              <a:latin typeface="Book Antiqua" pitchFamily="18" charset="0"/>
            </a:defRPr>
          </a:pPr>
          <a:endParaRPr lang="fr-FR"/>
        </a:p>
      </c:txPr>
    </c:legend>
    <c:plotVisOnly val="1"/>
    <c:dispBlanksAs val="gap"/>
  </c:chart>
  <c:externalData r:id="rId1"/>
</c:chartSpace>
</file>

<file path=word/charts/chart161.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Feuil19!$A$3</c:f>
              <c:strCache>
                <c:ptCount val="1"/>
                <c:pt idx="0">
                  <c:v>Très longue</c:v>
                </c:pt>
              </c:strCache>
            </c:strRef>
          </c:tx>
          <c:cat>
            <c:strRef>
              <c:f>Feuil19!$B$2:$O$2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Feuil19!$B$3:$O$3</c:f>
              <c:numCache>
                <c:formatCode>###0.0%</c:formatCode>
                <c:ptCount val="14"/>
                <c:pt idx="0">
                  <c:v>4.4280442804428104E-2</c:v>
                </c:pt>
                <c:pt idx="1">
                  <c:v>5.8823529411764705E-2</c:v>
                </c:pt>
                <c:pt idx="2">
                  <c:v>0.125</c:v>
                </c:pt>
                <c:pt idx="3">
                  <c:v>0.2</c:v>
                </c:pt>
                <c:pt idx="4">
                  <c:v>0.1</c:v>
                </c:pt>
                <c:pt idx="7">
                  <c:v>8.3333333333333343E-2</c:v>
                </c:pt>
                <c:pt idx="8">
                  <c:v>0.1111111111111111</c:v>
                </c:pt>
                <c:pt idx="9">
                  <c:v>3.8461538461538464E-2</c:v>
                </c:pt>
                <c:pt idx="12">
                  <c:v>0.22222222222222221</c:v>
                </c:pt>
              </c:numCache>
            </c:numRef>
          </c:val>
        </c:ser>
        <c:ser>
          <c:idx val="1"/>
          <c:order val="1"/>
          <c:tx>
            <c:strRef>
              <c:f>Feuil19!$A$4</c:f>
              <c:strCache>
                <c:ptCount val="1"/>
                <c:pt idx="0">
                  <c:v>Longue</c:v>
                </c:pt>
              </c:strCache>
            </c:strRef>
          </c:tx>
          <c:cat>
            <c:strRef>
              <c:f>Feuil19!$B$2:$O$2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Feuil19!$B$4:$O$4</c:f>
              <c:numCache>
                <c:formatCode>###0.0%</c:formatCode>
                <c:ptCount val="14"/>
                <c:pt idx="0">
                  <c:v>0.25092250922510112</c:v>
                </c:pt>
                <c:pt idx="1">
                  <c:v>0.17647058823529421</c:v>
                </c:pt>
                <c:pt idx="3">
                  <c:v>0.2</c:v>
                </c:pt>
                <c:pt idx="4">
                  <c:v>0.2</c:v>
                </c:pt>
                <c:pt idx="5">
                  <c:v>0.23076923076923836</c:v>
                </c:pt>
                <c:pt idx="7">
                  <c:v>0.5</c:v>
                </c:pt>
                <c:pt idx="8">
                  <c:v>0.38888888888891143</c:v>
                </c:pt>
                <c:pt idx="9">
                  <c:v>0.23076923076923836</c:v>
                </c:pt>
                <c:pt idx="10">
                  <c:v>0.1</c:v>
                </c:pt>
                <c:pt idx="11">
                  <c:v>0.1111111111111111</c:v>
                </c:pt>
                <c:pt idx="12">
                  <c:v>0.33333333333333337</c:v>
                </c:pt>
                <c:pt idx="13">
                  <c:v>0.13333333333333341</c:v>
                </c:pt>
              </c:numCache>
            </c:numRef>
          </c:val>
        </c:ser>
        <c:ser>
          <c:idx val="2"/>
          <c:order val="2"/>
          <c:tx>
            <c:strRef>
              <c:f>Feuil19!$A$5</c:f>
              <c:strCache>
                <c:ptCount val="1"/>
                <c:pt idx="0">
                  <c:v>Acceptable</c:v>
                </c:pt>
              </c:strCache>
            </c:strRef>
          </c:tx>
          <c:cat>
            <c:strRef>
              <c:f>Feuil19!$B$2:$O$2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Feuil19!$B$5:$O$5</c:f>
              <c:numCache>
                <c:formatCode>###0.0%</c:formatCode>
                <c:ptCount val="14"/>
                <c:pt idx="0">
                  <c:v>0.67158671586715857</c:v>
                </c:pt>
                <c:pt idx="1">
                  <c:v>0.70588235294117663</c:v>
                </c:pt>
                <c:pt idx="2">
                  <c:v>0.87500000000001465</c:v>
                </c:pt>
                <c:pt idx="3">
                  <c:v>0.60000000000000064</c:v>
                </c:pt>
                <c:pt idx="4">
                  <c:v>0.70000000000000062</c:v>
                </c:pt>
                <c:pt idx="5">
                  <c:v>0.69230769230769262</c:v>
                </c:pt>
                <c:pt idx="6">
                  <c:v>1</c:v>
                </c:pt>
                <c:pt idx="7">
                  <c:v>0.4166666666666759</c:v>
                </c:pt>
                <c:pt idx="8">
                  <c:v>0.44444444444444442</c:v>
                </c:pt>
                <c:pt idx="9">
                  <c:v>0.73076923076923084</c:v>
                </c:pt>
                <c:pt idx="10">
                  <c:v>0.9</c:v>
                </c:pt>
                <c:pt idx="11">
                  <c:v>0.88888888888888884</c:v>
                </c:pt>
                <c:pt idx="12">
                  <c:v>0.33333333333333337</c:v>
                </c:pt>
                <c:pt idx="13">
                  <c:v>0.8</c:v>
                </c:pt>
              </c:numCache>
            </c:numRef>
          </c:val>
        </c:ser>
        <c:ser>
          <c:idx val="3"/>
          <c:order val="3"/>
          <c:tx>
            <c:strRef>
              <c:f>Feuil19!$A$6</c:f>
              <c:strCache>
                <c:ptCount val="1"/>
                <c:pt idx="0">
                  <c:v>Courte</c:v>
                </c:pt>
              </c:strCache>
            </c:strRef>
          </c:tx>
          <c:cat>
            <c:strRef>
              <c:f>Feuil19!$B$2:$O$2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Feuil19!$B$6:$O$6</c:f>
              <c:numCache>
                <c:formatCode>###0.0%</c:formatCode>
                <c:ptCount val="14"/>
                <c:pt idx="0">
                  <c:v>3.3210332103321041E-2</c:v>
                </c:pt>
                <c:pt idx="1">
                  <c:v>5.8823529411764705E-2</c:v>
                </c:pt>
                <c:pt idx="5">
                  <c:v>7.6923076923076927E-2</c:v>
                </c:pt>
                <c:pt idx="8">
                  <c:v>5.5555555555555455E-2</c:v>
                </c:pt>
                <c:pt idx="12">
                  <c:v>0.1111111111111111</c:v>
                </c:pt>
                <c:pt idx="13">
                  <c:v>6.666666666666668E-2</c:v>
                </c:pt>
              </c:numCache>
            </c:numRef>
          </c:val>
        </c:ser>
        <c:shape val="cylinder"/>
        <c:axId val="229635968"/>
        <c:axId val="229637504"/>
        <c:axId val="0"/>
      </c:bar3DChart>
      <c:catAx>
        <c:axId val="229635968"/>
        <c:scaling>
          <c:orientation val="minMax"/>
        </c:scaling>
        <c:axPos val="b"/>
        <c:numFmt formatCode="General" sourceLinked="0"/>
        <c:tickLblPos val="nextTo"/>
        <c:txPr>
          <a:bodyPr/>
          <a:lstStyle/>
          <a:p>
            <a:pPr>
              <a:defRPr sz="700" b="1">
                <a:latin typeface="Book Antiqua" pitchFamily="18" charset="0"/>
              </a:defRPr>
            </a:pPr>
            <a:endParaRPr lang="fr-FR"/>
          </a:p>
        </c:txPr>
        <c:crossAx val="229637504"/>
        <c:crosses val="autoZero"/>
        <c:auto val="1"/>
        <c:lblAlgn val="ctr"/>
        <c:lblOffset val="100"/>
      </c:catAx>
      <c:valAx>
        <c:axId val="229637504"/>
        <c:scaling>
          <c:orientation val="minMax"/>
        </c:scaling>
        <c:axPos val="l"/>
        <c:majorGridlines/>
        <c:numFmt formatCode="###0.0%" sourceLinked="1"/>
        <c:tickLblPos val="nextTo"/>
        <c:txPr>
          <a:bodyPr/>
          <a:lstStyle/>
          <a:p>
            <a:pPr>
              <a:defRPr sz="700" b="1">
                <a:latin typeface="Book Antiqua" pitchFamily="18" charset="0"/>
              </a:defRPr>
            </a:pPr>
            <a:endParaRPr lang="fr-FR"/>
          </a:p>
        </c:txPr>
        <c:crossAx val="229635968"/>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162.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Feuil20!$A$3</c:f>
              <c:strCache>
                <c:ptCount val="1"/>
                <c:pt idx="0">
                  <c:v>Oui</c:v>
                </c:pt>
              </c:strCache>
            </c:strRef>
          </c:tx>
          <c:dLbls>
            <c:dLbl>
              <c:idx val="0"/>
              <c:layout>
                <c:manualLayout>
                  <c:x val="1.1695906432748496E-2"/>
                  <c:y val="-5.7803468208092589E-2"/>
                </c:manualLayout>
              </c:layout>
              <c:spPr/>
              <c:txPr>
                <a:bodyPr/>
                <a:lstStyle/>
                <a:p>
                  <a:pPr>
                    <a:defRPr sz="800" b="1">
                      <a:latin typeface="Book Antiqua" pitchFamily="18" charset="0"/>
                    </a:defRPr>
                  </a:pPr>
                  <a:endParaRPr lang="fr-FR"/>
                </a:p>
              </c:txPr>
              <c:showVal val="1"/>
              <c:extLst>
                <c:ext xmlns:c15="http://schemas.microsoft.com/office/drawing/2012/chart" uri="{CE6537A1-D6FC-4f65-9D91-7224C49458BB}">
                  <c15:layout/>
                </c:ext>
              </c:extLst>
            </c:dLbl>
            <c:dLbl>
              <c:idx val="1"/>
              <c:layout>
                <c:manualLayout>
                  <c:x val="7.0175438596491333E-3"/>
                  <c:y val="-7.5144508670520305E-2"/>
                </c:manualLayout>
              </c:layout>
              <c:showVal val="1"/>
              <c:extLst>
                <c:ext xmlns:c15="http://schemas.microsoft.com/office/drawing/2012/chart" uri="{CE6537A1-D6FC-4f65-9D91-7224C49458BB}">
                  <c15:layout/>
                </c:ext>
              </c:extLst>
            </c:dLbl>
            <c:spPr>
              <a:noFill/>
              <a:ln>
                <a:noFill/>
              </a:ln>
              <a:effectLst/>
            </c:spPr>
            <c:txPr>
              <a:bodyPr/>
              <a:lstStyle/>
              <a:p>
                <a:pPr>
                  <a:defRPr sz="800">
                    <a:latin typeface="Book Antiqua" pitchFamily="18" charset="0"/>
                  </a:defRPr>
                </a:pPr>
                <a:endParaRPr lang="fr-FR"/>
              </a:p>
            </c:txPr>
            <c:showVal val="1"/>
            <c:extLst>
              <c:ext xmlns:c15="http://schemas.microsoft.com/office/drawing/2012/chart" uri="{CE6537A1-D6FC-4f65-9D91-7224C49458BB}">
                <c15:showLeaderLines val="0"/>
              </c:ext>
            </c:extLst>
          </c:dLbls>
          <c:cat>
            <c:strRef>
              <c:f>Feuil20!$B$2:$C$2</c:f>
              <c:strCache>
                <c:ptCount val="2"/>
                <c:pt idx="0">
                  <c:v>Formelle</c:v>
                </c:pt>
                <c:pt idx="1">
                  <c:v>Informelle</c:v>
                </c:pt>
              </c:strCache>
            </c:strRef>
          </c:cat>
          <c:val>
            <c:numRef>
              <c:f>Feuil20!$B$3:$C$3</c:f>
              <c:numCache>
                <c:formatCode>###0.0%</c:formatCode>
                <c:ptCount val="2"/>
                <c:pt idx="0">
                  <c:v>5.2044609665427496E-2</c:v>
                </c:pt>
                <c:pt idx="1">
                  <c:v>3.3216783216783209E-2</c:v>
                </c:pt>
              </c:numCache>
            </c:numRef>
          </c:val>
        </c:ser>
        <c:ser>
          <c:idx val="1"/>
          <c:order val="1"/>
          <c:tx>
            <c:strRef>
              <c:f>Feuil20!$A$4</c:f>
              <c:strCache>
                <c:ptCount val="1"/>
                <c:pt idx="0">
                  <c:v>Non</c:v>
                </c:pt>
              </c:strCache>
            </c:strRef>
          </c:tx>
          <c:dLbls>
            <c:dLbl>
              <c:idx val="0"/>
              <c:layout>
                <c:manualLayout>
                  <c:x val="1.6374269005847871E-2"/>
                  <c:y val="-5.7803468208092512E-2"/>
                </c:manualLayout>
              </c:layout>
              <c:showVal val="1"/>
              <c:extLst>
                <c:ext xmlns:c15="http://schemas.microsoft.com/office/drawing/2012/chart" uri="{CE6537A1-D6FC-4f65-9D91-7224C49458BB}">
                  <c15:layout/>
                </c:ext>
              </c:extLst>
            </c:dLbl>
            <c:dLbl>
              <c:idx val="1"/>
              <c:layout>
                <c:manualLayout>
                  <c:x val="1.4035087719298159E-2"/>
                  <c:y val="-5.2023121387283384E-2"/>
                </c:manualLayout>
              </c:layout>
              <c:showVal val="1"/>
              <c:extLst>
                <c:ext xmlns:c15="http://schemas.microsoft.com/office/drawing/2012/chart" uri="{CE6537A1-D6FC-4f65-9D91-7224C49458BB}">
                  <c15:layout/>
                </c:ext>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Feuil20!$B$2:$C$2</c:f>
              <c:strCache>
                <c:ptCount val="2"/>
                <c:pt idx="0">
                  <c:v>Formelle</c:v>
                </c:pt>
                <c:pt idx="1">
                  <c:v>Informelle</c:v>
                </c:pt>
              </c:strCache>
            </c:strRef>
          </c:cat>
          <c:val>
            <c:numRef>
              <c:f>Feuil20!$B$4:$C$4</c:f>
              <c:numCache>
                <c:formatCode>###0.0%</c:formatCode>
                <c:ptCount val="2"/>
                <c:pt idx="0">
                  <c:v>0.94795539033459975</c:v>
                </c:pt>
                <c:pt idx="1">
                  <c:v>0.96678321678322165</c:v>
                </c:pt>
              </c:numCache>
            </c:numRef>
          </c:val>
        </c:ser>
        <c:shape val="cylinder"/>
        <c:axId val="229975168"/>
        <c:axId val="229976704"/>
        <c:axId val="0"/>
      </c:bar3DChart>
      <c:catAx>
        <c:axId val="229975168"/>
        <c:scaling>
          <c:orientation val="minMax"/>
        </c:scaling>
        <c:axPos val="b"/>
        <c:numFmt formatCode="General" sourceLinked="0"/>
        <c:tickLblPos val="nextTo"/>
        <c:txPr>
          <a:bodyPr/>
          <a:lstStyle/>
          <a:p>
            <a:pPr>
              <a:defRPr sz="700" b="1">
                <a:latin typeface="Book Antiqua" pitchFamily="18" charset="0"/>
              </a:defRPr>
            </a:pPr>
            <a:endParaRPr lang="fr-FR"/>
          </a:p>
        </c:txPr>
        <c:crossAx val="229976704"/>
        <c:crosses val="autoZero"/>
        <c:auto val="1"/>
        <c:lblAlgn val="ctr"/>
        <c:lblOffset val="100"/>
      </c:catAx>
      <c:valAx>
        <c:axId val="229976704"/>
        <c:scaling>
          <c:orientation val="minMax"/>
        </c:scaling>
        <c:axPos val="l"/>
        <c:numFmt formatCode="###0.0%" sourceLinked="1"/>
        <c:tickLblPos val="nextTo"/>
        <c:txPr>
          <a:bodyPr/>
          <a:lstStyle/>
          <a:p>
            <a:pPr>
              <a:defRPr sz="700" b="1">
                <a:latin typeface="Book Antiqua" pitchFamily="18" charset="0"/>
              </a:defRPr>
            </a:pPr>
            <a:endParaRPr lang="fr-FR"/>
          </a:p>
        </c:txPr>
        <c:crossAx val="229975168"/>
        <c:crosses val="autoZero"/>
        <c:crossBetween val="between"/>
      </c:valAx>
    </c:plotArea>
    <c:legend>
      <c:legendPos val="b"/>
      <c:txPr>
        <a:bodyPr/>
        <a:lstStyle/>
        <a:p>
          <a:pPr>
            <a:defRPr sz="700" b="1">
              <a:latin typeface="Book Antiqua" pitchFamily="18" charset="0"/>
            </a:defRPr>
          </a:pPr>
          <a:endParaRPr lang="fr-FR"/>
        </a:p>
      </c:txPr>
    </c:legend>
    <c:plotVisOnly val="1"/>
    <c:dispBlanksAs val="gap"/>
  </c:chart>
  <c:externalData r:id="rId1"/>
</c:chartSpace>
</file>

<file path=word/charts/chart16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bar"/>
        <c:grouping val="percentStacked"/>
        <c:ser>
          <c:idx val="0"/>
          <c:order val="0"/>
          <c:tx>
            <c:strRef>
              <c:f>Feuil9!$B$18</c:f>
              <c:strCache>
                <c:ptCount val="1"/>
                <c:pt idx="0">
                  <c:v>Mensuelle</c:v>
                </c:pt>
              </c:strCache>
            </c:strRef>
          </c:tx>
          <c:spPr>
            <a:solidFill>
              <a:srgbClr val="00B050"/>
            </a:solidFill>
          </c:spPr>
          <c:cat>
            <c:strRef>
              <c:f>Feuil9!$C$17:$P$17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Feuil9!$C$18:$P$18</c:f>
              <c:numCache>
                <c:formatCode>0.0%</c:formatCode>
                <c:ptCount val="14"/>
                <c:pt idx="0">
                  <c:v>0.46877748460861918</c:v>
                </c:pt>
                <c:pt idx="1">
                  <c:v>0.27329192546583853</c:v>
                </c:pt>
                <c:pt idx="2">
                  <c:v>0.1125</c:v>
                </c:pt>
                <c:pt idx="3">
                  <c:v>0.22077922077922091</c:v>
                </c:pt>
                <c:pt idx="4">
                  <c:v>0.18260869565217391</c:v>
                </c:pt>
                <c:pt idx="5">
                  <c:v>0.13445378151260742</c:v>
                </c:pt>
                <c:pt idx="6">
                  <c:v>9.5890410958904146E-2</c:v>
                </c:pt>
                <c:pt idx="7">
                  <c:v>0.38333333333333336</c:v>
                </c:pt>
                <c:pt idx="8">
                  <c:v>0.26</c:v>
                </c:pt>
                <c:pt idx="9">
                  <c:v>0.3602484472049734</c:v>
                </c:pt>
                <c:pt idx="10">
                  <c:v>0.10185185185185186</c:v>
                </c:pt>
                <c:pt idx="11">
                  <c:v>0.26923076923076938</c:v>
                </c:pt>
                <c:pt idx="12">
                  <c:v>0.43884892086331373</c:v>
                </c:pt>
                <c:pt idx="13">
                  <c:v>0.22352941176470589</c:v>
                </c:pt>
              </c:numCache>
            </c:numRef>
          </c:val>
        </c:ser>
        <c:ser>
          <c:idx val="1"/>
          <c:order val="1"/>
          <c:tx>
            <c:strRef>
              <c:f>Feuil9!$B$19</c:f>
              <c:strCache>
                <c:ptCount val="1"/>
                <c:pt idx="0">
                  <c:v>Tous les deux mois</c:v>
                </c:pt>
              </c:strCache>
            </c:strRef>
          </c:tx>
          <c:spPr>
            <a:solidFill>
              <a:srgbClr val="92D050"/>
            </a:solidFill>
          </c:spPr>
          <c:cat>
            <c:strRef>
              <c:f>Feuil9!$C$17:$P$17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Feuil9!$C$19:$P$19</c:f>
              <c:numCache>
                <c:formatCode>0.0%</c:formatCode>
                <c:ptCount val="14"/>
                <c:pt idx="0">
                  <c:v>5.2770448548812694E-2</c:v>
                </c:pt>
                <c:pt idx="1">
                  <c:v>4.9689440993788823E-2</c:v>
                </c:pt>
                <c:pt idx="2">
                  <c:v>3.7500000000000006E-2</c:v>
                </c:pt>
                <c:pt idx="3">
                  <c:v>0</c:v>
                </c:pt>
                <c:pt idx="4">
                  <c:v>1.7391304347826087E-2</c:v>
                </c:pt>
                <c:pt idx="5">
                  <c:v>5.0420168067226885E-2</c:v>
                </c:pt>
                <c:pt idx="6">
                  <c:v>0.1095890410958904</c:v>
                </c:pt>
                <c:pt idx="7">
                  <c:v>0.05</c:v>
                </c:pt>
                <c:pt idx="8">
                  <c:v>2.0000000000000011E-2</c:v>
                </c:pt>
                <c:pt idx="9">
                  <c:v>7.4534161490683232E-2</c:v>
                </c:pt>
                <c:pt idx="10">
                  <c:v>0.19444444444444842</c:v>
                </c:pt>
                <c:pt idx="11">
                  <c:v>4.8076923076923114E-2</c:v>
                </c:pt>
                <c:pt idx="12">
                  <c:v>4.3165467625899283E-2</c:v>
                </c:pt>
                <c:pt idx="13">
                  <c:v>0.21176470588235627</c:v>
                </c:pt>
              </c:numCache>
            </c:numRef>
          </c:val>
        </c:ser>
        <c:ser>
          <c:idx val="2"/>
          <c:order val="2"/>
          <c:tx>
            <c:strRef>
              <c:f>Feuil9!$B$20</c:f>
              <c:strCache>
                <c:ptCount val="1"/>
                <c:pt idx="0">
                  <c:v>Trimestrielle</c:v>
                </c:pt>
              </c:strCache>
            </c:strRef>
          </c:tx>
          <c:spPr>
            <a:solidFill>
              <a:srgbClr val="FFFF00"/>
            </a:solidFill>
          </c:spPr>
          <c:cat>
            <c:strRef>
              <c:f>Feuil9!$C$17:$P$17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Feuil9!$C$20:$P$20</c:f>
              <c:numCache>
                <c:formatCode>0.0%</c:formatCode>
                <c:ptCount val="14"/>
                <c:pt idx="0">
                  <c:v>4.2656112576956867E-2</c:v>
                </c:pt>
                <c:pt idx="1">
                  <c:v>4.9689440993788823E-2</c:v>
                </c:pt>
                <c:pt idx="2">
                  <c:v>2.5000000000000001E-2</c:v>
                </c:pt>
                <c:pt idx="3">
                  <c:v>3.896103896103896E-2</c:v>
                </c:pt>
                <c:pt idx="4">
                  <c:v>1.7391304347826087E-2</c:v>
                </c:pt>
                <c:pt idx="5">
                  <c:v>0</c:v>
                </c:pt>
                <c:pt idx="6">
                  <c:v>1.3698630136986301E-2</c:v>
                </c:pt>
                <c:pt idx="7">
                  <c:v>8.3333333333333367E-3</c:v>
                </c:pt>
                <c:pt idx="8">
                  <c:v>6.0000000000000032E-2</c:v>
                </c:pt>
                <c:pt idx="9">
                  <c:v>1.8633540372670808E-2</c:v>
                </c:pt>
                <c:pt idx="10">
                  <c:v>3.7037037037037056E-2</c:v>
                </c:pt>
                <c:pt idx="11">
                  <c:v>4.8076923076923114E-2</c:v>
                </c:pt>
                <c:pt idx="12">
                  <c:v>3.5971223021582746E-2</c:v>
                </c:pt>
                <c:pt idx="13">
                  <c:v>3.5294117647058851E-2</c:v>
                </c:pt>
              </c:numCache>
            </c:numRef>
          </c:val>
        </c:ser>
        <c:ser>
          <c:idx val="3"/>
          <c:order val="3"/>
          <c:tx>
            <c:strRef>
              <c:f>Feuil9!$B$21</c:f>
              <c:strCache>
                <c:ptCount val="1"/>
                <c:pt idx="0">
                  <c:v>Annuelle</c:v>
                </c:pt>
              </c:strCache>
            </c:strRef>
          </c:tx>
          <c:spPr>
            <a:solidFill>
              <a:schemeClr val="accent6">
                <a:lumMod val="60000"/>
                <a:lumOff val="40000"/>
              </a:schemeClr>
            </a:solidFill>
          </c:spPr>
          <c:cat>
            <c:strRef>
              <c:f>Feuil9!$C$17:$P$17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Feuil9!$C$21:$P$21</c:f>
              <c:numCache>
                <c:formatCode>0.0%</c:formatCode>
                <c:ptCount val="14"/>
                <c:pt idx="0">
                  <c:v>1.0114335971855758E-2</c:v>
                </c:pt>
                <c:pt idx="1">
                  <c:v>6.211180124223727E-3</c:v>
                </c:pt>
                <c:pt idx="2">
                  <c:v>0</c:v>
                </c:pt>
                <c:pt idx="3">
                  <c:v>0</c:v>
                </c:pt>
                <c:pt idx="4">
                  <c:v>0</c:v>
                </c:pt>
                <c:pt idx="5">
                  <c:v>0</c:v>
                </c:pt>
                <c:pt idx="6">
                  <c:v>1.3698630136986301E-2</c:v>
                </c:pt>
                <c:pt idx="7">
                  <c:v>1.6666666666666701E-2</c:v>
                </c:pt>
                <c:pt idx="8">
                  <c:v>0</c:v>
                </c:pt>
                <c:pt idx="9">
                  <c:v>2.4844720496894412E-2</c:v>
                </c:pt>
                <c:pt idx="10">
                  <c:v>0</c:v>
                </c:pt>
                <c:pt idx="11">
                  <c:v>0</c:v>
                </c:pt>
                <c:pt idx="12">
                  <c:v>0</c:v>
                </c:pt>
                <c:pt idx="13">
                  <c:v>5.8823529411764714E-3</c:v>
                </c:pt>
              </c:numCache>
            </c:numRef>
          </c:val>
        </c:ser>
        <c:ser>
          <c:idx val="4"/>
          <c:order val="4"/>
          <c:tx>
            <c:strRef>
              <c:f>Feuil9!$B$22</c:f>
              <c:strCache>
                <c:ptCount val="1"/>
                <c:pt idx="0">
                  <c:v>Irrégulière</c:v>
                </c:pt>
              </c:strCache>
            </c:strRef>
          </c:tx>
          <c:spPr>
            <a:solidFill>
              <a:schemeClr val="accent6">
                <a:lumMod val="50000"/>
              </a:schemeClr>
            </a:solidFill>
          </c:spPr>
          <c:cat>
            <c:strRef>
              <c:f>Feuil9!$C$17:$P$17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Feuil9!$C$22:$P$22</c:f>
              <c:numCache>
                <c:formatCode>0.0%</c:formatCode>
                <c:ptCount val="14"/>
                <c:pt idx="0">
                  <c:v>0.24098504837291393</c:v>
                </c:pt>
                <c:pt idx="1">
                  <c:v>0.36645962732919746</c:v>
                </c:pt>
                <c:pt idx="2">
                  <c:v>0.52500000000000002</c:v>
                </c:pt>
                <c:pt idx="3">
                  <c:v>0.41558441558442327</c:v>
                </c:pt>
                <c:pt idx="4">
                  <c:v>0.57391304347826089</c:v>
                </c:pt>
                <c:pt idx="5">
                  <c:v>0.51260504201681545</c:v>
                </c:pt>
                <c:pt idx="6">
                  <c:v>0.53424657534246556</c:v>
                </c:pt>
                <c:pt idx="7">
                  <c:v>0.34166666666667111</c:v>
                </c:pt>
                <c:pt idx="8">
                  <c:v>0.38000000000000417</c:v>
                </c:pt>
                <c:pt idx="9">
                  <c:v>0.32919254658385338</c:v>
                </c:pt>
                <c:pt idx="10">
                  <c:v>0.37037037037037918</c:v>
                </c:pt>
                <c:pt idx="11">
                  <c:v>0.48076923076923078</c:v>
                </c:pt>
                <c:pt idx="12">
                  <c:v>0.23741007194244856</c:v>
                </c:pt>
                <c:pt idx="13">
                  <c:v>0.22352941176470589</c:v>
                </c:pt>
              </c:numCache>
            </c:numRef>
          </c:val>
        </c:ser>
        <c:ser>
          <c:idx val="5"/>
          <c:order val="5"/>
          <c:tx>
            <c:strRef>
              <c:f>Feuil9!$B$23</c:f>
              <c:strCache>
                <c:ptCount val="1"/>
                <c:pt idx="0">
                  <c:v>Jamais reçu</c:v>
                </c:pt>
              </c:strCache>
            </c:strRef>
          </c:tx>
          <c:spPr>
            <a:solidFill>
              <a:srgbClr val="FF0000"/>
            </a:solidFill>
          </c:spPr>
          <c:cat>
            <c:strRef>
              <c:f>Feuil9!$C$17:$P$17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Feuil9!$C$23:$P$23</c:f>
              <c:numCache>
                <c:formatCode>0.0%</c:formatCode>
                <c:ptCount val="14"/>
                <c:pt idx="0">
                  <c:v>0.18469656992084432</c:v>
                </c:pt>
                <c:pt idx="1">
                  <c:v>0.25465838509316768</c:v>
                </c:pt>
                <c:pt idx="2">
                  <c:v>0.30000000000000032</c:v>
                </c:pt>
                <c:pt idx="3">
                  <c:v>0.32467532467532467</c:v>
                </c:pt>
                <c:pt idx="4">
                  <c:v>0.20869565217391303</c:v>
                </c:pt>
                <c:pt idx="5">
                  <c:v>0.30252100840336127</c:v>
                </c:pt>
                <c:pt idx="6">
                  <c:v>0.23287671232876667</c:v>
                </c:pt>
                <c:pt idx="7">
                  <c:v>0.2</c:v>
                </c:pt>
                <c:pt idx="8">
                  <c:v>0.28000000000000008</c:v>
                </c:pt>
                <c:pt idx="9">
                  <c:v>0.19254658385093443</c:v>
                </c:pt>
                <c:pt idx="10">
                  <c:v>0.29629629629629628</c:v>
                </c:pt>
                <c:pt idx="11">
                  <c:v>0.15384615384615713</c:v>
                </c:pt>
                <c:pt idx="12">
                  <c:v>0.24460431654676532</c:v>
                </c:pt>
                <c:pt idx="13">
                  <c:v>0.30000000000000032</c:v>
                </c:pt>
              </c:numCache>
            </c:numRef>
          </c:val>
        </c:ser>
        <c:shape val="cylinder"/>
        <c:axId val="230508800"/>
        <c:axId val="230514688"/>
        <c:axId val="0"/>
      </c:bar3DChart>
      <c:catAx>
        <c:axId val="230508800"/>
        <c:scaling>
          <c:orientation val="minMax"/>
        </c:scaling>
        <c:axPos val="l"/>
        <c:numFmt formatCode="General" sourceLinked="0"/>
        <c:tickLblPos val="nextTo"/>
        <c:txPr>
          <a:bodyPr/>
          <a:lstStyle/>
          <a:p>
            <a:pPr>
              <a:defRPr sz="800" b="1">
                <a:latin typeface="Book Antiqua" pitchFamily="18" charset="0"/>
              </a:defRPr>
            </a:pPr>
            <a:endParaRPr lang="fr-FR"/>
          </a:p>
        </c:txPr>
        <c:crossAx val="230514688"/>
        <c:crosses val="autoZero"/>
        <c:auto val="1"/>
        <c:lblAlgn val="ctr"/>
        <c:lblOffset val="100"/>
      </c:catAx>
      <c:valAx>
        <c:axId val="230514688"/>
        <c:scaling>
          <c:orientation val="minMax"/>
        </c:scaling>
        <c:axPos val="b"/>
        <c:majorGridlines/>
        <c:numFmt formatCode="0%" sourceLinked="1"/>
        <c:tickLblPos val="nextTo"/>
        <c:crossAx val="230508800"/>
        <c:crosses val="autoZero"/>
        <c:crossBetween val="between"/>
      </c:valAx>
    </c:plotArea>
    <c:legend>
      <c:legendPos val="b"/>
      <c:txPr>
        <a:bodyPr/>
        <a:lstStyle/>
        <a:p>
          <a:pPr>
            <a:defRPr sz="900" b="1">
              <a:latin typeface="Book Antiqua" pitchFamily="18" charset="0"/>
            </a:defRPr>
          </a:pPr>
          <a:endParaRPr lang="fr-FR"/>
        </a:p>
      </c:txPr>
    </c:legend>
    <c:plotVisOnly val="1"/>
    <c:dispBlanksAs val="gap"/>
  </c:chart>
  <c:externalData r:id="rId1"/>
</c:chartSpace>
</file>

<file path=word/charts/chart16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6805555555555555"/>
          <c:y val="7.1759259259259259E-2"/>
          <c:w val="0.48888888888889143"/>
          <c:h val="0.81481481481481655"/>
        </c:manualLayout>
      </c:layout>
      <c:pieChart>
        <c:varyColors val="1"/>
        <c:ser>
          <c:idx val="0"/>
          <c:order val="0"/>
          <c:explosion val="25"/>
          <c:dLbls>
            <c:dLbl>
              <c:idx val="3"/>
              <c:layout>
                <c:manualLayout>
                  <c:x val="-2.5129593175853018E-2"/>
                  <c:y val="-0.10921114027413467"/>
                </c:manualLayout>
              </c:layout>
              <c:showCatName val="1"/>
              <c:showPercent val="1"/>
              <c:extLst>
                <c:ext xmlns:c15="http://schemas.microsoft.com/office/drawing/2012/chart" uri="{CE6537A1-D6FC-4f65-9D91-7224C49458BB}"/>
              </c:extLst>
            </c:dLbl>
            <c:numFmt formatCode="0.0%" sourceLinked="0"/>
            <c:spPr>
              <a:noFill/>
              <a:ln>
                <a:noFill/>
              </a:ln>
              <a:effectLst/>
            </c:spPr>
            <c:txPr>
              <a:bodyPr/>
              <a:lstStyle/>
              <a:p>
                <a:pPr>
                  <a:defRPr sz="900" b="1">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Feuil10!$B$13:$B$16</c:f>
              <c:strCache>
                <c:ptCount val="4"/>
                <c:pt idx="0">
                  <c:v>Très souvent</c:v>
                </c:pt>
                <c:pt idx="1">
                  <c:v>Souvent</c:v>
                </c:pt>
                <c:pt idx="2">
                  <c:v>Rarement</c:v>
                </c:pt>
                <c:pt idx="3">
                  <c:v>Jamais</c:v>
                </c:pt>
              </c:strCache>
            </c:strRef>
          </c:cat>
          <c:val>
            <c:numRef>
              <c:f>Feuil10!$C$13:$C$16</c:f>
              <c:numCache>
                <c:formatCode>0.0%</c:formatCode>
                <c:ptCount val="4"/>
                <c:pt idx="0">
                  <c:v>1.973684210526316E-2</c:v>
                </c:pt>
                <c:pt idx="1">
                  <c:v>9.9049707602339179E-2</c:v>
                </c:pt>
                <c:pt idx="2">
                  <c:v>0.18494152046783949</c:v>
                </c:pt>
                <c:pt idx="3">
                  <c:v>0.69627192982456143</c:v>
                </c:pt>
              </c:numCache>
            </c:numRef>
          </c:val>
        </c:ser>
        <c:dLbls>
          <c:showCatName val="1"/>
          <c:showPercent val="1"/>
        </c:dLbls>
        <c:firstSliceAng val="0"/>
      </c:pieChart>
    </c:plotArea>
    <c:plotVisOnly val="1"/>
    <c:dispBlanksAs val="zero"/>
  </c:chart>
  <c:externalData r:id="rId1"/>
</c:chartSpace>
</file>

<file path=word/charts/chart16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7787860892388916"/>
          <c:y val="4.6272236803732894E-2"/>
          <c:w val="0.50813188976377954"/>
          <c:h val="0.84688648293963253"/>
        </c:manualLayout>
      </c:layout>
      <c:pieChart>
        <c:varyColors val="1"/>
        <c:ser>
          <c:idx val="0"/>
          <c:order val="0"/>
          <c:dLbls>
            <c:dLbl>
              <c:idx val="1"/>
              <c:layout>
                <c:manualLayout>
                  <c:x val="-2.1379265091864049E-2"/>
                  <c:y val="1.9666083406240889E-2"/>
                </c:manualLayout>
              </c:layout>
              <c:showPercent val="1"/>
              <c:extLst>
                <c:ext xmlns:c15="http://schemas.microsoft.com/office/drawing/2012/chart" uri="{CE6537A1-D6FC-4f65-9D91-7224C49458BB}"/>
              </c:extLst>
            </c:dLbl>
            <c:dLbl>
              <c:idx val="3"/>
              <c:layout>
                <c:manualLayout>
                  <c:x val="-9.5534776902889296E-3"/>
                  <c:y val="1.5173155438903657E-2"/>
                </c:manualLayout>
              </c:layout>
              <c:showPercent val="1"/>
              <c:extLst>
                <c:ext xmlns:c15="http://schemas.microsoft.com/office/drawing/2012/chart" uri="{CE6537A1-D6FC-4f65-9D91-7224C49458BB}"/>
              </c:extLst>
            </c:dLbl>
            <c:numFmt formatCode="0.0%" sourceLinked="0"/>
            <c:spPr>
              <a:noFill/>
              <a:ln>
                <a:noFill/>
              </a:ln>
              <a:effectLst/>
            </c:spPr>
            <c:txPr>
              <a:bodyPr/>
              <a:lstStyle/>
              <a:p>
                <a:pPr>
                  <a:defRPr b="1">
                    <a:latin typeface="Book Antiqua" pitchFamily="18" charset="0"/>
                  </a:defRPr>
                </a:pPr>
                <a:endParaRPr lang="fr-FR"/>
              </a:p>
            </c:txPr>
            <c:showPercent val="1"/>
            <c:showLeaderLines val="1"/>
            <c:extLst>
              <c:ext xmlns:c15="http://schemas.microsoft.com/office/drawing/2012/chart" uri="{CE6537A1-D6FC-4f65-9D91-7224C49458BB}"/>
            </c:extLst>
          </c:dLbls>
          <c:cat>
            <c:strRef>
              <c:f>Feuil10!$I$27:$I$30</c:f>
              <c:strCache>
                <c:ptCount val="4"/>
                <c:pt idx="0">
                  <c:v>Très long</c:v>
                </c:pt>
                <c:pt idx="1">
                  <c:v>Long</c:v>
                </c:pt>
                <c:pt idx="2">
                  <c:v>Correct</c:v>
                </c:pt>
                <c:pt idx="3">
                  <c:v>Très Correct</c:v>
                </c:pt>
              </c:strCache>
            </c:strRef>
          </c:cat>
          <c:val>
            <c:numRef>
              <c:f>Feuil10!$K$27:$K$30</c:f>
              <c:numCache>
                <c:formatCode>0.00%</c:formatCode>
                <c:ptCount val="4"/>
                <c:pt idx="0">
                  <c:v>3.619909502262502E-2</c:v>
                </c:pt>
                <c:pt idx="1">
                  <c:v>0.17104072398190046</c:v>
                </c:pt>
                <c:pt idx="2">
                  <c:v>0.73846153846153861</c:v>
                </c:pt>
                <c:pt idx="3">
                  <c:v>5.4298642533936924E-2</c:v>
                </c:pt>
              </c:numCache>
            </c:numRef>
          </c:val>
        </c:ser>
        <c:dLbls>
          <c:showPercent val="1"/>
        </c:dLbls>
        <c:firstSliceAng val="0"/>
      </c:pieChart>
    </c:plotArea>
    <c:legend>
      <c:legendPos val="b"/>
      <c:txPr>
        <a:bodyPr/>
        <a:lstStyle/>
        <a:p>
          <a:pPr>
            <a:defRPr b="1">
              <a:latin typeface="Book Antiqua" pitchFamily="18" charset="0"/>
            </a:defRPr>
          </a:pPr>
          <a:endParaRPr lang="fr-FR"/>
        </a:p>
      </c:txPr>
    </c:legend>
    <c:plotVisOnly val="1"/>
    <c:dispBlanksAs val="zero"/>
  </c:chart>
  <c:externalData r:id="rId1"/>
</c:chartSpace>
</file>

<file path=word/charts/chart16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Feuil23!$A$3</c:f>
              <c:strCache>
                <c:ptCount val="1"/>
                <c:pt idx="0">
                  <c:v>Oui</c:v>
                </c:pt>
              </c:strCache>
            </c:strRef>
          </c:tx>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Feuil23!$B$2:$D$2</c:f>
              <c:strCache>
                <c:ptCount val="3"/>
                <c:pt idx="0">
                  <c:v>Homme</c:v>
                </c:pt>
                <c:pt idx="1">
                  <c:v>Femme</c:v>
                </c:pt>
                <c:pt idx="2">
                  <c:v>Total </c:v>
                </c:pt>
              </c:strCache>
            </c:strRef>
          </c:cat>
          <c:val>
            <c:numRef>
              <c:f>Feuil23!$B$3:$D$3</c:f>
              <c:numCache>
                <c:formatCode>###0.0%</c:formatCode>
                <c:ptCount val="3"/>
                <c:pt idx="0">
                  <c:v>0.70322138450993832</c:v>
                </c:pt>
                <c:pt idx="1">
                  <c:v>0.64212910532276324</c:v>
                </c:pt>
                <c:pt idx="2">
                  <c:v>0.6890292028413576</c:v>
                </c:pt>
              </c:numCache>
            </c:numRef>
          </c:val>
        </c:ser>
        <c:ser>
          <c:idx val="1"/>
          <c:order val="1"/>
          <c:tx>
            <c:strRef>
              <c:f>Feuil23!$A$4</c:f>
              <c:strCache>
                <c:ptCount val="1"/>
                <c:pt idx="0">
                  <c:v>Non</c:v>
                </c:pt>
              </c:strCache>
            </c:strRef>
          </c:tx>
          <c:dLbls>
            <c:dLbl>
              <c:idx val="0"/>
              <c:layout>
                <c:manualLayout>
                  <c:x val="1.9904930447353798E-2"/>
                  <c:y val="-2.7289022550187211E-2"/>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Feuil23!$B$2:$D$2</c:f>
              <c:strCache>
                <c:ptCount val="3"/>
                <c:pt idx="0">
                  <c:v>Homme</c:v>
                </c:pt>
                <c:pt idx="1">
                  <c:v>Femme</c:v>
                </c:pt>
                <c:pt idx="2">
                  <c:v>Total </c:v>
                </c:pt>
              </c:strCache>
            </c:strRef>
          </c:cat>
          <c:val>
            <c:numRef>
              <c:f>Feuil23!$B$4:$D$4</c:f>
              <c:numCache>
                <c:formatCode>###0.0%</c:formatCode>
                <c:ptCount val="3"/>
                <c:pt idx="0">
                  <c:v>0.29677861549007023</c:v>
                </c:pt>
                <c:pt idx="1">
                  <c:v>0.35787089467725397</c:v>
                </c:pt>
                <c:pt idx="2">
                  <c:v>0.3109707971586651</c:v>
                </c:pt>
              </c:numCache>
            </c:numRef>
          </c:val>
        </c:ser>
        <c:shape val="cylinder"/>
        <c:axId val="230986496"/>
        <c:axId val="230988032"/>
        <c:axId val="0"/>
      </c:bar3DChart>
      <c:catAx>
        <c:axId val="230986496"/>
        <c:scaling>
          <c:orientation val="minMax"/>
        </c:scaling>
        <c:axPos val="b"/>
        <c:numFmt formatCode="General" sourceLinked="0"/>
        <c:tickLblPos val="nextTo"/>
        <c:txPr>
          <a:bodyPr/>
          <a:lstStyle/>
          <a:p>
            <a:pPr>
              <a:defRPr sz="800" b="1">
                <a:latin typeface="Book Antiqua" pitchFamily="18" charset="0"/>
              </a:defRPr>
            </a:pPr>
            <a:endParaRPr lang="fr-FR"/>
          </a:p>
        </c:txPr>
        <c:crossAx val="230988032"/>
        <c:crosses val="autoZero"/>
        <c:auto val="1"/>
        <c:lblAlgn val="ctr"/>
        <c:lblOffset val="100"/>
      </c:catAx>
      <c:valAx>
        <c:axId val="230988032"/>
        <c:scaling>
          <c:orientation val="minMax"/>
        </c:scaling>
        <c:axPos val="l"/>
        <c:numFmt formatCode="###0.0%" sourceLinked="1"/>
        <c:tickLblPos val="nextTo"/>
        <c:txPr>
          <a:bodyPr/>
          <a:lstStyle/>
          <a:p>
            <a:pPr>
              <a:defRPr sz="700" b="1">
                <a:latin typeface="Book Antiqua" pitchFamily="18" charset="0"/>
              </a:defRPr>
            </a:pPr>
            <a:endParaRPr lang="fr-FR"/>
          </a:p>
        </c:txPr>
        <c:crossAx val="230986496"/>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167.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Feuil25!$A$3</c:f>
              <c:strCache>
                <c:ptCount val="1"/>
                <c:pt idx="0">
                  <c:v>Oui</c:v>
                </c:pt>
              </c:strCache>
            </c:strRef>
          </c:tx>
          <c:dLbls>
            <c:dLbl>
              <c:idx val="0"/>
              <c:layout>
                <c:manualLayout>
                  <c:x val="1.1465260261408131E-2"/>
                  <c:y val="-5.8622374206155362E-2"/>
                </c:manualLayout>
              </c:layout>
              <c:showVal val="1"/>
              <c:extLst>
                <c:ext xmlns:c15="http://schemas.microsoft.com/office/drawing/2012/chart" uri="{CE6537A1-D6FC-4f65-9D91-7224C49458BB}"/>
              </c:extLst>
            </c:dLbl>
            <c:dLbl>
              <c:idx val="1"/>
              <c:layout>
                <c:manualLayout>
                  <c:x val="8.4142977128765427E-17"/>
                  <c:y val="-3.4193649135466041E-2"/>
                </c:manualLayout>
              </c:layout>
              <c:showVal val="1"/>
              <c:extLst>
                <c:ext xmlns:c15="http://schemas.microsoft.com/office/drawing/2012/chart" uri="{CE6537A1-D6FC-4f65-9D91-7224C49458BB}"/>
              </c:extLst>
            </c:dLbl>
            <c:spPr>
              <a:noFill/>
              <a:ln>
                <a:noFill/>
              </a:ln>
              <a:effectLst/>
            </c:spPr>
            <c:txPr>
              <a:bodyPr/>
              <a:lstStyle/>
              <a:p>
                <a:pPr>
                  <a:defRPr sz="7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Feuil25!$B$2:$C$2</c:f>
              <c:strCache>
                <c:ptCount val="2"/>
                <c:pt idx="0">
                  <c:v>Formelle</c:v>
                </c:pt>
                <c:pt idx="1">
                  <c:v>Informelle</c:v>
                </c:pt>
              </c:strCache>
            </c:strRef>
          </c:cat>
          <c:val>
            <c:numRef>
              <c:f>Feuil25!$B$3:$C$3</c:f>
              <c:numCache>
                <c:formatCode>###0.0%</c:formatCode>
                <c:ptCount val="2"/>
                <c:pt idx="0">
                  <c:v>0.733271375464701</c:v>
                </c:pt>
                <c:pt idx="1">
                  <c:v>0.4388111888111888</c:v>
                </c:pt>
              </c:numCache>
            </c:numRef>
          </c:val>
        </c:ser>
        <c:ser>
          <c:idx val="1"/>
          <c:order val="1"/>
          <c:tx>
            <c:strRef>
              <c:f>Feuil25!$A$4</c:f>
              <c:strCache>
                <c:ptCount val="1"/>
                <c:pt idx="0">
                  <c:v>Non</c:v>
                </c:pt>
              </c:strCache>
            </c:strRef>
          </c:tx>
          <c:dLbls>
            <c:dLbl>
              <c:idx val="0"/>
              <c:layout>
                <c:manualLayout>
                  <c:x val="2.2948349769712412E-2"/>
                  <c:y val="-4.8848070193522976E-2"/>
                </c:manualLayout>
              </c:layout>
              <c:showVal val="1"/>
              <c:extLst>
                <c:ext xmlns:c15="http://schemas.microsoft.com/office/drawing/2012/chart" uri="{CE6537A1-D6FC-4f65-9D91-7224C49458BB}"/>
              </c:extLst>
            </c:dLbl>
            <c:dLbl>
              <c:idx val="1"/>
              <c:layout>
                <c:manualLayout>
                  <c:x val="2.2948349769712412E-2"/>
                  <c:y val="-4.8848070193522976E-2"/>
                </c:manualLayout>
              </c:layout>
              <c:showVal val="1"/>
              <c:extLst>
                <c:ext xmlns:c15="http://schemas.microsoft.com/office/drawing/2012/chart" uri="{CE6537A1-D6FC-4f65-9D91-7224C49458BB}"/>
              </c:extLst>
            </c:dLbl>
            <c:spPr>
              <a:noFill/>
              <a:ln>
                <a:noFill/>
              </a:ln>
              <a:effectLst/>
            </c:spPr>
            <c:txPr>
              <a:bodyPr/>
              <a:lstStyle/>
              <a:p>
                <a:pPr>
                  <a:defRPr sz="7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Feuil25!$B$2:$C$2</c:f>
              <c:strCache>
                <c:ptCount val="2"/>
                <c:pt idx="0">
                  <c:v>Formelle</c:v>
                </c:pt>
                <c:pt idx="1">
                  <c:v>Informelle</c:v>
                </c:pt>
              </c:strCache>
            </c:strRef>
          </c:cat>
          <c:val>
            <c:numRef>
              <c:f>Feuil25!$B$4:$C$4</c:f>
              <c:numCache>
                <c:formatCode>###0.0%</c:formatCode>
                <c:ptCount val="2"/>
                <c:pt idx="0">
                  <c:v>0.26672862453531593</c:v>
                </c:pt>
                <c:pt idx="1">
                  <c:v>0.56118881118882991</c:v>
                </c:pt>
              </c:numCache>
            </c:numRef>
          </c:val>
        </c:ser>
        <c:shape val="cylinder"/>
        <c:axId val="231034240"/>
        <c:axId val="231212160"/>
        <c:axId val="0"/>
      </c:bar3DChart>
      <c:catAx>
        <c:axId val="231034240"/>
        <c:scaling>
          <c:orientation val="minMax"/>
        </c:scaling>
        <c:axPos val="b"/>
        <c:numFmt formatCode="General" sourceLinked="0"/>
        <c:tickLblPos val="nextTo"/>
        <c:txPr>
          <a:bodyPr/>
          <a:lstStyle/>
          <a:p>
            <a:pPr>
              <a:defRPr sz="800" b="1">
                <a:latin typeface="Book Antiqua" pitchFamily="18" charset="0"/>
              </a:defRPr>
            </a:pPr>
            <a:endParaRPr lang="fr-FR"/>
          </a:p>
        </c:txPr>
        <c:crossAx val="231212160"/>
        <c:crosses val="autoZero"/>
        <c:auto val="1"/>
        <c:lblAlgn val="ctr"/>
        <c:lblOffset val="100"/>
      </c:catAx>
      <c:valAx>
        <c:axId val="231212160"/>
        <c:scaling>
          <c:orientation val="minMax"/>
        </c:scaling>
        <c:axPos val="l"/>
        <c:numFmt formatCode="###0.0%" sourceLinked="1"/>
        <c:tickLblPos val="nextTo"/>
        <c:txPr>
          <a:bodyPr/>
          <a:lstStyle/>
          <a:p>
            <a:pPr>
              <a:defRPr sz="700" b="1">
                <a:latin typeface="Book Antiqua" pitchFamily="18" charset="0"/>
              </a:defRPr>
            </a:pPr>
            <a:endParaRPr lang="fr-FR"/>
          </a:p>
        </c:txPr>
        <c:crossAx val="231034240"/>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168.xml><?xml version="1.0" encoding="utf-8"?>
<c:chartSpace xmlns:c="http://schemas.openxmlformats.org/drawingml/2006/chart" xmlns:a="http://schemas.openxmlformats.org/drawingml/2006/main" xmlns:r="http://schemas.openxmlformats.org/officeDocument/2006/relationships">
  <c:date1904 val="1"/>
  <c:lang val="fr-FR"/>
  <c:chart>
    <c:view3D>
      <c:rotX val="10"/>
      <c:rotY val="0"/>
      <c:depthPercent val="100"/>
      <c:perspective val="30"/>
    </c:view3D>
    <c:floor>
      <c:spPr>
        <a:solidFill>
          <a:schemeClr val="lt1"/>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Feuil14!$A$4</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Book Antiqua" pitchFamily="18" charset="0"/>
                    <a:ea typeface="+mn-ea"/>
                    <a:cs typeface="+mn-cs"/>
                  </a:defRPr>
                </a:pPr>
                <a:endParaRPr lang="fr-FR"/>
              </a:p>
            </c:txPr>
            <c:showVal val="1"/>
            <c:extLst>
              <c:ext xmlns:c15="http://schemas.microsoft.com/office/drawing/2012/chart" uri="{CE6537A1-D6FC-4f65-9D91-7224C49458BB}">
                <c15:showLeaderLines val="0"/>
              </c:ext>
            </c:extLst>
          </c:dLbls>
          <c:cat>
            <c:strRef>
              <c:f>Feuil14!$B$3:$G$3</c:f>
              <c:strCache>
                <c:ptCount val="6"/>
                <c:pt idx="0">
                  <c:v>18-24 ans</c:v>
                </c:pt>
                <c:pt idx="1">
                  <c:v>25-34  ans</c:v>
                </c:pt>
                <c:pt idx="2">
                  <c:v>35-44 ans</c:v>
                </c:pt>
                <c:pt idx="3">
                  <c:v>45-54 ans</c:v>
                </c:pt>
                <c:pt idx="4">
                  <c:v>55-64 ans</c:v>
                </c:pt>
                <c:pt idx="5">
                  <c:v>65 ans ou plus</c:v>
                </c:pt>
              </c:strCache>
            </c:strRef>
          </c:cat>
          <c:val>
            <c:numRef>
              <c:f>Feuil14!$B$4:$G$4</c:f>
              <c:numCache>
                <c:formatCode>###0.0%</c:formatCode>
                <c:ptCount val="6"/>
                <c:pt idx="0">
                  <c:v>0.29752066115703996</c:v>
                </c:pt>
                <c:pt idx="1">
                  <c:v>0.5905454545454546</c:v>
                </c:pt>
                <c:pt idx="2">
                  <c:v>0.7529785544082791</c:v>
                </c:pt>
                <c:pt idx="3">
                  <c:v>0.8</c:v>
                </c:pt>
                <c:pt idx="4">
                  <c:v>0.76068376068376065</c:v>
                </c:pt>
                <c:pt idx="5">
                  <c:v>0.8</c:v>
                </c:pt>
              </c:numCache>
            </c:numRef>
          </c:val>
        </c:ser>
        <c:ser>
          <c:idx val="1"/>
          <c:order val="1"/>
          <c:tx>
            <c:strRef>
              <c:f>Feuil14!$A$5</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Book Antiqua" pitchFamily="18" charset="0"/>
                    <a:ea typeface="+mn-ea"/>
                    <a:cs typeface="+mn-cs"/>
                  </a:defRPr>
                </a:pPr>
                <a:endParaRPr lang="fr-FR"/>
              </a:p>
            </c:txPr>
            <c:showVal val="1"/>
            <c:extLst>
              <c:ext xmlns:c15="http://schemas.microsoft.com/office/drawing/2012/chart" uri="{CE6537A1-D6FC-4f65-9D91-7224C49458BB}">
                <c15:showLeaderLines val="0"/>
              </c:ext>
            </c:extLst>
          </c:dLbls>
          <c:cat>
            <c:strRef>
              <c:f>Feuil14!$B$3:$G$3</c:f>
              <c:strCache>
                <c:ptCount val="6"/>
                <c:pt idx="0">
                  <c:v>18-24 ans</c:v>
                </c:pt>
                <c:pt idx="1">
                  <c:v>25-34  ans</c:v>
                </c:pt>
                <c:pt idx="2">
                  <c:v>35-44 ans</c:v>
                </c:pt>
                <c:pt idx="3">
                  <c:v>45-54 ans</c:v>
                </c:pt>
                <c:pt idx="4">
                  <c:v>55-64 ans</c:v>
                </c:pt>
                <c:pt idx="5">
                  <c:v>65 ans ou plus</c:v>
                </c:pt>
              </c:strCache>
            </c:strRef>
          </c:cat>
          <c:val>
            <c:numRef>
              <c:f>Feuil14!$B$5:$G$5</c:f>
              <c:numCache>
                <c:formatCode>###0.0%</c:formatCode>
                <c:ptCount val="6"/>
                <c:pt idx="0">
                  <c:v>0.7024793388429752</c:v>
                </c:pt>
                <c:pt idx="1">
                  <c:v>0.40945454545455323</c:v>
                </c:pt>
                <c:pt idx="2">
                  <c:v>0.24702144559174549</c:v>
                </c:pt>
                <c:pt idx="3">
                  <c:v>0.2</c:v>
                </c:pt>
                <c:pt idx="4">
                  <c:v>0.23931623931624488</c:v>
                </c:pt>
                <c:pt idx="5">
                  <c:v>0.2</c:v>
                </c:pt>
              </c:numCache>
            </c:numRef>
          </c:val>
        </c:ser>
        <c:gapWidth val="160"/>
        <c:gapDepth val="0"/>
        <c:shape val="cylinder"/>
        <c:axId val="231340288"/>
        <c:axId val="231559168"/>
        <c:axId val="0"/>
      </c:bar3DChart>
      <c:catAx>
        <c:axId val="231340288"/>
        <c:scaling>
          <c:orientation val="minMax"/>
        </c:scaling>
        <c:axPos val="b"/>
        <c:numFmt formatCode="General" sourceLinked="0"/>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Book Antiqua" pitchFamily="18" charset="0"/>
                <a:ea typeface="+mn-ea"/>
                <a:cs typeface="+mn-cs"/>
              </a:defRPr>
            </a:pPr>
            <a:endParaRPr lang="fr-FR"/>
          </a:p>
        </c:txPr>
        <c:crossAx val="231559168"/>
        <c:crosses val="autoZero"/>
        <c:auto val="1"/>
        <c:lblAlgn val="ctr"/>
        <c:lblOffset val="100"/>
      </c:catAx>
      <c:valAx>
        <c:axId val="231559168"/>
        <c:scaling>
          <c:orientation val="minMax"/>
        </c:scaling>
        <c:axPos val="l"/>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 Antiqua" pitchFamily="18" charset="0"/>
                <a:ea typeface="+mn-ea"/>
                <a:cs typeface="+mn-cs"/>
              </a:defRPr>
            </a:pPr>
            <a:endParaRPr lang="fr-FR"/>
          </a:p>
        </c:txPr>
        <c:crossAx val="2313402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 Antiqua" pitchFamily="18" charset="0"/>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16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bar"/>
        <c:grouping val="percentStacked"/>
        <c:ser>
          <c:idx val="0"/>
          <c:order val="0"/>
          <c:tx>
            <c:strRef>
              <c:f>Feuil10!$B$106</c:f>
              <c:strCache>
                <c:ptCount val="1"/>
                <c:pt idx="0">
                  <c:v>Très long</c:v>
                </c:pt>
              </c:strCache>
            </c:strRef>
          </c:tx>
          <c:spPr>
            <a:solidFill>
              <a:srgbClr val="FF0000"/>
            </a:solidFill>
          </c:spPr>
          <c:cat>
            <c:strRef>
              <c:f>Feuil10!$C$105:$P$105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Feuil10!$C$106:$P$106</c:f>
              <c:numCache>
                <c:formatCode>0.0%</c:formatCode>
                <c:ptCount val="14"/>
                <c:pt idx="0">
                  <c:v>2.0087336244541485E-2</c:v>
                </c:pt>
                <c:pt idx="1">
                  <c:v>7.6923076923076927E-2</c:v>
                </c:pt>
                <c:pt idx="2">
                  <c:v>1.5625E-2</c:v>
                </c:pt>
                <c:pt idx="3">
                  <c:v>7.6923076923076927E-2</c:v>
                </c:pt>
                <c:pt idx="4">
                  <c:v>2.2988505747126436E-2</c:v>
                </c:pt>
                <c:pt idx="5">
                  <c:v>4.9382716049384115E-2</c:v>
                </c:pt>
                <c:pt idx="6">
                  <c:v>3.8461538461538464E-2</c:v>
                </c:pt>
                <c:pt idx="7">
                  <c:v>6.0000000000000032E-2</c:v>
                </c:pt>
                <c:pt idx="8">
                  <c:v>3.0303030303030311E-2</c:v>
                </c:pt>
                <c:pt idx="9">
                  <c:v>2.7522935779816612E-2</c:v>
                </c:pt>
                <c:pt idx="10">
                  <c:v>0.10389610389610412</c:v>
                </c:pt>
                <c:pt idx="11">
                  <c:v>7.4626865671641784E-2</c:v>
                </c:pt>
                <c:pt idx="12">
                  <c:v>7.3684210526315783E-2</c:v>
                </c:pt>
                <c:pt idx="13">
                  <c:v>3.883495145631069E-2</c:v>
                </c:pt>
              </c:numCache>
            </c:numRef>
          </c:val>
        </c:ser>
        <c:ser>
          <c:idx val="1"/>
          <c:order val="1"/>
          <c:tx>
            <c:strRef>
              <c:f>Feuil10!$B$107</c:f>
              <c:strCache>
                <c:ptCount val="1"/>
                <c:pt idx="0">
                  <c:v>Long</c:v>
                </c:pt>
              </c:strCache>
            </c:strRef>
          </c:tx>
          <c:spPr>
            <a:solidFill>
              <a:schemeClr val="accent6">
                <a:lumMod val="75000"/>
              </a:schemeClr>
            </a:solidFill>
          </c:spPr>
          <c:cat>
            <c:strRef>
              <c:f>Feuil10!$C$105:$P$105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Feuil10!$C$107:$P$107</c:f>
              <c:numCache>
                <c:formatCode>0.0%</c:formatCode>
                <c:ptCount val="14"/>
                <c:pt idx="0">
                  <c:v>0.16157205240174669</c:v>
                </c:pt>
                <c:pt idx="1">
                  <c:v>0.22222222222222221</c:v>
                </c:pt>
                <c:pt idx="2">
                  <c:v>0.265625</c:v>
                </c:pt>
                <c:pt idx="3">
                  <c:v>0.13461538461538491</c:v>
                </c:pt>
                <c:pt idx="4">
                  <c:v>0.22988505747126645</c:v>
                </c:pt>
                <c:pt idx="5">
                  <c:v>0.13580246913580246</c:v>
                </c:pt>
                <c:pt idx="6">
                  <c:v>0.23076923076923475</c:v>
                </c:pt>
                <c:pt idx="7">
                  <c:v>0.1</c:v>
                </c:pt>
                <c:pt idx="8">
                  <c:v>0.15151515151515477</c:v>
                </c:pt>
                <c:pt idx="9">
                  <c:v>0.14678899082568841</c:v>
                </c:pt>
                <c:pt idx="10">
                  <c:v>0.22077922077922091</c:v>
                </c:pt>
                <c:pt idx="11">
                  <c:v>0.17910447761194029</c:v>
                </c:pt>
                <c:pt idx="12">
                  <c:v>0.13684210526315788</c:v>
                </c:pt>
                <c:pt idx="13">
                  <c:v>0.22330097087378617</c:v>
                </c:pt>
              </c:numCache>
            </c:numRef>
          </c:val>
        </c:ser>
        <c:ser>
          <c:idx val="2"/>
          <c:order val="2"/>
          <c:tx>
            <c:strRef>
              <c:f>Feuil10!$B$108</c:f>
              <c:strCache>
                <c:ptCount val="1"/>
                <c:pt idx="0">
                  <c:v>Correct</c:v>
                </c:pt>
              </c:strCache>
            </c:strRef>
          </c:tx>
          <c:cat>
            <c:strRef>
              <c:f>Feuil10!$C$105:$P$105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Feuil10!$C$108:$P$108</c:f>
              <c:numCache>
                <c:formatCode>0.0%</c:formatCode>
                <c:ptCount val="14"/>
                <c:pt idx="0">
                  <c:v>0.74847161572053289</c:v>
                </c:pt>
                <c:pt idx="1">
                  <c:v>0.59829059829059861</c:v>
                </c:pt>
                <c:pt idx="2">
                  <c:v>0.67187500000001565</c:v>
                </c:pt>
                <c:pt idx="3">
                  <c:v>0.78846153846153844</c:v>
                </c:pt>
                <c:pt idx="4">
                  <c:v>0.74712643678160962</c:v>
                </c:pt>
                <c:pt idx="5">
                  <c:v>0.79012345679012363</c:v>
                </c:pt>
                <c:pt idx="6">
                  <c:v>0.73076923076923073</c:v>
                </c:pt>
                <c:pt idx="7">
                  <c:v>0.82000000000000062</c:v>
                </c:pt>
                <c:pt idx="8">
                  <c:v>0.78787878787878785</c:v>
                </c:pt>
                <c:pt idx="9">
                  <c:v>0.76146788990824799</c:v>
                </c:pt>
                <c:pt idx="10">
                  <c:v>0.66233766233766234</c:v>
                </c:pt>
                <c:pt idx="11">
                  <c:v>0.71641791044776049</c:v>
                </c:pt>
                <c:pt idx="12">
                  <c:v>0.75789473684211706</c:v>
                </c:pt>
                <c:pt idx="13">
                  <c:v>0.67961165048545458</c:v>
                </c:pt>
              </c:numCache>
            </c:numRef>
          </c:val>
        </c:ser>
        <c:ser>
          <c:idx val="3"/>
          <c:order val="3"/>
          <c:tx>
            <c:strRef>
              <c:f>Feuil10!$B$109</c:f>
              <c:strCache>
                <c:ptCount val="1"/>
                <c:pt idx="0">
                  <c:v>Très Correct</c:v>
                </c:pt>
              </c:strCache>
            </c:strRef>
          </c:tx>
          <c:spPr>
            <a:solidFill>
              <a:srgbClr val="00B050"/>
            </a:solidFill>
          </c:spPr>
          <c:cat>
            <c:strRef>
              <c:f>Feuil10!$C$105:$P$105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Feuil10!$C$109:$P$109</c:f>
              <c:numCache>
                <c:formatCode>0.0%</c:formatCode>
                <c:ptCount val="14"/>
                <c:pt idx="0">
                  <c:v>6.9868995633187894E-2</c:v>
                </c:pt>
                <c:pt idx="1">
                  <c:v>0.10256410256410374</c:v>
                </c:pt>
                <c:pt idx="2">
                  <c:v>4.6874999999999986E-2</c:v>
                </c:pt>
                <c:pt idx="3">
                  <c:v>0</c:v>
                </c:pt>
                <c:pt idx="4">
                  <c:v>0</c:v>
                </c:pt>
                <c:pt idx="5">
                  <c:v>2.4691358024691412E-2</c:v>
                </c:pt>
                <c:pt idx="6">
                  <c:v>0</c:v>
                </c:pt>
                <c:pt idx="7">
                  <c:v>2.0000000000000011E-2</c:v>
                </c:pt>
                <c:pt idx="8">
                  <c:v>3.0303030303030311E-2</c:v>
                </c:pt>
                <c:pt idx="9">
                  <c:v>6.4220183486238536E-2</c:v>
                </c:pt>
                <c:pt idx="10">
                  <c:v>1.2987012987012988E-2</c:v>
                </c:pt>
                <c:pt idx="11">
                  <c:v>2.9850746268656716E-2</c:v>
                </c:pt>
                <c:pt idx="12">
                  <c:v>3.1578947368421678E-2</c:v>
                </c:pt>
                <c:pt idx="13">
                  <c:v>5.8252427184466132E-2</c:v>
                </c:pt>
              </c:numCache>
            </c:numRef>
          </c:val>
        </c:ser>
        <c:shape val="cylinder"/>
        <c:axId val="232200064"/>
        <c:axId val="232201600"/>
        <c:axId val="0"/>
      </c:bar3DChart>
      <c:catAx>
        <c:axId val="232200064"/>
        <c:scaling>
          <c:orientation val="minMax"/>
        </c:scaling>
        <c:axPos val="l"/>
        <c:numFmt formatCode="General" sourceLinked="0"/>
        <c:tickLblPos val="nextTo"/>
        <c:txPr>
          <a:bodyPr/>
          <a:lstStyle/>
          <a:p>
            <a:pPr>
              <a:defRPr sz="800" b="1">
                <a:latin typeface="Book Antiqua" pitchFamily="18" charset="0"/>
              </a:defRPr>
            </a:pPr>
            <a:endParaRPr lang="fr-FR"/>
          </a:p>
        </c:txPr>
        <c:crossAx val="232201600"/>
        <c:crosses val="autoZero"/>
        <c:auto val="1"/>
        <c:lblAlgn val="ctr"/>
        <c:lblOffset val="100"/>
      </c:catAx>
      <c:valAx>
        <c:axId val="232201600"/>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32200064"/>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Feuil9!$A$4</c:f>
              <c:strCache>
                <c:ptCount val="1"/>
                <c:pt idx="0">
                  <c:v>Très suffisant</c:v>
                </c:pt>
              </c:strCache>
            </c:strRef>
          </c:tx>
          <c:cat>
            <c:strRef>
              <c:f>Feuil9!$B$3:$O$3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Feuil9!$B$4:$O$4</c:f>
              <c:numCache>
                <c:formatCode>General</c:formatCode>
                <c:ptCount val="14"/>
                <c:pt idx="0" formatCode="###0.0%">
                  <c:v>2.6515151515151512E-2</c:v>
                </c:pt>
                <c:pt idx="7" formatCode="###0.0%">
                  <c:v>2.3255813953488372E-2</c:v>
                </c:pt>
                <c:pt idx="9" formatCode="###0.0%">
                  <c:v>1.2345679012345723E-2</c:v>
                </c:pt>
                <c:pt idx="12" formatCode="###0.0%">
                  <c:v>1.1111111111111125E-2</c:v>
                </c:pt>
                <c:pt idx="13" formatCode="###0.0%">
                  <c:v>3.0927835051546396E-2</c:v>
                </c:pt>
              </c:numCache>
            </c:numRef>
          </c:val>
        </c:ser>
        <c:ser>
          <c:idx val="1"/>
          <c:order val="1"/>
          <c:tx>
            <c:strRef>
              <c:f>Feuil9!$A$5</c:f>
              <c:strCache>
                <c:ptCount val="1"/>
                <c:pt idx="0">
                  <c:v>Suffisant</c:v>
                </c:pt>
              </c:strCache>
            </c:strRef>
          </c:tx>
          <c:cat>
            <c:strRef>
              <c:f>Feuil9!$B$3:$O$3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Feuil9!$B$5:$O$5</c:f>
              <c:numCache>
                <c:formatCode>###0.0%</c:formatCode>
                <c:ptCount val="14"/>
                <c:pt idx="0">
                  <c:v>0.63636363636365234</c:v>
                </c:pt>
                <c:pt idx="1">
                  <c:v>0.44736842105264163</c:v>
                </c:pt>
                <c:pt idx="2">
                  <c:v>0.65000000000001612</c:v>
                </c:pt>
                <c:pt idx="3">
                  <c:v>0.44117647058823528</c:v>
                </c:pt>
                <c:pt idx="4">
                  <c:v>0.38709677419356048</c:v>
                </c:pt>
                <c:pt idx="5">
                  <c:v>0.24390243902439865</c:v>
                </c:pt>
                <c:pt idx="6">
                  <c:v>0.25396825396826195</c:v>
                </c:pt>
                <c:pt idx="7">
                  <c:v>0.55813953488372092</c:v>
                </c:pt>
                <c:pt idx="8">
                  <c:v>0.31707317073170732</c:v>
                </c:pt>
                <c:pt idx="9">
                  <c:v>0.58024691358024649</c:v>
                </c:pt>
                <c:pt idx="10">
                  <c:v>4.2553191489361722E-2</c:v>
                </c:pt>
                <c:pt idx="11">
                  <c:v>0.33870967741936575</c:v>
                </c:pt>
                <c:pt idx="12">
                  <c:v>0.53333333333333333</c:v>
                </c:pt>
                <c:pt idx="13">
                  <c:v>0.42268041237113402</c:v>
                </c:pt>
              </c:numCache>
            </c:numRef>
          </c:val>
        </c:ser>
        <c:ser>
          <c:idx val="2"/>
          <c:order val="2"/>
          <c:tx>
            <c:strRef>
              <c:f>Feuil9!$A$6</c:f>
              <c:strCache>
                <c:ptCount val="1"/>
                <c:pt idx="0">
                  <c:v>Non suffisant</c:v>
                </c:pt>
              </c:strCache>
            </c:strRef>
          </c:tx>
          <c:cat>
            <c:strRef>
              <c:f>Feuil9!$B$3:$O$3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Feuil9!$B$6:$O$6</c:f>
              <c:numCache>
                <c:formatCode>###0.0%</c:formatCode>
                <c:ptCount val="14"/>
                <c:pt idx="0">
                  <c:v>0.30681818181819442</c:v>
                </c:pt>
                <c:pt idx="1">
                  <c:v>0.51315789473684159</c:v>
                </c:pt>
                <c:pt idx="2">
                  <c:v>0.22500000000000001</c:v>
                </c:pt>
                <c:pt idx="3">
                  <c:v>0.5588235294117645</c:v>
                </c:pt>
                <c:pt idx="4">
                  <c:v>0.61290322580645151</c:v>
                </c:pt>
                <c:pt idx="5">
                  <c:v>0.52439024390243849</c:v>
                </c:pt>
                <c:pt idx="6">
                  <c:v>0.42857142857142855</c:v>
                </c:pt>
                <c:pt idx="7">
                  <c:v>0.34883720930232581</c:v>
                </c:pt>
                <c:pt idx="8">
                  <c:v>0.63414634146341464</c:v>
                </c:pt>
                <c:pt idx="9">
                  <c:v>0.32098765432099691</c:v>
                </c:pt>
                <c:pt idx="10">
                  <c:v>0.72340425531914965</c:v>
                </c:pt>
                <c:pt idx="11">
                  <c:v>0.61290322580645151</c:v>
                </c:pt>
                <c:pt idx="12">
                  <c:v>0.37777777777779042</c:v>
                </c:pt>
                <c:pt idx="13">
                  <c:v>0.4845360824742268</c:v>
                </c:pt>
              </c:numCache>
            </c:numRef>
          </c:val>
        </c:ser>
        <c:ser>
          <c:idx val="3"/>
          <c:order val="3"/>
          <c:tx>
            <c:strRef>
              <c:f>Feuil9!$A$7</c:f>
              <c:strCache>
                <c:ptCount val="1"/>
                <c:pt idx="0">
                  <c:v>Pas du tout suffisant</c:v>
                </c:pt>
              </c:strCache>
            </c:strRef>
          </c:tx>
          <c:cat>
            <c:strRef>
              <c:f>Feuil9!$B$3:$O$3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Feuil9!$B$7:$O$7</c:f>
              <c:numCache>
                <c:formatCode>###0.0%</c:formatCode>
                <c:ptCount val="14"/>
                <c:pt idx="0">
                  <c:v>3.0303030303030311E-2</c:v>
                </c:pt>
                <c:pt idx="1">
                  <c:v>3.9473684210526355E-2</c:v>
                </c:pt>
                <c:pt idx="2">
                  <c:v>0.125</c:v>
                </c:pt>
                <c:pt idx="5">
                  <c:v>0.23170731707317074</c:v>
                </c:pt>
                <c:pt idx="6">
                  <c:v>0.31746031746032038</c:v>
                </c:pt>
                <c:pt idx="7">
                  <c:v>6.9767441860465934E-2</c:v>
                </c:pt>
                <c:pt idx="8">
                  <c:v>4.8780487804879924E-2</c:v>
                </c:pt>
                <c:pt idx="9">
                  <c:v>8.6419753086419679E-2</c:v>
                </c:pt>
                <c:pt idx="10">
                  <c:v>0.23404255319149619</c:v>
                </c:pt>
                <c:pt idx="11">
                  <c:v>4.8387096774193554E-2</c:v>
                </c:pt>
                <c:pt idx="12">
                  <c:v>7.7777777777777779E-2</c:v>
                </c:pt>
                <c:pt idx="13">
                  <c:v>6.1855670103092793E-2</c:v>
                </c:pt>
              </c:numCache>
            </c:numRef>
          </c:val>
        </c:ser>
        <c:shape val="cylinder"/>
        <c:axId val="188051456"/>
        <c:axId val="188052992"/>
        <c:axId val="0"/>
      </c:bar3DChart>
      <c:catAx>
        <c:axId val="188051456"/>
        <c:scaling>
          <c:orientation val="minMax"/>
        </c:scaling>
        <c:axPos val="b"/>
        <c:numFmt formatCode="0%" sourceLinked="0"/>
        <c:tickLblPos val="nextTo"/>
        <c:txPr>
          <a:bodyPr/>
          <a:lstStyle/>
          <a:p>
            <a:pPr>
              <a:defRPr sz="700">
                <a:latin typeface="Book Antiqua" pitchFamily="18" charset="0"/>
              </a:defRPr>
            </a:pPr>
            <a:endParaRPr lang="fr-FR"/>
          </a:p>
        </c:txPr>
        <c:crossAx val="188052992"/>
        <c:crosses val="autoZero"/>
        <c:auto val="1"/>
        <c:lblAlgn val="ctr"/>
        <c:lblOffset val="100"/>
      </c:catAx>
      <c:valAx>
        <c:axId val="188052992"/>
        <c:scaling>
          <c:orientation val="minMax"/>
        </c:scaling>
        <c:axPos val="l"/>
        <c:majorGridlines/>
        <c:numFmt formatCode="0%" sourceLinked="0"/>
        <c:tickLblPos val="nextTo"/>
        <c:txPr>
          <a:bodyPr/>
          <a:lstStyle/>
          <a:p>
            <a:pPr>
              <a:defRPr sz="700" b="1">
                <a:latin typeface="Book Antiqua" pitchFamily="18" charset="0"/>
              </a:defRPr>
            </a:pPr>
            <a:endParaRPr lang="fr-FR"/>
          </a:p>
        </c:txPr>
        <c:crossAx val="188051456"/>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2"/>
</c:chartSpace>
</file>

<file path=word/charts/chart17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6960389326334466"/>
          <c:y val="9.3215952172646527E-2"/>
          <c:w val="0.44690332458442694"/>
          <c:h val="0.74483887430738493"/>
        </c:manualLayout>
      </c:layout>
      <c:pieChart>
        <c:varyColors val="1"/>
        <c:ser>
          <c:idx val="0"/>
          <c:order val="0"/>
          <c:explosion val="25"/>
          <c:dLbls>
            <c:dLbl>
              <c:idx val="1"/>
              <c:layout>
                <c:manualLayout>
                  <c:x val="2.3378718285214452E-2"/>
                  <c:y val="-4.8490813648293982E-2"/>
                </c:manualLayout>
              </c:layout>
              <c:showPercent val="1"/>
              <c:extLst>
                <c:ext xmlns:c15="http://schemas.microsoft.com/office/drawing/2012/chart" uri="{CE6537A1-D6FC-4f65-9D91-7224C49458BB}"/>
              </c:extLst>
            </c:dLbl>
            <c:dLbl>
              <c:idx val="2"/>
              <c:layout>
                <c:manualLayout>
                  <c:x val="-3.6526684164479454E-4"/>
                  <c:y val="-5.243073782444032E-2"/>
                </c:manualLayout>
              </c:layout>
              <c:showPercent val="1"/>
              <c:extLst>
                <c:ext xmlns:c15="http://schemas.microsoft.com/office/drawing/2012/chart" uri="{CE6537A1-D6FC-4f65-9D91-7224C49458BB}"/>
              </c:extLst>
            </c:dLbl>
            <c:numFmt formatCode="0.0%" sourceLinked="0"/>
            <c:spPr>
              <a:noFill/>
              <a:ln>
                <a:noFill/>
              </a:ln>
              <a:effectLst/>
            </c:spPr>
            <c:txPr>
              <a:bodyPr/>
              <a:lstStyle/>
              <a:p>
                <a:pPr>
                  <a:defRPr sz="800" b="1">
                    <a:latin typeface="Book Antiqua" pitchFamily="18" charset="0"/>
                  </a:defRPr>
                </a:pPr>
                <a:endParaRPr lang="fr-FR"/>
              </a:p>
            </c:txPr>
            <c:showPercent val="1"/>
            <c:showLeaderLines val="1"/>
            <c:extLst>
              <c:ext xmlns:c15="http://schemas.microsoft.com/office/drawing/2012/chart" uri="{CE6537A1-D6FC-4f65-9D91-7224C49458BB}"/>
            </c:extLst>
          </c:dLbls>
          <c:cat>
            <c:strRef>
              <c:f>Feuil10!$H$126:$H$129</c:f>
              <c:strCache>
                <c:ptCount val="4"/>
                <c:pt idx="0">
                  <c:v>Très Satisfaisantes</c:v>
                </c:pt>
                <c:pt idx="1">
                  <c:v>Satisfaisantes</c:v>
                </c:pt>
                <c:pt idx="2">
                  <c:v>Pas Satisfaisantes</c:v>
                </c:pt>
                <c:pt idx="3">
                  <c:v>Pas du tout Satisfaisantes</c:v>
                </c:pt>
              </c:strCache>
            </c:strRef>
          </c:cat>
          <c:val>
            <c:numRef>
              <c:f>Feuil10!$I$126:$I$129</c:f>
              <c:numCache>
                <c:formatCode>0.0%</c:formatCode>
                <c:ptCount val="4"/>
                <c:pt idx="0">
                  <c:v>1.0268562401263823E-2</c:v>
                </c:pt>
                <c:pt idx="1">
                  <c:v>0.56635071090047395</c:v>
                </c:pt>
                <c:pt idx="2">
                  <c:v>0.36571879936809554</c:v>
                </c:pt>
                <c:pt idx="3">
                  <c:v>5.7661927330173834E-2</c:v>
                </c:pt>
              </c:numCache>
            </c:numRef>
          </c:val>
        </c:ser>
        <c:dLbls>
          <c:showPercent val="1"/>
        </c:dLbls>
        <c:firstSliceAng val="0"/>
      </c:pieChart>
    </c:plotArea>
    <c:legend>
      <c:legendPos val="b"/>
      <c:layout>
        <c:manualLayout>
          <c:xMode val="edge"/>
          <c:yMode val="edge"/>
          <c:x val="1.2125328083989521E-2"/>
          <c:y val="0.81173228346456694"/>
          <c:w val="0.97297156605424362"/>
          <c:h val="6.7897346165062683E-2"/>
        </c:manualLayout>
      </c:layout>
      <c:txPr>
        <a:bodyPr/>
        <a:lstStyle/>
        <a:p>
          <a:pPr>
            <a:defRPr sz="800" b="1" i="0">
              <a:latin typeface="Book Antiqua" pitchFamily="18" charset="0"/>
            </a:defRPr>
          </a:pPr>
          <a:endParaRPr lang="fr-FR"/>
        </a:p>
      </c:txPr>
    </c:legend>
    <c:plotVisOnly val="1"/>
    <c:dispBlanksAs val="zero"/>
  </c:chart>
  <c:externalData r:id="rId1"/>
</c:chartSpace>
</file>

<file path=word/charts/chart17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dPt>
            <c:idx val="0"/>
            <c:spPr>
              <a:solidFill>
                <a:srgbClr val="00B050"/>
              </a:solidFill>
            </c:spPr>
          </c:dPt>
          <c:dPt>
            <c:idx val="1"/>
            <c:spPr>
              <a:solidFill>
                <a:srgbClr val="92D050"/>
              </a:solidFill>
            </c:spPr>
          </c:dPt>
          <c:dPt>
            <c:idx val="2"/>
            <c:spPr>
              <a:solidFill>
                <a:srgbClr val="FF0000"/>
              </a:solidFill>
            </c:spPr>
          </c:dPt>
          <c:dPt>
            <c:idx val="3"/>
            <c:spPr>
              <a:solidFill>
                <a:schemeClr val="accent6">
                  <a:lumMod val="75000"/>
                </a:schemeClr>
              </a:solidFill>
            </c:spPr>
          </c:dPt>
          <c:dLbls>
            <c:dLbl>
              <c:idx val="0"/>
              <c:layout>
                <c:manualLayout>
                  <c:x val="0.24104352580927391"/>
                  <c:y val="1.966571886847478E-2"/>
                </c:manualLayout>
              </c:layout>
              <c:showCatName val="1"/>
              <c:showPercent val="1"/>
              <c:extLst>
                <c:ext xmlns:c15="http://schemas.microsoft.com/office/drawing/2012/chart" uri="{CE6537A1-D6FC-4f65-9D91-7224C49458BB}"/>
              </c:extLst>
            </c:dLbl>
            <c:dLbl>
              <c:idx val="1"/>
              <c:layout>
                <c:manualLayout>
                  <c:x val="-7.3921697287839113E-3"/>
                  <c:y val="-0.24589275298920971"/>
                </c:manualLayout>
              </c:layout>
              <c:showCatName val="1"/>
              <c:showPercent val="1"/>
              <c:extLst>
                <c:ext xmlns:c15="http://schemas.microsoft.com/office/drawing/2012/chart" uri="{CE6537A1-D6FC-4f65-9D91-7224C49458BB}"/>
              </c:extLst>
            </c:dLbl>
            <c:dLbl>
              <c:idx val="2"/>
              <c:layout>
                <c:manualLayout>
                  <c:x val="9.0807086614173235E-3"/>
                  <c:y val="0.12809128025663474"/>
                </c:manualLayout>
              </c:layout>
              <c:showCatName val="1"/>
              <c:showPercent val="1"/>
              <c:extLst>
                <c:ext xmlns:c15="http://schemas.microsoft.com/office/drawing/2012/chart" uri="{CE6537A1-D6FC-4f65-9D91-7224C49458BB}"/>
              </c:extLst>
            </c:dLbl>
            <c:dLbl>
              <c:idx val="3"/>
              <c:layout>
                <c:manualLayout>
                  <c:x val="-0.17351443569554068"/>
                  <c:y val="2.6124963546223411E-2"/>
                </c:manualLayout>
              </c:layout>
              <c:showCatName val="1"/>
              <c:showPercent val="1"/>
              <c:extLst>
                <c:ext xmlns:c15="http://schemas.microsoft.com/office/drawing/2012/chart" uri="{CE6537A1-D6FC-4f65-9D91-7224C49458BB}"/>
              </c:extLst>
            </c:dLbl>
            <c:numFmt formatCode="0.0%" sourceLinked="0"/>
            <c:spPr>
              <a:noFill/>
              <a:ln>
                <a:noFill/>
              </a:ln>
              <a:effectLst/>
            </c:spPr>
            <c:txPr>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Feuil1!$B$12:$B$15</c:f>
              <c:strCache>
                <c:ptCount val="4"/>
                <c:pt idx="0">
                  <c:v>Très adaptés</c:v>
                </c:pt>
                <c:pt idx="1">
                  <c:v>Adaptés</c:v>
                </c:pt>
                <c:pt idx="2">
                  <c:v>Non adaptés</c:v>
                </c:pt>
                <c:pt idx="3">
                  <c:v>Pas du tout adaptés</c:v>
                </c:pt>
              </c:strCache>
            </c:strRef>
          </c:cat>
          <c:val>
            <c:numRef>
              <c:f>Feuil1!$D$12:$D$15</c:f>
              <c:numCache>
                <c:formatCode>0.0%</c:formatCode>
                <c:ptCount val="4"/>
                <c:pt idx="0">
                  <c:v>7.9787234042555145E-3</c:v>
                </c:pt>
                <c:pt idx="1">
                  <c:v>0.5186170212765957</c:v>
                </c:pt>
                <c:pt idx="2">
                  <c:v>0.3753324468085108</c:v>
                </c:pt>
                <c:pt idx="3">
                  <c:v>9.8071808510640512E-2</c:v>
                </c:pt>
              </c:numCache>
            </c:numRef>
          </c:val>
        </c:ser>
        <c:dLbls>
          <c:showCatName val="1"/>
          <c:showPercent val="1"/>
        </c:dLbls>
      </c:pie3DChart>
    </c:plotArea>
    <c:plotVisOnly val="1"/>
    <c:dispBlanksAs val="zero"/>
  </c:chart>
  <c:externalData r:id="rId1"/>
</c:chartSpace>
</file>

<file path=word/charts/chart17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1286351706036735"/>
          <c:y val="5.1400554097404488E-2"/>
          <c:w val="0.78963604549431321"/>
          <c:h val="0.72518883056285421"/>
        </c:manualLayout>
      </c:layout>
      <c:lineChart>
        <c:grouping val="standard"/>
        <c:ser>
          <c:idx val="1"/>
          <c:order val="0"/>
          <c:tx>
            <c:strRef>
              <c:f>Feuil1!$B$41</c:f>
              <c:strCache>
                <c:ptCount val="1"/>
                <c:pt idx="0">
                  <c:v>Inadaptés</c:v>
                </c:pt>
              </c:strCache>
            </c:strRef>
          </c:tx>
          <c:dLbls>
            <c:dLbl>
              <c:idx val="0"/>
              <c:layout>
                <c:manualLayout>
                  <c:x val="-5.5555555555555455E-2"/>
                  <c:y val="5.5555555555555455E-2"/>
                </c:manualLayout>
              </c:layout>
              <c:showVal val="1"/>
              <c:extLst>
                <c:ext xmlns:c15="http://schemas.microsoft.com/office/drawing/2012/chart" uri="{CE6537A1-D6FC-4f65-9D91-7224C49458BB}"/>
              </c:extLst>
            </c:dLbl>
            <c:dLbl>
              <c:idx val="1"/>
              <c:layout>
                <c:manualLayout>
                  <c:x val="-5.833333333333441E-2"/>
                  <c:y val="5.5555555555555455E-2"/>
                </c:manualLayout>
              </c:layout>
              <c:showVal val="1"/>
              <c:extLst>
                <c:ext xmlns:c15="http://schemas.microsoft.com/office/drawing/2012/chart" uri="{CE6537A1-D6FC-4f65-9D91-7224C49458BB}"/>
              </c:extLst>
            </c:dLbl>
            <c:dLbl>
              <c:idx val="2"/>
              <c:layout>
                <c:manualLayout>
                  <c:x val="-5.5555555555555455E-2"/>
                  <c:y val="6.0185185185185147E-2"/>
                </c:manualLayout>
              </c:layout>
              <c:showVal val="1"/>
              <c:extLst>
                <c:ext xmlns:c15="http://schemas.microsoft.com/office/drawing/2012/chart" uri="{CE6537A1-D6FC-4f65-9D91-7224C49458BB}"/>
              </c:extLst>
            </c:dLbl>
            <c:dLbl>
              <c:idx val="3"/>
              <c:layout>
                <c:manualLayout>
                  <c:x val="-5.833333333333441E-2"/>
                  <c:y val="6.9444444444444503E-2"/>
                </c:manualLayout>
              </c:layout>
              <c:showVal val="1"/>
              <c:extLst>
                <c:ext xmlns:c15="http://schemas.microsoft.com/office/drawing/2012/chart" uri="{CE6537A1-D6FC-4f65-9D91-7224C49458BB}"/>
              </c:extLst>
            </c:dLbl>
            <c:dLbl>
              <c:idx val="4"/>
              <c:layout>
                <c:manualLayout>
                  <c:x val="-5.833333333333441E-2"/>
                  <c:y val="6.9444444444444503E-2"/>
                </c:manualLayout>
              </c:layout>
              <c:showVal val="1"/>
              <c:extLst>
                <c:ext xmlns:c15="http://schemas.microsoft.com/office/drawing/2012/chart" uri="{CE6537A1-D6FC-4f65-9D91-7224C49458BB}"/>
              </c:extLst>
            </c:dLbl>
            <c:dLbl>
              <c:idx val="5"/>
              <c:layout>
                <c:manualLayout>
                  <c:x val="-5.5555555555555455E-2"/>
                  <c:y val="7.407407407407407E-2"/>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Feuil1!$C$39:$H$39</c:f>
              <c:strCache>
                <c:ptCount val="6"/>
                <c:pt idx="0">
                  <c:v>18-24 ans</c:v>
                </c:pt>
                <c:pt idx="1">
                  <c:v>25-34  ans</c:v>
                </c:pt>
                <c:pt idx="2">
                  <c:v>35-44 ans</c:v>
                </c:pt>
                <c:pt idx="3">
                  <c:v>45-54 ans</c:v>
                </c:pt>
                <c:pt idx="4">
                  <c:v>55-64 ans</c:v>
                </c:pt>
                <c:pt idx="5">
                  <c:v>65 ans ou plus</c:v>
                </c:pt>
              </c:strCache>
            </c:strRef>
          </c:cat>
          <c:val>
            <c:numRef>
              <c:f>Feuil1!$C$41:$H$41</c:f>
              <c:numCache>
                <c:formatCode>0.0%</c:formatCode>
                <c:ptCount val="6"/>
                <c:pt idx="0">
                  <c:v>0.41095890410959407</c:v>
                </c:pt>
                <c:pt idx="1">
                  <c:v>0.43508424182359218</c:v>
                </c:pt>
                <c:pt idx="2">
                  <c:v>0.49056603773585694</c:v>
                </c:pt>
                <c:pt idx="3">
                  <c:v>0.51009174311926608</c:v>
                </c:pt>
                <c:pt idx="4">
                  <c:v>0.48432055749128938</c:v>
                </c:pt>
                <c:pt idx="5">
                  <c:v>0.52941176470588236</c:v>
                </c:pt>
              </c:numCache>
            </c:numRef>
          </c:val>
        </c:ser>
        <c:marker val="1"/>
        <c:axId val="232300928"/>
        <c:axId val="232302464"/>
      </c:lineChart>
      <c:catAx>
        <c:axId val="232300928"/>
        <c:scaling>
          <c:orientation val="minMax"/>
        </c:scaling>
        <c:axPos val="b"/>
        <c:numFmt formatCode="General" sourceLinked="0"/>
        <c:tickLblPos val="nextTo"/>
        <c:txPr>
          <a:bodyPr/>
          <a:lstStyle/>
          <a:p>
            <a:pPr>
              <a:defRPr sz="800" b="1">
                <a:latin typeface="Book Antiqua" pitchFamily="18" charset="0"/>
              </a:defRPr>
            </a:pPr>
            <a:endParaRPr lang="fr-FR"/>
          </a:p>
        </c:txPr>
        <c:crossAx val="232302464"/>
        <c:crosses val="autoZero"/>
        <c:auto val="1"/>
        <c:lblAlgn val="ctr"/>
        <c:lblOffset val="100"/>
      </c:catAx>
      <c:valAx>
        <c:axId val="232302464"/>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32300928"/>
        <c:crosses val="autoZero"/>
        <c:crossBetween val="between"/>
      </c:valAx>
    </c:plotArea>
    <c:plotVisOnly val="1"/>
    <c:dispBlanksAs val="gap"/>
  </c:chart>
  <c:externalData r:id="rId1"/>
</c:chartSpace>
</file>

<file path=word/charts/chart17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1286351706036735"/>
          <c:y val="5.1400554097404488E-2"/>
          <c:w val="0.85634580052494458"/>
          <c:h val="0.70298993875765459"/>
        </c:manualLayout>
      </c:layout>
      <c:bar3DChart>
        <c:barDir val="col"/>
        <c:grouping val="clustered"/>
        <c:ser>
          <c:idx val="0"/>
          <c:order val="0"/>
          <c:tx>
            <c:strRef>
              <c:f>Feuil1!$B$64</c:f>
              <c:strCache>
                <c:ptCount val="1"/>
                <c:pt idx="0">
                  <c:v>Adaptes</c:v>
                </c:pt>
              </c:strCache>
            </c:strRef>
          </c:tx>
          <c:spPr>
            <a:solidFill>
              <a:srgbClr val="00B050"/>
            </a:solidFill>
          </c:spPr>
          <c:dLbls>
            <c:dLbl>
              <c:idx val="0"/>
              <c:layout>
                <c:manualLayout>
                  <c:x val="8.3333333333333367E-3"/>
                  <c:y val="-1.3888888888889145E-2"/>
                </c:manualLayout>
              </c:layout>
              <c:showVal val="1"/>
              <c:extLst>
                <c:ext xmlns:c15="http://schemas.microsoft.com/office/drawing/2012/chart" uri="{CE6537A1-D6FC-4f65-9D91-7224C49458BB}"/>
              </c:extLst>
            </c:dLbl>
            <c:dLbl>
              <c:idx val="1"/>
              <c:layout>
                <c:manualLayout>
                  <c:x val="5.5555555555555558E-3"/>
                  <c:y val="-1.3888888888889145E-2"/>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Feuil1!$C$63:$D$63</c:f>
              <c:strCache>
                <c:ptCount val="2"/>
                <c:pt idx="0">
                  <c:v>Formelle</c:v>
                </c:pt>
                <c:pt idx="1">
                  <c:v>Informelle</c:v>
                </c:pt>
              </c:strCache>
            </c:strRef>
          </c:cat>
          <c:val>
            <c:numRef>
              <c:f>Feuil1!$C$64:$D$64</c:f>
              <c:numCache>
                <c:formatCode>0.0%</c:formatCode>
                <c:ptCount val="2"/>
                <c:pt idx="0">
                  <c:v>0.53068181818182825</c:v>
                </c:pt>
                <c:pt idx="1">
                  <c:v>0.49728260869565927</c:v>
                </c:pt>
              </c:numCache>
            </c:numRef>
          </c:val>
        </c:ser>
        <c:ser>
          <c:idx val="1"/>
          <c:order val="1"/>
          <c:tx>
            <c:strRef>
              <c:f>Feuil1!$B$65</c:f>
              <c:strCache>
                <c:ptCount val="1"/>
                <c:pt idx="0">
                  <c:v>Inadaptés</c:v>
                </c:pt>
              </c:strCache>
            </c:strRef>
          </c:tx>
          <c:dLbls>
            <c:dLbl>
              <c:idx val="0"/>
              <c:layout>
                <c:manualLayout>
                  <c:x val="1.9444444444444445E-2"/>
                  <c:y val="-1.3888888888889107E-2"/>
                </c:manualLayout>
              </c:layout>
              <c:showVal val="1"/>
              <c:extLst>
                <c:ext xmlns:c15="http://schemas.microsoft.com/office/drawing/2012/chart" uri="{CE6537A1-D6FC-4f65-9D91-7224C49458BB}"/>
              </c:extLst>
            </c:dLbl>
            <c:dLbl>
              <c:idx val="1"/>
              <c:layout>
                <c:manualLayout>
                  <c:x val="2.22220034995626E-2"/>
                  <c:y val="-3.7037037037037056E-2"/>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Feuil1!$C$63:$D$63</c:f>
              <c:strCache>
                <c:ptCount val="2"/>
                <c:pt idx="0">
                  <c:v>Formelle</c:v>
                </c:pt>
                <c:pt idx="1">
                  <c:v>Informelle</c:v>
                </c:pt>
              </c:strCache>
            </c:strRef>
          </c:cat>
          <c:val>
            <c:numRef>
              <c:f>Feuil1!$C$65:$D$65</c:f>
              <c:numCache>
                <c:formatCode>0.0%</c:formatCode>
                <c:ptCount val="2"/>
                <c:pt idx="0">
                  <c:v>0.46931818181818691</c:v>
                </c:pt>
                <c:pt idx="1">
                  <c:v>0.50271739130434756</c:v>
                </c:pt>
              </c:numCache>
            </c:numRef>
          </c:val>
        </c:ser>
        <c:shape val="cylinder"/>
        <c:axId val="232757888"/>
        <c:axId val="232767872"/>
        <c:axId val="0"/>
      </c:bar3DChart>
      <c:catAx>
        <c:axId val="232757888"/>
        <c:scaling>
          <c:orientation val="minMax"/>
        </c:scaling>
        <c:axPos val="b"/>
        <c:numFmt formatCode="General" sourceLinked="0"/>
        <c:tickLblPos val="nextTo"/>
        <c:txPr>
          <a:bodyPr/>
          <a:lstStyle/>
          <a:p>
            <a:pPr>
              <a:defRPr sz="800" b="1">
                <a:latin typeface="Book Antiqua" pitchFamily="18" charset="0"/>
              </a:defRPr>
            </a:pPr>
            <a:endParaRPr lang="fr-FR"/>
          </a:p>
        </c:txPr>
        <c:crossAx val="232767872"/>
        <c:crosses val="autoZero"/>
        <c:auto val="1"/>
        <c:lblAlgn val="ctr"/>
        <c:lblOffset val="100"/>
      </c:catAx>
      <c:valAx>
        <c:axId val="232767872"/>
        <c:scaling>
          <c:orientation val="minMax"/>
        </c:scaling>
        <c:axPos val="l"/>
        <c:majorGridlines/>
        <c:numFmt formatCode="0.0%" sourceLinked="1"/>
        <c:tickLblPos val="nextTo"/>
        <c:crossAx val="232757888"/>
        <c:crosses val="autoZero"/>
        <c:crossBetween val="between"/>
      </c:valAx>
    </c:plotArea>
    <c:legend>
      <c:legendPos val="r"/>
      <c:layout>
        <c:manualLayout>
          <c:xMode val="edge"/>
          <c:yMode val="edge"/>
          <c:x val="0.21087598425196849"/>
          <c:y val="0.86535688247303255"/>
          <c:w val="0.60301290463692037"/>
          <c:h val="0.1026195683872849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17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29646237970254441"/>
          <c:y val="5.0925925925925923E-2"/>
          <c:w val="0.62780249343833194"/>
          <c:h val="0.74513123359581834"/>
        </c:manualLayout>
      </c:layout>
      <c:bar3DChart>
        <c:barDir val="bar"/>
        <c:grouping val="percentStacked"/>
        <c:ser>
          <c:idx val="0"/>
          <c:order val="0"/>
          <c:tx>
            <c:strRef>
              <c:f>Feuil1!$B$96</c:f>
              <c:strCache>
                <c:ptCount val="1"/>
                <c:pt idx="0">
                  <c:v>Adaptes</c:v>
                </c:pt>
              </c:strCache>
            </c:strRef>
          </c:tx>
          <c:spPr>
            <a:solidFill>
              <a:srgbClr val="00B050"/>
            </a:solidFill>
          </c:spPr>
          <c:dLbls>
            <c:txPr>
              <a:bodyPr/>
              <a:lstStyle/>
              <a:p>
                <a:pPr>
                  <a:defRPr sz="800" b="1">
                    <a:latin typeface="Book Antiqua" pitchFamily="18" charset="0"/>
                  </a:defRPr>
                </a:pPr>
                <a:endParaRPr lang="fr-FR"/>
              </a:p>
            </c:txPr>
            <c:showVal val="1"/>
          </c:dLbls>
          <c:cat>
            <c:strRef>
              <c:f>Feuil1!$C$95:$J$95</c:f>
              <c:strCache>
                <c:ptCount val="8"/>
                <c:pt idx="0">
                  <c:v>50 000 ou Moins</c:v>
                </c:pt>
                <c:pt idx="1">
                  <c:v>]50 000 ; 100 000]</c:v>
                </c:pt>
                <c:pt idx="2">
                  <c:v>]100 000 ; 200 000]</c:v>
                </c:pt>
                <c:pt idx="3">
                  <c:v>]200 000 ; 300 000]</c:v>
                </c:pt>
                <c:pt idx="4">
                  <c:v>]300 000 ; 500 000]</c:v>
                </c:pt>
                <c:pt idx="5">
                  <c:v>]500 000 ; 1 million]</c:v>
                </c:pt>
                <c:pt idx="6">
                  <c:v>]1 million ; 1,5 million]</c:v>
                </c:pt>
                <c:pt idx="7">
                  <c:v>Plus de 1,5 million</c:v>
                </c:pt>
              </c:strCache>
            </c:strRef>
          </c:cat>
          <c:val>
            <c:numRef>
              <c:f>Feuil1!$C$96:$J$96</c:f>
              <c:numCache>
                <c:formatCode>0.0%</c:formatCode>
                <c:ptCount val="8"/>
                <c:pt idx="0">
                  <c:v>0.51470588235294112</c:v>
                </c:pt>
                <c:pt idx="1">
                  <c:v>0.51724137931034486</c:v>
                </c:pt>
                <c:pt idx="2">
                  <c:v>0.49701789264413532</c:v>
                </c:pt>
                <c:pt idx="3">
                  <c:v>0.52455357142857162</c:v>
                </c:pt>
                <c:pt idx="4">
                  <c:v>0.56131260794473237</c:v>
                </c:pt>
                <c:pt idx="5">
                  <c:v>0.61142857142858564</c:v>
                </c:pt>
                <c:pt idx="6">
                  <c:v>0.60000000000000064</c:v>
                </c:pt>
                <c:pt idx="7">
                  <c:v>0.88888888888888884</c:v>
                </c:pt>
              </c:numCache>
            </c:numRef>
          </c:val>
        </c:ser>
        <c:ser>
          <c:idx val="1"/>
          <c:order val="1"/>
          <c:tx>
            <c:strRef>
              <c:f>Feuil1!$B$97</c:f>
              <c:strCache>
                <c:ptCount val="1"/>
                <c:pt idx="0">
                  <c:v>Inadaptés</c:v>
                </c:pt>
              </c:strCache>
            </c:strRef>
          </c:tx>
          <c:spPr>
            <a:solidFill>
              <a:schemeClr val="accent6">
                <a:lumMod val="60000"/>
                <a:lumOff val="40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Feuil1!$C$95:$J$95</c:f>
              <c:strCache>
                <c:ptCount val="8"/>
                <c:pt idx="0">
                  <c:v>50 000 ou Moins</c:v>
                </c:pt>
                <c:pt idx="1">
                  <c:v>]50 000 ; 100 000]</c:v>
                </c:pt>
                <c:pt idx="2">
                  <c:v>]100 000 ; 200 000]</c:v>
                </c:pt>
                <c:pt idx="3">
                  <c:v>]200 000 ; 300 000]</c:v>
                </c:pt>
                <c:pt idx="4">
                  <c:v>]300 000 ; 500 000]</c:v>
                </c:pt>
                <c:pt idx="5">
                  <c:v>]500 000 ; 1 million]</c:v>
                </c:pt>
                <c:pt idx="6">
                  <c:v>]1 million ; 1,5 million]</c:v>
                </c:pt>
                <c:pt idx="7">
                  <c:v>Plus de 1,5 million</c:v>
                </c:pt>
              </c:strCache>
            </c:strRef>
          </c:cat>
          <c:val>
            <c:numRef>
              <c:f>Feuil1!$C$97:$J$97</c:f>
              <c:numCache>
                <c:formatCode>0.0%</c:formatCode>
                <c:ptCount val="8"/>
                <c:pt idx="0">
                  <c:v>0.48529411764705882</c:v>
                </c:pt>
                <c:pt idx="1">
                  <c:v>0.48275862068966052</c:v>
                </c:pt>
                <c:pt idx="2">
                  <c:v>0.50298210735586457</c:v>
                </c:pt>
                <c:pt idx="3">
                  <c:v>0.47544642857142855</c:v>
                </c:pt>
                <c:pt idx="4">
                  <c:v>0.43868739205527274</c:v>
                </c:pt>
                <c:pt idx="5">
                  <c:v>0.38857142857142857</c:v>
                </c:pt>
                <c:pt idx="6">
                  <c:v>0.40000000000000008</c:v>
                </c:pt>
                <c:pt idx="7">
                  <c:v>0.1111111111111111</c:v>
                </c:pt>
              </c:numCache>
            </c:numRef>
          </c:val>
        </c:ser>
        <c:shape val="cylinder"/>
        <c:axId val="232797696"/>
        <c:axId val="232799232"/>
        <c:axId val="0"/>
      </c:bar3DChart>
      <c:catAx>
        <c:axId val="232797696"/>
        <c:scaling>
          <c:orientation val="minMax"/>
        </c:scaling>
        <c:axPos val="l"/>
        <c:numFmt formatCode="General" sourceLinked="0"/>
        <c:tickLblPos val="nextTo"/>
        <c:txPr>
          <a:bodyPr/>
          <a:lstStyle/>
          <a:p>
            <a:pPr>
              <a:defRPr sz="800" b="1">
                <a:latin typeface="Book Antiqua" pitchFamily="18" charset="0"/>
              </a:defRPr>
            </a:pPr>
            <a:endParaRPr lang="fr-FR"/>
          </a:p>
        </c:txPr>
        <c:crossAx val="232799232"/>
        <c:crosses val="autoZero"/>
        <c:auto val="1"/>
        <c:lblAlgn val="ctr"/>
        <c:lblOffset val="100"/>
      </c:catAx>
      <c:valAx>
        <c:axId val="232799232"/>
        <c:scaling>
          <c:orientation val="minMax"/>
        </c:scaling>
        <c:axPos val="b"/>
        <c:majorGridlines/>
        <c:numFmt formatCode="0%" sourceLinked="1"/>
        <c:tickLblPos val="nextTo"/>
        <c:txPr>
          <a:bodyPr/>
          <a:lstStyle/>
          <a:p>
            <a:pPr>
              <a:defRPr b="1"/>
            </a:pPr>
            <a:endParaRPr lang="fr-FR"/>
          </a:p>
        </c:txPr>
        <c:crossAx val="232797696"/>
        <c:crosses val="autoZero"/>
        <c:crossBetween val="between"/>
      </c:valAx>
    </c:plotArea>
    <c:legend>
      <c:legendPos val="r"/>
      <c:layout>
        <c:manualLayout>
          <c:xMode val="edge"/>
          <c:yMode val="edge"/>
          <c:x val="9.9764873140860869E-2"/>
          <c:y val="0.91628280839894949"/>
          <c:w val="0.66967957130360789"/>
          <c:h val="7.9471420239137086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17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20526684164479544"/>
          <c:y val="5.0925925925925923E-2"/>
          <c:w val="0.70788692038495149"/>
          <c:h val="0.74513123359581834"/>
        </c:manualLayout>
      </c:layout>
      <c:bar3DChart>
        <c:barDir val="bar"/>
        <c:grouping val="percentStacked"/>
        <c:ser>
          <c:idx val="0"/>
          <c:order val="0"/>
          <c:tx>
            <c:strRef>
              <c:f>Feuil1!$B$141</c:f>
              <c:strCache>
                <c:ptCount val="1"/>
                <c:pt idx="0">
                  <c:v>Adaptes</c:v>
                </c:pt>
              </c:strCache>
            </c:strRef>
          </c:tx>
          <c:spPr>
            <a:solidFill>
              <a:srgbClr val="00B050"/>
            </a:solidFill>
          </c:spPr>
          <c:dLbls>
            <c:txPr>
              <a:bodyPr/>
              <a:lstStyle/>
              <a:p>
                <a:pPr>
                  <a:defRPr sz="800" b="1">
                    <a:latin typeface="Book Antiqua" pitchFamily="18" charset="0"/>
                  </a:defRPr>
                </a:pPr>
                <a:endParaRPr lang="fr-FR"/>
              </a:p>
            </c:txPr>
            <c:showVal val="1"/>
          </c:dLbls>
          <c:cat>
            <c:strRef>
              <c:f>Feuil1!$C$140:$H$140</c:f>
              <c:strCache>
                <c:ptCount val="6"/>
                <c:pt idx="0">
                  <c:v>18-24 ans</c:v>
                </c:pt>
                <c:pt idx="1">
                  <c:v>25-34  ans</c:v>
                </c:pt>
                <c:pt idx="2">
                  <c:v>35-44 ans</c:v>
                </c:pt>
                <c:pt idx="3">
                  <c:v>45-54 ans</c:v>
                </c:pt>
                <c:pt idx="4">
                  <c:v>55-64 ans</c:v>
                </c:pt>
                <c:pt idx="5">
                  <c:v>65 ans ou plus</c:v>
                </c:pt>
              </c:strCache>
            </c:strRef>
          </c:cat>
          <c:val>
            <c:numRef>
              <c:f>Feuil1!$C$141:$H$141</c:f>
              <c:numCache>
                <c:formatCode>0.0%</c:formatCode>
                <c:ptCount val="6"/>
                <c:pt idx="0">
                  <c:v>0.53731343283582089</c:v>
                </c:pt>
                <c:pt idx="1">
                  <c:v>0.50475184794086592</c:v>
                </c:pt>
                <c:pt idx="2">
                  <c:v>0.46806387225549345</c:v>
                </c:pt>
                <c:pt idx="3">
                  <c:v>0.43992248062016215</c:v>
                </c:pt>
                <c:pt idx="4">
                  <c:v>0.52029520295202969</c:v>
                </c:pt>
                <c:pt idx="5">
                  <c:v>0.41379310344827575</c:v>
                </c:pt>
              </c:numCache>
            </c:numRef>
          </c:val>
        </c:ser>
        <c:ser>
          <c:idx val="1"/>
          <c:order val="1"/>
          <c:tx>
            <c:strRef>
              <c:f>Feuil1!$B$142</c:f>
              <c:strCache>
                <c:ptCount val="1"/>
                <c:pt idx="0">
                  <c:v>Inadaptés</c:v>
                </c:pt>
              </c:strCache>
            </c:strRef>
          </c:tx>
          <c:spPr>
            <a:solidFill>
              <a:schemeClr val="accent6">
                <a:lumMod val="60000"/>
                <a:lumOff val="40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Feuil1!$C$140:$H$140</c:f>
              <c:strCache>
                <c:ptCount val="6"/>
                <c:pt idx="0">
                  <c:v>18-24 ans</c:v>
                </c:pt>
                <c:pt idx="1">
                  <c:v>25-34  ans</c:v>
                </c:pt>
                <c:pt idx="2">
                  <c:v>35-44 ans</c:v>
                </c:pt>
                <c:pt idx="3">
                  <c:v>45-54 ans</c:v>
                </c:pt>
                <c:pt idx="4">
                  <c:v>55-64 ans</c:v>
                </c:pt>
                <c:pt idx="5">
                  <c:v>65 ans ou plus</c:v>
                </c:pt>
              </c:strCache>
            </c:strRef>
          </c:cat>
          <c:val>
            <c:numRef>
              <c:f>Feuil1!$C$142:$H$142</c:f>
              <c:numCache>
                <c:formatCode>0.0%</c:formatCode>
                <c:ptCount val="6"/>
                <c:pt idx="0">
                  <c:v>0.46268656716418627</c:v>
                </c:pt>
                <c:pt idx="1">
                  <c:v>0.49524815205913403</c:v>
                </c:pt>
                <c:pt idx="2">
                  <c:v>0.53193612774451049</c:v>
                </c:pt>
                <c:pt idx="3">
                  <c:v>0.56007751937984562</c:v>
                </c:pt>
                <c:pt idx="4">
                  <c:v>0.47970479704797642</c:v>
                </c:pt>
                <c:pt idx="5">
                  <c:v>0.5862068965517242</c:v>
                </c:pt>
              </c:numCache>
            </c:numRef>
          </c:val>
        </c:ser>
        <c:shape val="cylinder"/>
        <c:axId val="232837504"/>
        <c:axId val="232839040"/>
        <c:axId val="0"/>
      </c:bar3DChart>
      <c:catAx>
        <c:axId val="232837504"/>
        <c:scaling>
          <c:orientation val="minMax"/>
        </c:scaling>
        <c:axPos val="l"/>
        <c:numFmt formatCode="General" sourceLinked="0"/>
        <c:tickLblPos val="nextTo"/>
        <c:txPr>
          <a:bodyPr/>
          <a:lstStyle/>
          <a:p>
            <a:pPr>
              <a:defRPr sz="800" b="1">
                <a:latin typeface="Book Antiqua" pitchFamily="18" charset="0"/>
              </a:defRPr>
            </a:pPr>
            <a:endParaRPr lang="fr-FR"/>
          </a:p>
        </c:txPr>
        <c:crossAx val="232839040"/>
        <c:crosses val="autoZero"/>
        <c:auto val="1"/>
        <c:lblAlgn val="ctr"/>
        <c:lblOffset val="100"/>
      </c:catAx>
      <c:valAx>
        <c:axId val="232839040"/>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32837504"/>
        <c:crosses val="autoZero"/>
        <c:crossBetween val="between"/>
      </c:valAx>
    </c:plotArea>
    <c:legend>
      <c:legendPos val="r"/>
      <c:layout>
        <c:manualLayout>
          <c:xMode val="edge"/>
          <c:yMode val="edge"/>
          <c:x val="0.25809820647419079"/>
          <c:y val="0.88387540099154271"/>
          <c:w val="0.50579068241470826"/>
          <c:h val="7.0212160979877508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17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29646237970254441"/>
          <c:y val="5.0925925925925923E-2"/>
          <c:w val="0.6361358267716537"/>
          <c:h val="0.70809419655877637"/>
        </c:manualLayout>
      </c:layout>
      <c:bar3DChart>
        <c:barDir val="bar"/>
        <c:grouping val="percentStacked"/>
        <c:ser>
          <c:idx val="0"/>
          <c:order val="0"/>
          <c:tx>
            <c:strRef>
              <c:f>Feuil1!$B$215</c:f>
              <c:strCache>
                <c:ptCount val="1"/>
                <c:pt idx="0">
                  <c:v>Adaptes</c:v>
                </c:pt>
              </c:strCache>
            </c:strRef>
          </c:tx>
          <c:spPr>
            <a:solidFill>
              <a:srgbClr val="00B050"/>
            </a:solidFill>
          </c:spPr>
          <c:dLbls>
            <c:txPr>
              <a:bodyPr/>
              <a:lstStyle/>
              <a:p>
                <a:pPr>
                  <a:defRPr sz="800" b="1">
                    <a:latin typeface="Book Antiqua" pitchFamily="18" charset="0"/>
                  </a:defRPr>
                </a:pPr>
                <a:endParaRPr lang="fr-FR"/>
              </a:p>
            </c:txPr>
            <c:showVal val="1"/>
          </c:dLbls>
          <c:cat>
            <c:strRef>
              <c:f>Feuil1!$C$214:$J$214</c:f>
              <c:strCache>
                <c:ptCount val="8"/>
                <c:pt idx="0">
                  <c:v>50 000 ou Moins</c:v>
                </c:pt>
                <c:pt idx="1">
                  <c:v>]50 000 ; 100 000]</c:v>
                </c:pt>
                <c:pt idx="2">
                  <c:v>]100 000 ; 200 000]</c:v>
                </c:pt>
                <c:pt idx="3">
                  <c:v>]200 000 ; 300 000]</c:v>
                </c:pt>
                <c:pt idx="4">
                  <c:v>]300 000 ; 500 000]</c:v>
                </c:pt>
                <c:pt idx="5">
                  <c:v>]500 000 ; 1 million]</c:v>
                </c:pt>
                <c:pt idx="6">
                  <c:v>]1 million ; 1,5 million]</c:v>
                </c:pt>
                <c:pt idx="7">
                  <c:v>Plus de 1,5 million</c:v>
                </c:pt>
              </c:strCache>
            </c:strRef>
          </c:cat>
          <c:val>
            <c:numRef>
              <c:f>Feuil1!$C$215:$J$215</c:f>
              <c:numCache>
                <c:formatCode>0.00%</c:formatCode>
                <c:ptCount val="8"/>
                <c:pt idx="0">
                  <c:v>0.46575342465753028</c:v>
                </c:pt>
                <c:pt idx="1">
                  <c:v>0.46226415094339623</c:v>
                </c:pt>
                <c:pt idx="2">
                  <c:v>0.47071129707112969</c:v>
                </c:pt>
                <c:pt idx="3">
                  <c:v>0.48915662650602409</c:v>
                </c:pt>
                <c:pt idx="4">
                  <c:v>0.49908925318762087</c:v>
                </c:pt>
                <c:pt idx="5">
                  <c:v>0.48750000000000032</c:v>
                </c:pt>
                <c:pt idx="6">
                  <c:v>0.52380952380952384</c:v>
                </c:pt>
                <c:pt idx="7">
                  <c:v>0.75000000000000799</c:v>
                </c:pt>
              </c:numCache>
            </c:numRef>
          </c:val>
        </c:ser>
        <c:ser>
          <c:idx val="1"/>
          <c:order val="1"/>
          <c:tx>
            <c:strRef>
              <c:f>Feuil1!$B$216</c:f>
              <c:strCache>
                <c:ptCount val="1"/>
                <c:pt idx="0">
                  <c:v>Inadaptés</c:v>
                </c:pt>
              </c:strCache>
            </c:strRef>
          </c:tx>
          <c:spPr>
            <a:solidFill>
              <a:schemeClr val="accent6">
                <a:lumMod val="60000"/>
                <a:lumOff val="40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Feuil1!$C$214:$J$214</c:f>
              <c:strCache>
                <c:ptCount val="8"/>
                <c:pt idx="0">
                  <c:v>50 000 ou Moins</c:v>
                </c:pt>
                <c:pt idx="1">
                  <c:v>]50 000 ; 100 000]</c:v>
                </c:pt>
                <c:pt idx="2">
                  <c:v>]100 000 ; 200 000]</c:v>
                </c:pt>
                <c:pt idx="3">
                  <c:v>]200 000 ; 300 000]</c:v>
                </c:pt>
                <c:pt idx="4">
                  <c:v>]300 000 ; 500 000]</c:v>
                </c:pt>
                <c:pt idx="5">
                  <c:v>]500 000 ; 1 million]</c:v>
                </c:pt>
                <c:pt idx="6">
                  <c:v>]1 million ; 1,5 million]</c:v>
                </c:pt>
                <c:pt idx="7">
                  <c:v>Plus de 1,5 million</c:v>
                </c:pt>
              </c:strCache>
            </c:strRef>
          </c:cat>
          <c:val>
            <c:numRef>
              <c:f>Feuil1!$C$216:$J$216</c:f>
              <c:numCache>
                <c:formatCode>0.00%</c:formatCode>
                <c:ptCount val="8"/>
                <c:pt idx="0">
                  <c:v>0.53424657534246556</c:v>
                </c:pt>
                <c:pt idx="1">
                  <c:v>0.53773584905660377</c:v>
                </c:pt>
                <c:pt idx="2">
                  <c:v>0.52928870292887065</c:v>
                </c:pt>
                <c:pt idx="3">
                  <c:v>0.51084337349398479</c:v>
                </c:pt>
                <c:pt idx="4">
                  <c:v>0.50091074681238557</c:v>
                </c:pt>
                <c:pt idx="5">
                  <c:v>0.51249999999999996</c:v>
                </c:pt>
                <c:pt idx="6">
                  <c:v>0.47619047619047788</c:v>
                </c:pt>
                <c:pt idx="7">
                  <c:v>0.25</c:v>
                </c:pt>
              </c:numCache>
            </c:numRef>
          </c:val>
        </c:ser>
        <c:shape val="cylinder"/>
        <c:axId val="232946688"/>
        <c:axId val="232977152"/>
        <c:axId val="0"/>
      </c:bar3DChart>
      <c:catAx>
        <c:axId val="232946688"/>
        <c:scaling>
          <c:orientation val="minMax"/>
        </c:scaling>
        <c:axPos val="l"/>
        <c:numFmt formatCode="General" sourceLinked="0"/>
        <c:tickLblPos val="nextTo"/>
        <c:txPr>
          <a:bodyPr/>
          <a:lstStyle/>
          <a:p>
            <a:pPr>
              <a:defRPr sz="800">
                <a:latin typeface="Book Antiqua" pitchFamily="18" charset="0"/>
              </a:defRPr>
            </a:pPr>
            <a:endParaRPr lang="fr-FR"/>
          </a:p>
        </c:txPr>
        <c:crossAx val="232977152"/>
        <c:crosses val="autoZero"/>
        <c:auto val="1"/>
        <c:lblAlgn val="ctr"/>
        <c:lblOffset val="100"/>
      </c:catAx>
      <c:valAx>
        <c:axId val="232977152"/>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32946688"/>
        <c:crosses val="autoZero"/>
        <c:crossBetween val="between"/>
      </c:valAx>
    </c:plotArea>
    <c:legend>
      <c:legendPos val="r"/>
      <c:layout>
        <c:manualLayout>
          <c:xMode val="edge"/>
          <c:yMode val="edge"/>
          <c:x val="0.10532042869641296"/>
          <c:y val="0.82831984543598713"/>
          <c:w val="0.69190179352581949"/>
          <c:h val="0.16743438320210327"/>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17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Feuil1!$B$1</c:f>
              <c:strCache>
                <c:ptCount val="1"/>
                <c:pt idx="0">
                  <c:v>Avis des clients sur le coût de la carte bancaire</c:v>
                </c:pt>
              </c:strCache>
            </c:strRef>
          </c:tx>
          <c:dLbls>
            <c:dLbl>
              <c:idx val="0"/>
              <c:layout>
                <c:manualLayout>
                  <c:x val="4.8820372172579465E-3"/>
                  <c:y val="-6.3637357830271524E-3"/>
                </c:manualLayout>
              </c:layout>
              <c:tx>
                <c:rich>
                  <a:bodyPr/>
                  <a:lstStyle/>
                  <a:p>
                    <a:r>
                      <a:rPr lang="en-US" sz="800"/>
                      <a:t>Très élevé
21,8%</a:t>
                    </a:r>
                  </a:p>
                </c:rich>
              </c:tx>
              <c:showCatName val="1"/>
              <c:showPercent val="1"/>
              <c:extLst>
                <c:ext xmlns:c15="http://schemas.microsoft.com/office/drawing/2012/chart" uri="{CE6537A1-D6FC-4f65-9D91-7224C49458BB}"/>
              </c:extLst>
            </c:dLbl>
            <c:dLbl>
              <c:idx val="1"/>
              <c:layout>
                <c:manualLayout>
                  <c:x val="6.4765991329738981E-2"/>
                  <c:y val="1.614173228346498E-3"/>
                </c:manualLayout>
              </c:layout>
              <c:tx>
                <c:rich>
                  <a:bodyPr/>
                  <a:lstStyle/>
                  <a:p>
                    <a:r>
                      <a:rPr lang="en-US" sz="800"/>
                      <a:t>Elevé
49,6%</a:t>
                    </a:r>
                  </a:p>
                </c:rich>
              </c:tx>
              <c:showCatName val="1"/>
              <c:showPercent val="1"/>
              <c:extLst>
                <c:ext xmlns:c15="http://schemas.microsoft.com/office/drawing/2012/chart" uri="{CE6537A1-D6FC-4f65-9D91-7224C49458BB}"/>
              </c:extLst>
            </c:dLbl>
            <c:dLbl>
              <c:idx val="2"/>
              <c:layout>
                <c:manualLayout>
                  <c:x val="-2.4374354891031777E-2"/>
                  <c:y val="-4.8094300712410963E-2"/>
                </c:manualLayout>
              </c:layout>
              <c:tx>
                <c:rich>
                  <a:bodyPr/>
                  <a:lstStyle/>
                  <a:p>
                    <a:r>
                      <a:rPr lang="en-US" sz="800"/>
                      <a:t>Raisonnable
27,3%</a:t>
                    </a:r>
                  </a:p>
                </c:rich>
              </c:tx>
              <c:showCatName val="1"/>
              <c:showPercent val="1"/>
              <c:extLst>
                <c:ext xmlns:c15="http://schemas.microsoft.com/office/drawing/2012/chart" uri="{CE6537A1-D6FC-4f65-9D91-7224C49458BB}"/>
              </c:extLst>
            </c:dLbl>
            <c:dLbl>
              <c:idx val="3"/>
              <c:layout>
                <c:manualLayout>
                  <c:x val="2.3401008035949255E-2"/>
                  <c:y val="-6.5854129797293284E-2"/>
                </c:manualLayout>
              </c:layout>
              <c:tx>
                <c:rich>
                  <a:bodyPr/>
                  <a:lstStyle/>
                  <a:p>
                    <a:r>
                      <a:rPr lang="en-US" sz="800"/>
                      <a:t>Très Raisonnable
1,3%</a:t>
                    </a:r>
                  </a:p>
                </c:rich>
              </c:tx>
              <c:showCatName val="1"/>
              <c:showPercent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Feuil1!$A$2:$A$5</c:f>
              <c:strCache>
                <c:ptCount val="4"/>
                <c:pt idx="0">
                  <c:v>Très élevé</c:v>
                </c:pt>
                <c:pt idx="1">
                  <c:v>Elevé</c:v>
                </c:pt>
                <c:pt idx="2">
                  <c:v>Raisonnable</c:v>
                </c:pt>
                <c:pt idx="3">
                  <c:v>Très Raisonnable</c:v>
                </c:pt>
              </c:strCache>
            </c:strRef>
          </c:cat>
          <c:val>
            <c:numRef>
              <c:f>Feuil1!$B$2:$B$5</c:f>
              <c:numCache>
                <c:formatCode>###0.0</c:formatCode>
                <c:ptCount val="4"/>
                <c:pt idx="0">
                  <c:v>21.814092953523229</c:v>
                </c:pt>
                <c:pt idx="1">
                  <c:v>49.550224887555999</c:v>
                </c:pt>
                <c:pt idx="2">
                  <c:v>27.286356821588889</c:v>
                </c:pt>
                <c:pt idx="3">
                  <c:v>1.3493253373313339</c:v>
                </c:pt>
              </c:numCache>
            </c:numRef>
          </c:val>
        </c:ser>
        <c:dLbls>
          <c:showCatName val="1"/>
          <c:showPercent val="1"/>
        </c:dLbls>
      </c:pie3DChart>
    </c:plotArea>
    <c:plotVisOnly val="1"/>
    <c:dispBlanksAs val="zero"/>
  </c:chart>
  <c:externalData r:id="rId2"/>
</c:chartSpace>
</file>

<file path=word/charts/chart178.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0.12916666666666668"/>
          <c:y val="0.1253597987751531"/>
          <c:w val="0.81388888888889677"/>
          <c:h val="0.67559018664334636"/>
        </c:manualLayout>
      </c:layout>
      <c:pie3DChart>
        <c:varyColors val="1"/>
        <c:ser>
          <c:idx val="0"/>
          <c:order val="0"/>
          <c:explosion val="25"/>
          <c:dLbls>
            <c:dLbl>
              <c:idx val="0"/>
              <c:layout>
                <c:manualLayout>
                  <c:x val="-1.4079396325459107E-2"/>
                  <c:y val="-5.0153996755950914E-3"/>
                </c:manualLayout>
              </c:layout>
              <c:showPercent val="1"/>
              <c:extLst>
                <c:ext xmlns:c15="http://schemas.microsoft.com/office/drawing/2012/chart" uri="{CE6537A1-D6FC-4f65-9D91-7224C49458BB}"/>
              </c:extLst>
            </c:dLbl>
            <c:dLbl>
              <c:idx val="2"/>
              <c:layout>
                <c:manualLayout>
                  <c:x val="4.5007874015748975E-2"/>
                  <c:y val="-5.4518081073199193E-2"/>
                </c:manualLayout>
              </c:layout>
              <c:showPercent val="1"/>
              <c:extLst>
                <c:ext xmlns:c15="http://schemas.microsoft.com/office/drawing/2012/chart" uri="{CE6537A1-D6FC-4f65-9D91-7224C49458BB}"/>
              </c:extLst>
            </c:dLbl>
            <c:numFmt formatCode="0.0%" sourceLinked="0"/>
            <c:spPr>
              <a:noFill/>
              <a:ln>
                <a:noFill/>
              </a:ln>
              <a:effectLst/>
            </c:spPr>
            <c:txPr>
              <a:bodyPr/>
              <a:lstStyle/>
              <a:p>
                <a:pPr>
                  <a:defRPr sz="800" b="1">
                    <a:latin typeface="Book Antiqua" pitchFamily="18" charset="0"/>
                  </a:defRPr>
                </a:pPr>
                <a:endParaRPr lang="fr-FR"/>
              </a:p>
            </c:txPr>
            <c:showPercent val="1"/>
            <c:showLeaderLines val="1"/>
            <c:extLst>
              <c:ext xmlns:c15="http://schemas.microsoft.com/office/drawing/2012/chart" uri="{CE6537A1-D6FC-4f65-9D91-7224C49458BB}"/>
            </c:extLst>
          </c:dLbls>
          <c:cat>
            <c:strRef>
              <c:f>Feuil2!$K$46:$K$49</c:f>
              <c:strCache>
                <c:ptCount val="4"/>
                <c:pt idx="0">
                  <c:v>Très élevé</c:v>
                </c:pt>
                <c:pt idx="1">
                  <c:v>Elevé</c:v>
                </c:pt>
                <c:pt idx="2">
                  <c:v>Raisonnable</c:v>
                </c:pt>
                <c:pt idx="3">
                  <c:v>Très Raisonnable</c:v>
                </c:pt>
              </c:strCache>
            </c:strRef>
          </c:cat>
          <c:val>
            <c:numRef>
              <c:f>Feuil2!$L$46:$L$49</c:f>
              <c:numCache>
                <c:formatCode>0.0%</c:formatCode>
                <c:ptCount val="4"/>
                <c:pt idx="0">
                  <c:v>0.2503242542153048</c:v>
                </c:pt>
                <c:pt idx="1">
                  <c:v>0.46692607003891495</c:v>
                </c:pt>
                <c:pt idx="2">
                  <c:v>0.26329442282749677</c:v>
                </c:pt>
                <c:pt idx="3">
                  <c:v>1.9455252918287941E-2</c:v>
                </c:pt>
              </c:numCache>
            </c:numRef>
          </c:val>
        </c:ser>
        <c:dLbls>
          <c:showPercent val="1"/>
        </c:dLbls>
      </c:pie3DChart>
    </c:plotArea>
    <c:legend>
      <c:legendPos val="t"/>
      <c:layout>
        <c:manualLayout>
          <c:xMode val="edge"/>
          <c:yMode val="edge"/>
          <c:x val="0.17714588801399841"/>
          <c:y val="0.88888888888888884"/>
          <c:w val="0.75126377952755918"/>
          <c:h val="8.3717191601050026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17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0"/>
          <c:order val="0"/>
          <c:tx>
            <c:strRef>
              <c:f>Feuil4!$M$7</c:f>
              <c:strCache>
                <c:ptCount val="1"/>
                <c:pt idx="0">
                  <c:v>Obtention de crédit</c:v>
                </c:pt>
              </c:strCache>
            </c:strRef>
          </c:tx>
          <c:dLbls>
            <c:dLbl>
              <c:idx val="0"/>
              <c:layout>
                <c:manualLayout>
                  <c:x val="-5.8333333333333875E-2"/>
                  <c:y val="-5.5555555555555455E-2"/>
                </c:manualLayout>
              </c:layout>
              <c:showVal val="1"/>
            </c:dLbl>
            <c:dLbl>
              <c:idx val="1"/>
              <c:layout>
                <c:manualLayout>
                  <c:x val="-6.1111111111111192E-2"/>
                  <c:y val="-5.5555555555555455E-2"/>
                </c:manualLayout>
              </c:layout>
              <c:showVal val="1"/>
            </c:dLbl>
            <c:dLbl>
              <c:idx val="2"/>
              <c:layout>
                <c:manualLayout>
                  <c:x val="-4.1666666666666664E-2"/>
                  <c:y val="-7.8703703703703734E-2"/>
                </c:manualLayout>
              </c:layout>
              <c:showVal val="1"/>
            </c:dLbl>
            <c:dLbl>
              <c:idx val="3"/>
              <c:layout>
                <c:manualLayout>
                  <c:x val="-4.1666666666666664E-2"/>
                  <c:y val="-4.6296296296296523E-2"/>
                </c:manualLayout>
              </c:layout>
              <c:showVal val="1"/>
            </c:dLbl>
            <c:dLbl>
              <c:idx val="4"/>
              <c:layout>
                <c:manualLayout>
                  <c:x val="-0.05"/>
                  <c:y val="-3.240740740740769E-2"/>
                </c:manualLayout>
              </c:layout>
              <c:showVal val="1"/>
            </c:dLbl>
            <c:dLbl>
              <c:idx val="5"/>
              <c:layout>
                <c:manualLayout>
                  <c:x val="-3.8888888888888785E-2"/>
                  <c:y val="-3.7037037037037056E-2"/>
                </c:manualLayout>
              </c:layout>
              <c:showVal val="1"/>
            </c:dLbl>
            <c:showVal val="1"/>
          </c:dLbls>
          <c:cat>
            <c:strRef>
              <c:f>Feuil4!$L$8:$L$13</c:f>
              <c:strCache>
                <c:ptCount val="6"/>
                <c:pt idx="0">
                  <c:v>18-24 ans</c:v>
                </c:pt>
                <c:pt idx="1">
                  <c:v>25-34  ans</c:v>
                </c:pt>
                <c:pt idx="2">
                  <c:v>35-44 ans</c:v>
                </c:pt>
                <c:pt idx="3">
                  <c:v>45-54 ans</c:v>
                </c:pt>
                <c:pt idx="4">
                  <c:v>55-64 ans</c:v>
                </c:pt>
                <c:pt idx="5">
                  <c:v>65 ans ou plus</c:v>
                </c:pt>
              </c:strCache>
            </c:strRef>
          </c:cat>
          <c:val>
            <c:numRef>
              <c:f>Feuil4!$M$8:$M$13</c:f>
              <c:numCache>
                <c:formatCode>0.0%</c:formatCode>
                <c:ptCount val="6"/>
                <c:pt idx="0">
                  <c:v>0.5714285714285765</c:v>
                </c:pt>
                <c:pt idx="1">
                  <c:v>0.84489051094890855</c:v>
                </c:pt>
                <c:pt idx="2">
                  <c:v>0.91815856777493221</c:v>
                </c:pt>
                <c:pt idx="3">
                  <c:v>0.88009592326139163</c:v>
                </c:pt>
                <c:pt idx="4">
                  <c:v>0.87280701754386736</c:v>
                </c:pt>
                <c:pt idx="5">
                  <c:v>0.71428571428571463</c:v>
                </c:pt>
              </c:numCache>
            </c:numRef>
          </c:val>
        </c:ser>
        <c:marker val="1"/>
        <c:axId val="233446016"/>
        <c:axId val="233607552"/>
      </c:lineChart>
      <c:catAx>
        <c:axId val="233446016"/>
        <c:scaling>
          <c:orientation val="minMax"/>
        </c:scaling>
        <c:axPos val="b"/>
        <c:tickLblPos val="nextTo"/>
        <c:crossAx val="233607552"/>
        <c:crosses val="autoZero"/>
        <c:auto val="1"/>
        <c:lblAlgn val="ctr"/>
        <c:lblOffset val="100"/>
      </c:catAx>
      <c:valAx>
        <c:axId val="233607552"/>
        <c:scaling>
          <c:orientation val="minMax"/>
        </c:scaling>
        <c:axPos val="l"/>
        <c:majorGridlines/>
        <c:numFmt formatCode="0.0%" sourceLinked="1"/>
        <c:tickLblPos val="nextTo"/>
        <c:crossAx val="233446016"/>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8.8550742880058028E-2"/>
          <c:y val="8.3446255264603558E-2"/>
          <c:w val="0.82289851423991345"/>
          <c:h val="0.70313343099554415"/>
        </c:manualLayout>
      </c:layout>
      <c:pie3DChart>
        <c:varyColors val="1"/>
        <c:ser>
          <c:idx val="0"/>
          <c:order val="0"/>
          <c:dLbls>
            <c:dLbl>
              <c:idx val="0"/>
              <c:tx>
                <c:rich>
                  <a:bodyPr/>
                  <a:lstStyle/>
                  <a:p>
                    <a:pPr>
                      <a:defRPr sz="800" b="1">
                        <a:latin typeface="Book Antiqua" pitchFamily="18" charset="0"/>
                      </a:defRPr>
                    </a:pPr>
                    <a:r>
                      <a:rPr lang="en-US" sz="800" b="1"/>
                      <a:t>1,0%</a:t>
                    </a:r>
                  </a:p>
                </c:rich>
              </c:tx>
              <c:spPr/>
              <c:showVal val="1"/>
              <c:extLst>
                <c:ext xmlns:c15="http://schemas.microsoft.com/office/drawing/2012/chart" uri="{CE6537A1-D6FC-4f65-9D91-7224C49458BB}"/>
              </c:extLst>
            </c:dLbl>
            <c:dLbl>
              <c:idx val="1"/>
              <c:tx>
                <c:rich>
                  <a:bodyPr/>
                  <a:lstStyle/>
                  <a:p>
                    <a:pPr>
                      <a:defRPr sz="800" b="1">
                        <a:latin typeface="Book Antiqua" pitchFamily="18" charset="0"/>
                      </a:defRPr>
                    </a:pPr>
                    <a:r>
                      <a:rPr lang="en-US" sz="800" b="1"/>
                      <a:t>42,6%</a:t>
                    </a:r>
                  </a:p>
                </c:rich>
              </c:tx>
              <c:spPr/>
              <c:showVal val="1"/>
              <c:extLst>
                <c:ext xmlns:c15="http://schemas.microsoft.com/office/drawing/2012/chart" uri="{CE6537A1-D6FC-4f65-9D91-7224C49458BB}"/>
              </c:extLst>
            </c:dLbl>
            <c:dLbl>
              <c:idx val="2"/>
              <c:tx>
                <c:rich>
                  <a:bodyPr/>
                  <a:lstStyle/>
                  <a:p>
                    <a:pPr>
                      <a:defRPr sz="800" b="1">
                        <a:latin typeface="Book Antiqua" pitchFamily="18" charset="0"/>
                      </a:defRPr>
                    </a:pPr>
                    <a:r>
                      <a:rPr lang="en-US" sz="800" b="1"/>
                      <a:t>48,7%</a:t>
                    </a:r>
                  </a:p>
                </c:rich>
              </c:tx>
              <c:spPr/>
              <c:showVal val="1"/>
              <c:extLst>
                <c:ext xmlns:c15="http://schemas.microsoft.com/office/drawing/2012/chart" uri="{CE6537A1-D6FC-4f65-9D91-7224C49458BB}"/>
              </c:extLst>
            </c:dLbl>
            <c:dLbl>
              <c:idx val="3"/>
              <c:tx>
                <c:rich>
                  <a:bodyPr/>
                  <a:lstStyle/>
                  <a:p>
                    <a:pPr>
                      <a:defRPr sz="800" b="1">
                        <a:latin typeface="Book Antiqua" pitchFamily="18" charset="0"/>
                      </a:defRPr>
                    </a:pPr>
                    <a:r>
                      <a:rPr lang="en-US" sz="800" b="1"/>
                      <a:t>7,8%</a:t>
                    </a:r>
                  </a:p>
                </c:rich>
              </c:tx>
              <c:spPr/>
              <c:showVal val="1"/>
              <c:extLst>
                <c:ext xmlns:c15="http://schemas.microsoft.com/office/drawing/2012/chart" uri="{CE6537A1-D6FC-4f65-9D91-7224C49458BB}"/>
              </c:extLst>
            </c:dLbl>
            <c:spPr>
              <a:noFill/>
              <a:ln>
                <a:noFill/>
              </a:ln>
              <a:effectLst/>
            </c:spPr>
            <c:txPr>
              <a:bodyPr/>
              <a:lstStyle/>
              <a:p>
                <a:pPr>
                  <a:defRPr sz="800">
                    <a:latin typeface="Book Antiqua" pitchFamily="18" charset="0"/>
                  </a:defRPr>
                </a:pPr>
                <a:endParaRPr lang="fr-FR"/>
              </a:p>
            </c:txPr>
            <c:showVal val="1"/>
            <c:showLeaderLines val="1"/>
            <c:extLst>
              <c:ext xmlns:c15="http://schemas.microsoft.com/office/drawing/2012/chart" uri="{CE6537A1-D6FC-4f65-9D91-7224C49458BB}"/>
            </c:extLst>
          </c:dLbls>
          <c:cat>
            <c:strRef>
              <c:f>Feuil2!$A$3:$A$6</c:f>
              <c:strCache>
                <c:ptCount val="4"/>
                <c:pt idx="0">
                  <c:v>Très suffisant</c:v>
                </c:pt>
                <c:pt idx="1">
                  <c:v>Suffisant</c:v>
                </c:pt>
                <c:pt idx="2">
                  <c:v>Non suffisant</c:v>
                </c:pt>
                <c:pt idx="3">
                  <c:v>Pas du tout suffisant</c:v>
                </c:pt>
              </c:strCache>
            </c:strRef>
          </c:cat>
          <c:val>
            <c:numRef>
              <c:f>Feuil2!$B$3:$B$6</c:f>
              <c:numCache>
                <c:formatCode>###0.0</c:formatCode>
                <c:ptCount val="4"/>
                <c:pt idx="0" formatCode="####.0">
                  <c:v>0.96051227321237997</c:v>
                </c:pt>
                <c:pt idx="1">
                  <c:v>42.582710779082177</c:v>
                </c:pt>
                <c:pt idx="2">
                  <c:v>48.665955176094513</c:v>
                </c:pt>
                <c:pt idx="3">
                  <c:v>7.7908217716115304</c:v>
                </c:pt>
              </c:numCache>
            </c:numRef>
          </c:val>
        </c:ser>
      </c:pie3DChart>
    </c:plotArea>
    <c:legend>
      <c:legendPos val="b"/>
      <c:layout>
        <c:manualLayout>
          <c:xMode val="edge"/>
          <c:yMode val="edge"/>
          <c:x val="0.16462259269101118"/>
          <c:y val="0.82482548563952562"/>
          <c:w val="0.67075481461801367"/>
          <c:h val="0.12445412088532012"/>
        </c:manualLayout>
      </c:layout>
      <c:txPr>
        <a:bodyPr/>
        <a:lstStyle/>
        <a:p>
          <a:pPr>
            <a:defRPr sz="800" b="1">
              <a:latin typeface="Book Antiqua" pitchFamily="18" charset="0"/>
            </a:defRPr>
          </a:pPr>
          <a:endParaRPr lang="fr-FR"/>
        </a:p>
      </c:txPr>
    </c:legend>
    <c:plotVisOnly val="1"/>
    <c:dispBlanksAs val="zero"/>
  </c:chart>
  <c:externalData r:id="rId2"/>
</c:chartSpace>
</file>

<file path=word/charts/chart18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bar"/>
        <c:grouping val="clustered"/>
        <c:varyColors val="1"/>
        <c:ser>
          <c:idx val="0"/>
          <c:order val="0"/>
          <c:tx>
            <c:strRef>
              <c:f>Feuil4!$U$27</c:f>
              <c:strCache>
                <c:ptCount val="1"/>
                <c:pt idx="0">
                  <c:v>Acces crédit</c:v>
                </c:pt>
              </c:strCache>
            </c:strRef>
          </c:tx>
          <c:dLbls>
            <c:txPr>
              <a:bodyPr/>
              <a:lstStyle/>
              <a:p>
                <a:pPr>
                  <a:defRPr sz="900" b="1">
                    <a:latin typeface="Book Antiqua" pitchFamily="18" charset="0"/>
                  </a:defRPr>
                </a:pPr>
                <a:endParaRPr lang="fr-FR"/>
              </a:p>
            </c:txPr>
            <c:showVal val="1"/>
          </c:dLbls>
          <c:cat>
            <c:strRef>
              <c:f>Feuil4!$T$28:$T$40</c:f>
              <c:strCache>
                <c:ptCount val="13"/>
                <c:pt idx="0">
                  <c:v>Etudiant</c:v>
                </c:pt>
                <c:pt idx="1">
                  <c:v>Eleveur</c:v>
                </c:pt>
                <c:pt idx="2">
                  <c:v>Artisan</c:v>
                </c:pt>
                <c:pt idx="3">
                  <c:v>Profession libérale</c:v>
                </c:pt>
                <c:pt idx="4">
                  <c:v>Commerçant/Mareyeur</c:v>
                </c:pt>
                <c:pt idx="5">
                  <c:v>Retraité</c:v>
                </c:pt>
                <c:pt idx="6">
                  <c:v>Directeur</c:v>
                </c:pt>
                <c:pt idx="7">
                  <c:v>Agriculteur</c:v>
                </c:pt>
                <c:pt idx="8">
                  <c:v>Directeur Général</c:v>
                </c:pt>
                <c:pt idx="9">
                  <c:v>Employé</c:v>
                </c:pt>
                <c:pt idx="10">
                  <c:v>Chef de bureau</c:v>
                </c:pt>
                <c:pt idx="11">
                  <c:v>Corps habillé</c:v>
                </c:pt>
                <c:pt idx="12">
                  <c:v>Chef de division</c:v>
                </c:pt>
              </c:strCache>
            </c:strRef>
          </c:cat>
          <c:val>
            <c:numRef>
              <c:f>Feuil4!$U$28:$U$40</c:f>
              <c:numCache>
                <c:formatCode>0.0%</c:formatCode>
                <c:ptCount val="13"/>
                <c:pt idx="0">
                  <c:v>0.16666666666666666</c:v>
                </c:pt>
                <c:pt idx="1">
                  <c:v>0.5</c:v>
                </c:pt>
                <c:pt idx="2">
                  <c:v>0.6111111111111116</c:v>
                </c:pt>
                <c:pt idx="3">
                  <c:v>0.63793103448276245</c:v>
                </c:pt>
                <c:pt idx="4">
                  <c:v>0.64935064935064934</c:v>
                </c:pt>
                <c:pt idx="5">
                  <c:v>0.76666666666666672</c:v>
                </c:pt>
                <c:pt idx="6">
                  <c:v>0.82352941176470584</c:v>
                </c:pt>
                <c:pt idx="7">
                  <c:v>0.8421052631578988</c:v>
                </c:pt>
                <c:pt idx="8">
                  <c:v>0.9</c:v>
                </c:pt>
                <c:pt idx="9">
                  <c:v>0.90088757396449703</c:v>
                </c:pt>
                <c:pt idx="10">
                  <c:v>0.92</c:v>
                </c:pt>
                <c:pt idx="11">
                  <c:v>0.95757575757575764</c:v>
                </c:pt>
                <c:pt idx="12">
                  <c:v>0.9850746268656716</c:v>
                </c:pt>
              </c:numCache>
            </c:numRef>
          </c:val>
        </c:ser>
        <c:shape val="cylinder"/>
        <c:axId val="233673856"/>
        <c:axId val="233675392"/>
        <c:axId val="0"/>
      </c:bar3DChart>
      <c:catAx>
        <c:axId val="233673856"/>
        <c:scaling>
          <c:orientation val="minMax"/>
        </c:scaling>
        <c:axPos val="l"/>
        <c:tickLblPos val="nextTo"/>
        <c:txPr>
          <a:bodyPr/>
          <a:lstStyle/>
          <a:p>
            <a:pPr>
              <a:defRPr sz="800" b="1">
                <a:latin typeface="Book Antiqua" pitchFamily="18" charset="0"/>
              </a:defRPr>
            </a:pPr>
            <a:endParaRPr lang="fr-FR"/>
          </a:p>
        </c:txPr>
        <c:crossAx val="233675392"/>
        <c:crosses val="autoZero"/>
        <c:auto val="1"/>
        <c:lblAlgn val="ctr"/>
        <c:lblOffset val="100"/>
      </c:catAx>
      <c:valAx>
        <c:axId val="233675392"/>
        <c:scaling>
          <c:orientation val="minMax"/>
        </c:scaling>
        <c:axPos val="b"/>
        <c:majorGridlines/>
        <c:numFmt formatCode="0.0%" sourceLinked="1"/>
        <c:tickLblPos val="nextTo"/>
        <c:txPr>
          <a:bodyPr/>
          <a:lstStyle/>
          <a:p>
            <a:pPr>
              <a:defRPr sz="800" b="1">
                <a:latin typeface="Book Antiqua" pitchFamily="18" charset="0"/>
              </a:defRPr>
            </a:pPr>
            <a:endParaRPr lang="fr-FR"/>
          </a:p>
        </c:txPr>
        <c:crossAx val="233673856"/>
        <c:crosses val="autoZero"/>
        <c:crossBetween val="between"/>
      </c:valAx>
    </c:plotArea>
    <c:plotVisOnly val="1"/>
    <c:dispBlanksAs val="gap"/>
  </c:chart>
  <c:externalData r:id="rId1"/>
</c:chartSpace>
</file>

<file path=word/charts/chart18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0"/>
          <c:order val="0"/>
          <c:tx>
            <c:strRef>
              <c:f>Feuil4!$W$48</c:f>
              <c:strCache>
                <c:ptCount val="1"/>
                <c:pt idx="0">
                  <c:v>Acces au  crédit</c:v>
                </c:pt>
              </c:strCache>
            </c:strRef>
          </c:tx>
          <c:dLbls>
            <c:dLbl>
              <c:idx val="0"/>
              <c:layout>
                <c:manualLayout>
                  <c:x val="-4.5602605863192182E-2"/>
                  <c:y val="-5.2718277537517393E-2"/>
                </c:manualLayout>
              </c:layout>
              <c:showVal val="1"/>
            </c:dLbl>
            <c:dLbl>
              <c:idx val="1"/>
              <c:layout>
                <c:manualLayout>
                  <c:x val="-4.5602605863192182E-2"/>
                  <c:y val="-5.2718277537517393E-2"/>
                </c:manualLayout>
              </c:layout>
              <c:showVal val="1"/>
            </c:dLbl>
            <c:dLbl>
              <c:idx val="2"/>
              <c:layout>
                <c:manualLayout>
                  <c:x val="-4.1259500542888065E-2"/>
                  <c:y val="-4.8325087742723823E-2"/>
                </c:manualLayout>
              </c:layout>
              <c:showVal val="1"/>
            </c:dLbl>
            <c:dLbl>
              <c:idx val="3"/>
              <c:layout>
                <c:manualLayout>
                  <c:x val="-4.3431053203040172E-2"/>
                  <c:y val="-4.3931897947931051E-2"/>
                </c:manualLayout>
              </c:layout>
              <c:showVal val="1"/>
            </c:dLbl>
            <c:dLbl>
              <c:idx val="4"/>
              <c:layout>
                <c:manualLayout>
                  <c:x val="-4.7774158523344185E-2"/>
                  <c:y val="-3.9538708153137606E-2"/>
                </c:manualLayout>
              </c:layout>
              <c:showVal val="1"/>
            </c:dLbl>
            <c:dLbl>
              <c:idx val="5"/>
              <c:layout>
                <c:manualLayout>
                  <c:x val="-4.1259500542888065E-2"/>
                  <c:y val="-3.5145518358344494E-2"/>
                </c:manualLayout>
              </c:layout>
              <c:showVal val="1"/>
            </c:dLbl>
            <c:dLbl>
              <c:idx val="6"/>
              <c:layout>
                <c:manualLayout>
                  <c:x val="-4.3431053203040172E-2"/>
                  <c:y val="5.7111467332309894E-2"/>
                </c:manualLayout>
              </c:layout>
              <c:showVal val="1"/>
            </c:dLbl>
            <c:txPr>
              <a:bodyPr/>
              <a:lstStyle/>
              <a:p>
                <a:pPr>
                  <a:defRPr sz="800" b="1">
                    <a:latin typeface="Book Antiqua" pitchFamily="18" charset="0"/>
                  </a:defRPr>
                </a:pPr>
                <a:endParaRPr lang="fr-FR"/>
              </a:p>
            </c:txPr>
            <c:showVal val="1"/>
          </c:dLbls>
          <c:cat>
            <c:strRef>
              <c:f>Feuil4!$V$49:$V$53</c:f>
              <c:strCache>
                <c:ptCount val="5"/>
                <c:pt idx="0">
                  <c:v>Moins de 100 000F</c:v>
                </c:pt>
                <c:pt idx="1">
                  <c:v>]100 000 ; 200 000]</c:v>
                </c:pt>
                <c:pt idx="2">
                  <c:v>]200 000 ; 500 000]</c:v>
                </c:pt>
                <c:pt idx="3">
                  <c:v>]500 000 ; 1 million]</c:v>
                </c:pt>
                <c:pt idx="4">
                  <c:v>Plus de 1 million</c:v>
                </c:pt>
              </c:strCache>
            </c:strRef>
          </c:cat>
          <c:val>
            <c:numRef>
              <c:f>Feuil4!$W$49:$W$53</c:f>
              <c:numCache>
                <c:formatCode>0.0%</c:formatCode>
                <c:ptCount val="5"/>
                <c:pt idx="0">
                  <c:v>0.78</c:v>
                </c:pt>
                <c:pt idx="1">
                  <c:v>0.87000000000000344</c:v>
                </c:pt>
                <c:pt idx="2">
                  <c:v>0.9</c:v>
                </c:pt>
                <c:pt idx="3">
                  <c:v>0.89</c:v>
                </c:pt>
                <c:pt idx="4">
                  <c:v>0.9</c:v>
                </c:pt>
              </c:numCache>
            </c:numRef>
          </c:val>
        </c:ser>
        <c:marker val="1"/>
        <c:axId val="234006400"/>
        <c:axId val="234007936"/>
      </c:lineChart>
      <c:catAx>
        <c:axId val="234006400"/>
        <c:scaling>
          <c:orientation val="minMax"/>
        </c:scaling>
        <c:axPos val="b"/>
        <c:tickLblPos val="nextTo"/>
        <c:txPr>
          <a:bodyPr/>
          <a:lstStyle/>
          <a:p>
            <a:pPr>
              <a:defRPr sz="800" b="1">
                <a:latin typeface="Book Antiqua" pitchFamily="18" charset="0"/>
              </a:defRPr>
            </a:pPr>
            <a:endParaRPr lang="fr-FR"/>
          </a:p>
        </c:txPr>
        <c:crossAx val="234007936"/>
        <c:crosses val="autoZero"/>
        <c:auto val="1"/>
        <c:lblAlgn val="ctr"/>
        <c:lblOffset val="100"/>
      </c:catAx>
      <c:valAx>
        <c:axId val="234007936"/>
        <c:scaling>
          <c:orientation val="minMax"/>
        </c:scaling>
        <c:axPos val="l"/>
        <c:majorGridlines/>
        <c:numFmt formatCode="0.0%" sourceLinked="1"/>
        <c:tickLblPos val="nextTo"/>
        <c:crossAx val="234006400"/>
        <c:crosses val="autoZero"/>
        <c:crossBetween val="between"/>
      </c:valAx>
    </c:plotArea>
    <c:plotVisOnly val="1"/>
    <c:dispBlanksAs val="gap"/>
  </c:chart>
  <c:externalData r:id="rId1"/>
</c:chartSpace>
</file>

<file path=word/charts/chart18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Feuil1!$B$1</c:f>
              <c:strCache>
                <c:ptCount val="1"/>
                <c:pt idx="0">
                  <c:v>Ventes</c:v>
                </c:pt>
              </c:strCache>
            </c:strRef>
          </c:tx>
          <c:dLbls>
            <c:dLbl>
              <c:idx val="0"/>
              <c:layout>
                <c:manualLayout>
                  <c:x val="-1.019041490006057E-2"/>
                  <c:y val="-6.2627599059411523E-2"/>
                </c:manualLayout>
              </c:layout>
              <c:tx>
                <c:rich>
                  <a:bodyPr/>
                  <a:lstStyle/>
                  <a:p>
                    <a:r>
                      <a:rPr lang="en-US"/>
                      <a:t>Immobilier
33,3%</a:t>
                    </a:r>
                  </a:p>
                </c:rich>
              </c:tx>
              <c:showCatName val="1"/>
              <c:showPercent val="1"/>
              <c:extLst>
                <c:ext xmlns:c15="http://schemas.microsoft.com/office/drawing/2012/chart" uri="{CE6537A1-D6FC-4f65-9D91-7224C49458BB}"/>
              </c:extLst>
            </c:dLbl>
            <c:dLbl>
              <c:idx val="1"/>
              <c:layout>
                <c:manualLayout>
                  <c:x val="6.3229103573591766E-2"/>
                  <c:y val="8.3258146577835743E-2"/>
                </c:manualLayout>
              </c:layout>
              <c:tx>
                <c:rich>
                  <a:bodyPr/>
                  <a:lstStyle/>
                  <a:p>
                    <a:r>
                      <a:rPr lang="en-US"/>
                      <a:t>Consommation 
40,4%</a:t>
                    </a:r>
                  </a:p>
                </c:rich>
              </c:tx>
              <c:showCatName val="1"/>
              <c:showPercent val="1"/>
              <c:extLst>
                <c:ext xmlns:c15="http://schemas.microsoft.com/office/drawing/2012/chart" uri="{CE6537A1-D6FC-4f65-9D91-7224C49458BB}"/>
              </c:extLst>
            </c:dLbl>
            <c:dLbl>
              <c:idx val="2"/>
              <c:layout>
                <c:manualLayout>
                  <c:x val="-3.3286644457904316E-2"/>
                  <c:y val="-1.8363658388855755E-2"/>
                </c:manualLayout>
              </c:layout>
              <c:tx>
                <c:rich>
                  <a:bodyPr/>
                  <a:lstStyle/>
                  <a:p>
                    <a:r>
                      <a:rPr lang="en-US"/>
                      <a:t>Equipement
22,6%</a:t>
                    </a:r>
                  </a:p>
                </c:rich>
              </c:tx>
              <c:showCatName val="1"/>
              <c:showPercent val="1"/>
              <c:extLst>
                <c:ext xmlns:c15="http://schemas.microsoft.com/office/drawing/2012/chart" uri="{CE6537A1-D6FC-4f65-9D91-7224C49458BB}"/>
              </c:extLst>
            </c:dLbl>
            <c:dLbl>
              <c:idx val="3"/>
              <c:layout>
                <c:manualLayout>
                  <c:x val="4.0660710680395715E-2"/>
                  <c:y val="-5.3333333333334523E-2"/>
                </c:manualLayout>
              </c:layout>
              <c:tx>
                <c:rich>
                  <a:bodyPr/>
                  <a:lstStyle/>
                  <a:p>
                    <a:r>
                      <a:rPr lang="en-US"/>
                      <a:t>Autre 
3,7%</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Feuil1!$A$2:$A$5</c:f>
              <c:strCache>
                <c:ptCount val="4"/>
                <c:pt idx="0">
                  <c:v>Immobilier</c:v>
                </c:pt>
                <c:pt idx="1">
                  <c:v>Consommation </c:v>
                </c:pt>
                <c:pt idx="2">
                  <c:v>Equipement</c:v>
                </c:pt>
                <c:pt idx="3">
                  <c:v>Autre </c:v>
                </c:pt>
              </c:strCache>
            </c:strRef>
          </c:cat>
          <c:val>
            <c:numRef>
              <c:f>Feuil1!$B$2:$B$5</c:f>
              <c:numCache>
                <c:formatCode>###0.0</c:formatCode>
                <c:ptCount val="4"/>
                <c:pt idx="0">
                  <c:v>33.333333333333336</c:v>
                </c:pt>
                <c:pt idx="1">
                  <c:v>40.371621621619923</c:v>
                </c:pt>
                <c:pt idx="2">
                  <c:v>22.578828828828833</c:v>
                </c:pt>
                <c:pt idx="3">
                  <c:v>3.7162162162162162</c:v>
                </c:pt>
              </c:numCache>
            </c:numRef>
          </c:val>
        </c:ser>
        <c:dLbls>
          <c:showCatName val="1"/>
          <c:showPercent val="1"/>
        </c:dLbls>
      </c:pie3DChart>
    </c:plotArea>
    <c:plotVisOnly val="1"/>
    <c:dispBlanksAs val="zero"/>
  </c:chart>
  <c:txPr>
    <a:bodyPr/>
    <a:lstStyle/>
    <a:p>
      <a:pPr>
        <a:defRPr sz="800" b="1">
          <a:latin typeface="Book Antiqua" pitchFamily="18" charset="0"/>
        </a:defRPr>
      </a:pPr>
      <a:endParaRPr lang="fr-FR"/>
    </a:p>
  </c:txPr>
  <c:externalData r:id="rId2"/>
</c:chartSpace>
</file>

<file path=word/charts/chart18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bar"/>
        <c:grouping val="stacked"/>
        <c:ser>
          <c:idx val="0"/>
          <c:order val="0"/>
          <c:tx>
            <c:strRef>
              <c:f>Feuil4!$S$76</c:f>
              <c:strCache>
                <c:ptCount val="1"/>
                <c:pt idx="0">
                  <c:v>Oui</c:v>
                </c:pt>
              </c:strCache>
            </c:strRef>
          </c:tx>
          <c:spPr>
            <a:solidFill>
              <a:srgbClr val="00B050"/>
            </a:solidFill>
          </c:spPr>
          <c:dLbls>
            <c:txPr>
              <a:bodyPr/>
              <a:lstStyle/>
              <a:p>
                <a:pPr>
                  <a:defRPr b="1">
                    <a:latin typeface="Book Antiqua" pitchFamily="18" charset="0"/>
                  </a:defRPr>
                </a:pPr>
                <a:endParaRPr lang="fr-FR"/>
              </a:p>
            </c:txPr>
            <c:showVal val="1"/>
          </c:dLbls>
          <c:cat>
            <c:strRef>
              <c:f>Feuil4!$T$75:$U$75</c:f>
              <c:strCache>
                <c:ptCount val="2"/>
                <c:pt idx="0">
                  <c:v>Formelle</c:v>
                </c:pt>
                <c:pt idx="1">
                  <c:v>Informelle</c:v>
                </c:pt>
              </c:strCache>
            </c:strRef>
          </c:cat>
          <c:val>
            <c:numRef>
              <c:f>Feuil4!$T$76:$U$76</c:f>
              <c:numCache>
                <c:formatCode>0.0%</c:formatCode>
                <c:ptCount val="2"/>
                <c:pt idx="0">
                  <c:v>0.69970674486803519</c:v>
                </c:pt>
                <c:pt idx="1">
                  <c:v>0.79166666666666652</c:v>
                </c:pt>
              </c:numCache>
            </c:numRef>
          </c:val>
        </c:ser>
        <c:ser>
          <c:idx val="1"/>
          <c:order val="1"/>
          <c:tx>
            <c:strRef>
              <c:f>Feuil4!$S$77</c:f>
              <c:strCache>
                <c:ptCount val="1"/>
                <c:pt idx="0">
                  <c:v>Non</c:v>
                </c:pt>
              </c:strCache>
            </c:strRef>
          </c:tx>
          <c:spPr>
            <a:solidFill>
              <a:srgbClr val="FF0000"/>
            </a:solidFill>
          </c:spPr>
          <c:dLbls>
            <c:txPr>
              <a:bodyPr/>
              <a:lstStyle/>
              <a:p>
                <a:pPr>
                  <a:defRPr b="1">
                    <a:latin typeface="Book Antiqua" pitchFamily="18" charset="0"/>
                  </a:defRPr>
                </a:pPr>
                <a:endParaRPr lang="fr-FR"/>
              </a:p>
            </c:txPr>
            <c:showVal val="1"/>
          </c:dLbls>
          <c:cat>
            <c:strRef>
              <c:f>Feuil4!$T$75:$U$75</c:f>
              <c:strCache>
                <c:ptCount val="2"/>
                <c:pt idx="0">
                  <c:v>Formelle</c:v>
                </c:pt>
                <c:pt idx="1">
                  <c:v>Informelle</c:v>
                </c:pt>
              </c:strCache>
            </c:strRef>
          </c:cat>
          <c:val>
            <c:numRef>
              <c:f>Feuil4!$T$77:$U$77</c:f>
              <c:numCache>
                <c:formatCode>0.0%</c:formatCode>
                <c:ptCount val="2"/>
                <c:pt idx="0">
                  <c:v>0.30029325513196475</c:v>
                </c:pt>
                <c:pt idx="1">
                  <c:v>0.20833333333333437</c:v>
                </c:pt>
              </c:numCache>
            </c:numRef>
          </c:val>
        </c:ser>
        <c:dLbls>
          <c:showVal val="1"/>
        </c:dLbls>
        <c:gapWidth val="95"/>
        <c:gapDepth val="95"/>
        <c:shape val="cylinder"/>
        <c:axId val="234510208"/>
        <c:axId val="234511744"/>
        <c:axId val="0"/>
      </c:bar3DChart>
      <c:catAx>
        <c:axId val="234510208"/>
        <c:scaling>
          <c:orientation val="minMax"/>
        </c:scaling>
        <c:axPos val="l"/>
        <c:majorTickMark val="none"/>
        <c:tickLblPos val="nextTo"/>
        <c:txPr>
          <a:bodyPr/>
          <a:lstStyle/>
          <a:p>
            <a:pPr>
              <a:defRPr b="1">
                <a:latin typeface="Book Antiqua" pitchFamily="18" charset="0"/>
              </a:defRPr>
            </a:pPr>
            <a:endParaRPr lang="fr-FR"/>
          </a:p>
        </c:txPr>
        <c:crossAx val="234511744"/>
        <c:crosses val="autoZero"/>
        <c:auto val="1"/>
        <c:lblAlgn val="ctr"/>
        <c:lblOffset val="100"/>
      </c:catAx>
      <c:valAx>
        <c:axId val="234511744"/>
        <c:scaling>
          <c:orientation val="minMax"/>
        </c:scaling>
        <c:delete val="1"/>
        <c:axPos val="b"/>
        <c:numFmt formatCode="0.0%" sourceLinked="1"/>
        <c:tickLblPos val="none"/>
        <c:crossAx val="234510208"/>
        <c:crosses val="autoZero"/>
        <c:crossBetween val="between"/>
      </c:valAx>
    </c:plotArea>
    <c:legend>
      <c:legendPos val="b"/>
    </c:legend>
    <c:plotVisOnly val="1"/>
    <c:dispBlanksAs val="gap"/>
  </c:chart>
  <c:externalData r:id="rId1"/>
</c:chartSpace>
</file>

<file path=word/charts/chart184.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bar"/>
        <c:grouping val="stacked"/>
        <c:ser>
          <c:idx val="0"/>
          <c:order val="0"/>
          <c:tx>
            <c:strRef>
              <c:f>Feuil4!$T$83</c:f>
              <c:strCache>
                <c:ptCount val="1"/>
                <c:pt idx="0">
                  <c:v>Renseignement</c:v>
                </c:pt>
              </c:strCache>
            </c:strRef>
          </c:tx>
          <c:dLbls>
            <c:dLbl>
              <c:idx val="0"/>
              <c:layout>
                <c:manualLayout>
                  <c:x val="0.23658972451738874"/>
                  <c:y val="-7.3372043344967913E-3"/>
                </c:manualLayout>
              </c:layout>
              <c:showVal val="1"/>
            </c:dLbl>
            <c:dLbl>
              <c:idx val="1"/>
              <c:layout>
                <c:manualLayout>
                  <c:x val="0.25150979723470357"/>
                  <c:y val="-3.6686021672484152E-3"/>
                </c:manualLayout>
              </c:layout>
              <c:showVal val="1"/>
            </c:dLbl>
            <c:dLbl>
              <c:idx val="2"/>
              <c:layout>
                <c:manualLayout>
                  <c:x val="0.30266433226548989"/>
                  <c:y val="-3.6686021672484152E-3"/>
                </c:manualLayout>
              </c:layout>
              <c:showVal val="1"/>
            </c:dLbl>
            <c:dLbl>
              <c:idx val="3"/>
              <c:layout>
                <c:manualLayout>
                  <c:x val="0.30692721018472247"/>
                  <c:y val="0"/>
                </c:manualLayout>
              </c:layout>
              <c:showVal val="1"/>
            </c:dLbl>
            <c:dLbl>
              <c:idx val="4"/>
              <c:layout>
                <c:manualLayout>
                  <c:x val="0.31332152706357114"/>
                  <c:y val="-7.3372043344967913E-3"/>
                </c:manualLayout>
              </c:layout>
              <c:showVal val="1"/>
            </c:dLbl>
            <c:dLbl>
              <c:idx val="5"/>
              <c:layout>
                <c:manualLayout>
                  <c:x val="0.32397872186165427"/>
                  <c:y val="-7.3372043344967323E-3"/>
                </c:manualLayout>
              </c:layout>
              <c:showVal val="1"/>
            </c:dLbl>
            <c:dLbl>
              <c:idx val="6"/>
              <c:layout>
                <c:manualLayout>
                  <c:x val="0.32397872186165427"/>
                  <c:y val="-7.3372043344968824E-3"/>
                </c:manualLayout>
              </c:layout>
              <c:showVal val="1"/>
            </c:dLbl>
            <c:dLbl>
              <c:idx val="7"/>
              <c:layout>
                <c:manualLayout>
                  <c:x val="0.33037303874049939"/>
                  <c:y val="-3.6686021672484152E-3"/>
                </c:manualLayout>
              </c:layout>
              <c:showVal val="1"/>
            </c:dLbl>
            <c:dLbl>
              <c:idx val="8"/>
              <c:layout>
                <c:manualLayout>
                  <c:x val="0.34103023353857803"/>
                  <c:y val="-3.6686021672484152E-3"/>
                </c:manualLayout>
              </c:layout>
              <c:showVal val="1"/>
            </c:dLbl>
            <c:dLbl>
              <c:idx val="9"/>
              <c:layout>
                <c:manualLayout>
                  <c:x val="0.34103023353857803"/>
                  <c:y val="0"/>
                </c:manualLayout>
              </c:layout>
              <c:showVal val="1"/>
            </c:dLbl>
            <c:dLbl>
              <c:idx val="10"/>
              <c:layout>
                <c:manualLayout>
                  <c:x val="0.34529311145781028"/>
                  <c:y val="-3.6686021672483814E-3"/>
                </c:manualLayout>
              </c:layout>
              <c:showVal val="1"/>
            </c:dLbl>
            <c:dLbl>
              <c:idx val="11"/>
              <c:layout>
                <c:manualLayout>
                  <c:x val="0.35168742833666039"/>
                  <c:y val="-3.6686021672484152E-3"/>
                </c:manualLayout>
              </c:layout>
              <c:showVal val="1"/>
            </c:dLbl>
            <c:txPr>
              <a:bodyPr/>
              <a:lstStyle/>
              <a:p>
                <a:pPr>
                  <a:defRPr b="1">
                    <a:latin typeface="Book Antiqua" pitchFamily="18" charset="0"/>
                  </a:defRPr>
                </a:pPr>
                <a:endParaRPr lang="fr-FR"/>
              </a:p>
            </c:txPr>
            <c:showVal val="1"/>
          </c:dLbls>
          <c:cat>
            <c:strRef>
              <c:f>Feuil4!$S$84:$S$95</c:f>
              <c:strCache>
                <c:ptCount val="12"/>
                <c:pt idx="0">
                  <c:v>Autre (Préciser)</c:v>
                </c:pt>
                <c:pt idx="1">
                  <c:v>Agriculteur</c:v>
                </c:pt>
                <c:pt idx="2">
                  <c:v>Employé</c:v>
                </c:pt>
                <c:pt idx="3">
                  <c:v>Chef de division</c:v>
                </c:pt>
                <c:pt idx="4">
                  <c:v>Corps habillé</c:v>
                </c:pt>
                <c:pt idx="5">
                  <c:v>Profession libérale</c:v>
                </c:pt>
                <c:pt idx="6">
                  <c:v>Directeur</c:v>
                </c:pt>
                <c:pt idx="7">
                  <c:v>Directeur Général</c:v>
                </c:pt>
                <c:pt idx="8">
                  <c:v>Commerçant/Mareyeur</c:v>
                </c:pt>
                <c:pt idx="9">
                  <c:v>Chef de bureau</c:v>
                </c:pt>
                <c:pt idx="10">
                  <c:v>Artisan</c:v>
                </c:pt>
                <c:pt idx="11">
                  <c:v>Retraité</c:v>
                </c:pt>
              </c:strCache>
            </c:strRef>
          </c:cat>
          <c:val>
            <c:numRef>
              <c:f>Feuil4!$T$84:$T$95</c:f>
              <c:numCache>
                <c:formatCode>0.0%</c:formatCode>
                <c:ptCount val="12"/>
                <c:pt idx="0">
                  <c:v>0.52777777777777779</c:v>
                </c:pt>
                <c:pt idx="1">
                  <c:v>0.5625</c:v>
                </c:pt>
                <c:pt idx="2">
                  <c:v>0.69262295081967262</c:v>
                </c:pt>
                <c:pt idx="3">
                  <c:v>0.71212121212121671</c:v>
                </c:pt>
                <c:pt idx="4">
                  <c:v>0.73584905660378686</c:v>
                </c:pt>
                <c:pt idx="5">
                  <c:v>0.7567567567567568</c:v>
                </c:pt>
                <c:pt idx="6">
                  <c:v>0.76190476190476186</c:v>
                </c:pt>
                <c:pt idx="7">
                  <c:v>0.77777777777778156</c:v>
                </c:pt>
                <c:pt idx="8">
                  <c:v>0.8</c:v>
                </c:pt>
                <c:pt idx="9">
                  <c:v>0.81159420289855422</c:v>
                </c:pt>
                <c:pt idx="10">
                  <c:v>0.81818181818182212</c:v>
                </c:pt>
                <c:pt idx="11">
                  <c:v>0.82608695652173914</c:v>
                </c:pt>
              </c:numCache>
            </c:numRef>
          </c:val>
        </c:ser>
        <c:shape val="cylinder"/>
        <c:axId val="235064704"/>
        <c:axId val="235164800"/>
        <c:axId val="0"/>
      </c:bar3DChart>
      <c:catAx>
        <c:axId val="235064704"/>
        <c:scaling>
          <c:orientation val="minMax"/>
        </c:scaling>
        <c:axPos val="l"/>
        <c:tickLblPos val="nextTo"/>
        <c:txPr>
          <a:bodyPr/>
          <a:lstStyle/>
          <a:p>
            <a:pPr>
              <a:defRPr b="1">
                <a:latin typeface="Book Antiqua" pitchFamily="18" charset="0"/>
              </a:defRPr>
            </a:pPr>
            <a:endParaRPr lang="fr-FR"/>
          </a:p>
        </c:txPr>
        <c:crossAx val="235164800"/>
        <c:crosses val="autoZero"/>
        <c:auto val="1"/>
        <c:lblAlgn val="ctr"/>
        <c:lblOffset val="100"/>
      </c:catAx>
      <c:valAx>
        <c:axId val="235164800"/>
        <c:scaling>
          <c:orientation val="minMax"/>
        </c:scaling>
        <c:axPos val="b"/>
        <c:majorGridlines/>
        <c:numFmt formatCode="0.0%" sourceLinked="1"/>
        <c:tickLblPos val="nextTo"/>
        <c:txPr>
          <a:bodyPr/>
          <a:lstStyle/>
          <a:p>
            <a:pPr>
              <a:defRPr b="1">
                <a:latin typeface="Book Antiqua" pitchFamily="18" charset="0"/>
              </a:defRPr>
            </a:pPr>
            <a:endParaRPr lang="fr-FR"/>
          </a:p>
        </c:txPr>
        <c:crossAx val="235064704"/>
        <c:crosses val="autoZero"/>
        <c:crossBetween val="between"/>
      </c:valAx>
    </c:plotArea>
    <c:plotVisOnly val="1"/>
    <c:dispBlanksAs val="gap"/>
  </c:chart>
  <c:externalData r:id="rId1"/>
</c:chartSpace>
</file>

<file path=word/charts/chart185.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9.0868680099707069E-2"/>
          <c:y val="0.1498015873015873"/>
          <c:w val="0.81826263980058589"/>
          <c:h val="0.7876984126984552"/>
        </c:manualLayout>
      </c:layout>
      <c:pie3DChart>
        <c:varyColors val="1"/>
        <c:ser>
          <c:idx val="0"/>
          <c:order val="0"/>
          <c:tx>
            <c:strRef>
              <c:f>Feuil1!$B$1</c:f>
              <c:strCache>
                <c:ptCount val="1"/>
                <c:pt idx="0">
                  <c:v>Ventes</c:v>
                </c:pt>
              </c:strCache>
            </c:strRef>
          </c:tx>
          <c:dLbls>
            <c:dLbl>
              <c:idx val="0"/>
              <c:layout>
                <c:manualLayout>
                  <c:x val="-8.5583494519664738E-2"/>
                  <c:y val="-4.7941819772528385E-2"/>
                </c:manualLayout>
              </c:layout>
              <c:tx>
                <c:rich>
                  <a:bodyPr/>
                  <a:lstStyle/>
                  <a:p>
                    <a:r>
                      <a:rPr lang="en-US" sz="800"/>
                      <a:t>Moins de 3 jours
7,2%</a:t>
                    </a:r>
                  </a:p>
                </c:rich>
              </c:tx>
              <c:showCatName val="1"/>
              <c:showPercent val="1"/>
              <c:extLst>
                <c:ext xmlns:c15="http://schemas.microsoft.com/office/drawing/2012/chart" uri="{CE6537A1-D6FC-4f65-9D91-7224C49458BB}"/>
              </c:extLst>
            </c:dLbl>
            <c:dLbl>
              <c:idx val="1"/>
              <c:layout>
                <c:manualLayout>
                  <c:x val="-1.1682785299807414E-2"/>
                  <c:y val="-0.13163917010373705"/>
                </c:manualLayout>
              </c:layout>
              <c:tx>
                <c:rich>
                  <a:bodyPr/>
                  <a:lstStyle/>
                  <a:p>
                    <a:r>
                      <a:rPr lang="en-US" sz="800"/>
                      <a:t>Entre 3 et 7 jours
27,9%</a:t>
                    </a:r>
                  </a:p>
                </c:rich>
              </c:tx>
              <c:showCatName val="1"/>
              <c:showPercent val="1"/>
              <c:extLst>
                <c:ext xmlns:c15="http://schemas.microsoft.com/office/drawing/2012/chart" uri="{CE6537A1-D6FC-4f65-9D91-7224C49458BB}"/>
              </c:extLst>
            </c:dLbl>
            <c:dLbl>
              <c:idx val="2"/>
              <c:layout>
                <c:manualLayout>
                  <c:x val="0.15406286013087844"/>
                  <c:y val="3.2646001894391298E-2"/>
                </c:manualLayout>
              </c:layout>
              <c:tx>
                <c:rich>
                  <a:bodyPr/>
                  <a:lstStyle/>
                  <a:p>
                    <a:r>
                      <a:rPr lang="en-US" sz="800"/>
                      <a:t>Entre 8 et 15 jours
30,5%</a:t>
                    </a:r>
                  </a:p>
                </c:rich>
              </c:tx>
              <c:showCatName val="1"/>
              <c:showPercent val="1"/>
              <c:extLst>
                <c:ext xmlns:c15="http://schemas.microsoft.com/office/drawing/2012/chart" uri="{CE6537A1-D6FC-4f65-9D91-7224C49458BB}"/>
              </c:extLst>
            </c:dLbl>
            <c:dLbl>
              <c:idx val="3"/>
              <c:layout>
                <c:manualLayout>
                  <c:x val="1.366860090264346E-3"/>
                  <c:y val="-0.17527110764047071"/>
                </c:manualLayout>
              </c:layout>
              <c:tx>
                <c:rich>
                  <a:bodyPr/>
                  <a:lstStyle/>
                  <a:p>
                    <a:r>
                      <a:rPr lang="en-US" sz="800"/>
                      <a:t>Entre 16 et 30 jours
21,7%</a:t>
                    </a:r>
                  </a:p>
                </c:rich>
              </c:tx>
              <c:showCatName val="1"/>
              <c:showPercent val="1"/>
              <c:extLst>
                <c:ext xmlns:c15="http://schemas.microsoft.com/office/drawing/2012/chart" uri="{CE6537A1-D6FC-4f65-9D91-7224C49458BB}"/>
              </c:extLst>
            </c:dLbl>
            <c:dLbl>
              <c:idx val="4"/>
              <c:layout>
                <c:manualLayout>
                  <c:x val="6.3018321936064034E-2"/>
                  <c:y val="-3.9873453318335209E-2"/>
                </c:manualLayout>
              </c:layout>
              <c:tx>
                <c:rich>
                  <a:bodyPr/>
                  <a:lstStyle/>
                  <a:p>
                    <a:r>
                      <a:rPr lang="en-US" sz="800"/>
                      <a:t>Plus de 30 jours
12,8%</a:t>
                    </a:r>
                  </a:p>
                </c:rich>
              </c:tx>
              <c:showCatName val="1"/>
              <c:showPercent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a:pPr>
                <a:endParaRPr lang="fr-FR"/>
              </a:p>
            </c:txPr>
            <c:showCatName val="1"/>
            <c:showPercent val="1"/>
            <c:showLeaderLines val="1"/>
            <c:extLst>
              <c:ext xmlns:c15="http://schemas.microsoft.com/office/drawing/2012/chart" uri="{CE6537A1-D6FC-4f65-9D91-7224C49458BB}"/>
            </c:extLst>
          </c:dLbls>
          <c:cat>
            <c:strRef>
              <c:f>Feuil1!$A$2:$A$6</c:f>
              <c:strCache>
                <c:ptCount val="5"/>
                <c:pt idx="0">
                  <c:v>Moins de 3 jours</c:v>
                </c:pt>
                <c:pt idx="1">
                  <c:v>Entre 3 et 7 jours</c:v>
                </c:pt>
                <c:pt idx="2">
                  <c:v>Entre 8 et 15 jours</c:v>
                </c:pt>
                <c:pt idx="3">
                  <c:v>Entre 16 et 30 jours</c:v>
                </c:pt>
                <c:pt idx="4">
                  <c:v>Plus de 30 jours</c:v>
                </c:pt>
              </c:strCache>
            </c:strRef>
          </c:cat>
          <c:val>
            <c:numRef>
              <c:f>Feuil1!$B$2:$B$6</c:f>
              <c:numCache>
                <c:formatCode>###0.0</c:formatCode>
                <c:ptCount val="5"/>
                <c:pt idx="0">
                  <c:v>7.1950534007869456</c:v>
                </c:pt>
                <c:pt idx="1">
                  <c:v>27.880831928049531</c:v>
                </c:pt>
                <c:pt idx="2">
                  <c:v>30.466554243956889</c:v>
                </c:pt>
                <c:pt idx="3">
                  <c:v>21.697582911748174</c:v>
                </c:pt>
                <c:pt idx="4">
                  <c:v>12.759977515458123</c:v>
                </c:pt>
              </c:numCache>
            </c:numRef>
          </c:val>
        </c:ser>
        <c:dLbls>
          <c:showCatName val="1"/>
          <c:showPercent val="1"/>
        </c:dLbls>
      </c:pie3DChart>
    </c:plotArea>
    <c:plotVisOnly val="1"/>
    <c:dispBlanksAs val="zero"/>
  </c:chart>
  <c:txPr>
    <a:bodyPr/>
    <a:lstStyle/>
    <a:p>
      <a:pPr>
        <a:defRPr sz="800">
          <a:latin typeface="Book Antiqua" pitchFamily="18" charset="0"/>
        </a:defRPr>
      </a:pPr>
      <a:endParaRPr lang="fr-FR"/>
    </a:p>
  </c:txPr>
  <c:externalData r:id="rId2"/>
</c:chartSpace>
</file>

<file path=word/charts/chart186.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bar"/>
        <c:grouping val="percentStacked"/>
        <c:ser>
          <c:idx val="0"/>
          <c:order val="0"/>
          <c:tx>
            <c:strRef>
              <c:f>Feuil4!$N$116</c:f>
              <c:strCache>
                <c:ptCount val="1"/>
                <c:pt idx="0">
                  <c:v>Moins de 3 jours</c:v>
                </c:pt>
              </c:strCache>
            </c:strRef>
          </c:tx>
          <c:spPr>
            <a:solidFill>
              <a:srgbClr val="00B050"/>
            </a:solidFill>
          </c:spPr>
          <c:dLbls>
            <c:txPr>
              <a:bodyPr/>
              <a:lstStyle/>
              <a:p>
                <a:pPr>
                  <a:defRPr sz="800" b="1">
                    <a:latin typeface="Book Antiqua" pitchFamily="18" charset="0"/>
                  </a:defRPr>
                </a:pPr>
                <a:endParaRPr lang="fr-FR"/>
              </a:p>
            </c:txPr>
            <c:showVal val="1"/>
          </c:dLbls>
          <c:cat>
            <c:strRef>
              <c:f>Feuil4!$O$115:$R$115</c:f>
              <c:strCache>
                <c:ptCount val="4"/>
                <c:pt idx="0">
                  <c:v>Immobilier</c:v>
                </c:pt>
                <c:pt idx="1">
                  <c:v>Consommation (autre que Equipement)</c:v>
                </c:pt>
                <c:pt idx="2">
                  <c:v>Equipement</c:v>
                </c:pt>
                <c:pt idx="3">
                  <c:v>Autre (Préciser)</c:v>
                </c:pt>
              </c:strCache>
            </c:strRef>
          </c:cat>
          <c:val>
            <c:numRef>
              <c:f>Feuil4!$O$116:$R$116</c:f>
              <c:numCache>
                <c:formatCode>0.0%</c:formatCode>
                <c:ptCount val="4"/>
                <c:pt idx="0">
                  <c:v>5.91216216216221E-2</c:v>
                </c:pt>
                <c:pt idx="1">
                  <c:v>9.6234309623431047E-2</c:v>
                </c:pt>
                <c:pt idx="2">
                  <c:v>3.9900249376558602E-2</c:v>
                </c:pt>
                <c:pt idx="3">
                  <c:v>0.1212121212121218</c:v>
                </c:pt>
              </c:numCache>
            </c:numRef>
          </c:val>
        </c:ser>
        <c:ser>
          <c:idx val="1"/>
          <c:order val="1"/>
          <c:tx>
            <c:strRef>
              <c:f>Feuil4!$N$117</c:f>
              <c:strCache>
                <c:ptCount val="1"/>
                <c:pt idx="0">
                  <c:v>Entre 3 et 7 jours</c:v>
                </c:pt>
              </c:strCache>
            </c:strRef>
          </c:tx>
          <c:spPr>
            <a:solidFill>
              <a:srgbClr val="92D050"/>
            </a:solidFill>
          </c:spPr>
          <c:dLbls>
            <c:txPr>
              <a:bodyPr/>
              <a:lstStyle/>
              <a:p>
                <a:pPr>
                  <a:defRPr sz="800" b="1">
                    <a:latin typeface="Book Antiqua" pitchFamily="18" charset="0"/>
                  </a:defRPr>
                </a:pPr>
                <a:endParaRPr lang="fr-FR"/>
              </a:p>
            </c:txPr>
            <c:showVal val="1"/>
          </c:dLbls>
          <c:cat>
            <c:strRef>
              <c:f>Feuil4!$O$115:$R$115</c:f>
              <c:strCache>
                <c:ptCount val="4"/>
                <c:pt idx="0">
                  <c:v>Immobilier</c:v>
                </c:pt>
                <c:pt idx="1">
                  <c:v>Consommation (autre que Equipement)</c:v>
                </c:pt>
                <c:pt idx="2">
                  <c:v>Equipement</c:v>
                </c:pt>
                <c:pt idx="3">
                  <c:v>Autre (Préciser)</c:v>
                </c:pt>
              </c:strCache>
            </c:strRef>
          </c:cat>
          <c:val>
            <c:numRef>
              <c:f>Feuil4!$O$117:$R$117</c:f>
              <c:numCache>
                <c:formatCode>0.0%</c:formatCode>
                <c:ptCount val="4"/>
                <c:pt idx="0">
                  <c:v>0.2652027027027028</c:v>
                </c:pt>
                <c:pt idx="1">
                  <c:v>0.29846582984658332</c:v>
                </c:pt>
                <c:pt idx="2">
                  <c:v>0.27182044887780854</c:v>
                </c:pt>
                <c:pt idx="3">
                  <c:v>0.24242424242424357</c:v>
                </c:pt>
              </c:numCache>
            </c:numRef>
          </c:val>
        </c:ser>
        <c:ser>
          <c:idx val="2"/>
          <c:order val="2"/>
          <c:tx>
            <c:strRef>
              <c:f>Feuil4!$N$118</c:f>
              <c:strCache>
                <c:ptCount val="1"/>
                <c:pt idx="0">
                  <c:v>Entre 8 et 15 jours</c:v>
                </c:pt>
              </c:strCache>
            </c:strRef>
          </c:tx>
          <c:spPr>
            <a:solidFill>
              <a:srgbClr val="FFFF00"/>
            </a:solidFill>
          </c:spPr>
          <c:dLbls>
            <c:txPr>
              <a:bodyPr/>
              <a:lstStyle/>
              <a:p>
                <a:pPr>
                  <a:defRPr sz="800" b="1">
                    <a:latin typeface="Book Antiqua" pitchFamily="18" charset="0"/>
                  </a:defRPr>
                </a:pPr>
                <a:endParaRPr lang="fr-FR"/>
              </a:p>
            </c:txPr>
            <c:showVal val="1"/>
          </c:dLbls>
          <c:cat>
            <c:strRef>
              <c:f>Feuil4!$O$115:$R$115</c:f>
              <c:strCache>
                <c:ptCount val="4"/>
                <c:pt idx="0">
                  <c:v>Immobilier</c:v>
                </c:pt>
                <c:pt idx="1">
                  <c:v>Consommation (autre que Equipement)</c:v>
                </c:pt>
                <c:pt idx="2">
                  <c:v>Equipement</c:v>
                </c:pt>
                <c:pt idx="3">
                  <c:v>Autre (Préciser)</c:v>
                </c:pt>
              </c:strCache>
            </c:strRef>
          </c:cat>
          <c:val>
            <c:numRef>
              <c:f>Feuil4!$O$118:$R$118</c:f>
              <c:numCache>
                <c:formatCode>0.0%</c:formatCode>
                <c:ptCount val="4"/>
                <c:pt idx="0">
                  <c:v>0.31587837837838223</c:v>
                </c:pt>
                <c:pt idx="1">
                  <c:v>0.28033472803347281</c:v>
                </c:pt>
                <c:pt idx="2">
                  <c:v>0.35411471321696014</c:v>
                </c:pt>
                <c:pt idx="3">
                  <c:v>0.18181818181818324</c:v>
                </c:pt>
              </c:numCache>
            </c:numRef>
          </c:val>
        </c:ser>
        <c:ser>
          <c:idx val="3"/>
          <c:order val="3"/>
          <c:tx>
            <c:strRef>
              <c:f>Feuil4!$N$119</c:f>
              <c:strCache>
                <c:ptCount val="1"/>
                <c:pt idx="0">
                  <c:v>Entre 16 et 30 jours</c:v>
                </c:pt>
              </c:strCache>
            </c:strRef>
          </c:tx>
          <c:spPr>
            <a:solidFill>
              <a:srgbClr val="FFC000"/>
            </a:solidFill>
          </c:spPr>
          <c:dLbls>
            <c:txPr>
              <a:bodyPr/>
              <a:lstStyle/>
              <a:p>
                <a:pPr>
                  <a:defRPr sz="800" b="1">
                    <a:latin typeface="Book Antiqua" pitchFamily="18" charset="0"/>
                  </a:defRPr>
                </a:pPr>
                <a:endParaRPr lang="fr-FR"/>
              </a:p>
            </c:txPr>
            <c:showVal val="1"/>
          </c:dLbls>
          <c:cat>
            <c:strRef>
              <c:f>Feuil4!$O$115:$R$115</c:f>
              <c:strCache>
                <c:ptCount val="4"/>
                <c:pt idx="0">
                  <c:v>Immobilier</c:v>
                </c:pt>
                <c:pt idx="1">
                  <c:v>Consommation (autre que Equipement)</c:v>
                </c:pt>
                <c:pt idx="2">
                  <c:v>Equipement</c:v>
                </c:pt>
                <c:pt idx="3">
                  <c:v>Autre (Préciser)</c:v>
                </c:pt>
              </c:strCache>
            </c:strRef>
          </c:cat>
          <c:val>
            <c:numRef>
              <c:f>Feuil4!$O$119:$R$119</c:f>
              <c:numCache>
                <c:formatCode>0.0%</c:formatCode>
                <c:ptCount val="4"/>
                <c:pt idx="0">
                  <c:v>0.21283783783783938</c:v>
                </c:pt>
                <c:pt idx="1">
                  <c:v>0.19944211994421199</c:v>
                </c:pt>
                <c:pt idx="2">
                  <c:v>0.23441396508728318</c:v>
                </c:pt>
                <c:pt idx="3">
                  <c:v>0.30303030303030332</c:v>
                </c:pt>
              </c:numCache>
            </c:numRef>
          </c:val>
        </c:ser>
        <c:ser>
          <c:idx val="4"/>
          <c:order val="4"/>
          <c:tx>
            <c:strRef>
              <c:f>Feuil4!$N$120</c:f>
              <c:strCache>
                <c:ptCount val="1"/>
                <c:pt idx="0">
                  <c:v>Plus de 30 jours</c:v>
                </c:pt>
              </c:strCache>
            </c:strRef>
          </c:tx>
          <c:spPr>
            <a:solidFill>
              <a:srgbClr val="FF0000"/>
            </a:solidFill>
          </c:spPr>
          <c:dLbls>
            <c:txPr>
              <a:bodyPr/>
              <a:lstStyle/>
              <a:p>
                <a:pPr>
                  <a:defRPr sz="800">
                    <a:latin typeface="Book Antiqua" pitchFamily="18" charset="0"/>
                  </a:defRPr>
                </a:pPr>
                <a:endParaRPr lang="fr-FR"/>
              </a:p>
            </c:txPr>
            <c:showVal val="1"/>
          </c:dLbls>
          <c:cat>
            <c:strRef>
              <c:f>Feuil4!$O$115:$R$115</c:f>
              <c:strCache>
                <c:ptCount val="4"/>
                <c:pt idx="0">
                  <c:v>Immobilier</c:v>
                </c:pt>
                <c:pt idx="1">
                  <c:v>Consommation (autre que Equipement)</c:v>
                </c:pt>
                <c:pt idx="2">
                  <c:v>Equipement</c:v>
                </c:pt>
                <c:pt idx="3">
                  <c:v>Autre (Préciser)</c:v>
                </c:pt>
              </c:strCache>
            </c:strRef>
          </c:cat>
          <c:val>
            <c:numRef>
              <c:f>Feuil4!$O$120:$R$120</c:f>
              <c:numCache>
                <c:formatCode>0.0%</c:formatCode>
                <c:ptCount val="4"/>
                <c:pt idx="0">
                  <c:v>0.14695945945946107</c:v>
                </c:pt>
                <c:pt idx="1">
                  <c:v>0.12552301255230144</c:v>
                </c:pt>
                <c:pt idx="2">
                  <c:v>9.9750623441397068E-2</c:v>
                </c:pt>
                <c:pt idx="3">
                  <c:v>0.15151515151515296</c:v>
                </c:pt>
              </c:numCache>
            </c:numRef>
          </c:val>
        </c:ser>
        <c:dLbls>
          <c:showVal val="1"/>
        </c:dLbls>
        <c:gapWidth val="95"/>
        <c:gapDepth val="95"/>
        <c:shape val="cylinder"/>
        <c:axId val="235584512"/>
        <c:axId val="235619072"/>
        <c:axId val="0"/>
      </c:bar3DChart>
      <c:catAx>
        <c:axId val="235584512"/>
        <c:scaling>
          <c:orientation val="minMax"/>
        </c:scaling>
        <c:axPos val="l"/>
        <c:majorTickMark val="none"/>
        <c:tickLblPos val="nextTo"/>
        <c:txPr>
          <a:bodyPr/>
          <a:lstStyle/>
          <a:p>
            <a:pPr>
              <a:defRPr sz="800" b="1">
                <a:latin typeface="Book Antiqua" pitchFamily="18" charset="0"/>
              </a:defRPr>
            </a:pPr>
            <a:endParaRPr lang="fr-FR"/>
          </a:p>
        </c:txPr>
        <c:crossAx val="235619072"/>
        <c:crosses val="autoZero"/>
        <c:auto val="1"/>
        <c:lblAlgn val="ctr"/>
        <c:lblOffset val="100"/>
      </c:catAx>
      <c:valAx>
        <c:axId val="235619072"/>
        <c:scaling>
          <c:orientation val="minMax"/>
        </c:scaling>
        <c:delete val="1"/>
        <c:axPos val="b"/>
        <c:numFmt formatCode="0%" sourceLinked="1"/>
        <c:tickLblPos val="none"/>
        <c:crossAx val="235584512"/>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18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plotArea>
      <c:layout>
        <c:manualLayout>
          <c:layoutTarget val="inner"/>
          <c:xMode val="edge"/>
          <c:yMode val="edge"/>
          <c:x val="0.27716625627982222"/>
          <c:y val="6.1462164687041514E-2"/>
          <c:w val="0.47464657124045412"/>
          <c:h val="0.9364213710574314"/>
        </c:manualLayout>
      </c:layout>
      <c:pieChart>
        <c:varyColors val="1"/>
        <c:ser>
          <c:idx val="0"/>
          <c:order val="0"/>
          <c:dLbls>
            <c:dLbl>
              <c:idx val="0"/>
              <c:layout>
                <c:manualLayout>
                  <c:x val="-2.6431719895364985E-3"/>
                  <c:y val="0"/>
                </c:manualLayout>
              </c:layout>
              <c:dLblPos val="bestFit"/>
              <c:showCatName val="1"/>
              <c:showPercent val="1"/>
              <c:extLst>
                <c:ext xmlns:c15="http://schemas.microsoft.com/office/drawing/2012/chart" uri="{CE6537A1-D6FC-4f65-9D91-7224C49458BB}"/>
              </c:extLst>
            </c:dLbl>
            <c:dLbl>
              <c:idx val="1"/>
              <c:layout>
                <c:manualLayout>
                  <c:x val="0"/>
                  <c:y val="4.258066246610609E-2"/>
                </c:manualLayout>
              </c:layout>
              <c:dLblPos val="bestFit"/>
              <c:showCatName val="1"/>
              <c:showPercent val="1"/>
              <c:extLst>
                <c:ext xmlns:c15="http://schemas.microsoft.com/office/drawing/2012/chart" uri="{CE6537A1-D6FC-4f65-9D91-7224C49458BB}"/>
              </c:extLst>
            </c:dLbl>
            <c:dLbl>
              <c:idx val="2"/>
              <c:layout>
                <c:manualLayout>
                  <c:x val="-5.2863439790729353E-3"/>
                  <c:y val="0.16258071123422352"/>
                </c:manualLayout>
              </c:layout>
              <c:dLblPos val="bestFit"/>
              <c:showCatName val="1"/>
              <c:showPercent val="1"/>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sz="800" b="1">
                    <a:latin typeface="Book Antiqua" pitchFamily="18" charset="0"/>
                  </a:defRPr>
                </a:pPr>
                <a:endParaRPr lang="fr-FR"/>
              </a:p>
            </c:txPr>
            <c:dLblPos val="outEnd"/>
            <c:showCatName val="1"/>
            <c:showPercent val="1"/>
            <c:extLst>
              <c:ext xmlns:c15="http://schemas.microsoft.com/office/drawing/2012/chart" uri="{CE6537A1-D6FC-4f65-9D91-7224C49458BB}"/>
            </c:extLst>
          </c:dLbls>
          <c:cat>
            <c:strRef>
              <c:f>Feuil1!$B$112:$B$115</c:f>
              <c:strCache>
                <c:ptCount val="4"/>
                <c:pt idx="0">
                  <c:v>Très raisonnable</c:v>
                </c:pt>
                <c:pt idx="1">
                  <c:v>Raisonnable</c:v>
                </c:pt>
                <c:pt idx="2">
                  <c:v>Long</c:v>
                </c:pt>
                <c:pt idx="3">
                  <c:v>Trop long</c:v>
                </c:pt>
              </c:strCache>
            </c:strRef>
          </c:cat>
          <c:val>
            <c:numRef>
              <c:f>Feuil1!$C$112:$C$115</c:f>
              <c:numCache>
                <c:formatCode>###0</c:formatCode>
                <c:ptCount val="4"/>
                <c:pt idx="0">
                  <c:v>115</c:v>
                </c:pt>
                <c:pt idx="1">
                  <c:v>807</c:v>
                </c:pt>
                <c:pt idx="2">
                  <c:v>571</c:v>
                </c:pt>
                <c:pt idx="3">
                  <c:v>286</c:v>
                </c:pt>
              </c:numCache>
            </c:numRef>
          </c:val>
        </c:ser>
        <c:ser>
          <c:idx val="1"/>
          <c:order val="1"/>
          <c:cat>
            <c:strRef>
              <c:f>Feuil1!$B$112:$B$115</c:f>
              <c:strCache>
                <c:ptCount val="4"/>
                <c:pt idx="0">
                  <c:v>Très raisonnable</c:v>
                </c:pt>
                <c:pt idx="1">
                  <c:v>Raisonnable</c:v>
                </c:pt>
                <c:pt idx="2">
                  <c:v>Long</c:v>
                </c:pt>
                <c:pt idx="3">
                  <c:v>Trop long</c:v>
                </c:pt>
              </c:strCache>
            </c:strRef>
          </c:cat>
          <c:val>
            <c:numRef>
              <c:f>Feuil1!$D$112:$D$115</c:f>
              <c:numCache>
                <c:formatCode>###0.0</c:formatCode>
                <c:ptCount val="4"/>
                <c:pt idx="0">
                  <c:v>3.0255196001052354</c:v>
                </c:pt>
                <c:pt idx="1">
                  <c:v>21.231254932912393</c:v>
                </c:pt>
                <c:pt idx="2">
                  <c:v>15.0223625361747</c:v>
                </c:pt>
                <c:pt idx="3">
                  <c:v>7.5243357011312755</c:v>
                </c:pt>
              </c:numCache>
            </c:numRef>
          </c:val>
        </c:ser>
        <c:ser>
          <c:idx val="2"/>
          <c:order val="2"/>
          <c:cat>
            <c:strRef>
              <c:f>Feuil1!$B$112:$B$115</c:f>
              <c:strCache>
                <c:ptCount val="4"/>
                <c:pt idx="0">
                  <c:v>Très raisonnable</c:v>
                </c:pt>
                <c:pt idx="1">
                  <c:v>Raisonnable</c:v>
                </c:pt>
                <c:pt idx="2">
                  <c:v>Long</c:v>
                </c:pt>
                <c:pt idx="3">
                  <c:v>Trop long</c:v>
                </c:pt>
              </c:strCache>
            </c:strRef>
          </c:cat>
          <c:val>
            <c:numRef>
              <c:f>Feuil1!$E$112:$E$115</c:f>
              <c:numCache>
                <c:formatCode>###0.0</c:formatCode>
                <c:ptCount val="4"/>
                <c:pt idx="0">
                  <c:v>6.4643057897695337</c:v>
                </c:pt>
                <c:pt idx="1">
                  <c:v>45.362563237774033</c:v>
                </c:pt>
                <c:pt idx="2">
                  <c:v>32.096683530073072</c:v>
                </c:pt>
                <c:pt idx="3">
                  <c:v>16.076447442382989</c:v>
                </c:pt>
              </c:numCache>
            </c:numRef>
          </c:val>
        </c:ser>
        <c:firstSliceAng val="0"/>
      </c:pieChart>
    </c:plotArea>
    <c:plotVisOnly val="1"/>
    <c:dispBlanksAs val="zero"/>
  </c:chart>
  <c:externalData r:id="rId2"/>
</c:chartSpace>
</file>

<file path=word/charts/chart188.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explosion val="25"/>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dLbl>
              <c:idx val="1"/>
              <c:layout>
                <c:manualLayout>
                  <c:x val="-2.26227034120738E-2"/>
                  <c:y val="8.9334885498601746E-3"/>
                </c:manualLayout>
              </c:layout>
              <c:showPercent val="1"/>
            </c:dLbl>
            <c:dLbl>
              <c:idx val="2"/>
              <c:layout>
                <c:manualLayout>
                  <c:x val="-5.0080927384077104E-3"/>
                  <c:y val="-2.576138222698867E-2"/>
                </c:manualLayout>
              </c:layout>
              <c:showPercent val="1"/>
            </c:dLbl>
            <c:dLbl>
              <c:idx val="3"/>
              <c:layout>
                <c:manualLayout>
                  <c:x val="2.140026246719182E-2"/>
                  <c:y val="-1.3760369985906141E-2"/>
                </c:manualLayout>
              </c:layout>
              <c:showPercent val="1"/>
            </c:dLbl>
            <c:numFmt formatCode="0.0%" sourceLinked="0"/>
            <c:txPr>
              <a:bodyPr/>
              <a:lstStyle/>
              <a:p>
                <a:pPr>
                  <a:defRPr sz="800" b="1">
                    <a:latin typeface="Book Antiqua" pitchFamily="18" charset="0"/>
                  </a:defRPr>
                </a:pPr>
                <a:endParaRPr lang="fr-FR"/>
              </a:p>
            </c:txPr>
            <c:showPercent val="1"/>
            <c:showLeaderLines val="1"/>
          </c:dLbls>
          <c:cat>
            <c:strRef>
              <c:f>Feuil5!$B$3:$B$6</c:f>
              <c:strCache>
                <c:ptCount val="4"/>
                <c:pt idx="0">
                  <c:v>Très raisonnables</c:v>
                </c:pt>
                <c:pt idx="1">
                  <c:v>Raisonnables</c:v>
                </c:pt>
                <c:pt idx="2">
                  <c:v>Elevés</c:v>
                </c:pt>
                <c:pt idx="3">
                  <c:v>Très élevés</c:v>
                </c:pt>
              </c:strCache>
            </c:strRef>
          </c:cat>
          <c:val>
            <c:numRef>
              <c:f>Feuil5!$D$3:$D$6</c:f>
              <c:numCache>
                <c:formatCode>0.0%</c:formatCode>
                <c:ptCount val="4"/>
                <c:pt idx="0">
                  <c:v>3.0716723549488027E-3</c:v>
                </c:pt>
                <c:pt idx="1">
                  <c:v>8.6689419795221836E-2</c:v>
                </c:pt>
                <c:pt idx="2">
                  <c:v>0.4955631399317425</c:v>
                </c:pt>
                <c:pt idx="3">
                  <c:v>0.41467576791809097</c:v>
                </c:pt>
              </c:numCache>
            </c:numRef>
          </c:val>
        </c:ser>
        <c:dLbls>
          <c:showPercent val="1"/>
        </c:dLbls>
      </c:pie3DChart>
    </c:plotArea>
    <c:legend>
      <c:legendPos val="b"/>
      <c:layout>
        <c:manualLayout>
          <c:xMode val="edge"/>
          <c:yMode val="edge"/>
          <c:x val="5.71003937007874E-2"/>
          <c:y val="0.82843057621776328"/>
          <c:w val="0.88508705161854784"/>
          <c:h val="7.604553767090276E-2"/>
        </c:manualLayout>
      </c:layout>
      <c:txPr>
        <a:bodyPr/>
        <a:lstStyle/>
        <a:p>
          <a:pPr>
            <a:defRPr b="1">
              <a:latin typeface="Book Antiqua" pitchFamily="18" charset="0"/>
            </a:defRPr>
          </a:pPr>
          <a:endParaRPr lang="fr-FR"/>
        </a:p>
      </c:txPr>
    </c:legend>
    <c:plotVisOnly val="1"/>
    <c:dispBlanksAs val="zero"/>
  </c:chart>
  <c:externalData r:id="rId1"/>
</c:chartSpace>
</file>

<file path=word/charts/chart189.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manualLayout>
          <c:layoutTarget val="inner"/>
          <c:xMode val="edge"/>
          <c:yMode val="edge"/>
          <c:x val="0.25292175798599337"/>
          <c:y val="5.7720944385106533E-2"/>
          <c:w val="0.68108344313648062"/>
          <c:h val="0.79027249402813415"/>
        </c:manualLayout>
      </c:layout>
      <c:bar3DChart>
        <c:barDir val="bar"/>
        <c:grouping val="percentStacked"/>
        <c:ser>
          <c:idx val="0"/>
          <c:order val="0"/>
          <c:tx>
            <c:strRef>
              <c:f>Feuil5!$B$30</c:f>
              <c:strCache>
                <c:ptCount val="1"/>
                <c:pt idx="0">
                  <c:v>Par écrit</c:v>
                </c:pt>
              </c:strCache>
            </c:strRef>
          </c:tx>
          <c:spPr>
            <a:solidFill>
              <a:srgbClr val="92D050"/>
            </a:solidFill>
          </c:spPr>
          <c:dLbls>
            <c:delete val="1"/>
          </c:dLbls>
          <c:cat>
            <c:strRef>
              <c:f>Feuil5!$C$29:$M$29</c:f>
              <c:strCache>
                <c:ptCount val="11"/>
                <c:pt idx="0">
                  <c:v>Aucun</c:v>
                </c:pt>
                <c:pt idx="1">
                  <c:v>Primaire</c:v>
                </c:pt>
                <c:pt idx="2">
                  <c:v>Secondaire</c:v>
                </c:pt>
                <c:pt idx="3">
                  <c:v>Bac+2/ Bac+3</c:v>
                </c:pt>
                <c:pt idx="4">
                  <c:v>Bac+4 ou plus</c:v>
                </c:pt>
                <c:pt idx="5">
                  <c:v>Primaire en Arabe</c:v>
                </c:pt>
                <c:pt idx="6">
                  <c:v>Secondaire en Arabe</c:v>
                </c:pt>
                <c:pt idx="7">
                  <c:v>Bac+2/ Bac+3 en Arabe</c:v>
                </c:pt>
                <c:pt idx="8">
                  <c:v>Bac+4 ou plus en Arabe</c:v>
                </c:pt>
                <c:pt idx="9">
                  <c:v> Enseignement coranique</c:v>
                </c:pt>
                <c:pt idx="10">
                  <c:v>ENSEMBLE</c:v>
                </c:pt>
              </c:strCache>
            </c:strRef>
          </c:cat>
          <c:val>
            <c:numRef>
              <c:f>Feuil5!$C$30:$M$30</c:f>
              <c:numCache>
                <c:formatCode>0.0%</c:formatCode>
                <c:ptCount val="11"/>
                <c:pt idx="0">
                  <c:v>0.24000000000000021</c:v>
                </c:pt>
                <c:pt idx="1">
                  <c:v>0.42176870748299494</c:v>
                </c:pt>
                <c:pt idx="2">
                  <c:v>0.47833622183709057</c:v>
                </c:pt>
                <c:pt idx="3">
                  <c:v>0.52276559865092753</c:v>
                </c:pt>
                <c:pt idx="4">
                  <c:v>0.45108695652173914</c:v>
                </c:pt>
                <c:pt idx="5">
                  <c:v>0.30769230769230782</c:v>
                </c:pt>
                <c:pt idx="6">
                  <c:v>0.1</c:v>
                </c:pt>
                <c:pt idx="7">
                  <c:v>0.60000000000000064</c:v>
                </c:pt>
                <c:pt idx="8">
                  <c:v>0.4</c:v>
                </c:pt>
                <c:pt idx="9">
                  <c:v>0.47368421052631576</c:v>
                </c:pt>
                <c:pt idx="10">
                  <c:v>0.47608328643781828</c:v>
                </c:pt>
              </c:numCache>
            </c:numRef>
          </c:val>
        </c:ser>
        <c:ser>
          <c:idx val="1"/>
          <c:order val="1"/>
          <c:tx>
            <c:strRef>
              <c:f>Feuil5!$B$31</c:f>
              <c:strCache>
                <c:ptCount val="1"/>
                <c:pt idx="0">
                  <c:v>Oralement</c:v>
                </c:pt>
              </c:strCache>
            </c:strRef>
          </c:tx>
          <c:spPr>
            <a:solidFill>
              <a:srgbClr val="FFFF00"/>
            </a:solidFill>
          </c:spPr>
          <c:dLbls>
            <c:delete val="1"/>
          </c:dLbls>
          <c:cat>
            <c:strRef>
              <c:f>Feuil5!$C$29:$M$29</c:f>
              <c:strCache>
                <c:ptCount val="11"/>
                <c:pt idx="0">
                  <c:v>Aucun</c:v>
                </c:pt>
                <c:pt idx="1">
                  <c:v>Primaire</c:v>
                </c:pt>
                <c:pt idx="2">
                  <c:v>Secondaire</c:v>
                </c:pt>
                <c:pt idx="3">
                  <c:v>Bac+2/ Bac+3</c:v>
                </c:pt>
                <c:pt idx="4">
                  <c:v>Bac+4 ou plus</c:v>
                </c:pt>
                <c:pt idx="5">
                  <c:v>Primaire en Arabe</c:v>
                </c:pt>
                <c:pt idx="6">
                  <c:v>Secondaire en Arabe</c:v>
                </c:pt>
                <c:pt idx="7">
                  <c:v>Bac+2/ Bac+3 en Arabe</c:v>
                </c:pt>
                <c:pt idx="8">
                  <c:v>Bac+4 ou plus en Arabe</c:v>
                </c:pt>
                <c:pt idx="9">
                  <c:v> Enseignement coranique</c:v>
                </c:pt>
                <c:pt idx="10">
                  <c:v>ENSEMBLE</c:v>
                </c:pt>
              </c:strCache>
            </c:strRef>
          </c:cat>
          <c:val>
            <c:numRef>
              <c:f>Feuil5!$C$31:$M$31</c:f>
              <c:numCache>
                <c:formatCode>0.0%</c:formatCode>
                <c:ptCount val="11"/>
                <c:pt idx="0">
                  <c:v>0.4</c:v>
                </c:pt>
                <c:pt idx="1">
                  <c:v>0.36734693877551194</c:v>
                </c:pt>
                <c:pt idx="2">
                  <c:v>0.33275563258232227</c:v>
                </c:pt>
                <c:pt idx="3">
                  <c:v>0.33389544688027173</c:v>
                </c:pt>
                <c:pt idx="4">
                  <c:v>0.35326086956521957</c:v>
                </c:pt>
                <c:pt idx="5">
                  <c:v>0.30769230769230782</c:v>
                </c:pt>
                <c:pt idx="6">
                  <c:v>0.70000000000000062</c:v>
                </c:pt>
                <c:pt idx="7">
                  <c:v>0.2</c:v>
                </c:pt>
                <c:pt idx="8">
                  <c:v>0.53333333333333333</c:v>
                </c:pt>
                <c:pt idx="9">
                  <c:v>0.42105263157894923</c:v>
                </c:pt>
                <c:pt idx="10">
                  <c:v>0.3449634214969049</c:v>
                </c:pt>
              </c:numCache>
            </c:numRef>
          </c:val>
        </c:ser>
        <c:ser>
          <c:idx val="2"/>
          <c:order val="2"/>
          <c:tx>
            <c:strRef>
              <c:f>Feuil5!$B$32</c:f>
              <c:strCache>
                <c:ptCount val="1"/>
                <c:pt idx="0">
                  <c:v>Pas informé</c:v>
                </c:pt>
              </c:strCache>
            </c:strRef>
          </c:tx>
          <c:spPr>
            <a:solidFill>
              <a:srgbClr val="FF0000"/>
            </a:solidFill>
          </c:spPr>
          <c:dLbls>
            <c:dLbl>
              <c:idx val="0"/>
              <c:layout>
                <c:manualLayout>
                  <c:x val="0.15523657628920789"/>
                  <c:y val="0"/>
                </c:manualLayout>
              </c:layout>
              <c:showVal val="1"/>
            </c:dLbl>
            <c:dLbl>
              <c:idx val="1"/>
              <c:layout>
                <c:manualLayout>
                  <c:x val="0.10419989367357789"/>
                  <c:y val="0"/>
                </c:manualLayout>
              </c:layout>
              <c:showVal val="1"/>
            </c:dLbl>
            <c:dLbl>
              <c:idx val="2"/>
              <c:layout>
                <c:manualLayout>
                  <c:x val="9.7820308346625112E-2"/>
                  <c:y val="-3.9447731755424351E-3"/>
                </c:manualLayout>
              </c:layout>
              <c:showVal val="1"/>
            </c:dLbl>
            <c:dLbl>
              <c:idx val="3"/>
              <c:layout>
                <c:manualLayout>
                  <c:x val="8.2934609250398694E-2"/>
                  <c:y val="0"/>
                </c:manualLayout>
              </c:layout>
              <c:showVal val="1"/>
            </c:dLbl>
            <c:dLbl>
              <c:idx val="4"/>
              <c:layout>
                <c:manualLayout>
                  <c:x val="0.10207336523126002"/>
                  <c:y val="0"/>
                </c:manualLayout>
              </c:layout>
              <c:showVal val="1"/>
            </c:dLbl>
            <c:dLbl>
              <c:idx val="5"/>
              <c:layout>
                <c:manualLayout>
                  <c:x val="0.16161616161616171"/>
                  <c:y val="0"/>
                </c:manualLayout>
              </c:layout>
              <c:showVal val="1"/>
            </c:dLbl>
            <c:dLbl>
              <c:idx val="6"/>
              <c:layout>
                <c:manualLayout>
                  <c:x val="0.10207336523126002"/>
                  <c:y val="-7.2320006104731137E-17"/>
                </c:manualLayout>
              </c:layout>
              <c:showVal val="1"/>
            </c:dLbl>
            <c:dLbl>
              <c:idx val="7"/>
              <c:layout>
                <c:manualLayout>
                  <c:x val="0.10207336523126002"/>
                  <c:y val="0"/>
                </c:manualLayout>
              </c:layout>
              <c:showVal val="1"/>
            </c:dLbl>
            <c:dLbl>
              <c:idx val="8"/>
              <c:layout>
                <c:manualLayout>
                  <c:x val="5.3163211057948585E-2"/>
                  <c:y val="-3.9447731755424351E-3"/>
                </c:manualLayout>
              </c:layout>
              <c:showVal val="1"/>
            </c:dLbl>
            <c:dLbl>
              <c:idx val="9"/>
              <c:layout>
                <c:manualLayout>
                  <c:x val="7.0175438596491224E-2"/>
                  <c:y val="-7.8895463510848685E-3"/>
                </c:manualLayout>
              </c:layout>
              <c:showVal val="1"/>
            </c:dLbl>
            <c:dLbl>
              <c:idx val="10"/>
              <c:layout>
                <c:manualLayout>
                  <c:x val="9.569377990430622E-2"/>
                  <c:y val="-7.8898569631458814E-3"/>
                </c:manualLayout>
              </c:layout>
              <c:showVal val="1"/>
            </c:dLbl>
            <c:txPr>
              <a:bodyPr/>
              <a:lstStyle/>
              <a:p>
                <a:pPr>
                  <a:defRPr sz="800" b="1">
                    <a:latin typeface="Book Antiqua" pitchFamily="18" charset="0"/>
                  </a:defRPr>
                </a:pPr>
                <a:endParaRPr lang="fr-FR"/>
              </a:p>
            </c:txPr>
            <c:showVal val="1"/>
          </c:dLbls>
          <c:cat>
            <c:strRef>
              <c:f>Feuil5!$C$29:$M$29</c:f>
              <c:strCache>
                <c:ptCount val="11"/>
                <c:pt idx="0">
                  <c:v>Aucun</c:v>
                </c:pt>
                <c:pt idx="1">
                  <c:v>Primaire</c:v>
                </c:pt>
                <c:pt idx="2">
                  <c:v>Secondaire</c:v>
                </c:pt>
                <c:pt idx="3">
                  <c:v>Bac+2/ Bac+3</c:v>
                </c:pt>
                <c:pt idx="4">
                  <c:v>Bac+4 ou plus</c:v>
                </c:pt>
                <c:pt idx="5">
                  <c:v>Primaire en Arabe</c:v>
                </c:pt>
                <c:pt idx="6">
                  <c:v>Secondaire en Arabe</c:v>
                </c:pt>
                <c:pt idx="7">
                  <c:v>Bac+2/ Bac+3 en Arabe</c:v>
                </c:pt>
                <c:pt idx="8">
                  <c:v>Bac+4 ou plus en Arabe</c:v>
                </c:pt>
                <c:pt idx="9">
                  <c:v> Enseignement coranique</c:v>
                </c:pt>
                <c:pt idx="10">
                  <c:v>ENSEMBLE</c:v>
                </c:pt>
              </c:strCache>
            </c:strRef>
          </c:cat>
          <c:val>
            <c:numRef>
              <c:f>Feuil5!$C$32:$M$32</c:f>
              <c:numCache>
                <c:formatCode>0.0%</c:formatCode>
                <c:ptCount val="11"/>
                <c:pt idx="0">
                  <c:v>0.36000000000000032</c:v>
                </c:pt>
                <c:pt idx="1">
                  <c:v>0.21088435374149836</c:v>
                </c:pt>
                <c:pt idx="2">
                  <c:v>0.18890814558059099</c:v>
                </c:pt>
                <c:pt idx="3">
                  <c:v>0.14333895446880271</c:v>
                </c:pt>
                <c:pt idx="4">
                  <c:v>0.19565217391304229</c:v>
                </c:pt>
                <c:pt idx="5">
                  <c:v>0.3846153846153848</c:v>
                </c:pt>
                <c:pt idx="6">
                  <c:v>0.2</c:v>
                </c:pt>
                <c:pt idx="7">
                  <c:v>0.2</c:v>
                </c:pt>
                <c:pt idx="8">
                  <c:v>6.666666666666668E-2</c:v>
                </c:pt>
                <c:pt idx="9">
                  <c:v>0.10526315789473686</c:v>
                </c:pt>
                <c:pt idx="10">
                  <c:v>0.17895329206527996</c:v>
                </c:pt>
              </c:numCache>
            </c:numRef>
          </c:val>
        </c:ser>
        <c:dLbls>
          <c:showVal val="1"/>
        </c:dLbls>
        <c:gapWidth val="95"/>
        <c:gapDepth val="95"/>
        <c:shape val="cylinder"/>
        <c:axId val="235893504"/>
        <c:axId val="235895040"/>
        <c:axId val="0"/>
      </c:bar3DChart>
      <c:catAx>
        <c:axId val="235893504"/>
        <c:scaling>
          <c:orientation val="minMax"/>
        </c:scaling>
        <c:axPos val="l"/>
        <c:majorTickMark val="none"/>
        <c:tickLblPos val="nextTo"/>
        <c:txPr>
          <a:bodyPr/>
          <a:lstStyle/>
          <a:p>
            <a:pPr>
              <a:defRPr sz="800" b="1">
                <a:latin typeface="Book Antiqua" pitchFamily="18" charset="0"/>
              </a:defRPr>
            </a:pPr>
            <a:endParaRPr lang="fr-FR"/>
          </a:p>
        </c:txPr>
        <c:crossAx val="235895040"/>
        <c:crosses val="autoZero"/>
        <c:auto val="1"/>
        <c:lblAlgn val="ctr"/>
        <c:lblOffset val="100"/>
      </c:catAx>
      <c:valAx>
        <c:axId val="235895040"/>
        <c:scaling>
          <c:orientation val="minMax"/>
        </c:scaling>
        <c:delete val="1"/>
        <c:axPos val="b"/>
        <c:numFmt formatCode="0%" sourceLinked="1"/>
        <c:tickLblPos val="none"/>
        <c:crossAx val="235893504"/>
        <c:crosses val="autoZero"/>
        <c:crossBetween val="between"/>
      </c:valAx>
    </c:plotArea>
    <c:legend>
      <c:legendPos val="b"/>
      <c:layout>
        <c:manualLayout>
          <c:xMode val="edge"/>
          <c:yMode val="edge"/>
          <c:x val="0.30244993562494316"/>
          <c:y val="0.90729845712906065"/>
          <c:w val="0.44187861324904476"/>
          <c:h val="7.0291361947709102E-2"/>
        </c:manualLayout>
      </c:layout>
      <c:txPr>
        <a:bodyPr/>
        <a:lstStyle/>
        <a:p>
          <a:pPr>
            <a:defRPr b="1">
              <a:latin typeface="Book Antiqua" pitchFamily="18" charset="0"/>
            </a:defRPr>
          </a:pPr>
          <a:endParaRPr lang="fr-FR"/>
        </a:p>
      </c:tx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Feuil10!$A$3</c:f>
              <c:strCache>
                <c:ptCount val="1"/>
                <c:pt idx="0">
                  <c:v>Très suffisant</c:v>
                </c:pt>
              </c:strCache>
            </c:strRef>
          </c:tx>
          <c:cat>
            <c:strRef>
              <c:f>Feuil10!$B$2:$O$2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Feuil10!$B$3:$O$3</c:f>
              <c:numCache>
                <c:formatCode>General</c:formatCode>
                <c:ptCount val="14"/>
                <c:pt idx="0" formatCode="###0.0%">
                  <c:v>1.1363636363636367E-2</c:v>
                </c:pt>
                <c:pt idx="9" formatCode="###0.0%">
                  <c:v>1.2345679012345723E-2</c:v>
                </c:pt>
                <c:pt idx="12" formatCode="###0.0%">
                  <c:v>3.333333333333334E-2</c:v>
                </c:pt>
                <c:pt idx="13" formatCode="###0.0%">
                  <c:v>2.0618556701030924E-2</c:v>
                </c:pt>
              </c:numCache>
            </c:numRef>
          </c:val>
        </c:ser>
        <c:ser>
          <c:idx val="1"/>
          <c:order val="1"/>
          <c:tx>
            <c:strRef>
              <c:f>Feuil10!$A$4</c:f>
              <c:strCache>
                <c:ptCount val="1"/>
                <c:pt idx="0">
                  <c:v>Suffisant</c:v>
                </c:pt>
              </c:strCache>
            </c:strRef>
          </c:tx>
          <c:cat>
            <c:strRef>
              <c:f>Feuil10!$B$2:$O$2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Feuil10!$B$4:$O$4</c:f>
              <c:numCache>
                <c:formatCode>###0.0%</c:formatCode>
                <c:ptCount val="14"/>
                <c:pt idx="0">
                  <c:v>0.475378787878805</c:v>
                </c:pt>
                <c:pt idx="1">
                  <c:v>0.22368421052631579</c:v>
                </c:pt>
                <c:pt idx="2">
                  <c:v>0.55000000000000004</c:v>
                </c:pt>
                <c:pt idx="3">
                  <c:v>0.35294117647058826</c:v>
                </c:pt>
                <c:pt idx="4">
                  <c:v>0.38709677419356048</c:v>
                </c:pt>
                <c:pt idx="5">
                  <c:v>0.35365853658536589</c:v>
                </c:pt>
                <c:pt idx="6">
                  <c:v>0.17460317460317457</c:v>
                </c:pt>
                <c:pt idx="7">
                  <c:v>0.62790697674420004</c:v>
                </c:pt>
                <c:pt idx="8">
                  <c:v>0.29268292682928126</c:v>
                </c:pt>
                <c:pt idx="9">
                  <c:v>0.53086419753086422</c:v>
                </c:pt>
                <c:pt idx="10">
                  <c:v>0.10638297872340426</c:v>
                </c:pt>
                <c:pt idx="11">
                  <c:v>0.29032258064517164</c:v>
                </c:pt>
                <c:pt idx="12">
                  <c:v>0.51111111111111118</c:v>
                </c:pt>
                <c:pt idx="13">
                  <c:v>0.30927835051546398</c:v>
                </c:pt>
              </c:numCache>
            </c:numRef>
          </c:val>
        </c:ser>
        <c:ser>
          <c:idx val="2"/>
          <c:order val="2"/>
          <c:tx>
            <c:strRef>
              <c:f>Feuil10!$A$5</c:f>
              <c:strCache>
                <c:ptCount val="1"/>
                <c:pt idx="0">
                  <c:v>Non suffisant</c:v>
                </c:pt>
              </c:strCache>
            </c:strRef>
          </c:tx>
          <c:cat>
            <c:strRef>
              <c:f>Feuil10!$B$2:$O$2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Feuil10!$B$5:$O$5</c:f>
              <c:numCache>
                <c:formatCode>###0.0%</c:formatCode>
                <c:ptCount val="14"/>
                <c:pt idx="0">
                  <c:v>0.46401515151515149</c:v>
                </c:pt>
                <c:pt idx="1">
                  <c:v>0.73684210526315863</c:v>
                </c:pt>
                <c:pt idx="2">
                  <c:v>0.30000000000000032</c:v>
                </c:pt>
                <c:pt idx="3">
                  <c:v>0.64705882352944288</c:v>
                </c:pt>
                <c:pt idx="4">
                  <c:v>0.61290322580645151</c:v>
                </c:pt>
                <c:pt idx="5">
                  <c:v>0.40243902439024387</c:v>
                </c:pt>
                <c:pt idx="6">
                  <c:v>0.47619047619047788</c:v>
                </c:pt>
                <c:pt idx="7">
                  <c:v>0.2790697674418689</c:v>
                </c:pt>
                <c:pt idx="8">
                  <c:v>0.65853658536585358</c:v>
                </c:pt>
                <c:pt idx="9">
                  <c:v>0.38271604938272574</c:v>
                </c:pt>
                <c:pt idx="10">
                  <c:v>0.6170212765957781</c:v>
                </c:pt>
                <c:pt idx="11">
                  <c:v>0.62903225806453211</c:v>
                </c:pt>
                <c:pt idx="12">
                  <c:v>0.4</c:v>
                </c:pt>
                <c:pt idx="13">
                  <c:v>0.58762886597938169</c:v>
                </c:pt>
              </c:numCache>
            </c:numRef>
          </c:val>
        </c:ser>
        <c:ser>
          <c:idx val="3"/>
          <c:order val="3"/>
          <c:tx>
            <c:strRef>
              <c:f>Feuil10!$A$6</c:f>
              <c:strCache>
                <c:ptCount val="1"/>
                <c:pt idx="0">
                  <c:v>Pas du tout suffisant</c:v>
                </c:pt>
              </c:strCache>
            </c:strRef>
          </c:tx>
          <c:cat>
            <c:strRef>
              <c:f>Feuil10!$B$2:$O$2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Feuil10!$B$6:$O$6</c:f>
              <c:numCache>
                <c:formatCode>###0.0%</c:formatCode>
                <c:ptCount val="14"/>
                <c:pt idx="0">
                  <c:v>4.9242424242424934E-2</c:v>
                </c:pt>
                <c:pt idx="1">
                  <c:v>3.9473684210526355E-2</c:v>
                </c:pt>
                <c:pt idx="2">
                  <c:v>0.15000000000000024</c:v>
                </c:pt>
                <c:pt idx="5">
                  <c:v>0.24390243902439865</c:v>
                </c:pt>
                <c:pt idx="6">
                  <c:v>0.3492063492063493</c:v>
                </c:pt>
                <c:pt idx="7">
                  <c:v>9.3023255813953501E-2</c:v>
                </c:pt>
                <c:pt idx="8">
                  <c:v>4.8780487804879924E-2</c:v>
                </c:pt>
                <c:pt idx="9">
                  <c:v>7.407407407407407E-2</c:v>
                </c:pt>
                <c:pt idx="10">
                  <c:v>0.27659574468085107</c:v>
                </c:pt>
                <c:pt idx="11">
                  <c:v>8.0645161290322745E-2</c:v>
                </c:pt>
                <c:pt idx="12">
                  <c:v>5.5555555555555455E-2</c:v>
                </c:pt>
                <c:pt idx="13">
                  <c:v>8.2474226804123682E-2</c:v>
                </c:pt>
              </c:numCache>
            </c:numRef>
          </c:val>
        </c:ser>
        <c:shape val="cylinder"/>
        <c:axId val="188124160"/>
        <c:axId val="188289792"/>
        <c:axId val="0"/>
      </c:bar3DChart>
      <c:catAx>
        <c:axId val="188124160"/>
        <c:scaling>
          <c:orientation val="minMax"/>
        </c:scaling>
        <c:axPos val="b"/>
        <c:numFmt formatCode="General" sourceLinked="0"/>
        <c:tickLblPos val="nextTo"/>
        <c:txPr>
          <a:bodyPr/>
          <a:lstStyle/>
          <a:p>
            <a:pPr>
              <a:defRPr sz="700" b="1">
                <a:latin typeface="Book Antiqua" pitchFamily="18" charset="0"/>
              </a:defRPr>
            </a:pPr>
            <a:endParaRPr lang="fr-FR"/>
          </a:p>
        </c:txPr>
        <c:crossAx val="188289792"/>
        <c:crosses val="autoZero"/>
        <c:auto val="1"/>
        <c:lblAlgn val="ctr"/>
        <c:lblOffset val="100"/>
      </c:catAx>
      <c:valAx>
        <c:axId val="188289792"/>
        <c:scaling>
          <c:orientation val="minMax"/>
        </c:scaling>
        <c:axPos val="l"/>
        <c:majorGridlines/>
        <c:numFmt formatCode="0%" sourceLinked="0"/>
        <c:tickLblPos val="nextTo"/>
        <c:txPr>
          <a:bodyPr/>
          <a:lstStyle/>
          <a:p>
            <a:pPr>
              <a:defRPr sz="700" b="1">
                <a:latin typeface="Book Antiqua" pitchFamily="18" charset="0"/>
              </a:defRPr>
            </a:pPr>
            <a:endParaRPr lang="fr-FR"/>
          </a:p>
        </c:txPr>
        <c:crossAx val="188124160"/>
        <c:crosses val="autoZero"/>
        <c:crossBetween val="between"/>
      </c:valAx>
    </c:plotArea>
    <c:legend>
      <c:legendPos val="b"/>
      <c:txPr>
        <a:bodyPr/>
        <a:lstStyle/>
        <a:p>
          <a:pPr>
            <a:defRPr sz="700" b="1">
              <a:latin typeface="Book Antiqua" pitchFamily="18" charset="0"/>
            </a:defRPr>
          </a:pPr>
          <a:endParaRPr lang="fr-FR"/>
        </a:p>
      </c:txPr>
    </c:legend>
    <c:plotVisOnly val="1"/>
    <c:dispBlanksAs val="gap"/>
  </c:chart>
  <c:externalData r:id="rId2"/>
</c:chartSpace>
</file>

<file path=word/charts/chart190.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8.7957292375494461E-2"/>
          <c:y val="0.10295864197530864"/>
          <c:w val="0.80499251436052865"/>
          <c:h val="0.7876984126984552"/>
        </c:manualLayout>
      </c:layout>
      <c:pie3DChart>
        <c:varyColors val="1"/>
        <c:ser>
          <c:idx val="0"/>
          <c:order val="0"/>
          <c:tx>
            <c:strRef>
              <c:f>Feuil1!$B$1</c:f>
              <c:strCache>
                <c:ptCount val="1"/>
                <c:pt idx="0">
                  <c:v>Ventes</c:v>
                </c:pt>
              </c:strCache>
            </c:strRef>
          </c:tx>
          <c:dLbls>
            <c:dLbl>
              <c:idx val="0"/>
              <c:layout>
                <c:manualLayout>
                  <c:x val="3.3258915427935291E-2"/>
                  <c:y val="-1.8478940132483439E-3"/>
                </c:manualLayout>
              </c:layout>
              <c:tx>
                <c:rich>
                  <a:bodyPr/>
                  <a:lstStyle/>
                  <a:p>
                    <a:r>
                      <a:rPr lang="en-US"/>
                      <a:t>Très contraignantes
7,6%</a:t>
                    </a:r>
                  </a:p>
                </c:rich>
              </c:tx>
              <c:showCatName val="1"/>
              <c:showPercent val="1"/>
              <c:extLst>
                <c:ext xmlns:c15="http://schemas.microsoft.com/office/drawing/2012/chart" uri="{CE6537A1-D6FC-4f65-9D91-7224C49458BB}"/>
              </c:extLst>
            </c:dLbl>
            <c:dLbl>
              <c:idx val="1"/>
              <c:layout>
                <c:manualLayout>
                  <c:x val="-2.2863961813842482E-2"/>
                  <c:y val="0.20672603424571928"/>
                </c:manualLayout>
              </c:layout>
              <c:tx>
                <c:rich>
                  <a:bodyPr/>
                  <a:lstStyle/>
                  <a:p>
                    <a:r>
                      <a:rPr lang="en-US"/>
                      <a:t>Contraignantes
39,3%</a:t>
                    </a:r>
                  </a:p>
                </c:rich>
              </c:tx>
              <c:showCatName val="1"/>
              <c:showPercent val="1"/>
              <c:extLst>
                <c:ext xmlns:c15="http://schemas.microsoft.com/office/drawing/2012/chart" uri="{CE6537A1-D6FC-4f65-9D91-7224C49458BB}"/>
              </c:extLst>
            </c:dLbl>
            <c:dLbl>
              <c:idx val="2"/>
              <c:layout>
                <c:manualLayout>
                  <c:x val="3.818615751790082E-4"/>
                  <c:y val="0.16915323084614797"/>
                </c:manualLayout>
              </c:layout>
              <c:tx>
                <c:rich>
                  <a:bodyPr/>
                  <a:lstStyle/>
                  <a:p>
                    <a:r>
                      <a:rPr lang="en-US"/>
                      <a:t>Pas contraignantes
49%</a:t>
                    </a:r>
                  </a:p>
                </c:rich>
              </c:tx>
              <c:showCatName val="1"/>
              <c:showPercent val="1"/>
              <c:extLst>
                <c:ext xmlns:c15="http://schemas.microsoft.com/office/drawing/2012/chart" uri="{CE6537A1-D6FC-4f65-9D91-7224C49458BB}"/>
              </c:extLst>
            </c:dLbl>
            <c:dLbl>
              <c:idx val="3"/>
              <c:layout>
                <c:manualLayout>
                  <c:x val="-4.4260863573437566E-2"/>
                  <c:y val="5.7814648168978914E-3"/>
                </c:manualLayout>
              </c:layout>
              <c:tx>
                <c:rich>
                  <a:bodyPr/>
                  <a:lstStyle/>
                  <a:p>
                    <a:r>
                      <a:rPr lang="en-US"/>
                      <a:t>Pas du tout Contraignantes
4,2%</a:t>
                    </a:r>
                  </a:p>
                </c:rich>
              </c:tx>
              <c:showCatName val="1"/>
              <c:showPercent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b="1"/>
                </a:pPr>
                <a:endParaRPr lang="fr-FR"/>
              </a:p>
            </c:txPr>
            <c:showCatName val="1"/>
            <c:showPercent val="1"/>
            <c:showLeaderLines val="1"/>
            <c:extLst>
              <c:ext xmlns:c15="http://schemas.microsoft.com/office/drawing/2012/chart" uri="{CE6537A1-D6FC-4f65-9D91-7224C49458BB}"/>
            </c:extLst>
          </c:dLbls>
          <c:cat>
            <c:strRef>
              <c:f>Feuil1!$A$2:$A$5</c:f>
              <c:strCache>
                <c:ptCount val="4"/>
                <c:pt idx="0">
                  <c:v>Très contraignantes</c:v>
                </c:pt>
                <c:pt idx="1">
                  <c:v>Contraignantes</c:v>
                </c:pt>
                <c:pt idx="2">
                  <c:v>Pas contraignantes</c:v>
                </c:pt>
                <c:pt idx="3">
                  <c:v>Pas du tout Contraignantes</c:v>
                </c:pt>
              </c:strCache>
            </c:strRef>
          </c:cat>
          <c:val>
            <c:numRef>
              <c:f>Feuil1!$B$2:$B$5</c:f>
              <c:numCache>
                <c:formatCode>###0.0</c:formatCode>
                <c:ptCount val="4"/>
                <c:pt idx="0">
                  <c:v>7.5885328836424959</c:v>
                </c:pt>
                <c:pt idx="1">
                  <c:v>39.291736930861454</c:v>
                </c:pt>
                <c:pt idx="2">
                  <c:v>48.960089938167506</c:v>
                </c:pt>
                <c:pt idx="3">
                  <c:v>4.1596402473299605</c:v>
                </c:pt>
              </c:numCache>
            </c:numRef>
          </c:val>
        </c:ser>
        <c:dLbls>
          <c:showCatName val="1"/>
          <c:showPercent val="1"/>
        </c:dLbls>
      </c:pie3DChart>
    </c:plotArea>
    <c:plotVisOnly val="1"/>
    <c:dispBlanksAs val="zero"/>
  </c:chart>
  <c:txPr>
    <a:bodyPr/>
    <a:lstStyle/>
    <a:p>
      <a:pPr>
        <a:defRPr sz="800">
          <a:latin typeface="Book Antiqua" pitchFamily="18" charset="0"/>
        </a:defRPr>
      </a:pPr>
      <a:endParaRPr lang="fr-FR"/>
    </a:p>
  </c:txPr>
  <c:externalData r:id="rId2"/>
</c:chartSpace>
</file>

<file path=word/charts/chart19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numFmt formatCode="0.0%" sourceLinked="0"/>
            <c:showPercent val="1"/>
            <c:showLeaderLines val="1"/>
          </c:dLbls>
          <c:cat>
            <c:strRef>
              <c:f>Feuil5!$J$39:$J$42</c:f>
              <c:strCache>
                <c:ptCount val="4"/>
                <c:pt idx="0">
                  <c:v>Très raisonnables</c:v>
                </c:pt>
                <c:pt idx="1">
                  <c:v>Raisonnables</c:v>
                </c:pt>
                <c:pt idx="2">
                  <c:v>Elevés</c:v>
                </c:pt>
                <c:pt idx="3">
                  <c:v>Très élevés</c:v>
                </c:pt>
              </c:strCache>
            </c:strRef>
          </c:cat>
          <c:val>
            <c:numRef>
              <c:f>Feuil5!$L$39:$L$42</c:f>
              <c:numCache>
                <c:formatCode>0.0%</c:formatCode>
                <c:ptCount val="4"/>
                <c:pt idx="0">
                  <c:v>9.8684210526315784E-3</c:v>
                </c:pt>
                <c:pt idx="1">
                  <c:v>0.27631578947368624</c:v>
                </c:pt>
                <c:pt idx="2">
                  <c:v>0.49342105263157893</c:v>
                </c:pt>
                <c:pt idx="3">
                  <c:v>0.22039473684210625</c:v>
                </c:pt>
              </c:numCache>
            </c:numRef>
          </c:val>
        </c:ser>
        <c:dLbls>
          <c:showPercent val="1"/>
        </c:dLbls>
      </c:pie3DChart>
    </c:plotArea>
    <c:legend>
      <c:legendPos val="b"/>
      <c:txPr>
        <a:bodyPr/>
        <a:lstStyle/>
        <a:p>
          <a:pPr>
            <a:defRPr sz="800" b="1">
              <a:latin typeface="Book Antiqua" pitchFamily="18" charset="0"/>
            </a:defRPr>
          </a:pPr>
          <a:endParaRPr lang="fr-FR"/>
        </a:p>
      </c:txPr>
    </c:legend>
    <c:plotVisOnly val="1"/>
    <c:dispBlanksAs val="zero"/>
  </c:chart>
  <c:externalData r:id="rId1"/>
</c:chartSpace>
</file>

<file path=word/charts/chart19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explosion val="25"/>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dLbl>
              <c:idx val="1"/>
              <c:layout>
                <c:manualLayout>
                  <c:x val="-6.0364794925963153E-2"/>
                  <c:y val="-5.8884399923914033E-2"/>
                </c:manualLayout>
              </c:layout>
              <c:showCatName val="1"/>
              <c:showPercent val="1"/>
            </c:dLbl>
            <c:dLbl>
              <c:idx val="2"/>
              <c:layout>
                <c:manualLayout>
                  <c:x val="-2.7596381596765696E-2"/>
                  <c:y val="-0.10838562024963824"/>
                </c:manualLayout>
              </c:layout>
              <c:showCatName val="1"/>
              <c:showPercent val="1"/>
            </c:dLbl>
            <c:numFmt formatCode="0.0%" sourceLinked="0"/>
            <c:txPr>
              <a:bodyPr/>
              <a:lstStyle/>
              <a:p>
                <a:pPr>
                  <a:defRPr sz="800" b="1">
                    <a:latin typeface="Book Antiqua" pitchFamily="18" charset="0"/>
                  </a:defRPr>
                </a:pPr>
                <a:endParaRPr lang="fr-FR"/>
              </a:p>
            </c:txPr>
            <c:showCatName val="1"/>
            <c:showPercent val="1"/>
            <c:showLeaderLines val="1"/>
          </c:dLbls>
          <c:cat>
            <c:strRef>
              <c:f>Feuil5!$J$53:$J$56</c:f>
              <c:strCache>
                <c:ptCount val="4"/>
                <c:pt idx="0">
                  <c:v>Très raisonnable</c:v>
                </c:pt>
                <c:pt idx="1">
                  <c:v>Raisonnable</c:v>
                </c:pt>
                <c:pt idx="2">
                  <c:v>Long</c:v>
                </c:pt>
                <c:pt idx="3">
                  <c:v>Trop long</c:v>
                </c:pt>
              </c:strCache>
            </c:strRef>
          </c:cat>
          <c:val>
            <c:numRef>
              <c:f>Feuil5!$L$53:$L$56</c:f>
              <c:numCache>
                <c:formatCode>0.0%</c:formatCode>
                <c:ptCount val="4"/>
                <c:pt idx="0">
                  <c:v>6.0200668896321113E-2</c:v>
                </c:pt>
                <c:pt idx="1">
                  <c:v>0.30769230769230782</c:v>
                </c:pt>
                <c:pt idx="2">
                  <c:v>0.54515050167223733</c:v>
                </c:pt>
                <c:pt idx="3">
                  <c:v>8.6956521739130543E-2</c:v>
                </c:pt>
              </c:numCache>
            </c:numRef>
          </c:val>
        </c:ser>
        <c:dLbls>
          <c:showCatName val="1"/>
          <c:showPercent val="1"/>
        </c:dLbls>
      </c:pie3DChart>
    </c:plotArea>
    <c:plotVisOnly val="1"/>
    <c:dispBlanksAs val="zero"/>
  </c:chart>
  <c:externalData r:id="rId1"/>
</c:chartSpace>
</file>

<file path=word/charts/chart19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8553333132209047"/>
          <c:y val="0.10182779235928842"/>
          <c:w val="0.42127070323106397"/>
          <c:h val="0.76355314960629916"/>
        </c:manualLayout>
      </c:layout>
      <c:pieChart>
        <c:varyColors val="1"/>
        <c:ser>
          <c:idx val="0"/>
          <c:order val="0"/>
          <c:explosion val="25"/>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dLbl>
              <c:idx val="1"/>
              <c:layout>
                <c:manualLayout>
                  <c:x val="-1.0134733158355206E-2"/>
                  <c:y val="-3.8575386410032212E-3"/>
                </c:manualLayout>
              </c:layout>
              <c:showPercent val="1"/>
            </c:dLbl>
            <c:dLbl>
              <c:idx val="2"/>
              <c:layout>
                <c:manualLayout>
                  <c:x val="-3.7363626421697285E-2"/>
                  <c:y val="-9.0194298629338004E-2"/>
                </c:manualLayout>
              </c:layout>
              <c:showPercent val="1"/>
            </c:dLbl>
            <c:dLbl>
              <c:idx val="3"/>
              <c:layout>
                <c:manualLayout>
                  <c:x val="-3.2965879265091872E-3"/>
                  <c:y val="3.8097841936424612E-2"/>
                </c:manualLayout>
              </c:layout>
              <c:showPercent val="1"/>
            </c:dLbl>
            <c:numFmt formatCode="0.0%" sourceLinked="0"/>
            <c:txPr>
              <a:bodyPr/>
              <a:lstStyle/>
              <a:p>
                <a:pPr>
                  <a:defRPr b="1">
                    <a:latin typeface="Book Antiqua" pitchFamily="18" charset="0"/>
                  </a:defRPr>
                </a:pPr>
                <a:endParaRPr lang="fr-FR"/>
              </a:p>
            </c:txPr>
            <c:showPercent val="1"/>
            <c:showLeaderLines val="1"/>
          </c:dLbls>
          <c:cat>
            <c:strRef>
              <c:f>Feuil5!$J$68:$J$71</c:f>
              <c:strCache>
                <c:ptCount val="4"/>
                <c:pt idx="0">
                  <c:v>Très raisonnables</c:v>
                </c:pt>
                <c:pt idx="1">
                  <c:v>Raisonnables</c:v>
                </c:pt>
                <c:pt idx="2">
                  <c:v>Elevés</c:v>
                </c:pt>
                <c:pt idx="3">
                  <c:v>Très élevés</c:v>
                </c:pt>
              </c:strCache>
            </c:strRef>
          </c:cat>
          <c:val>
            <c:numRef>
              <c:f>Feuil5!$L$68:$L$71</c:f>
              <c:numCache>
                <c:formatCode>0.0%</c:formatCode>
                <c:ptCount val="4"/>
                <c:pt idx="0">
                  <c:v>1.0013175230566648E-2</c:v>
                </c:pt>
                <c:pt idx="1">
                  <c:v>0.32674571805006586</c:v>
                </c:pt>
                <c:pt idx="2">
                  <c:v>0.48932806324111028</c:v>
                </c:pt>
                <c:pt idx="3">
                  <c:v>0.17391304347826259</c:v>
                </c:pt>
              </c:numCache>
            </c:numRef>
          </c:val>
        </c:ser>
        <c:dLbls>
          <c:showPercent val="1"/>
        </c:dLbls>
        <c:firstSliceAng val="0"/>
      </c:pieChart>
    </c:plotArea>
    <c:legend>
      <c:legendPos val="b"/>
      <c:txPr>
        <a:bodyPr/>
        <a:lstStyle/>
        <a:p>
          <a:pPr>
            <a:defRPr sz="800" b="1" i="0">
              <a:latin typeface="Book Antiqua" pitchFamily="18" charset="0"/>
            </a:defRPr>
          </a:pPr>
          <a:endParaRPr lang="fr-FR"/>
        </a:p>
      </c:txPr>
    </c:legend>
    <c:plotVisOnly val="1"/>
    <c:dispBlanksAs val="zero"/>
  </c:chart>
  <c:externalData r:id="rId1"/>
</c:chartSpace>
</file>

<file path=word/charts/chart194.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0.1125"/>
          <c:y val="0.23388149921871337"/>
          <c:w val="0.81388888888889233"/>
          <c:h val="0.63382044483297872"/>
        </c:manualLayout>
      </c:layout>
      <c:pie3DChart>
        <c:varyColors val="1"/>
        <c:ser>
          <c:idx val="0"/>
          <c:order val="0"/>
          <c:explosion val="25"/>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dLbl>
              <c:idx val="0"/>
              <c:layout>
                <c:manualLayout>
                  <c:x val="8.0483377077865181E-2"/>
                  <c:y val="6.5358688162977813E-3"/>
                </c:manualLayout>
              </c:layout>
              <c:showCatName val="1"/>
              <c:showPercent val="1"/>
            </c:dLbl>
            <c:numFmt formatCode="0.0%" sourceLinked="0"/>
            <c:txPr>
              <a:bodyPr/>
              <a:lstStyle/>
              <a:p>
                <a:pPr>
                  <a:defRPr b="1">
                    <a:latin typeface="Book Antiqua" pitchFamily="18" charset="0"/>
                  </a:defRPr>
                </a:pPr>
                <a:endParaRPr lang="fr-FR"/>
              </a:p>
            </c:txPr>
            <c:showCatName val="1"/>
            <c:showPercent val="1"/>
            <c:showLeaderLines val="1"/>
          </c:dLbls>
          <c:cat>
            <c:strRef>
              <c:f>Feuil5!$J$80:$J$83</c:f>
              <c:strCache>
                <c:ptCount val="4"/>
                <c:pt idx="0">
                  <c:v>Très satisfaisante</c:v>
                </c:pt>
                <c:pt idx="1">
                  <c:v>Satisfaisante</c:v>
                </c:pt>
                <c:pt idx="2">
                  <c:v>Pas satisfaisante</c:v>
                </c:pt>
                <c:pt idx="3">
                  <c:v>Pas du tout satisfaisante</c:v>
                </c:pt>
              </c:strCache>
            </c:strRef>
          </c:cat>
          <c:val>
            <c:numRef>
              <c:f>Feuil5!$L$80:$L$83</c:f>
              <c:numCache>
                <c:formatCode>0.0%</c:formatCode>
                <c:ptCount val="4"/>
                <c:pt idx="0">
                  <c:v>3.333333333333334E-2</c:v>
                </c:pt>
                <c:pt idx="1">
                  <c:v>0.72258064516129028</c:v>
                </c:pt>
                <c:pt idx="2">
                  <c:v>0.19892473118279724</c:v>
                </c:pt>
                <c:pt idx="3">
                  <c:v>4.5161290322580733E-2</c:v>
                </c:pt>
              </c:numCache>
            </c:numRef>
          </c:val>
        </c:ser>
        <c:dLbls>
          <c:showCatName val="1"/>
          <c:showPercent val="1"/>
        </c:dLbls>
      </c:pie3DChart>
    </c:plotArea>
    <c:plotVisOnly val="1"/>
    <c:dispBlanksAs val="zero"/>
  </c:chart>
  <c:externalData r:id="rId1"/>
</c:chartSpace>
</file>

<file path=word/charts/chart195.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numFmt formatCode="0.0%" sourceLinked="0"/>
            <c:txPr>
              <a:bodyPr/>
              <a:lstStyle/>
              <a:p>
                <a:pPr>
                  <a:defRPr>
                    <a:latin typeface="Book Antiqua" pitchFamily="18" charset="0"/>
                  </a:defRPr>
                </a:pPr>
                <a:endParaRPr lang="fr-FR"/>
              </a:p>
            </c:txPr>
            <c:showPercent val="1"/>
            <c:showLeaderLines val="1"/>
          </c:dLbls>
          <c:cat>
            <c:strRef>
              <c:f>Feuil5!$J$95:$J$98</c:f>
              <c:strCache>
                <c:ptCount val="4"/>
                <c:pt idx="0">
                  <c:v>Très raisonnable</c:v>
                </c:pt>
                <c:pt idx="1">
                  <c:v>Raisonnable</c:v>
                </c:pt>
                <c:pt idx="2">
                  <c:v>Cher</c:v>
                </c:pt>
                <c:pt idx="3">
                  <c:v>Très cher</c:v>
                </c:pt>
              </c:strCache>
            </c:strRef>
          </c:cat>
          <c:val>
            <c:numRef>
              <c:f>Feuil5!$L$95:$L$98</c:f>
              <c:numCache>
                <c:formatCode>0.0%</c:formatCode>
                <c:ptCount val="4"/>
                <c:pt idx="0">
                  <c:v>1.82207931404074E-2</c:v>
                </c:pt>
                <c:pt idx="1">
                  <c:v>0.54019292604501612</c:v>
                </c:pt>
                <c:pt idx="2">
                  <c:v>0.37620578778135222</c:v>
                </c:pt>
                <c:pt idx="3">
                  <c:v>6.5380493033226947E-2</c:v>
                </c:pt>
              </c:numCache>
            </c:numRef>
          </c:val>
        </c:ser>
        <c:dLbls>
          <c:showPercent val="1"/>
        </c:dLbls>
      </c:pie3DChart>
    </c:plotArea>
    <c:legend>
      <c:legendPos val="b"/>
      <c:txPr>
        <a:bodyPr/>
        <a:lstStyle/>
        <a:p>
          <a:pPr>
            <a:defRPr b="1">
              <a:latin typeface="Book Antiqua" pitchFamily="18" charset="0"/>
            </a:defRPr>
          </a:pPr>
          <a:endParaRPr lang="fr-FR"/>
        </a:p>
      </c:txPr>
    </c:legend>
    <c:plotVisOnly val="1"/>
    <c:dispBlanksAs val="zero"/>
  </c:chart>
  <c:externalData r:id="rId1"/>
</c:chartSpace>
</file>

<file path=word/charts/chart196.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055555555558084E-2"/>
          <c:y val="0.11950495771362071"/>
          <c:w val="0.90694444444445232"/>
          <c:h val="0.77333880139983469"/>
        </c:manualLayout>
      </c:layout>
      <c:ofPieChart>
        <c:ofPieType val="bar"/>
        <c:varyColors val="1"/>
        <c:ser>
          <c:idx val="0"/>
          <c:order val="0"/>
          <c:dPt>
            <c:idx val="0"/>
            <c:spPr>
              <a:solidFill>
                <a:srgbClr val="FF0000"/>
              </a:solidFill>
            </c:spPr>
          </c:dPt>
          <c:dPt>
            <c:idx val="1"/>
            <c:spPr>
              <a:solidFill>
                <a:schemeClr val="accent6">
                  <a:lumMod val="75000"/>
                </a:schemeClr>
              </a:solidFill>
            </c:spPr>
          </c:dPt>
          <c:dPt>
            <c:idx val="2"/>
            <c:spPr>
              <a:solidFill>
                <a:srgbClr val="92D050"/>
              </a:solidFill>
            </c:spPr>
          </c:dPt>
          <c:dPt>
            <c:idx val="3"/>
            <c:spPr>
              <a:solidFill>
                <a:srgbClr val="00B050"/>
              </a:solidFill>
            </c:spPr>
          </c:dPt>
          <c:dPt>
            <c:idx val="4"/>
            <c:spPr>
              <a:solidFill>
                <a:schemeClr val="accent3">
                  <a:lumMod val="75000"/>
                </a:schemeClr>
              </a:solidFill>
            </c:spPr>
          </c:dPt>
          <c:dLbls>
            <c:numFmt formatCode="0.0%" sourceLinked="0"/>
            <c:spPr>
              <a:noFill/>
              <a:ln>
                <a:noFill/>
              </a:ln>
              <a:effectLst/>
            </c:spPr>
            <c:txPr>
              <a:bodyPr wrap="square" lIns="38100" tIns="19050" rIns="38100" bIns="19050" anchor="ctr">
                <a:spAutoFit/>
              </a:bodyPr>
              <a:lstStyle/>
              <a:p>
                <a:pPr>
                  <a:defRPr sz="800" b="1">
                    <a:latin typeface="Book Antiqua" pitchFamily="18" charset="0"/>
                  </a:defRPr>
                </a:pPr>
                <a:endParaRPr lang="fr-FR"/>
              </a:p>
            </c:txPr>
            <c:dLblPos val="bestFit"/>
            <c:showPercent val="1"/>
            <c:showLeaderLines val="1"/>
            <c:extLst>
              <c:ext xmlns:c15="http://schemas.microsoft.com/office/drawing/2012/chart" uri="{CE6537A1-D6FC-4f65-9D91-7224C49458BB}"/>
            </c:extLst>
          </c:dLbls>
          <c:cat>
            <c:strRef>
              <c:f>Feuil1!$A$3:$A$6</c:f>
              <c:strCache>
                <c:ptCount val="4"/>
                <c:pt idx="0">
                  <c:v>Très difficile</c:v>
                </c:pt>
                <c:pt idx="1">
                  <c:v>Difficile</c:v>
                </c:pt>
                <c:pt idx="2">
                  <c:v>Facile</c:v>
                </c:pt>
                <c:pt idx="3">
                  <c:v>Très facile</c:v>
                </c:pt>
              </c:strCache>
            </c:strRef>
          </c:cat>
          <c:val>
            <c:numRef>
              <c:f>Feuil1!$B$3:$B$6</c:f>
              <c:numCache>
                <c:formatCode>###0.0</c:formatCode>
                <c:ptCount val="4"/>
                <c:pt idx="0">
                  <c:v>6.6561431202315182</c:v>
                </c:pt>
                <c:pt idx="1">
                  <c:v>20.494606682451789</c:v>
                </c:pt>
                <c:pt idx="2">
                  <c:v>65.403841094448808</c:v>
                </c:pt>
                <c:pt idx="3">
                  <c:v>7.4454091028677034</c:v>
                </c:pt>
              </c:numCache>
            </c:numRef>
          </c:val>
        </c:ser>
        <c:dLbls>
          <c:showPercent val="1"/>
        </c:dLbls>
        <c:gapWidth val="100"/>
        <c:secondPieSize val="75"/>
        <c:serLines/>
      </c:ofPieChart>
    </c:plotArea>
    <c:legend>
      <c:legendPos val="t"/>
      <c:layout>
        <c:manualLayout>
          <c:xMode val="edge"/>
          <c:yMode val="edge"/>
          <c:x val="0.26303105861767279"/>
          <c:y val="0.90277777777777779"/>
          <c:w val="0.50171566054243222"/>
          <c:h val="7.2533902012249032E-2"/>
        </c:manualLayout>
      </c:layout>
      <c:txPr>
        <a:bodyPr/>
        <a:lstStyle/>
        <a:p>
          <a:pPr>
            <a:defRPr sz="800" b="1">
              <a:latin typeface="Book Antiqua" pitchFamily="18" charset="0"/>
            </a:defRPr>
          </a:pPr>
          <a:endParaRPr lang="fr-FR"/>
        </a:p>
      </c:txPr>
    </c:legend>
    <c:plotVisOnly val="1"/>
    <c:dispBlanksAs val="zero"/>
  </c:chart>
  <c:externalData r:id="rId2"/>
</c:chartSpace>
</file>

<file path=word/charts/chart19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2589007019283879"/>
          <c:y val="4.2924421379145913E-2"/>
          <c:w val="0.70500249968753892"/>
          <c:h val="0.77860290248652853"/>
        </c:manualLayout>
      </c:layout>
      <c:bar3DChart>
        <c:barDir val="bar"/>
        <c:grouping val="percentStacked"/>
        <c:ser>
          <c:idx val="0"/>
          <c:order val="0"/>
          <c:tx>
            <c:strRef>
              <c:f>TB_CROISES_PP_FNDIAYE!$B$2389</c:f>
              <c:strCache>
                <c:ptCount val="1"/>
                <c:pt idx="0">
                  <c:v>Très facile</c:v>
                </c:pt>
              </c:strCache>
            </c:strRef>
          </c:tx>
          <c:spPr>
            <a:solidFill>
              <a:srgbClr val="00B050"/>
            </a:solidFill>
          </c:spPr>
          <c:cat>
            <c:strRef>
              <c:f>TB_CROISES_PP_FNDIAYE!$C$2388:$P$2388</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TB_CROISES_PP_FNDIAYE!$C$2389:$P$2389</c:f>
              <c:numCache>
                <c:formatCode>###0.0%</c:formatCode>
                <c:ptCount val="14"/>
                <c:pt idx="0">
                  <c:v>6.3764291996484215E-2</c:v>
                </c:pt>
                <c:pt idx="1">
                  <c:v>4.3478260869565223E-2</c:v>
                </c:pt>
                <c:pt idx="2">
                  <c:v>6.25E-2</c:v>
                </c:pt>
                <c:pt idx="3">
                  <c:v>1.2987012987012986E-2</c:v>
                </c:pt>
                <c:pt idx="5">
                  <c:v>0.15126050420168066</c:v>
                </c:pt>
                <c:pt idx="6">
                  <c:v>1.3698630136986301E-2</c:v>
                </c:pt>
                <c:pt idx="7">
                  <c:v>0.11666666666666672</c:v>
                </c:pt>
                <c:pt idx="8">
                  <c:v>0.16</c:v>
                </c:pt>
                <c:pt idx="9">
                  <c:v>0.17391304347826769</c:v>
                </c:pt>
                <c:pt idx="10">
                  <c:v>6.4814814814817531E-2</c:v>
                </c:pt>
                <c:pt idx="11" formatCode="####.0%">
                  <c:v>9.6153846153850652E-3</c:v>
                </c:pt>
                <c:pt idx="12">
                  <c:v>0.23021582733812948</c:v>
                </c:pt>
                <c:pt idx="13">
                  <c:v>4.7058823529411813E-2</c:v>
                </c:pt>
              </c:numCache>
            </c:numRef>
          </c:val>
        </c:ser>
        <c:ser>
          <c:idx val="1"/>
          <c:order val="1"/>
          <c:tx>
            <c:strRef>
              <c:f>TB_CROISES_PP_FNDIAYE!$B$2390</c:f>
              <c:strCache>
                <c:ptCount val="1"/>
                <c:pt idx="0">
                  <c:v>Facile</c:v>
                </c:pt>
              </c:strCache>
            </c:strRef>
          </c:tx>
          <c:spPr>
            <a:solidFill>
              <a:srgbClr val="92D050"/>
            </a:solidFill>
          </c:spPr>
          <c:cat>
            <c:strRef>
              <c:f>TB_CROISES_PP_FNDIAYE!$C$2388:$P$2388</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TB_CROISES_PP_FNDIAYE!$C$2390:$P$2390</c:f>
              <c:numCache>
                <c:formatCode>###0.0%</c:formatCode>
                <c:ptCount val="14"/>
                <c:pt idx="0">
                  <c:v>0.70140721196130151</c:v>
                </c:pt>
                <c:pt idx="1">
                  <c:v>0.55900621118012461</c:v>
                </c:pt>
                <c:pt idx="2">
                  <c:v>0.51249999999999996</c:v>
                </c:pt>
                <c:pt idx="3">
                  <c:v>0.25974025974025972</c:v>
                </c:pt>
                <c:pt idx="4">
                  <c:v>0.71304347826089565</c:v>
                </c:pt>
                <c:pt idx="5">
                  <c:v>0.52941176470588236</c:v>
                </c:pt>
                <c:pt idx="6">
                  <c:v>0.47945205479452058</c:v>
                </c:pt>
                <c:pt idx="7">
                  <c:v>0.78333333333333333</c:v>
                </c:pt>
                <c:pt idx="8">
                  <c:v>0.39000000000000767</c:v>
                </c:pt>
                <c:pt idx="9">
                  <c:v>0.60248447204970512</c:v>
                </c:pt>
                <c:pt idx="10">
                  <c:v>0.45370370370370372</c:v>
                </c:pt>
                <c:pt idx="11">
                  <c:v>0.67307692307692302</c:v>
                </c:pt>
                <c:pt idx="12">
                  <c:v>0.71942446043165453</c:v>
                </c:pt>
                <c:pt idx="13">
                  <c:v>0.65294117647062189</c:v>
                </c:pt>
              </c:numCache>
            </c:numRef>
          </c:val>
        </c:ser>
        <c:ser>
          <c:idx val="2"/>
          <c:order val="2"/>
          <c:tx>
            <c:strRef>
              <c:f>TB_CROISES_PP_FNDIAYE!$B$2393</c:f>
              <c:strCache>
                <c:ptCount val="1"/>
                <c:pt idx="0">
                  <c:v>Difficile</c:v>
                </c:pt>
              </c:strCache>
            </c:strRef>
          </c:tx>
          <c:spPr>
            <a:solidFill>
              <a:schemeClr val="accent6">
                <a:lumMod val="75000"/>
              </a:schemeClr>
            </a:solidFill>
          </c:spPr>
          <c:cat>
            <c:strRef>
              <c:f>TB_CROISES_PP_FNDIAYE!$C$2388:$P$2388</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TB_CROISES_PP_FNDIAYE!$C$2393:$P$2393</c:f>
              <c:numCache>
                <c:formatCode>###0.0%</c:formatCode>
                <c:ptCount val="14"/>
                <c:pt idx="0">
                  <c:v>0.18557607739665788</c:v>
                </c:pt>
                <c:pt idx="1">
                  <c:v>0.32919254658385338</c:v>
                </c:pt>
                <c:pt idx="2">
                  <c:v>0.32500000000000767</c:v>
                </c:pt>
                <c:pt idx="3">
                  <c:v>0.3766233766233768</c:v>
                </c:pt>
                <c:pt idx="4">
                  <c:v>0.26956521739130435</c:v>
                </c:pt>
                <c:pt idx="5">
                  <c:v>0.20168067226890282</c:v>
                </c:pt>
                <c:pt idx="6">
                  <c:v>0.38356164383562574</c:v>
                </c:pt>
                <c:pt idx="7">
                  <c:v>9.1666666666668228E-2</c:v>
                </c:pt>
                <c:pt idx="8">
                  <c:v>0.30000000000000032</c:v>
                </c:pt>
                <c:pt idx="9">
                  <c:v>0.17391304347826769</c:v>
                </c:pt>
                <c:pt idx="10">
                  <c:v>0.23148148148148912</c:v>
                </c:pt>
                <c:pt idx="11">
                  <c:v>0.25961538461538453</c:v>
                </c:pt>
                <c:pt idx="12">
                  <c:v>3.5971223021582746E-2</c:v>
                </c:pt>
                <c:pt idx="13">
                  <c:v>0.2352941176470589</c:v>
                </c:pt>
              </c:numCache>
            </c:numRef>
          </c:val>
        </c:ser>
        <c:ser>
          <c:idx val="3"/>
          <c:order val="3"/>
          <c:tx>
            <c:strRef>
              <c:f>TB_CROISES_PP_FNDIAYE!$B$2394</c:f>
              <c:strCache>
                <c:ptCount val="1"/>
                <c:pt idx="0">
                  <c:v>Très difficile</c:v>
                </c:pt>
              </c:strCache>
            </c:strRef>
          </c:tx>
          <c:spPr>
            <a:solidFill>
              <a:srgbClr val="FF0000"/>
            </a:solidFill>
          </c:spPr>
          <c:cat>
            <c:strRef>
              <c:f>TB_CROISES_PP_FNDIAYE!$C$2388:$P$2388</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TB_CROISES_PP_FNDIAYE!$C$2394:$P$2394</c:f>
              <c:numCache>
                <c:formatCode>###0.0%</c:formatCode>
                <c:ptCount val="14"/>
                <c:pt idx="0">
                  <c:v>4.9252418645558502E-2</c:v>
                </c:pt>
                <c:pt idx="1">
                  <c:v>6.8322981366459631E-2</c:v>
                </c:pt>
                <c:pt idx="2">
                  <c:v>0.1</c:v>
                </c:pt>
                <c:pt idx="3">
                  <c:v>0.35064935064935066</c:v>
                </c:pt>
                <c:pt idx="4">
                  <c:v>1.7391304347826087E-2</c:v>
                </c:pt>
                <c:pt idx="5">
                  <c:v>0.11764705882352942</c:v>
                </c:pt>
                <c:pt idx="6">
                  <c:v>0.12328767123287672</c:v>
                </c:pt>
                <c:pt idx="7" formatCode="####.0%">
                  <c:v>8.3333333333333367E-3</c:v>
                </c:pt>
                <c:pt idx="8">
                  <c:v>0.15000000000000024</c:v>
                </c:pt>
                <c:pt idx="9">
                  <c:v>4.9689440993788823E-2</c:v>
                </c:pt>
                <c:pt idx="10">
                  <c:v>0.25</c:v>
                </c:pt>
                <c:pt idx="11">
                  <c:v>5.7692307692307723E-2</c:v>
                </c:pt>
                <c:pt idx="12">
                  <c:v>1.4388489208633531E-2</c:v>
                </c:pt>
                <c:pt idx="13">
                  <c:v>6.4705882352942112E-2</c:v>
                </c:pt>
              </c:numCache>
            </c:numRef>
          </c:val>
        </c:ser>
        <c:gapWidth val="55"/>
        <c:gapDepth val="55"/>
        <c:shape val="cylinder"/>
        <c:axId val="237096320"/>
        <c:axId val="237638784"/>
        <c:axId val="0"/>
      </c:bar3DChart>
      <c:catAx>
        <c:axId val="237096320"/>
        <c:scaling>
          <c:orientation val="minMax"/>
        </c:scaling>
        <c:axPos val="l"/>
        <c:numFmt formatCode="General" sourceLinked="0"/>
        <c:majorTickMark val="none"/>
        <c:tickLblPos val="nextTo"/>
        <c:txPr>
          <a:bodyPr/>
          <a:lstStyle/>
          <a:p>
            <a:pPr>
              <a:defRPr sz="800">
                <a:latin typeface="Book Antiqua" pitchFamily="18" charset="0"/>
              </a:defRPr>
            </a:pPr>
            <a:endParaRPr lang="fr-FR"/>
          </a:p>
        </c:txPr>
        <c:crossAx val="237638784"/>
        <c:crosses val="autoZero"/>
        <c:auto val="1"/>
        <c:lblAlgn val="ctr"/>
        <c:lblOffset val="100"/>
      </c:catAx>
      <c:valAx>
        <c:axId val="237638784"/>
        <c:scaling>
          <c:orientation val="minMax"/>
        </c:scaling>
        <c:axPos val="b"/>
        <c:majorGridlines/>
        <c:numFmt formatCode="0%" sourceLinked="1"/>
        <c:majorTickMark val="none"/>
        <c:tickLblPos val="nextTo"/>
        <c:txPr>
          <a:bodyPr/>
          <a:lstStyle/>
          <a:p>
            <a:pPr>
              <a:defRPr sz="800">
                <a:latin typeface="Book Antiqua" pitchFamily="18" charset="0"/>
              </a:defRPr>
            </a:pPr>
            <a:endParaRPr lang="fr-FR"/>
          </a:p>
        </c:txPr>
        <c:crossAx val="237096320"/>
        <c:crosses val="autoZero"/>
        <c:crossBetween val="between"/>
      </c:valAx>
    </c:plotArea>
    <c:legend>
      <c:legendPos val="r"/>
      <c:layout>
        <c:manualLayout>
          <c:xMode val="edge"/>
          <c:yMode val="edge"/>
          <c:x val="0.21934968531901144"/>
          <c:y val="0.8803247594050746"/>
          <c:w val="0.53734368970302049"/>
          <c:h val="0.118416512163477"/>
        </c:manualLayout>
      </c:layout>
      <c:txPr>
        <a:bodyPr/>
        <a:lstStyle/>
        <a:p>
          <a:pPr>
            <a:defRPr sz="800" b="1">
              <a:latin typeface="Book Antiqua" pitchFamily="18" charset="0"/>
            </a:defRPr>
          </a:pPr>
          <a:endParaRPr lang="fr-FR"/>
        </a:p>
      </c:txPr>
    </c:legend>
    <c:plotVisOnly val="1"/>
    <c:dispBlanksAs val="gap"/>
  </c:chart>
  <c:externalData r:id="rId2"/>
</c:chartSpace>
</file>

<file path=word/charts/chart19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5.9394287670562984E-2"/>
          <c:y val="8.509853160246858E-2"/>
          <c:w val="0.94060571232945489"/>
          <c:h val="0.79985401149181579"/>
        </c:manualLayout>
      </c:layout>
      <c:pie3DChart>
        <c:varyColors val="1"/>
        <c:ser>
          <c:idx val="0"/>
          <c:order val="0"/>
          <c:explosion val="25"/>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numFmt formatCode="0.0%" sourceLinked="0"/>
            <c:spPr>
              <a:noFill/>
              <a:ln>
                <a:noFill/>
              </a:ln>
              <a:effectLst/>
            </c:spPr>
            <c:txPr>
              <a:bodyPr wrap="square" lIns="38100" tIns="19050" rIns="38100" bIns="19050" anchor="ctr">
                <a:spAutoFit/>
              </a:bodyPr>
              <a:lstStyle/>
              <a:p>
                <a:pPr>
                  <a:defRPr sz="800" b="1">
                    <a:latin typeface="Book Antiqua" pitchFamily="18" charset="0"/>
                  </a:defRPr>
                </a:pPr>
                <a:endParaRPr lang="fr-FR"/>
              </a:p>
            </c:txPr>
            <c:showPercent val="1"/>
            <c:extLst>
              <c:ext xmlns:c15="http://schemas.microsoft.com/office/drawing/2012/chart" uri="{CE6537A1-D6FC-4f65-9D91-7224C49458BB}"/>
            </c:extLst>
          </c:dLbls>
          <c:cat>
            <c:strRef>
              <c:f>Feuil1!$A$20:$A$23</c:f>
              <c:strCache>
                <c:ptCount val="4"/>
                <c:pt idx="0">
                  <c:v>Très adaptés</c:v>
                </c:pt>
                <c:pt idx="1">
                  <c:v>Adaptés</c:v>
                </c:pt>
                <c:pt idx="2">
                  <c:v>Inadaptés</c:v>
                </c:pt>
                <c:pt idx="3">
                  <c:v>Très inadaptés</c:v>
                </c:pt>
              </c:strCache>
            </c:strRef>
          </c:cat>
          <c:val>
            <c:numRef>
              <c:f>Feuil1!$B$20:$B$23</c:f>
              <c:numCache>
                <c:formatCode>###0.0</c:formatCode>
                <c:ptCount val="4"/>
                <c:pt idx="0">
                  <c:v>3.8937121810049988</c:v>
                </c:pt>
                <c:pt idx="1">
                  <c:v>74.743488555643253</c:v>
                </c:pt>
                <c:pt idx="2">
                  <c:v>19.310707708497791</c:v>
                </c:pt>
                <c:pt idx="3">
                  <c:v>2.0520915548539858</c:v>
                </c:pt>
              </c:numCache>
            </c:numRef>
          </c:val>
        </c:ser>
        <c:dLbls>
          <c:showPercent val="1"/>
        </c:dLbls>
      </c:pie3DChart>
    </c:plotArea>
    <c:legend>
      <c:legendPos val="t"/>
      <c:layout>
        <c:manualLayout>
          <c:xMode val="edge"/>
          <c:yMode val="edge"/>
          <c:x val="0.25127882025069931"/>
          <c:y val="0.88648648648648654"/>
          <c:w val="0.59688032943719982"/>
          <c:h val="7.8287968929522334E-2"/>
        </c:manualLayout>
      </c:layout>
      <c:txPr>
        <a:bodyPr/>
        <a:lstStyle/>
        <a:p>
          <a:pPr>
            <a:defRPr sz="700" b="1">
              <a:latin typeface="Book Antiqua" pitchFamily="18" charset="0"/>
            </a:defRPr>
          </a:pPr>
          <a:endParaRPr lang="fr-FR"/>
        </a:p>
      </c:txPr>
    </c:legend>
    <c:plotVisOnly val="1"/>
    <c:dispBlanksAs val="zero"/>
  </c:chart>
  <c:externalData r:id="rId2"/>
</c:chartSpace>
</file>

<file path=word/charts/chart199.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6038050038265717"/>
          <c:y val="0.13210590885771006"/>
          <c:w val="0.75470894905260144"/>
          <c:h val="0.69709914303132203"/>
        </c:manualLayout>
      </c:layout>
      <c:bar3DChart>
        <c:barDir val="bar"/>
        <c:grouping val="percentStacked"/>
        <c:ser>
          <c:idx val="0"/>
          <c:order val="0"/>
          <c:tx>
            <c:strRef>
              <c:f>TB_CROISES_PP_FNDIAYE!$B$2482</c:f>
              <c:strCache>
                <c:ptCount val="1"/>
                <c:pt idx="0">
                  <c:v>Très adaptés</c:v>
                </c:pt>
              </c:strCache>
            </c:strRef>
          </c:tx>
          <c:spPr>
            <a:solidFill>
              <a:srgbClr val="00B050"/>
            </a:solidFill>
          </c:spPr>
          <c:cat>
            <c:strRef>
              <c:f>TB_CROISES_PP_FNDIAYE!$C$2481:$P$2481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TB_CROISES_PP_FNDIAYE!$C$2482:$P$2482</c:f>
              <c:numCache>
                <c:formatCode>###0.0%</c:formatCode>
                <c:ptCount val="14"/>
                <c:pt idx="0">
                  <c:v>3.7379067722077185E-2</c:v>
                </c:pt>
                <c:pt idx="1">
                  <c:v>3.1055900621119101E-2</c:v>
                </c:pt>
                <c:pt idx="2">
                  <c:v>2.5000000000000001E-2</c:v>
                </c:pt>
                <c:pt idx="3">
                  <c:v>1.2987012987012986E-2</c:v>
                </c:pt>
                <c:pt idx="5">
                  <c:v>4.2016806722689079E-2</c:v>
                </c:pt>
                <c:pt idx="6">
                  <c:v>1.3698630136986301E-2</c:v>
                </c:pt>
                <c:pt idx="7">
                  <c:v>6.666666666666668E-2</c:v>
                </c:pt>
                <c:pt idx="8">
                  <c:v>6.0000000000000032E-2</c:v>
                </c:pt>
                <c:pt idx="9">
                  <c:v>9.9378881987577647E-2</c:v>
                </c:pt>
                <c:pt idx="10">
                  <c:v>3.7037037037037056E-2</c:v>
                </c:pt>
                <c:pt idx="11" formatCode="####.0%">
                  <c:v>9.6153846153850652E-3</c:v>
                </c:pt>
                <c:pt idx="12">
                  <c:v>7.1942446043165464E-2</c:v>
                </c:pt>
                <c:pt idx="13">
                  <c:v>2.3529411764705879E-2</c:v>
                </c:pt>
              </c:numCache>
            </c:numRef>
          </c:val>
        </c:ser>
        <c:ser>
          <c:idx val="1"/>
          <c:order val="1"/>
          <c:tx>
            <c:strRef>
              <c:f>TB_CROISES_PP_FNDIAYE!$B$2483</c:f>
              <c:strCache>
                <c:ptCount val="1"/>
                <c:pt idx="0">
                  <c:v>Adaptés</c:v>
                </c:pt>
              </c:strCache>
            </c:strRef>
          </c:tx>
          <c:spPr>
            <a:solidFill>
              <a:srgbClr val="92D050"/>
            </a:solidFill>
          </c:spPr>
          <c:cat>
            <c:strRef>
              <c:f>TB_CROISES_PP_FNDIAYE!$C$2481:$P$2481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TB_CROISES_PP_FNDIAYE!$C$2483:$P$2483</c:f>
              <c:numCache>
                <c:formatCode>###0.0%</c:formatCode>
                <c:ptCount val="14"/>
                <c:pt idx="0">
                  <c:v>0.74186455584872479</c:v>
                </c:pt>
                <c:pt idx="1">
                  <c:v>0.68944099378881984</c:v>
                </c:pt>
                <c:pt idx="2">
                  <c:v>0.85000000000000064</c:v>
                </c:pt>
                <c:pt idx="3">
                  <c:v>0.51948051948051943</c:v>
                </c:pt>
                <c:pt idx="4">
                  <c:v>0.81739130434782614</c:v>
                </c:pt>
                <c:pt idx="5">
                  <c:v>0.88235294117647056</c:v>
                </c:pt>
                <c:pt idx="6">
                  <c:v>0.69863013698630161</c:v>
                </c:pt>
                <c:pt idx="7">
                  <c:v>0.77500000000001545</c:v>
                </c:pt>
                <c:pt idx="8">
                  <c:v>0.74000000000000365</c:v>
                </c:pt>
                <c:pt idx="9">
                  <c:v>0.70807453416150601</c:v>
                </c:pt>
                <c:pt idx="10">
                  <c:v>0.87962962962965374</c:v>
                </c:pt>
                <c:pt idx="11">
                  <c:v>0.67307692307692302</c:v>
                </c:pt>
                <c:pt idx="12">
                  <c:v>0.7985611510791365</c:v>
                </c:pt>
                <c:pt idx="13">
                  <c:v>0.75294117647061842</c:v>
                </c:pt>
              </c:numCache>
            </c:numRef>
          </c:val>
        </c:ser>
        <c:ser>
          <c:idx val="2"/>
          <c:order val="2"/>
          <c:tx>
            <c:strRef>
              <c:f>TB_CROISES_PP_FNDIAYE!$B$2485</c:f>
              <c:strCache>
                <c:ptCount val="1"/>
                <c:pt idx="0">
                  <c:v>Inadaptés</c:v>
                </c:pt>
              </c:strCache>
            </c:strRef>
          </c:tx>
          <c:spPr>
            <a:solidFill>
              <a:schemeClr val="accent6">
                <a:lumMod val="75000"/>
              </a:schemeClr>
            </a:solidFill>
          </c:spPr>
          <c:cat>
            <c:strRef>
              <c:f>TB_CROISES_PP_FNDIAYE!$C$2481:$P$2481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TB_CROISES_PP_FNDIAYE!$C$2485:$P$2485</c:f>
              <c:numCache>
                <c:formatCode>###0.0%</c:formatCode>
                <c:ptCount val="14"/>
                <c:pt idx="0">
                  <c:v>0.20712401055408972</c:v>
                </c:pt>
                <c:pt idx="1">
                  <c:v>0.2360248447205</c:v>
                </c:pt>
                <c:pt idx="2">
                  <c:v>0.125</c:v>
                </c:pt>
                <c:pt idx="3">
                  <c:v>0.20779220779221413</c:v>
                </c:pt>
                <c:pt idx="4">
                  <c:v>0.18260869565217391</c:v>
                </c:pt>
                <c:pt idx="5">
                  <c:v>5.8823529411764705E-2</c:v>
                </c:pt>
                <c:pt idx="6">
                  <c:v>0.24657534246575341</c:v>
                </c:pt>
                <c:pt idx="7">
                  <c:v>0.15833333333333893</c:v>
                </c:pt>
                <c:pt idx="8">
                  <c:v>0.19</c:v>
                </c:pt>
                <c:pt idx="9">
                  <c:v>0.18012422360248448</c:v>
                </c:pt>
                <c:pt idx="10">
                  <c:v>4.6296296296296523E-2</c:v>
                </c:pt>
                <c:pt idx="11">
                  <c:v>0.29807692307693123</c:v>
                </c:pt>
                <c:pt idx="12">
                  <c:v>0.11510791366906188</c:v>
                </c:pt>
                <c:pt idx="13">
                  <c:v>0.2</c:v>
                </c:pt>
              </c:numCache>
            </c:numRef>
          </c:val>
        </c:ser>
        <c:ser>
          <c:idx val="3"/>
          <c:order val="3"/>
          <c:tx>
            <c:strRef>
              <c:f>TB_CROISES_PP_FNDIAYE!$B$2486</c:f>
              <c:strCache>
                <c:ptCount val="1"/>
                <c:pt idx="0">
                  <c:v>Très inadaptés</c:v>
                </c:pt>
              </c:strCache>
            </c:strRef>
          </c:tx>
          <c:spPr>
            <a:solidFill>
              <a:srgbClr val="FF0000"/>
            </a:solidFill>
          </c:spPr>
          <c:cat>
            <c:strRef>
              <c:f>TB_CROISES_PP_FNDIAYE!$C$2481:$P$2481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TB_CROISES_PP_FNDIAYE!$C$2486:$P$2486</c:f>
              <c:numCache>
                <c:formatCode>###0.0%</c:formatCode>
                <c:ptCount val="14"/>
                <c:pt idx="0">
                  <c:v>1.363236587510994E-2</c:v>
                </c:pt>
                <c:pt idx="1">
                  <c:v>4.3478260869565223E-2</c:v>
                </c:pt>
                <c:pt idx="3">
                  <c:v>0.25974025974025972</c:v>
                </c:pt>
                <c:pt idx="5">
                  <c:v>1.6806722689076074E-2</c:v>
                </c:pt>
                <c:pt idx="6">
                  <c:v>4.1095890410958895E-2</c:v>
                </c:pt>
                <c:pt idx="8">
                  <c:v>1.0000000000000005E-2</c:v>
                </c:pt>
                <c:pt idx="9">
                  <c:v>1.2422360248447619E-2</c:v>
                </c:pt>
                <c:pt idx="10">
                  <c:v>3.7037037037037056E-2</c:v>
                </c:pt>
                <c:pt idx="11">
                  <c:v>1.9230769230769811E-2</c:v>
                </c:pt>
                <c:pt idx="12">
                  <c:v>1.4388489208633531E-2</c:v>
                </c:pt>
                <c:pt idx="13">
                  <c:v>2.3529411764705879E-2</c:v>
                </c:pt>
              </c:numCache>
            </c:numRef>
          </c:val>
        </c:ser>
        <c:gapWidth val="55"/>
        <c:gapDepth val="55"/>
        <c:shape val="cylinder"/>
        <c:axId val="238176512"/>
        <c:axId val="238182400"/>
        <c:axId val="0"/>
      </c:bar3DChart>
      <c:catAx>
        <c:axId val="238176512"/>
        <c:scaling>
          <c:orientation val="minMax"/>
        </c:scaling>
        <c:axPos val="l"/>
        <c:numFmt formatCode="General" sourceLinked="0"/>
        <c:majorTickMark val="none"/>
        <c:tickLblPos val="nextTo"/>
        <c:txPr>
          <a:bodyPr/>
          <a:lstStyle/>
          <a:p>
            <a:pPr>
              <a:defRPr sz="700" b="1">
                <a:latin typeface="Book Antiqua" pitchFamily="18" charset="0"/>
              </a:defRPr>
            </a:pPr>
            <a:endParaRPr lang="fr-FR"/>
          </a:p>
        </c:txPr>
        <c:crossAx val="238182400"/>
        <c:crosses val="autoZero"/>
        <c:auto val="1"/>
        <c:lblAlgn val="ctr"/>
        <c:lblOffset val="100"/>
      </c:catAx>
      <c:valAx>
        <c:axId val="238182400"/>
        <c:scaling>
          <c:orientation val="minMax"/>
        </c:scaling>
        <c:axPos val="b"/>
        <c:majorGridlines/>
        <c:numFmt formatCode="0%" sourceLinked="1"/>
        <c:majorTickMark val="none"/>
        <c:tickLblPos val="nextTo"/>
        <c:txPr>
          <a:bodyPr/>
          <a:lstStyle/>
          <a:p>
            <a:pPr>
              <a:defRPr sz="700" b="1">
                <a:latin typeface="Book Antiqua" pitchFamily="18" charset="0"/>
              </a:defRPr>
            </a:pPr>
            <a:endParaRPr lang="fr-FR"/>
          </a:p>
        </c:txPr>
        <c:crossAx val="238176512"/>
        <c:crosses val="autoZero"/>
        <c:crossBetween val="between"/>
      </c:valAx>
    </c:plotArea>
    <c:legend>
      <c:legendPos val="r"/>
      <c:layout>
        <c:manualLayout>
          <c:xMode val="edge"/>
          <c:yMode val="edge"/>
          <c:x val="0.14581999167912779"/>
          <c:y val="0.89285794494738557"/>
          <c:w val="0.6871871837938065"/>
          <c:h val="0.10423245819940515"/>
        </c:manualLayout>
      </c:layout>
      <c:txPr>
        <a:bodyPr/>
        <a:lstStyle/>
        <a:p>
          <a:pPr>
            <a:defRPr sz="700" b="1">
              <a:latin typeface="Book Antiqua" pitchFamily="18" charset="0"/>
            </a:defRPr>
          </a:pPr>
          <a:endParaRPr lang="fr-FR"/>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7676621343207602"/>
          <c:y val="0.11697733479840385"/>
          <c:w val="0.77863876765174433"/>
          <c:h val="0.76604501417127802"/>
        </c:manualLayout>
      </c:layout>
      <c:pie3DChart>
        <c:varyColors val="1"/>
        <c:ser>
          <c:idx val="0"/>
          <c:order val="0"/>
          <c:tx>
            <c:strRef>
              <c:f>'ESUB_2015_PM TABLEAU A PLAT'!$C$159</c:f>
              <c:strCache>
                <c:ptCount val="1"/>
                <c:pt idx="0">
                  <c:v>Effectifs</c:v>
                </c:pt>
              </c:strCache>
            </c:strRef>
          </c:tx>
          <c:explosion val="25"/>
          <c:dLbls>
            <c:dLbl>
              <c:idx val="0"/>
              <c:layout>
                <c:manualLayout>
                  <c:x val="-2.8912002553734838E-2"/>
                  <c:y val="-7.9988334791484428E-2"/>
                </c:manualLayout>
              </c:layout>
              <c:dLblPos val="bestFit"/>
              <c:showLegendKey val="1"/>
              <c:showCatName val="1"/>
              <c:showPercent val="1"/>
              <c:extLst>
                <c:ext xmlns:c15="http://schemas.microsoft.com/office/drawing/2012/chart" uri="{CE6537A1-D6FC-4f65-9D91-7224C49458BB}"/>
              </c:extLst>
            </c:dLbl>
            <c:dLbl>
              <c:idx val="1"/>
              <c:layout>
                <c:manualLayout>
                  <c:x val="3.3333333333333402E-2"/>
                  <c:y val="0.13836456652418327"/>
                </c:manualLayout>
              </c:layout>
              <c:dLblPos val="bestFit"/>
              <c:showLegendKey val="1"/>
              <c:showCatName val="1"/>
              <c:showPercent val="1"/>
              <c:extLst>
                <c:ext xmlns:c15="http://schemas.microsoft.com/office/drawing/2012/chart" uri="{CE6537A1-D6FC-4f65-9D91-7224C49458BB}"/>
              </c:extLst>
            </c:dLbl>
            <c:dLbl>
              <c:idx val="2"/>
              <c:layout>
                <c:manualLayout>
                  <c:x val="-5.2777777777777812E-2"/>
                  <c:y val="8.8050336267605264E-2"/>
                </c:manualLayout>
              </c:layout>
              <c:dLblPos val="bestFit"/>
              <c:showLegendKey val="1"/>
              <c:showCatName val="1"/>
              <c:showPercent val="1"/>
              <c:extLst>
                <c:ext xmlns:c15="http://schemas.microsoft.com/office/drawing/2012/chart" uri="{CE6537A1-D6FC-4f65-9D91-7224C49458BB}"/>
              </c:extLst>
            </c:dLbl>
            <c:dLbl>
              <c:idx val="3"/>
              <c:layout>
                <c:manualLayout>
                  <c:x val="0"/>
                  <c:y val="2.1294176193714816E-2"/>
                </c:manualLayout>
              </c:layout>
              <c:dLblPos val="bestFit"/>
              <c:showLegendKey val="1"/>
              <c:showCatName val="1"/>
              <c:showPercent val="1"/>
              <c:extLst>
                <c:ext xmlns:c15="http://schemas.microsoft.com/office/drawing/2012/chart" uri="{CE6537A1-D6FC-4f65-9D91-7224C49458BB}"/>
              </c:extLst>
            </c:dLbl>
            <c:dLbl>
              <c:idx val="4"/>
              <c:layout>
                <c:manualLayout>
                  <c:x val="0"/>
                  <c:y val="-1.8867929200201247E-2"/>
                </c:manualLayout>
              </c:layout>
              <c:dLblPos val="bestFit"/>
              <c:showLegendKey val="1"/>
              <c:showCatName val="1"/>
              <c:showPercent val="1"/>
              <c:extLst>
                <c:ext xmlns:c15="http://schemas.microsoft.com/office/drawing/2012/chart" uri="{CE6537A1-D6FC-4f65-9D91-7224C49458BB}"/>
              </c:extLst>
            </c:dLbl>
            <c:dLbl>
              <c:idx val="5"/>
              <c:layout>
                <c:manualLayout>
                  <c:x val="0"/>
                  <c:y val="-6.2893097334006207E-2"/>
                </c:manualLayout>
              </c:layout>
              <c:tx>
                <c:rich>
                  <a:bodyPr/>
                  <a:lstStyle/>
                  <a:p>
                    <a:r>
                      <a:rPr lang="en-US" sz="800" i="0">
                        <a:latin typeface="Book Antiqua" pitchFamily="18" charset="0"/>
                      </a:rPr>
                      <a:t>Autre 
16%</a:t>
                    </a:r>
                  </a:p>
                </c:rich>
              </c:tx>
              <c:dLblPos val="bestFit"/>
              <c:showLegendKey val="1"/>
              <c:showCatName val="1"/>
              <c:showPercent val="1"/>
              <c:extLst>
                <c:ext xmlns:c15="http://schemas.microsoft.com/office/drawing/2012/chart" uri="{CE6537A1-D6FC-4f65-9D91-7224C49458BB}"/>
              </c:extLst>
            </c:dLbl>
            <c:dLbl>
              <c:idx val="6"/>
              <c:layout>
                <c:manualLayout>
                  <c:x val="-2.7878390201227124E-3"/>
                  <c:y val="-6.6037752200701433E-2"/>
                </c:manualLayout>
              </c:layout>
              <c:dLblPos val="bestFit"/>
              <c:showLegendKey val="1"/>
              <c:showCatName val="1"/>
              <c:showPercent val="1"/>
              <c:extLst>
                <c:ext xmlns:c15="http://schemas.microsoft.com/office/drawing/2012/chart" uri="{CE6537A1-D6FC-4f65-9D91-7224C49458BB}"/>
              </c:extLst>
            </c:dLbl>
            <c:dLbl>
              <c:idx val="8"/>
              <c:layout>
                <c:manualLayout>
                  <c:x val="-1.8446850393701746E-2"/>
                  <c:y val="-6.6037752200701433E-2"/>
                </c:manualLayout>
              </c:layout>
              <c:dLblPos val="bestFit"/>
              <c:showLegendKey val="1"/>
              <c:showCatName val="1"/>
              <c:showPercent val="1"/>
              <c:extLst>
                <c:ext xmlns:c15="http://schemas.microsoft.com/office/drawing/2012/chart" uri="{CE6537A1-D6FC-4f65-9D91-7224C49458BB}"/>
              </c:extLst>
            </c:dLbl>
            <c:dLbl>
              <c:idx val="9"/>
              <c:layout>
                <c:manualLayout>
                  <c:x val="-1.2952755905511861E-3"/>
                  <c:y val="-0.1383648141348027"/>
                </c:manualLayout>
              </c:layout>
              <c:dLblPos val="bestFit"/>
              <c:showLegendKey val="1"/>
              <c:showCatName val="1"/>
              <c:showPercent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5.6944030644818074E-2"/>
                  <c:y val="-0.12881371310067719"/>
                </c:manualLayout>
              </c:layout>
              <c:dLblPos val="bestFit"/>
              <c:showLegendKey val="1"/>
              <c:showCatName val="1"/>
              <c:showPercent val="1"/>
              <c:extLst>
                <c:ext xmlns:c15="http://schemas.microsoft.com/office/drawing/2012/chart" uri="{CE6537A1-D6FC-4f65-9D91-7224C49458BB}"/>
              </c:extLst>
            </c:dLbl>
            <c:dLbl>
              <c:idx val="12"/>
              <c:layout>
                <c:manualLayout>
                  <c:x val="0.15032161098105967"/>
                  <c:y val="-5.0858580948987132E-2"/>
                </c:manualLayout>
              </c:layout>
              <c:tx>
                <c:rich>
                  <a:bodyPr/>
                  <a:lstStyle/>
                  <a:p>
                    <a:r>
                      <a:rPr lang="en-US" sz="800" i="0">
                        <a:latin typeface="Book Antiqua" pitchFamily="18" charset="0"/>
                      </a:rPr>
                      <a:t>ZIGUINCHOR-SEDHIOU
5%</a:t>
                    </a:r>
                  </a:p>
                </c:rich>
              </c:tx>
              <c:dLblPos val="bestFit"/>
              <c:showLegendKey val="1"/>
              <c:showCatName val="1"/>
              <c:showPercent val="1"/>
              <c:extLst>
                <c:ext xmlns:c15="http://schemas.microsoft.com/office/drawing/2012/chart" uri="{CE6537A1-D6FC-4f65-9D91-7224C49458BB}"/>
              </c:extLst>
            </c:dLbl>
            <c:dLbl>
              <c:idx val="13"/>
              <c:delete val="1"/>
              <c:extLst>
                <c:ext xmlns:c15="http://schemas.microsoft.com/office/drawing/2012/chart" uri="{CE6537A1-D6FC-4f65-9D91-7224C49458BB}"/>
              </c:extLst>
            </c:dLbl>
            <c:spPr>
              <a:noFill/>
              <a:ln>
                <a:noFill/>
              </a:ln>
              <a:effectLst/>
            </c:spPr>
            <c:txPr>
              <a:bodyPr/>
              <a:lstStyle/>
              <a:p>
                <a:pPr>
                  <a:defRPr sz="800" b="1" i="0" baseline="0">
                    <a:latin typeface="Book Antiqua" pitchFamily="18" charset="0"/>
                  </a:defRPr>
                </a:pPr>
                <a:endParaRPr lang="fr-FR"/>
              </a:p>
            </c:txPr>
            <c:dLblPos val="outEnd"/>
            <c:showLegendKey val="1"/>
            <c:showCatName val="1"/>
            <c:showPercent val="1"/>
            <c:showLeaderLines val="1"/>
            <c:extLst>
              <c:ext xmlns:c15="http://schemas.microsoft.com/office/drawing/2012/chart" uri="{CE6537A1-D6FC-4f65-9D91-7224C49458BB}"/>
            </c:extLst>
          </c:dLbls>
          <c:cat>
            <c:strRef>
              <c:f>'ESUB_2015_PM TABLEAU A PLAT'!$B$160:$B$165</c:f>
              <c:strCache>
                <c:ptCount val="6"/>
                <c:pt idx="0">
                  <c:v>SARL</c:v>
                </c:pt>
                <c:pt idx="1">
                  <c:v>SU</c:v>
                </c:pt>
                <c:pt idx="2">
                  <c:v>SA</c:v>
                </c:pt>
                <c:pt idx="3">
                  <c:v>SNC</c:v>
                </c:pt>
                <c:pt idx="4">
                  <c:v>GIE</c:v>
                </c:pt>
                <c:pt idx="5">
                  <c:v>Autre (préciser)</c:v>
                </c:pt>
              </c:strCache>
            </c:strRef>
          </c:cat>
          <c:val>
            <c:numRef>
              <c:f>'ESUB_2015_PM TABLEAU A PLAT'!$C$160:$C$165</c:f>
              <c:numCache>
                <c:formatCode>###0</c:formatCode>
                <c:ptCount val="6"/>
                <c:pt idx="0">
                  <c:v>442</c:v>
                </c:pt>
                <c:pt idx="1">
                  <c:v>685</c:v>
                </c:pt>
                <c:pt idx="2">
                  <c:v>203</c:v>
                </c:pt>
                <c:pt idx="3">
                  <c:v>3</c:v>
                </c:pt>
                <c:pt idx="4">
                  <c:v>244</c:v>
                </c:pt>
                <c:pt idx="5">
                  <c:v>297</c:v>
                </c:pt>
              </c:numCache>
            </c:numRef>
          </c:val>
        </c:ser>
      </c:pie3DChart>
    </c:plotArea>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dLbls>
            <c:dLbl>
              <c:idx val="0"/>
              <c:tx>
                <c:rich>
                  <a:bodyPr/>
                  <a:lstStyle/>
                  <a:p>
                    <a:r>
                      <a:rPr lang="en-US"/>
                      <a:t>2,6%</a:t>
                    </a:r>
                  </a:p>
                </c:rich>
              </c:tx>
              <c:showVal val="1"/>
              <c:extLst>
                <c:ext xmlns:c15="http://schemas.microsoft.com/office/drawing/2012/chart" uri="{CE6537A1-D6FC-4f65-9D91-7224C49458BB}"/>
              </c:extLst>
            </c:dLbl>
            <c:dLbl>
              <c:idx val="1"/>
              <c:tx>
                <c:rich>
                  <a:bodyPr/>
                  <a:lstStyle/>
                  <a:p>
                    <a:r>
                      <a:rPr lang="en-US"/>
                      <a:t>49,1%</a:t>
                    </a:r>
                  </a:p>
                </c:rich>
              </c:tx>
              <c:showVal val="1"/>
              <c:extLst>
                <c:ext xmlns:c15="http://schemas.microsoft.com/office/drawing/2012/chart" uri="{CE6537A1-D6FC-4f65-9D91-7224C49458BB}"/>
              </c:extLst>
            </c:dLbl>
            <c:dLbl>
              <c:idx val="2"/>
              <c:tx>
                <c:rich>
                  <a:bodyPr/>
                  <a:lstStyle/>
                  <a:p>
                    <a:r>
                      <a:rPr lang="en-US"/>
                      <a:t>40,4%</a:t>
                    </a:r>
                  </a:p>
                </c:rich>
              </c:tx>
              <c:showVal val="1"/>
              <c:extLst>
                <c:ext xmlns:c15="http://schemas.microsoft.com/office/drawing/2012/chart" uri="{CE6537A1-D6FC-4f65-9D91-7224C49458BB}"/>
              </c:extLst>
            </c:dLbl>
            <c:dLbl>
              <c:idx val="3"/>
              <c:tx>
                <c:rich>
                  <a:bodyPr/>
                  <a:lstStyle/>
                  <a:p>
                    <a:r>
                      <a:rPr lang="en-US"/>
                      <a:t>8,0%</a:t>
                    </a:r>
                  </a:p>
                </c:rich>
              </c:tx>
              <c:showVal val="1"/>
              <c:extLst>
                <c:ext xmlns:c15="http://schemas.microsoft.com/office/drawing/2012/chart" uri="{CE6537A1-D6FC-4f65-9D91-7224C49458BB}"/>
              </c:extLst>
            </c:dLbl>
            <c:spPr>
              <a:noFill/>
              <a:ln>
                <a:noFill/>
              </a:ln>
              <a:effectLst/>
            </c:spPr>
            <c:txPr>
              <a:bodyPr/>
              <a:lstStyle/>
              <a:p>
                <a:pPr>
                  <a:defRPr sz="700" b="1">
                    <a:latin typeface="Book Antiqua" pitchFamily="18" charset="0"/>
                  </a:defRPr>
                </a:pPr>
                <a:endParaRPr lang="fr-FR"/>
              </a:p>
            </c:txPr>
            <c:showVal val="1"/>
            <c:showLeaderLines val="1"/>
            <c:extLst>
              <c:ext xmlns:c15="http://schemas.microsoft.com/office/drawing/2012/chart" uri="{CE6537A1-D6FC-4f65-9D91-7224C49458BB}"/>
            </c:extLst>
          </c:dLbls>
          <c:cat>
            <c:strRef>
              <c:f>Feuil3!$A$3:$A$6</c:f>
              <c:strCache>
                <c:ptCount val="4"/>
                <c:pt idx="0">
                  <c:v>Très satisfaisante</c:v>
                </c:pt>
                <c:pt idx="1">
                  <c:v>Satisfaisante</c:v>
                </c:pt>
                <c:pt idx="2">
                  <c:v>Non satisfaisante</c:v>
                </c:pt>
                <c:pt idx="3">
                  <c:v>Pas du tout satisfaisante</c:v>
                </c:pt>
              </c:strCache>
            </c:strRef>
          </c:cat>
          <c:val>
            <c:numRef>
              <c:f>Feuil3!$B$3:$B$6</c:f>
              <c:numCache>
                <c:formatCode>###0.0</c:formatCode>
                <c:ptCount val="4"/>
                <c:pt idx="0">
                  <c:v>2.5613660618996796</c:v>
                </c:pt>
                <c:pt idx="1">
                  <c:v>49.092849519743844</c:v>
                </c:pt>
                <c:pt idx="2">
                  <c:v>40.394877267875998</c:v>
                </c:pt>
                <c:pt idx="3">
                  <c:v>7.9509071504802558</c:v>
                </c:pt>
              </c:numCache>
            </c:numRef>
          </c:val>
        </c:ser>
      </c:pie3DChart>
    </c:plotArea>
    <c:legend>
      <c:legendPos val="b"/>
      <c:layout>
        <c:manualLayout>
          <c:xMode val="edge"/>
          <c:yMode val="edge"/>
          <c:x val="9.8426086569688764E-2"/>
          <c:y val="0.87041452295998301"/>
          <c:w val="0.89999987289724381"/>
          <c:h val="7.3102806950158333E-2"/>
        </c:manualLayout>
      </c:layout>
      <c:txPr>
        <a:bodyPr/>
        <a:lstStyle/>
        <a:p>
          <a:pPr>
            <a:defRPr sz="600" b="1">
              <a:latin typeface="Book Antiqua" pitchFamily="18" charset="0"/>
            </a:defRPr>
          </a:pPr>
          <a:endParaRPr lang="fr-FR"/>
        </a:p>
      </c:txPr>
    </c:legend>
    <c:plotVisOnly val="1"/>
    <c:dispBlanksAs val="zero"/>
  </c:chart>
  <c:externalData r:id="rId2"/>
</c:chartSpace>
</file>

<file path=word/charts/chart200.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28072165397929932"/>
          <c:y val="4.6748461667944718E-2"/>
          <c:w val="0.65827730835971165"/>
          <c:h val="0.74971702171432841"/>
        </c:manualLayout>
      </c:layout>
      <c:bar3DChart>
        <c:barDir val="bar"/>
        <c:grouping val="percentStacked"/>
        <c:ser>
          <c:idx val="0"/>
          <c:order val="0"/>
          <c:tx>
            <c:strRef>
              <c:f>TB_CROISES_PP_FNDIAYE!$B$2534</c:f>
              <c:strCache>
                <c:ptCount val="1"/>
                <c:pt idx="0">
                  <c:v>Très adaptés</c:v>
                </c:pt>
              </c:strCache>
            </c:strRef>
          </c:tx>
          <c:spPr>
            <a:solidFill>
              <a:srgbClr val="00B050"/>
            </a:solidFill>
          </c:spPr>
          <c:cat>
            <c:strRef>
              <c:f>TB_CROISES_PP_FNDIAYE!$C$2533:$L$2533</c:f>
              <c:strCache>
                <c:ptCount val="10"/>
                <c:pt idx="0">
                  <c:v>Industrie</c:v>
                </c:pt>
                <c:pt idx="1">
                  <c:v>Commerce</c:v>
                </c:pt>
                <c:pt idx="2">
                  <c:v>BTP</c:v>
                </c:pt>
                <c:pt idx="3">
                  <c:v>Services</c:v>
                </c:pt>
                <c:pt idx="4">
                  <c:v>Agriculture</c:v>
                </c:pt>
                <c:pt idx="5">
                  <c:v>Artisanat</c:v>
                </c:pt>
                <c:pt idx="6">
                  <c:v>Enseignement</c:v>
                </c:pt>
                <c:pt idx="7">
                  <c:v>Pêche</c:v>
                </c:pt>
                <c:pt idx="8">
                  <c:v>Administration (Autre que Enseignement)</c:v>
                </c:pt>
                <c:pt idx="9">
                  <c:v>Autre (Préciser)</c:v>
                </c:pt>
              </c:strCache>
            </c:strRef>
          </c:cat>
          <c:val>
            <c:numRef>
              <c:f>TB_CROISES_PP_FNDIAYE!$C$2534:$L$2534</c:f>
              <c:numCache>
                <c:formatCode>###0.0%</c:formatCode>
                <c:ptCount val="10"/>
                <c:pt idx="0">
                  <c:v>1.4184397163120564E-2</c:v>
                </c:pt>
                <c:pt idx="1">
                  <c:v>5.7971014492753624E-2</c:v>
                </c:pt>
                <c:pt idx="2">
                  <c:v>7.1428571428571438E-2</c:v>
                </c:pt>
                <c:pt idx="3">
                  <c:v>4.3835616438356192E-2</c:v>
                </c:pt>
                <c:pt idx="4">
                  <c:v>1.1363636363636367E-2</c:v>
                </c:pt>
                <c:pt idx="5">
                  <c:v>5.3333333333334523E-2</c:v>
                </c:pt>
                <c:pt idx="6">
                  <c:v>2.6634382566586848E-2</c:v>
                </c:pt>
                <c:pt idx="7">
                  <c:v>3.125E-2</c:v>
                </c:pt>
                <c:pt idx="8">
                  <c:v>2.3307436182020001E-2</c:v>
                </c:pt>
                <c:pt idx="9">
                  <c:v>7.6923076923076927E-2</c:v>
                </c:pt>
              </c:numCache>
            </c:numRef>
          </c:val>
        </c:ser>
        <c:ser>
          <c:idx val="1"/>
          <c:order val="1"/>
          <c:tx>
            <c:strRef>
              <c:f>TB_CROISES_PP_FNDIAYE!$B$2535</c:f>
              <c:strCache>
                <c:ptCount val="1"/>
                <c:pt idx="0">
                  <c:v>Adaptés</c:v>
                </c:pt>
              </c:strCache>
            </c:strRef>
          </c:tx>
          <c:spPr>
            <a:solidFill>
              <a:srgbClr val="92D050"/>
            </a:solidFill>
          </c:spPr>
          <c:cat>
            <c:strRef>
              <c:f>TB_CROISES_PP_FNDIAYE!$C$2533:$L$2533</c:f>
              <c:strCache>
                <c:ptCount val="10"/>
                <c:pt idx="0">
                  <c:v>Industrie</c:v>
                </c:pt>
                <c:pt idx="1">
                  <c:v>Commerce</c:v>
                </c:pt>
                <c:pt idx="2">
                  <c:v>BTP</c:v>
                </c:pt>
                <c:pt idx="3">
                  <c:v>Services</c:v>
                </c:pt>
                <c:pt idx="4">
                  <c:v>Agriculture</c:v>
                </c:pt>
                <c:pt idx="5">
                  <c:v>Artisanat</c:v>
                </c:pt>
                <c:pt idx="6">
                  <c:v>Enseignement</c:v>
                </c:pt>
                <c:pt idx="7">
                  <c:v>Pêche</c:v>
                </c:pt>
                <c:pt idx="8">
                  <c:v>Administration (Autre que Enseignement)</c:v>
                </c:pt>
                <c:pt idx="9">
                  <c:v>Autre (Préciser)</c:v>
                </c:pt>
              </c:strCache>
            </c:strRef>
          </c:cat>
          <c:val>
            <c:numRef>
              <c:f>TB_CROISES_PP_FNDIAYE!$C$2535:$L$2535</c:f>
              <c:numCache>
                <c:formatCode>###0.0%</c:formatCode>
                <c:ptCount val="10"/>
                <c:pt idx="0">
                  <c:v>0.79432624113475159</c:v>
                </c:pt>
                <c:pt idx="1">
                  <c:v>0.76811594202900246</c:v>
                </c:pt>
                <c:pt idx="2">
                  <c:v>0.71428571428571463</c:v>
                </c:pt>
                <c:pt idx="3">
                  <c:v>0.74931506849315765</c:v>
                </c:pt>
                <c:pt idx="4">
                  <c:v>0.84090909090910848</c:v>
                </c:pt>
                <c:pt idx="5">
                  <c:v>0.77333333333333365</c:v>
                </c:pt>
                <c:pt idx="6">
                  <c:v>0.70944309927360782</c:v>
                </c:pt>
                <c:pt idx="7">
                  <c:v>0.6875</c:v>
                </c:pt>
                <c:pt idx="8">
                  <c:v>0.74139844617092165</c:v>
                </c:pt>
                <c:pt idx="9">
                  <c:v>0.79757085020242913</c:v>
                </c:pt>
              </c:numCache>
            </c:numRef>
          </c:val>
        </c:ser>
        <c:ser>
          <c:idx val="2"/>
          <c:order val="2"/>
          <c:tx>
            <c:strRef>
              <c:f>TB_CROISES_PP_FNDIAYE!$B$2537</c:f>
              <c:strCache>
                <c:ptCount val="1"/>
                <c:pt idx="0">
                  <c:v>Inadaptés</c:v>
                </c:pt>
              </c:strCache>
            </c:strRef>
          </c:tx>
          <c:spPr>
            <a:solidFill>
              <a:schemeClr val="accent6">
                <a:lumMod val="75000"/>
              </a:schemeClr>
            </a:solidFill>
          </c:spPr>
          <c:cat>
            <c:strRef>
              <c:f>TB_CROISES_PP_FNDIAYE!$C$2533:$L$2533</c:f>
              <c:strCache>
                <c:ptCount val="10"/>
                <c:pt idx="0">
                  <c:v>Industrie</c:v>
                </c:pt>
                <c:pt idx="1">
                  <c:v>Commerce</c:v>
                </c:pt>
                <c:pt idx="2">
                  <c:v>BTP</c:v>
                </c:pt>
                <c:pt idx="3">
                  <c:v>Services</c:v>
                </c:pt>
                <c:pt idx="4">
                  <c:v>Agriculture</c:v>
                </c:pt>
                <c:pt idx="5">
                  <c:v>Artisanat</c:v>
                </c:pt>
                <c:pt idx="6">
                  <c:v>Enseignement</c:v>
                </c:pt>
                <c:pt idx="7">
                  <c:v>Pêche</c:v>
                </c:pt>
                <c:pt idx="8">
                  <c:v>Administration (Autre que Enseignement)</c:v>
                </c:pt>
                <c:pt idx="9">
                  <c:v>Autre (Préciser)</c:v>
                </c:pt>
              </c:strCache>
            </c:strRef>
          </c:cat>
          <c:val>
            <c:numRef>
              <c:f>TB_CROISES_PP_FNDIAYE!$C$2537:$L$2537</c:f>
              <c:numCache>
                <c:formatCode>###0.0%</c:formatCode>
                <c:ptCount val="10"/>
                <c:pt idx="0">
                  <c:v>0.18439716312057094</c:v>
                </c:pt>
                <c:pt idx="1">
                  <c:v>0.16425120772946891</c:v>
                </c:pt>
                <c:pt idx="2">
                  <c:v>0.20714285714285721</c:v>
                </c:pt>
                <c:pt idx="3">
                  <c:v>0.18767123287671394</c:v>
                </c:pt>
                <c:pt idx="4">
                  <c:v>0.14772727272727734</c:v>
                </c:pt>
                <c:pt idx="5">
                  <c:v>0.17333333333333725</c:v>
                </c:pt>
                <c:pt idx="6">
                  <c:v>0.2288135593220339</c:v>
                </c:pt>
                <c:pt idx="7">
                  <c:v>0.25</c:v>
                </c:pt>
                <c:pt idx="8">
                  <c:v>0.21198668146504404</c:v>
                </c:pt>
                <c:pt idx="9">
                  <c:v>0.10526315789473686</c:v>
                </c:pt>
              </c:numCache>
            </c:numRef>
          </c:val>
        </c:ser>
        <c:ser>
          <c:idx val="3"/>
          <c:order val="3"/>
          <c:tx>
            <c:strRef>
              <c:f>TB_CROISES_PP_FNDIAYE!$B$2538</c:f>
              <c:strCache>
                <c:ptCount val="1"/>
                <c:pt idx="0">
                  <c:v>Très inadaptés</c:v>
                </c:pt>
              </c:strCache>
            </c:strRef>
          </c:tx>
          <c:spPr>
            <a:solidFill>
              <a:srgbClr val="FF0000"/>
            </a:solidFill>
          </c:spPr>
          <c:cat>
            <c:strRef>
              <c:f>TB_CROISES_PP_FNDIAYE!$C$2533:$L$2533</c:f>
              <c:strCache>
                <c:ptCount val="10"/>
                <c:pt idx="0">
                  <c:v>Industrie</c:v>
                </c:pt>
                <c:pt idx="1">
                  <c:v>Commerce</c:v>
                </c:pt>
                <c:pt idx="2">
                  <c:v>BTP</c:v>
                </c:pt>
                <c:pt idx="3">
                  <c:v>Services</c:v>
                </c:pt>
                <c:pt idx="4">
                  <c:v>Agriculture</c:v>
                </c:pt>
                <c:pt idx="5">
                  <c:v>Artisanat</c:v>
                </c:pt>
                <c:pt idx="6">
                  <c:v>Enseignement</c:v>
                </c:pt>
                <c:pt idx="7">
                  <c:v>Pêche</c:v>
                </c:pt>
                <c:pt idx="8">
                  <c:v>Administration (Autre que Enseignement)</c:v>
                </c:pt>
                <c:pt idx="9">
                  <c:v>Autre (Préciser)</c:v>
                </c:pt>
              </c:strCache>
            </c:strRef>
          </c:cat>
          <c:val>
            <c:numRef>
              <c:f>TB_CROISES_PP_FNDIAYE!$C$2538:$L$2538</c:f>
              <c:numCache>
                <c:formatCode>####.0%</c:formatCode>
                <c:ptCount val="10"/>
                <c:pt idx="0">
                  <c:v>7.0921985815602913E-3</c:v>
                </c:pt>
                <c:pt idx="1">
                  <c:v>9.6618357487922701E-3</c:v>
                </c:pt>
                <c:pt idx="2">
                  <c:v>7.1428571428571504E-3</c:v>
                </c:pt>
                <c:pt idx="3" formatCode="###0.0%">
                  <c:v>1.9178082191780819E-2</c:v>
                </c:pt>
                <c:pt idx="6" formatCode="###0.0%">
                  <c:v>3.5108958837772396E-2</c:v>
                </c:pt>
                <c:pt idx="7" formatCode="###0.0%">
                  <c:v>3.125E-2</c:v>
                </c:pt>
                <c:pt idx="8" formatCode="###0.0%">
                  <c:v>2.3307436182020001E-2</c:v>
                </c:pt>
                <c:pt idx="9" formatCode="###0.0%">
                  <c:v>2.0242914979757092E-2</c:v>
                </c:pt>
              </c:numCache>
            </c:numRef>
          </c:val>
        </c:ser>
        <c:gapWidth val="55"/>
        <c:gapDepth val="55"/>
        <c:shape val="cylinder"/>
        <c:axId val="238208896"/>
        <c:axId val="238210432"/>
        <c:axId val="0"/>
      </c:bar3DChart>
      <c:catAx>
        <c:axId val="238208896"/>
        <c:scaling>
          <c:orientation val="minMax"/>
        </c:scaling>
        <c:axPos val="l"/>
        <c:numFmt formatCode="General" sourceLinked="0"/>
        <c:majorTickMark val="none"/>
        <c:tickLblPos val="nextTo"/>
        <c:txPr>
          <a:bodyPr/>
          <a:lstStyle/>
          <a:p>
            <a:pPr>
              <a:defRPr sz="600">
                <a:latin typeface="Book Antiqua" pitchFamily="18" charset="0"/>
              </a:defRPr>
            </a:pPr>
            <a:endParaRPr lang="fr-FR"/>
          </a:p>
        </c:txPr>
        <c:crossAx val="238210432"/>
        <c:crosses val="autoZero"/>
        <c:auto val="1"/>
        <c:lblAlgn val="ctr"/>
        <c:lblOffset val="100"/>
      </c:catAx>
      <c:valAx>
        <c:axId val="238210432"/>
        <c:scaling>
          <c:orientation val="minMax"/>
        </c:scaling>
        <c:axPos val="b"/>
        <c:majorGridlines/>
        <c:numFmt formatCode="0%" sourceLinked="1"/>
        <c:majorTickMark val="none"/>
        <c:tickLblPos val="nextTo"/>
        <c:txPr>
          <a:bodyPr/>
          <a:lstStyle/>
          <a:p>
            <a:pPr>
              <a:defRPr sz="700" b="1">
                <a:latin typeface="Book Antiqua" pitchFamily="18" charset="0"/>
              </a:defRPr>
            </a:pPr>
            <a:endParaRPr lang="fr-FR"/>
          </a:p>
        </c:txPr>
        <c:crossAx val="238208896"/>
        <c:crosses val="autoZero"/>
        <c:crossBetween val="between"/>
      </c:valAx>
    </c:plotArea>
    <c:legend>
      <c:legendPos val="r"/>
      <c:layout>
        <c:manualLayout>
          <c:xMode val="edge"/>
          <c:yMode val="edge"/>
          <c:x val="0.15976857543969791"/>
          <c:y val="0.87953749024615169"/>
          <c:w val="0.70069654083937183"/>
          <c:h val="9.8492445201106726E-2"/>
        </c:manualLayout>
      </c:layout>
      <c:txPr>
        <a:bodyPr/>
        <a:lstStyle/>
        <a:p>
          <a:pPr>
            <a:defRPr sz="700" b="1">
              <a:latin typeface="Book Antiqua" pitchFamily="18" charset="0"/>
            </a:defRPr>
          </a:pPr>
          <a:endParaRPr lang="fr-FR"/>
        </a:p>
      </c:txPr>
    </c:legend>
    <c:plotVisOnly val="1"/>
    <c:dispBlanksAs val="gap"/>
  </c:chart>
  <c:externalData r:id="rId2"/>
</c:chartSpace>
</file>

<file path=word/charts/chart20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dLbl>
              <c:idx val="0"/>
              <c:layout>
                <c:manualLayout>
                  <c:x val="4.3360564304461939E-2"/>
                  <c:y val="2.7287109944590281E-2"/>
                </c:manualLayout>
              </c:layout>
              <c:showCatName val="1"/>
              <c:showPercent val="1"/>
            </c:dLbl>
            <c:dLbl>
              <c:idx val="1"/>
              <c:layout>
                <c:manualLayout>
                  <c:x val="3.2028748742855752E-2"/>
                  <c:y val="-0.10347295878114669"/>
                </c:manualLayout>
              </c:layout>
              <c:showCatName val="1"/>
              <c:showPercent val="1"/>
            </c:dLbl>
            <c:dLbl>
              <c:idx val="2"/>
              <c:layout>
                <c:manualLayout>
                  <c:x val="4.1762209630338788E-3"/>
                  <c:y val="-2.1529327091377441E-2"/>
                </c:manualLayout>
              </c:layout>
              <c:showCatName val="1"/>
              <c:showPercent val="1"/>
            </c:dLbl>
            <c:dLbl>
              <c:idx val="3"/>
              <c:layout>
                <c:manualLayout>
                  <c:x val="-3.3655064145019259E-2"/>
                  <c:y val="4.8932040356752859E-2"/>
                </c:manualLayout>
              </c:layout>
              <c:showCatName val="1"/>
              <c:showPercent val="1"/>
            </c:dLbl>
            <c:numFmt formatCode="0.0%" sourceLinked="0"/>
            <c:txPr>
              <a:bodyPr/>
              <a:lstStyle/>
              <a:p>
                <a:pPr>
                  <a:defRPr sz="800" b="1">
                    <a:latin typeface="Book Antiqua" pitchFamily="18" charset="0"/>
                  </a:defRPr>
                </a:pPr>
                <a:endParaRPr lang="fr-FR"/>
              </a:p>
            </c:txPr>
            <c:showCatName val="1"/>
            <c:showPercent val="1"/>
            <c:showLeaderLines val="1"/>
          </c:dLbls>
          <c:cat>
            <c:strRef>
              <c:f>Feuil5!$J$109:$J$112</c:f>
              <c:strCache>
                <c:ptCount val="4"/>
                <c:pt idx="0">
                  <c:v>Très facile</c:v>
                </c:pt>
                <c:pt idx="1">
                  <c:v>Facile</c:v>
                </c:pt>
                <c:pt idx="2">
                  <c:v>Difficile</c:v>
                </c:pt>
                <c:pt idx="3">
                  <c:v>Très difficile</c:v>
                </c:pt>
              </c:strCache>
            </c:strRef>
          </c:cat>
          <c:val>
            <c:numRef>
              <c:f>Feuil5!$L$109:$L$112</c:f>
              <c:numCache>
                <c:formatCode>0.0%</c:formatCode>
                <c:ptCount val="4"/>
                <c:pt idx="0">
                  <c:v>5.4748603351955513E-2</c:v>
                </c:pt>
                <c:pt idx="1">
                  <c:v>0.53743016759776108</c:v>
                </c:pt>
                <c:pt idx="2">
                  <c:v>0.27970204841713003</c:v>
                </c:pt>
                <c:pt idx="3">
                  <c:v>0.12811918063314714</c:v>
                </c:pt>
              </c:numCache>
            </c:numRef>
          </c:val>
        </c:ser>
        <c:dLbls>
          <c:showCatName val="1"/>
          <c:showPercent val="1"/>
        </c:dLbls>
        <c:firstSliceAng val="0"/>
      </c:pieChart>
    </c:plotArea>
    <c:plotVisOnly val="1"/>
    <c:dispBlanksAs val="zero"/>
  </c:chart>
  <c:externalData r:id="rId1"/>
</c:chartSpace>
</file>

<file path=word/charts/chart20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manualLayout>
          <c:layoutTarget val="inner"/>
          <c:xMode val="edge"/>
          <c:yMode val="edge"/>
          <c:x val="0.19996405671728276"/>
          <c:y val="6.4532230081409764E-2"/>
          <c:w val="0.75513628494697349"/>
          <c:h val="0.70710764053024877"/>
        </c:manualLayout>
      </c:layout>
      <c:bar3DChart>
        <c:barDir val="bar"/>
        <c:grouping val="percentStacked"/>
        <c:ser>
          <c:idx val="0"/>
          <c:order val="0"/>
          <c:tx>
            <c:strRef>
              <c:f>Feuil5!$B$235</c:f>
              <c:strCache>
                <c:ptCount val="1"/>
                <c:pt idx="0">
                  <c:v>Très facile</c:v>
                </c:pt>
              </c:strCache>
            </c:strRef>
          </c:tx>
          <c:spPr>
            <a:solidFill>
              <a:srgbClr val="00B050"/>
            </a:solidFill>
          </c:spPr>
          <c:cat>
            <c:strRef>
              <c:f>Feuil5!$C$234:$P$234</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Feuil5!$C$235:$P$235</c:f>
              <c:numCache>
                <c:formatCode>0.0%</c:formatCode>
                <c:ptCount val="14"/>
                <c:pt idx="0">
                  <c:v>5.5445544554455446E-2</c:v>
                </c:pt>
                <c:pt idx="1">
                  <c:v>2.9197080291970798E-2</c:v>
                </c:pt>
                <c:pt idx="2">
                  <c:v>1.6949152542372881E-2</c:v>
                </c:pt>
                <c:pt idx="3">
                  <c:v>1.5625E-2</c:v>
                </c:pt>
                <c:pt idx="4">
                  <c:v>0</c:v>
                </c:pt>
                <c:pt idx="5">
                  <c:v>0.12222222222222331</c:v>
                </c:pt>
                <c:pt idx="6">
                  <c:v>2.0000000000000011E-2</c:v>
                </c:pt>
                <c:pt idx="7">
                  <c:v>9.1954022988505746E-2</c:v>
                </c:pt>
                <c:pt idx="8">
                  <c:v>8.0000000000000043E-2</c:v>
                </c:pt>
                <c:pt idx="9">
                  <c:v>8.6956521739130543E-2</c:v>
                </c:pt>
                <c:pt idx="10">
                  <c:v>4.5454545454545463E-2</c:v>
                </c:pt>
                <c:pt idx="11">
                  <c:v>1.4084507042253521E-2</c:v>
                </c:pt>
                <c:pt idx="12">
                  <c:v>9.2783505154639206E-2</c:v>
                </c:pt>
                <c:pt idx="13">
                  <c:v>3.6496350364963612E-2</c:v>
                </c:pt>
              </c:numCache>
            </c:numRef>
          </c:val>
        </c:ser>
        <c:ser>
          <c:idx val="1"/>
          <c:order val="1"/>
          <c:tx>
            <c:strRef>
              <c:f>Feuil5!$B$236</c:f>
              <c:strCache>
                <c:ptCount val="1"/>
                <c:pt idx="0">
                  <c:v>Facile</c:v>
                </c:pt>
              </c:strCache>
            </c:strRef>
          </c:tx>
          <c:spPr>
            <a:solidFill>
              <a:srgbClr val="92D050"/>
            </a:solidFill>
          </c:spPr>
          <c:cat>
            <c:strRef>
              <c:f>Feuil5!$C$234:$P$234</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Feuil5!$C$236:$P$236</c:f>
              <c:numCache>
                <c:formatCode>0.0%</c:formatCode>
                <c:ptCount val="14"/>
                <c:pt idx="0">
                  <c:v>0.55973597359735972</c:v>
                </c:pt>
                <c:pt idx="1">
                  <c:v>0.42335766423357857</c:v>
                </c:pt>
                <c:pt idx="2">
                  <c:v>0.27118644067796632</c:v>
                </c:pt>
                <c:pt idx="3">
                  <c:v>0.43750000000000172</c:v>
                </c:pt>
                <c:pt idx="4">
                  <c:v>0.46753246753246974</c:v>
                </c:pt>
                <c:pt idx="5">
                  <c:v>0.54444444444444462</c:v>
                </c:pt>
                <c:pt idx="6">
                  <c:v>0.54</c:v>
                </c:pt>
                <c:pt idx="7">
                  <c:v>0.5977011494252874</c:v>
                </c:pt>
                <c:pt idx="8">
                  <c:v>0.34666666666666862</c:v>
                </c:pt>
                <c:pt idx="9">
                  <c:v>0.44927536231884285</c:v>
                </c:pt>
                <c:pt idx="10">
                  <c:v>0.57954545454545903</c:v>
                </c:pt>
                <c:pt idx="11">
                  <c:v>0.78873239436619713</c:v>
                </c:pt>
                <c:pt idx="12">
                  <c:v>0.6907216494845414</c:v>
                </c:pt>
                <c:pt idx="13">
                  <c:v>0.48905109489051096</c:v>
                </c:pt>
              </c:numCache>
            </c:numRef>
          </c:val>
        </c:ser>
        <c:ser>
          <c:idx val="2"/>
          <c:order val="2"/>
          <c:tx>
            <c:strRef>
              <c:f>Feuil5!$B$237</c:f>
              <c:strCache>
                <c:ptCount val="1"/>
                <c:pt idx="0">
                  <c:v>Difficile</c:v>
                </c:pt>
              </c:strCache>
            </c:strRef>
          </c:tx>
          <c:spPr>
            <a:solidFill>
              <a:schemeClr val="accent6">
                <a:lumMod val="75000"/>
              </a:schemeClr>
            </a:solidFill>
          </c:spPr>
          <c:dLbls>
            <c:showVal val="1"/>
          </c:dLbls>
          <c:cat>
            <c:strRef>
              <c:f>Feuil5!$C$234:$P$234</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Feuil5!$C$237:$P$237</c:f>
              <c:numCache>
                <c:formatCode>0.0%</c:formatCode>
                <c:ptCount val="14"/>
                <c:pt idx="0">
                  <c:v>0.28118811881188138</c:v>
                </c:pt>
                <c:pt idx="1">
                  <c:v>0.35766423357664423</c:v>
                </c:pt>
                <c:pt idx="2">
                  <c:v>0.32203389830508644</c:v>
                </c:pt>
                <c:pt idx="3">
                  <c:v>0.29687500000000172</c:v>
                </c:pt>
                <c:pt idx="4">
                  <c:v>0.36363636363636381</c:v>
                </c:pt>
                <c:pt idx="5">
                  <c:v>0.23333333333333425</c:v>
                </c:pt>
                <c:pt idx="6">
                  <c:v>0.32000000000000195</c:v>
                </c:pt>
                <c:pt idx="7">
                  <c:v>0.21839080459770269</c:v>
                </c:pt>
                <c:pt idx="8">
                  <c:v>0.4</c:v>
                </c:pt>
                <c:pt idx="9">
                  <c:v>0.26811594202898553</c:v>
                </c:pt>
                <c:pt idx="10">
                  <c:v>0.25</c:v>
                </c:pt>
                <c:pt idx="11">
                  <c:v>0.12676056338028169</c:v>
                </c:pt>
                <c:pt idx="12">
                  <c:v>0.14432989690721648</c:v>
                </c:pt>
                <c:pt idx="13">
                  <c:v>0.30656934306569517</c:v>
                </c:pt>
              </c:numCache>
            </c:numRef>
          </c:val>
        </c:ser>
        <c:ser>
          <c:idx val="3"/>
          <c:order val="3"/>
          <c:tx>
            <c:strRef>
              <c:f>Feuil5!$B$238</c:f>
              <c:strCache>
                <c:ptCount val="1"/>
                <c:pt idx="0">
                  <c:v>Très difficile</c:v>
                </c:pt>
              </c:strCache>
            </c:strRef>
          </c:tx>
          <c:spPr>
            <a:solidFill>
              <a:srgbClr val="FF0000"/>
            </a:solidFill>
          </c:spPr>
          <c:dLbls>
            <c:txPr>
              <a:bodyPr/>
              <a:lstStyle/>
              <a:p>
                <a:pPr>
                  <a:defRPr sz="900"/>
                </a:pPr>
                <a:endParaRPr lang="fr-FR"/>
              </a:p>
            </c:txPr>
            <c:showVal val="1"/>
          </c:dLbls>
          <c:cat>
            <c:strRef>
              <c:f>Feuil5!$C$234:$P$234</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Feuil5!$C$238:$P$238</c:f>
              <c:numCache>
                <c:formatCode>0.0%</c:formatCode>
                <c:ptCount val="14"/>
                <c:pt idx="0">
                  <c:v>0.10363036303630363</c:v>
                </c:pt>
                <c:pt idx="1">
                  <c:v>0.18978102189781137</c:v>
                </c:pt>
                <c:pt idx="2">
                  <c:v>0.38983050847457823</c:v>
                </c:pt>
                <c:pt idx="3">
                  <c:v>0.25</c:v>
                </c:pt>
                <c:pt idx="4">
                  <c:v>0.16883116883116894</c:v>
                </c:pt>
                <c:pt idx="5">
                  <c:v>0.1</c:v>
                </c:pt>
                <c:pt idx="6">
                  <c:v>0.12000000000000002</c:v>
                </c:pt>
                <c:pt idx="7">
                  <c:v>9.1954022988505746E-2</c:v>
                </c:pt>
                <c:pt idx="8">
                  <c:v>0.17333333333333437</c:v>
                </c:pt>
                <c:pt idx="9">
                  <c:v>0.19565217391304229</c:v>
                </c:pt>
                <c:pt idx="10">
                  <c:v>0.125</c:v>
                </c:pt>
                <c:pt idx="11">
                  <c:v>7.0422535211267623E-2</c:v>
                </c:pt>
                <c:pt idx="12">
                  <c:v>7.2164948453608324E-2</c:v>
                </c:pt>
                <c:pt idx="13">
                  <c:v>0.16788321167883211</c:v>
                </c:pt>
              </c:numCache>
            </c:numRef>
          </c:val>
        </c:ser>
        <c:gapWidth val="55"/>
        <c:gapDepth val="55"/>
        <c:shape val="cylinder"/>
        <c:axId val="238413312"/>
        <c:axId val="238414848"/>
        <c:axId val="0"/>
      </c:bar3DChart>
      <c:catAx>
        <c:axId val="238413312"/>
        <c:scaling>
          <c:orientation val="minMax"/>
        </c:scaling>
        <c:axPos val="l"/>
        <c:majorTickMark val="none"/>
        <c:tickLblPos val="nextTo"/>
        <c:txPr>
          <a:bodyPr/>
          <a:lstStyle/>
          <a:p>
            <a:pPr>
              <a:defRPr sz="700" b="1">
                <a:latin typeface="Book Antiqua" pitchFamily="18" charset="0"/>
              </a:defRPr>
            </a:pPr>
            <a:endParaRPr lang="fr-FR"/>
          </a:p>
        </c:txPr>
        <c:crossAx val="238414848"/>
        <c:crosses val="autoZero"/>
        <c:auto val="1"/>
        <c:lblAlgn val="ctr"/>
        <c:lblOffset val="100"/>
      </c:catAx>
      <c:valAx>
        <c:axId val="238414848"/>
        <c:scaling>
          <c:orientation val="minMax"/>
        </c:scaling>
        <c:axPos val="b"/>
        <c:majorGridlines/>
        <c:numFmt formatCode="0%" sourceLinked="1"/>
        <c:majorTickMark val="none"/>
        <c:tickLblPos val="nextTo"/>
        <c:txPr>
          <a:bodyPr/>
          <a:lstStyle/>
          <a:p>
            <a:pPr>
              <a:defRPr sz="800" b="1">
                <a:latin typeface="Book Antiqua" pitchFamily="18" charset="0"/>
              </a:defRPr>
            </a:pPr>
            <a:endParaRPr lang="fr-FR"/>
          </a:p>
        </c:txPr>
        <c:crossAx val="238413312"/>
        <c:crosses val="autoZero"/>
        <c:crossBetween val="between"/>
      </c:valAx>
    </c:plotArea>
    <c:legend>
      <c:legendPos val="r"/>
      <c:layout>
        <c:manualLayout>
          <c:xMode val="edge"/>
          <c:yMode val="edge"/>
          <c:x val="0.11481665372099292"/>
          <c:y val="0.89321018838384836"/>
          <c:w val="0.78976103809074161"/>
          <c:h val="0.1042325146068443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20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numFmt formatCode="0.0%" sourceLinked="0"/>
            <c:txPr>
              <a:bodyPr/>
              <a:lstStyle/>
              <a:p>
                <a:pPr>
                  <a:defRPr b="1">
                    <a:latin typeface="Book Antiqua" pitchFamily="18" charset="0"/>
                  </a:defRPr>
                </a:pPr>
                <a:endParaRPr lang="fr-FR"/>
              </a:p>
            </c:txPr>
            <c:showPercent val="1"/>
            <c:showLeaderLines val="1"/>
          </c:dLbls>
          <c:cat>
            <c:strRef>
              <c:f>Feuil5!$J$246:$J$249</c:f>
              <c:strCache>
                <c:ptCount val="4"/>
                <c:pt idx="0">
                  <c:v>Très facile</c:v>
                </c:pt>
                <c:pt idx="1">
                  <c:v>Facile</c:v>
                </c:pt>
                <c:pt idx="2">
                  <c:v>Difficile</c:v>
                </c:pt>
                <c:pt idx="3">
                  <c:v>Très difficile</c:v>
                </c:pt>
              </c:strCache>
            </c:strRef>
          </c:cat>
          <c:val>
            <c:numRef>
              <c:f>Feuil5!$K$246:$K$249</c:f>
              <c:numCache>
                <c:formatCode>0.0%</c:formatCode>
                <c:ptCount val="4"/>
                <c:pt idx="0">
                  <c:v>5.7831325301204807E-2</c:v>
                </c:pt>
                <c:pt idx="1">
                  <c:v>0.69036144578313252</c:v>
                </c:pt>
                <c:pt idx="2">
                  <c:v>0.16506024096385538</c:v>
                </c:pt>
                <c:pt idx="3">
                  <c:v>8.6746987951807214E-2</c:v>
                </c:pt>
              </c:numCache>
            </c:numRef>
          </c:val>
        </c:ser>
        <c:dLbls>
          <c:showPercent val="1"/>
        </c:dLbls>
      </c:pie3DChart>
    </c:plotArea>
    <c:legend>
      <c:legendPos val="b"/>
      <c:txPr>
        <a:bodyPr/>
        <a:lstStyle/>
        <a:p>
          <a:pPr>
            <a:defRPr sz="800" b="1">
              <a:latin typeface="Book Antiqua" pitchFamily="18" charset="0"/>
            </a:defRPr>
          </a:pPr>
          <a:endParaRPr lang="fr-FR"/>
        </a:p>
      </c:txPr>
    </c:legend>
    <c:plotVisOnly val="1"/>
    <c:dispBlanksAs val="zero"/>
  </c:chart>
  <c:externalData r:id="rId1"/>
</c:chartSpace>
</file>

<file path=word/charts/chart20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576223619977895E-2"/>
          <c:y val="9.4894634692870725E-2"/>
          <c:w val="0.89729324439540614"/>
          <c:h val="0.72171254234246351"/>
        </c:manualLayout>
      </c:layout>
      <c:ofPieChart>
        <c:ofPieType val="bar"/>
        <c:varyColors val="1"/>
        <c:ser>
          <c:idx val="0"/>
          <c:order val="0"/>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Pt>
            <c:idx val="4"/>
            <c:spPr>
              <a:solidFill>
                <a:srgbClr val="C00000"/>
              </a:solidFill>
            </c:spPr>
          </c:dPt>
          <c:dLbls>
            <c:dLbl>
              <c:idx val="4"/>
              <c:layout>
                <c:manualLayout>
                  <c:x val="1.4722852653740847E-3"/>
                  <c:y val="-6.0053019135219705E-4"/>
                </c:manualLayout>
              </c:layout>
              <c:dLblPos val="bestFit"/>
              <c:showPercent val="1"/>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sz="900" b="1">
                    <a:latin typeface="Book Antiqua" pitchFamily="18" charset="0"/>
                  </a:defRPr>
                </a:pPr>
                <a:endParaRPr lang="fr-FR"/>
              </a:p>
            </c:txPr>
            <c:dLblPos val="bestFit"/>
            <c:showPercent val="1"/>
            <c:showLeaderLines val="1"/>
            <c:extLst>
              <c:ext xmlns:c15="http://schemas.microsoft.com/office/drawing/2012/chart" uri="{CE6537A1-D6FC-4f65-9D91-7224C49458BB}"/>
            </c:extLst>
          </c:dLbls>
          <c:cat>
            <c:strRef>
              <c:f>Feuil1!$A$53:$A$56</c:f>
              <c:strCache>
                <c:ptCount val="4"/>
                <c:pt idx="0">
                  <c:v>Très satisfait</c:v>
                </c:pt>
                <c:pt idx="1">
                  <c:v>Satisfait</c:v>
                </c:pt>
                <c:pt idx="2">
                  <c:v>Pas Satisfait</c:v>
                </c:pt>
                <c:pt idx="3">
                  <c:v>Pas du tout Satisfait</c:v>
                </c:pt>
              </c:strCache>
            </c:strRef>
          </c:cat>
          <c:val>
            <c:numRef>
              <c:f>Feuil1!$B$53:$B$56</c:f>
              <c:numCache>
                <c:formatCode>###0.0</c:formatCode>
                <c:ptCount val="4"/>
                <c:pt idx="0">
                  <c:v>2.5782688766114181</c:v>
                </c:pt>
                <c:pt idx="1">
                  <c:v>34.096290449881607</c:v>
                </c:pt>
                <c:pt idx="2">
                  <c:v>37.542751907392791</c:v>
                </c:pt>
                <c:pt idx="3">
                  <c:v>25.830071033938399</c:v>
                </c:pt>
              </c:numCache>
            </c:numRef>
          </c:val>
        </c:ser>
        <c:dLbls>
          <c:showPercent val="1"/>
        </c:dLbls>
        <c:gapWidth val="100"/>
        <c:secondPieSize val="75"/>
        <c:serLines/>
      </c:ofPieChart>
    </c:plotArea>
    <c:legend>
      <c:legendPos val="b"/>
      <c:txPr>
        <a:bodyPr/>
        <a:lstStyle/>
        <a:p>
          <a:pPr>
            <a:defRPr sz="900" b="1">
              <a:latin typeface="Book Antiqua" pitchFamily="18" charset="0"/>
            </a:defRPr>
          </a:pPr>
          <a:endParaRPr lang="fr-FR"/>
        </a:p>
      </c:txPr>
    </c:legend>
    <c:plotVisOnly val="1"/>
    <c:dispBlanksAs val="zero"/>
  </c:chart>
  <c:externalData r:id="rId2"/>
</c:chartSpace>
</file>

<file path=word/charts/chart205.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8172109170326503"/>
          <c:y val="5.682113607608859E-3"/>
          <c:w val="0.75989501312340202"/>
          <c:h val="0.79182997958590062"/>
        </c:manualLayout>
      </c:layout>
      <c:bar3DChart>
        <c:barDir val="bar"/>
        <c:grouping val="percentStacked"/>
        <c:ser>
          <c:idx val="0"/>
          <c:order val="0"/>
          <c:tx>
            <c:strRef>
              <c:f>TB_CROISES_PP_FNDIAYE!$B$1281</c:f>
              <c:strCache>
                <c:ptCount val="1"/>
                <c:pt idx="0">
                  <c:v>Très satisfait</c:v>
                </c:pt>
              </c:strCache>
            </c:strRef>
          </c:tx>
          <c:spPr>
            <a:solidFill>
              <a:srgbClr val="00B050"/>
            </a:solidFill>
          </c:spPr>
          <c:cat>
            <c:strRef>
              <c:f>TB_CROISES_PP_FNDIAYE!$C$1280:$P$1280</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TB_CROISES_PP_FNDIAYE!$C$1281:$P$1281</c:f>
              <c:numCache>
                <c:formatCode>###0.0%</c:formatCode>
                <c:ptCount val="14"/>
                <c:pt idx="0">
                  <c:v>3.2981530343007916E-2</c:v>
                </c:pt>
                <c:pt idx="1">
                  <c:v>1.8633540372670808E-2</c:v>
                </c:pt>
                <c:pt idx="2">
                  <c:v>1.2500000000000001E-2</c:v>
                </c:pt>
                <c:pt idx="5">
                  <c:v>1.6806722689076081E-2</c:v>
                </c:pt>
                <c:pt idx="7">
                  <c:v>4.1666666666666671E-2</c:v>
                </c:pt>
                <c:pt idx="8">
                  <c:v>4.0000000000000022E-2</c:v>
                </c:pt>
                <c:pt idx="9">
                  <c:v>3.1055900621119126E-2</c:v>
                </c:pt>
                <c:pt idx="11" formatCode="####.0%">
                  <c:v>9.6153846153850739E-3</c:v>
                </c:pt>
                <c:pt idx="12" formatCode="####.0%">
                  <c:v>7.1942446043165523E-3</c:v>
                </c:pt>
                <c:pt idx="13" formatCode="####.0%">
                  <c:v>5.8823529411764714E-3</c:v>
                </c:pt>
              </c:numCache>
            </c:numRef>
          </c:val>
        </c:ser>
        <c:ser>
          <c:idx val="1"/>
          <c:order val="1"/>
          <c:tx>
            <c:strRef>
              <c:f>TB_CROISES_PP_FNDIAYE!$B$1282</c:f>
              <c:strCache>
                <c:ptCount val="1"/>
                <c:pt idx="0">
                  <c:v>Satisfait</c:v>
                </c:pt>
              </c:strCache>
            </c:strRef>
          </c:tx>
          <c:spPr>
            <a:solidFill>
              <a:srgbClr val="92D050"/>
            </a:solidFill>
          </c:spPr>
          <c:cat>
            <c:strRef>
              <c:f>TB_CROISES_PP_FNDIAYE!$C$1280:$P$1280</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TB_CROISES_PP_FNDIAYE!$C$1282:$P$1282</c:f>
              <c:numCache>
                <c:formatCode>###0.0%</c:formatCode>
                <c:ptCount val="14"/>
                <c:pt idx="0">
                  <c:v>0.3623570800351803</c:v>
                </c:pt>
                <c:pt idx="1">
                  <c:v>0.27950310559006231</c:v>
                </c:pt>
                <c:pt idx="2">
                  <c:v>0.26250000000000001</c:v>
                </c:pt>
                <c:pt idx="3">
                  <c:v>0.15584415584416</c:v>
                </c:pt>
                <c:pt idx="4">
                  <c:v>0.18260869565217391</c:v>
                </c:pt>
                <c:pt idx="5">
                  <c:v>0.41176470588236336</c:v>
                </c:pt>
                <c:pt idx="6">
                  <c:v>0.15068493150685044</c:v>
                </c:pt>
                <c:pt idx="7">
                  <c:v>0.45833333333333326</c:v>
                </c:pt>
                <c:pt idx="8">
                  <c:v>0.19</c:v>
                </c:pt>
                <c:pt idx="9">
                  <c:v>0.52795031055900665</c:v>
                </c:pt>
                <c:pt idx="10">
                  <c:v>0.21296296296296868</c:v>
                </c:pt>
                <c:pt idx="11">
                  <c:v>0.27884615384615385</c:v>
                </c:pt>
                <c:pt idx="12">
                  <c:v>0.45323741007194229</c:v>
                </c:pt>
                <c:pt idx="13">
                  <c:v>0.22941176470588234</c:v>
                </c:pt>
              </c:numCache>
            </c:numRef>
          </c:val>
        </c:ser>
        <c:ser>
          <c:idx val="2"/>
          <c:order val="2"/>
          <c:tx>
            <c:strRef>
              <c:f>TB_CROISES_PP_FNDIAYE!$B$1284</c:f>
              <c:strCache>
                <c:ptCount val="1"/>
                <c:pt idx="0">
                  <c:v>Pas Satisfait</c:v>
                </c:pt>
              </c:strCache>
            </c:strRef>
          </c:tx>
          <c:spPr>
            <a:solidFill>
              <a:schemeClr val="accent6">
                <a:lumMod val="75000"/>
              </a:schemeClr>
            </a:solidFill>
          </c:spPr>
          <c:cat>
            <c:strRef>
              <c:f>TB_CROISES_PP_FNDIAYE!$C$1280:$P$1280</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TB_CROISES_PP_FNDIAYE!$C$1284:$P$1284</c:f>
              <c:numCache>
                <c:formatCode>###0.0%</c:formatCode>
                <c:ptCount val="14"/>
                <c:pt idx="0">
                  <c:v>0.40501319261213725</c:v>
                </c:pt>
                <c:pt idx="1">
                  <c:v>0.55900621118012461</c:v>
                </c:pt>
                <c:pt idx="2">
                  <c:v>0.26250000000000001</c:v>
                </c:pt>
                <c:pt idx="3">
                  <c:v>0.46753246753247651</c:v>
                </c:pt>
                <c:pt idx="4">
                  <c:v>0.60000000000000064</c:v>
                </c:pt>
                <c:pt idx="5">
                  <c:v>0.18487394957983191</c:v>
                </c:pt>
                <c:pt idx="6">
                  <c:v>0.47945205479452058</c:v>
                </c:pt>
                <c:pt idx="7">
                  <c:v>0.14166666666666666</c:v>
                </c:pt>
                <c:pt idx="8">
                  <c:v>0.33000000000000806</c:v>
                </c:pt>
                <c:pt idx="9">
                  <c:v>0.22360248447204994</c:v>
                </c:pt>
                <c:pt idx="10">
                  <c:v>0.27777777777778562</c:v>
                </c:pt>
                <c:pt idx="11">
                  <c:v>0.33653846153847622</c:v>
                </c:pt>
                <c:pt idx="12">
                  <c:v>0.14388489208633554</c:v>
                </c:pt>
                <c:pt idx="13">
                  <c:v>0.36470588235295365</c:v>
                </c:pt>
              </c:numCache>
            </c:numRef>
          </c:val>
        </c:ser>
        <c:ser>
          <c:idx val="3"/>
          <c:order val="3"/>
          <c:tx>
            <c:strRef>
              <c:f>TB_CROISES_PP_FNDIAYE!$B$1285</c:f>
              <c:strCache>
                <c:ptCount val="1"/>
                <c:pt idx="0">
                  <c:v>Pas du tout Satisfait</c:v>
                </c:pt>
              </c:strCache>
            </c:strRef>
          </c:tx>
          <c:spPr>
            <a:solidFill>
              <a:srgbClr val="FF0000"/>
            </a:solidFill>
          </c:spPr>
          <c:cat>
            <c:strRef>
              <c:f>TB_CROISES_PP_FNDIAYE!$C$1280:$P$1280</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TB_CROISES_PP_FNDIAYE!$C$1285:$P$1285</c:f>
              <c:numCache>
                <c:formatCode>###0.0%</c:formatCode>
                <c:ptCount val="14"/>
                <c:pt idx="0">
                  <c:v>0.19964819700967459</c:v>
                </c:pt>
                <c:pt idx="1">
                  <c:v>0.14285714285714782</c:v>
                </c:pt>
                <c:pt idx="2">
                  <c:v>0.46250000000000002</c:v>
                </c:pt>
                <c:pt idx="3">
                  <c:v>0.3766233766233768</c:v>
                </c:pt>
                <c:pt idx="4">
                  <c:v>0.21739130434783233</c:v>
                </c:pt>
                <c:pt idx="5">
                  <c:v>0.38655462184875389</c:v>
                </c:pt>
                <c:pt idx="6">
                  <c:v>0.36986301369863744</c:v>
                </c:pt>
                <c:pt idx="7">
                  <c:v>0.34166666666667422</c:v>
                </c:pt>
                <c:pt idx="8">
                  <c:v>0.44</c:v>
                </c:pt>
                <c:pt idx="9">
                  <c:v>0.21739130434783233</c:v>
                </c:pt>
                <c:pt idx="10">
                  <c:v>0.50925925925925919</c:v>
                </c:pt>
                <c:pt idx="11">
                  <c:v>0.37500000000000488</c:v>
                </c:pt>
                <c:pt idx="12">
                  <c:v>0.39568345323742293</c:v>
                </c:pt>
                <c:pt idx="13">
                  <c:v>0.4</c:v>
                </c:pt>
              </c:numCache>
            </c:numRef>
          </c:val>
        </c:ser>
        <c:gapWidth val="55"/>
        <c:gapDepth val="55"/>
        <c:shape val="cylinder"/>
        <c:axId val="239817856"/>
        <c:axId val="239819392"/>
        <c:axId val="0"/>
      </c:bar3DChart>
      <c:catAx>
        <c:axId val="239817856"/>
        <c:scaling>
          <c:orientation val="minMax"/>
        </c:scaling>
        <c:axPos val="l"/>
        <c:numFmt formatCode="General" sourceLinked="0"/>
        <c:majorTickMark val="none"/>
        <c:tickLblPos val="nextTo"/>
        <c:txPr>
          <a:bodyPr/>
          <a:lstStyle/>
          <a:p>
            <a:pPr>
              <a:defRPr sz="700" b="1">
                <a:latin typeface="Book Antiqua" pitchFamily="18" charset="0"/>
              </a:defRPr>
            </a:pPr>
            <a:endParaRPr lang="fr-FR"/>
          </a:p>
        </c:txPr>
        <c:crossAx val="239819392"/>
        <c:crosses val="autoZero"/>
        <c:auto val="1"/>
        <c:lblAlgn val="ctr"/>
        <c:lblOffset val="100"/>
      </c:catAx>
      <c:valAx>
        <c:axId val="239819392"/>
        <c:scaling>
          <c:orientation val="minMax"/>
        </c:scaling>
        <c:axPos val="b"/>
        <c:majorGridlines/>
        <c:numFmt formatCode="0%" sourceLinked="1"/>
        <c:majorTickMark val="none"/>
        <c:tickLblPos val="nextTo"/>
        <c:txPr>
          <a:bodyPr/>
          <a:lstStyle/>
          <a:p>
            <a:pPr>
              <a:defRPr sz="800" b="1">
                <a:latin typeface="Book Antiqua" pitchFamily="18" charset="0"/>
              </a:defRPr>
            </a:pPr>
            <a:endParaRPr lang="fr-FR"/>
          </a:p>
        </c:txPr>
        <c:crossAx val="239817856"/>
        <c:crosses val="autoZero"/>
        <c:crossBetween val="between"/>
      </c:valAx>
    </c:plotArea>
    <c:legend>
      <c:legendPos val="r"/>
      <c:layout>
        <c:manualLayout>
          <c:xMode val="edge"/>
          <c:yMode val="edge"/>
          <c:x val="9.2237532808398914E-2"/>
          <c:y val="0.91272849227182096"/>
          <c:w val="0.87442913385826782"/>
          <c:h val="7.1598716827063424E-2"/>
        </c:manualLayout>
      </c:layout>
      <c:txPr>
        <a:bodyPr/>
        <a:lstStyle/>
        <a:p>
          <a:pPr>
            <a:defRPr sz="800" b="1">
              <a:latin typeface="Book Antiqua" pitchFamily="18" charset="0"/>
            </a:defRPr>
          </a:pPr>
          <a:endParaRPr lang="fr-FR"/>
        </a:p>
      </c:txPr>
    </c:legend>
    <c:plotVisOnly val="1"/>
    <c:dispBlanksAs val="gap"/>
  </c:chart>
  <c:externalData r:id="rId2"/>
</c:chartSpace>
</file>

<file path=word/charts/chart206.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9.3055555555556613E-2"/>
          <c:y val="0.14343139399241914"/>
          <c:w val="0.90694444444444755"/>
          <c:h val="0.81119276757072034"/>
        </c:manualLayout>
      </c:layout>
      <c:pie3DChart>
        <c:varyColors val="1"/>
        <c:ser>
          <c:idx val="0"/>
          <c:order val="0"/>
          <c:explosion val="25"/>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dLbl>
              <c:idx val="0"/>
              <c:layout>
                <c:manualLayout>
                  <c:x val="8.7128937007874011E-2"/>
                  <c:y val="-7.4730242053077398E-4"/>
                </c:manualLayout>
              </c:layout>
              <c:showCatName val="1"/>
              <c:showPercent val="1"/>
            </c:dLbl>
            <c:numFmt formatCode="0.0%" sourceLinked="0"/>
            <c:txPr>
              <a:bodyPr/>
              <a:lstStyle/>
              <a:p>
                <a:pPr>
                  <a:defRPr sz="800" b="1">
                    <a:latin typeface="Book Antiqua" pitchFamily="18" charset="0"/>
                  </a:defRPr>
                </a:pPr>
                <a:endParaRPr lang="fr-FR"/>
              </a:p>
            </c:txPr>
            <c:showCatName val="1"/>
            <c:showPercent val="1"/>
            <c:showLeaderLines val="1"/>
          </c:dLbls>
          <c:cat>
            <c:strRef>
              <c:f>Feuil6!$J$3:$J$6</c:f>
              <c:strCache>
                <c:ptCount val="4"/>
                <c:pt idx="0">
                  <c:v>Très satisfait</c:v>
                </c:pt>
                <c:pt idx="1">
                  <c:v>Satisfait</c:v>
                </c:pt>
                <c:pt idx="2">
                  <c:v>Pas Satisfait</c:v>
                </c:pt>
                <c:pt idx="3">
                  <c:v>Pas du tout Satisfait</c:v>
                </c:pt>
              </c:strCache>
            </c:strRef>
          </c:cat>
          <c:val>
            <c:numRef>
              <c:f>Feuil6!$K$3:$K$6</c:f>
              <c:numCache>
                <c:formatCode>0.0%</c:formatCode>
                <c:ptCount val="4"/>
                <c:pt idx="0">
                  <c:v>3.7451872593630087E-2</c:v>
                </c:pt>
                <c:pt idx="1">
                  <c:v>0.61008050402520131</c:v>
                </c:pt>
                <c:pt idx="2">
                  <c:v>0.25446272313615681</c:v>
                </c:pt>
                <c:pt idx="3">
                  <c:v>9.800490024501339E-2</c:v>
                </c:pt>
              </c:numCache>
            </c:numRef>
          </c:val>
        </c:ser>
        <c:dLbls>
          <c:showCatName val="1"/>
          <c:showPercent val="1"/>
        </c:dLbls>
      </c:pie3DChart>
    </c:plotArea>
    <c:plotVisOnly val="1"/>
    <c:dispBlanksAs val="zero"/>
  </c:chart>
  <c:externalData r:id="rId1"/>
</c:chartSpace>
</file>

<file path=word/charts/chart20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manualLayout>
          <c:layoutTarget val="inner"/>
          <c:xMode val="edge"/>
          <c:yMode val="edge"/>
          <c:x val="0.15823928258967823"/>
          <c:y val="4.7920948231346572E-2"/>
          <c:w val="0.77794181977253363"/>
          <c:h val="0.76736016781314098"/>
        </c:manualLayout>
      </c:layout>
      <c:bar3DChart>
        <c:barDir val="bar"/>
        <c:grouping val="percentStacked"/>
        <c:ser>
          <c:idx val="0"/>
          <c:order val="0"/>
          <c:tx>
            <c:strRef>
              <c:f>Feuil6!$B$28</c:f>
              <c:strCache>
                <c:ptCount val="1"/>
                <c:pt idx="0">
                  <c:v>Très satisfait</c:v>
                </c:pt>
              </c:strCache>
            </c:strRef>
          </c:tx>
          <c:spPr>
            <a:solidFill>
              <a:srgbClr val="00B050"/>
            </a:solidFill>
          </c:spPr>
          <c:cat>
            <c:strRef>
              <c:f>Feuil6!$C$27:$P$27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Feuil6!$C$28:$P$28</c:f>
              <c:numCache>
                <c:formatCode>0.0%</c:formatCode>
                <c:ptCount val="14"/>
                <c:pt idx="0">
                  <c:v>4.3407487791644092E-2</c:v>
                </c:pt>
                <c:pt idx="1">
                  <c:v>2.0547945205479704E-2</c:v>
                </c:pt>
                <c:pt idx="2">
                  <c:v>2.5000000000000001E-2</c:v>
                </c:pt>
                <c:pt idx="3">
                  <c:v>0</c:v>
                </c:pt>
                <c:pt idx="4">
                  <c:v>0</c:v>
                </c:pt>
                <c:pt idx="5">
                  <c:v>1.3698630136986301E-2</c:v>
                </c:pt>
                <c:pt idx="6">
                  <c:v>1.8181818181818292E-2</c:v>
                </c:pt>
                <c:pt idx="7">
                  <c:v>9.0909090909091064E-2</c:v>
                </c:pt>
                <c:pt idx="8">
                  <c:v>0.05</c:v>
                </c:pt>
                <c:pt idx="9">
                  <c:v>1.6949152542372881E-2</c:v>
                </c:pt>
                <c:pt idx="10">
                  <c:v>0</c:v>
                </c:pt>
                <c:pt idx="11">
                  <c:v>0</c:v>
                </c:pt>
                <c:pt idx="12">
                  <c:v>8.974358974358973E-2</c:v>
                </c:pt>
                <c:pt idx="13">
                  <c:v>3.0000000000000002E-2</c:v>
                </c:pt>
              </c:numCache>
            </c:numRef>
          </c:val>
        </c:ser>
        <c:ser>
          <c:idx val="1"/>
          <c:order val="1"/>
          <c:tx>
            <c:strRef>
              <c:f>Feuil6!$B$29</c:f>
              <c:strCache>
                <c:ptCount val="1"/>
                <c:pt idx="0">
                  <c:v>Satisfait</c:v>
                </c:pt>
              </c:strCache>
            </c:strRef>
          </c:tx>
          <c:spPr>
            <a:solidFill>
              <a:srgbClr val="92D050"/>
            </a:solidFill>
          </c:spPr>
          <c:cat>
            <c:strRef>
              <c:f>Feuil6!$C$27:$P$27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Feuil6!$C$29:$P$29</c:f>
              <c:numCache>
                <c:formatCode>0.0%</c:formatCode>
                <c:ptCount val="14"/>
                <c:pt idx="0">
                  <c:v>0.63971785132935777</c:v>
                </c:pt>
                <c:pt idx="1">
                  <c:v>0.52054794520547942</c:v>
                </c:pt>
                <c:pt idx="2">
                  <c:v>0.47500000000000031</c:v>
                </c:pt>
                <c:pt idx="3">
                  <c:v>0.4354838709677471</c:v>
                </c:pt>
                <c:pt idx="4">
                  <c:v>0.53763440860215062</c:v>
                </c:pt>
                <c:pt idx="5">
                  <c:v>0.61643835616438802</c:v>
                </c:pt>
                <c:pt idx="6">
                  <c:v>0.60000000000000064</c:v>
                </c:pt>
                <c:pt idx="7">
                  <c:v>0.67532467532468221</c:v>
                </c:pt>
                <c:pt idx="8">
                  <c:v>0.52500000000000002</c:v>
                </c:pt>
                <c:pt idx="9">
                  <c:v>0.72033898305084743</c:v>
                </c:pt>
                <c:pt idx="10">
                  <c:v>0.38888888888889411</c:v>
                </c:pt>
                <c:pt idx="11">
                  <c:v>0.60256410256410264</c:v>
                </c:pt>
                <c:pt idx="12">
                  <c:v>0.67948717948717963</c:v>
                </c:pt>
                <c:pt idx="13">
                  <c:v>0.35000000000000031</c:v>
                </c:pt>
              </c:numCache>
            </c:numRef>
          </c:val>
        </c:ser>
        <c:ser>
          <c:idx val="2"/>
          <c:order val="2"/>
          <c:tx>
            <c:strRef>
              <c:f>Feuil6!$B$30</c:f>
              <c:strCache>
                <c:ptCount val="1"/>
                <c:pt idx="0">
                  <c:v>Pas Satisfait</c:v>
                </c:pt>
              </c:strCache>
            </c:strRef>
          </c:tx>
          <c:spPr>
            <a:solidFill>
              <a:schemeClr val="accent6">
                <a:lumMod val="75000"/>
              </a:schemeClr>
            </a:solidFill>
          </c:spPr>
          <c:cat>
            <c:strRef>
              <c:f>Feuil6!$C$27:$P$27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Feuil6!$C$30:$P$30</c:f>
              <c:numCache>
                <c:formatCode>0.0%</c:formatCode>
                <c:ptCount val="14"/>
                <c:pt idx="0">
                  <c:v>0.24470971242539494</c:v>
                </c:pt>
                <c:pt idx="1">
                  <c:v>0.35616438356164676</c:v>
                </c:pt>
                <c:pt idx="2">
                  <c:v>0.22500000000000001</c:v>
                </c:pt>
                <c:pt idx="3">
                  <c:v>0.38709677419355143</c:v>
                </c:pt>
                <c:pt idx="4">
                  <c:v>0.38709677419355143</c:v>
                </c:pt>
                <c:pt idx="5">
                  <c:v>0.16438356164383469</c:v>
                </c:pt>
                <c:pt idx="6">
                  <c:v>0.32727272727273038</c:v>
                </c:pt>
                <c:pt idx="7">
                  <c:v>0.12987012987012986</c:v>
                </c:pt>
                <c:pt idx="8">
                  <c:v>0.25</c:v>
                </c:pt>
                <c:pt idx="9">
                  <c:v>0.18644067796610259</c:v>
                </c:pt>
                <c:pt idx="10">
                  <c:v>0.33333333333333331</c:v>
                </c:pt>
                <c:pt idx="11">
                  <c:v>0.25641025641025639</c:v>
                </c:pt>
                <c:pt idx="12">
                  <c:v>0.14102564102564102</c:v>
                </c:pt>
                <c:pt idx="13">
                  <c:v>0.34</c:v>
                </c:pt>
              </c:numCache>
            </c:numRef>
          </c:val>
        </c:ser>
        <c:ser>
          <c:idx val="3"/>
          <c:order val="3"/>
          <c:tx>
            <c:strRef>
              <c:f>Feuil6!$B$31</c:f>
              <c:strCache>
                <c:ptCount val="1"/>
                <c:pt idx="0">
                  <c:v>Pas du tout Satisfait</c:v>
                </c:pt>
              </c:strCache>
            </c:strRef>
          </c:tx>
          <c:spPr>
            <a:solidFill>
              <a:srgbClr val="FF0000"/>
            </a:solidFill>
          </c:spPr>
          <c:cat>
            <c:strRef>
              <c:f>Feuil6!$C$27:$P$27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Feuil6!$C$31:$P$31</c:f>
              <c:numCache>
                <c:formatCode>0.0%</c:formatCode>
                <c:ptCount val="14"/>
                <c:pt idx="0">
                  <c:v>7.2164948453608324E-2</c:v>
                </c:pt>
                <c:pt idx="1">
                  <c:v>0.10273972602739725</c:v>
                </c:pt>
                <c:pt idx="2">
                  <c:v>0.27500000000000002</c:v>
                </c:pt>
                <c:pt idx="3">
                  <c:v>0.17741935483871107</c:v>
                </c:pt>
                <c:pt idx="4">
                  <c:v>7.5268817204301092E-2</c:v>
                </c:pt>
                <c:pt idx="5">
                  <c:v>0.20547945205479554</c:v>
                </c:pt>
                <c:pt idx="6">
                  <c:v>5.4545454545454515E-2</c:v>
                </c:pt>
                <c:pt idx="7">
                  <c:v>0.10389610389610412</c:v>
                </c:pt>
                <c:pt idx="8">
                  <c:v>0.17500000000000004</c:v>
                </c:pt>
                <c:pt idx="9">
                  <c:v>7.6271186440677846E-2</c:v>
                </c:pt>
                <c:pt idx="10">
                  <c:v>0.27777777777777973</c:v>
                </c:pt>
                <c:pt idx="11">
                  <c:v>0.14102564102564102</c:v>
                </c:pt>
                <c:pt idx="12">
                  <c:v>8.974358974358973E-2</c:v>
                </c:pt>
                <c:pt idx="13">
                  <c:v>0.28000000000000008</c:v>
                </c:pt>
              </c:numCache>
            </c:numRef>
          </c:val>
        </c:ser>
        <c:gapWidth val="55"/>
        <c:gapDepth val="55"/>
        <c:shape val="cylinder"/>
        <c:axId val="239968256"/>
        <c:axId val="239969792"/>
        <c:axId val="0"/>
      </c:bar3DChart>
      <c:catAx>
        <c:axId val="239968256"/>
        <c:scaling>
          <c:orientation val="minMax"/>
        </c:scaling>
        <c:axPos val="l"/>
        <c:majorTickMark val="none"/>
        <c:tickLblPos val="nextTo"/>
        <c:txPr>
          <a:bodyPr/>
          <a:lstStyle/>
          <a:p>
            <a:pPr>
              <a:defRPr sz="800" b="1">
                <a:latin typeface="Book Antiqua" pitchFamily="18" charset="0"/>
              </a:defRPr>
            </a:pPr>
            <a:endParaRPr lang="fr-FR"/>
          </a:p>
        </c:txPr>
        <c:crossAx val="239969792"/>
        <c:crosses val="autoZero"/>
        <c:auto val="1"/>
        <c:lblAlgn val="ctr"/>
        <c:lblOffset val="100"/>
      </c:catAx>
      <c:valAx>
        <c:axId val="239969792"/>
        <c:scaling>
          <c:orientation val="minMax"/>
        </c:scaling>
        <c:axPos val="b"/>
        <c:majorGridlines/>
        <c:numFmt formatCode="0%" sourceLinked="1"/>
        <c:majorTickMark val="none"/>
        <c:tickLblPos val="nextTo"/>
        <c:txPr>
          <a:bodyPr/>
          <a:lstStyle/>
          <a:p>
            <a:pPr>
              <a:defRPr sz="800" b="1">
                <a:latin typeface="Book Antiqua" pitchFamily="18" charset="0"/>
              </a:defRPr>
            </a:pPr>
            <a:endParaRPr lang="fr-FR"/>
          </a:p>
        </c:txPr>
        <c:crossAx val="239968256"/>
        <c:crosses val="autoZero"/>
        <c:crossBetween val="between"/>
      </c:valAx>
    </c:plotArea>
    <c:legend>
      <c:legendPos val="r"/>
      <c:layout>
        <c:manualLayout>
          <c:xMode val="edge"/>
          <c:yMode val="edge"/>
          <c:x val="3.3477690288714248E-3"/>
          <c:y val="0.89954452511322758"/>
          <c:w val="0.96609667541557931"/>
          <c:h val="6.6328904321783483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20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055555555558084E-2"/>
          <c:y val="9.5744021580635746E-2"/>
          <c:w val="0.90694444444445232"/>
          <c:h val="0.79675014581510639"/>
        </c:manualLayout>
      </c:layout>
      <c:ofPieChart>
        <c:ofPieType val="bar"/>
        <c:varyColors val="1"/>
        <c:ser>
          <c:idx val="0"/>
          <c:order val="0"/>
          <c:dPt>
            <c:idx val="0"/>
            <c:spPr>
              <a:solidFill>
                <a:srgbClr val="FF0000"/>
              </a:solidFill>
            </c:spPr>
          </c:dPt>
          <c:dPt>
            <c:idx val="1"/>
            <c:spPr>
              <a:solidFill>
                <a:schemeClr val="accent6">
                  <a:lumMod val="75000"/>
                </a:schemeClr>
              </a:solidFill>
            </c:spPr>
          </c:dPt>
          <c:dPt>
            <c:idx val="2"/>
            <c:spPr>
              <a:solidFill>
                <a:srgbClr val="92D050"/>
              </a:solidFill>
            </c:spPr>
          </c:dPt>
          <c:dPt>
            <c:idx val="3"/>
            <c:spPr>
              <a:solidFill>
                <a:srgbClr val="00B050"/>
              </a:solidFill>
            </c:spPr>
          </c:dPt>
          <c:dPt>
            <c:idx val="4"/>
            <c:spPr>
              <a:solidFill>
                <a:schemeClr val="accent3">
                  <a:lumMod val="75000"/>
                </a:schemeClr>
              </a:solidFill>
            </c:spPr>
          </c:dPt>
          <c:dLbls>
            <c:dLbl>
              <c:idx val="0"/>
              <c:numFmt formatCode="0.0%" sourceLinked="0"/>
              <c:spPr/>
              <c:txPr>
                <a:bodyPr/>
                <a:lstStyle/>
                <a:p>
                  <a:pPr>
                    <a:defRPr sz="800" b="1">
                      <a:latin typeface="Book Antiqua" pitchFamily="18" charset="0"/>
                    </a:defRPr>
                  </a:pPr>
                  <a:endParaRPr lang="fr-FR"/>
                </a:p>
              </c:txPr>
            </c:dLbl>
            <c:dLbl>
              <c:idx val="1"/>
              <c:layout>
                <c:manualLayout>
                  <c:x val="-6.1990376202974628E-3"/>
                  <c:y val="-2.0746937882765628E-2"/>
                </c:manualLayout>
              </c:layout>
              <c:numFmt formatCode="0.0%" sourceLinked="0"/>
              <c:spPr/>
              <c:txPr>
                <a:bodyPr/>
                <a:lstStyle/>
                <a:p>
                  <a:pPr>
                    <a:defRPr sz="800" b="1">
                      <a:latin typeface="Book Antiqua" pitchFamily="18" charset="0"/>
                    </a:defRPr>
                  </a:pPr>
                  <a:endParaRPr lang="fr-FR"/>
                </a:p>
              </c:txPr>
              <c:dLblPos val="bestFit"/>
              <c:showPercent val="1"/>
              <c:extLst>
                <c:ext xmlns:c15="http://schemas.microsoft.com/office/drawing/2012/chart" uri="{CE6537A1-D6FC-4f65-9D91-7224C49458BB}"/>
              </c:extLst>
            </c:dLbl>
            <c:dLbl>
              <c:idx val="2"/>
              <c:numFmt formatCode="0.0%" sourceLinked="0"/>
              <c:spPr/>
              <c:txPr>
                <a:bodyPr/>
                <a:lstStyle/>
                <a:p>
                  <a:pPr>
                    <a:defRPr sz="800" b="1">
                      <a:latin typeface="Book Antiqua" pitchFamily="18" charset="0"/>
                    </a:defRPr>
                  </a:pPr>
                  <a:endParaRPr lang="fr-FR"/>
                </a:p>
              </c:txPr>
            </c:dLbl>
            <c:dLbl>
              <c:idx val="3"/>
              <c:numFmt formatCode="0.0%" sourceLinked="0"/>
              <c:spPr/>
              <c:txPr>
                <a:bodyPr/>
                <a:lstStyle/>
                <a:p>
                  <a:pPr>
                    <a:defRPr sz="800" b="1">
                      <a:latin typeface="Book Antiqua" pitchFamily="18" charset="0"/>
                    </a:defRPr>
                  </a:pPr>
                  <a:endParaRPr lang="fr-FR"/>
                </a:p>
              </c:txPr>
            </c:dLbl>
            <c:dLbl>
              <c:idx val="4"/>
              <c:layout>
                <c:manualLayout>
                  <c:x val="-3.4748468941382328E-3"/>
                  <c:y val="7.5131233595800524E-3"/>
                </c:manualLayout>
              </c:layout>
              <c:numFmt formatCode="0.0%" sourceLinked="0"/>
              <c:spPr/>
              <c:txPr>
                <a:bodyPr/>
                <a:lstStyle/>
                <a:p>
                  <a:pPr>
                    <a:defRPr sz="800" b="1">
                      <a:latin typeface="Book Antiqua" pitchFamily="18" charset="0"/>
                    </a:defRPr>
                  </a:pPr>
                  <a:endParaRPr lang="fr-FR"/>
                </a:p>
              </c:txPr>
              <c:dLblPos val="bestFit"/>
              <c:showPercent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dLblPos val="bestFit"/>
            <c:showPercent val="1"/>
            <c:showLeaderLines val="1"/>
            <c:extLst>
              <c:ext xmlns:c15="http://schemas.microsoft.com/office/drawing/2012/chart" uri="{CE6537A1-D6FC-4f65-9D91-7224C49458BB}"/>
            </c:extLst>
          </c:dLbls>
          <c:cat>
            <c:strRef>
              <c:f>Feuil1!$A$85:$A$88</c:f>
              <c:strCache>
                <c:ptCount val="4"/>
                <c:pt idx="0">
                  <c:v>Très discourtois</c:v>
                </c:pt>
                <c:pt idx="1">
                  <c:v>Discourtois</c:v>
                </c:pt>
                <c:pt idx="2">
                  <c:v>Courtois</c:v>
                </c:pt>
                <c:pt idx="3">
                  <c:v>Très courtois</c:v>
                </c:pt>
              </c:strCache>
            </c:strRef>
          </c:cat>
          <c:val>
            <c:numRef>
              <c:f>Feuil1!$B$85:$B$88</c:f>
              <c:numCache>
                <c:formatCode>###0.0</c:formatCode>
                <c:ptCount val="4"/>
                <c:pt idx="0">
                  <c:v>1.2365167061299658</c:v>
                </c:pt>
                <c:pt idx="1">
                  <c:v>10.523546435148965</c:v>
                </c:pt>
                <c:pt idx="2">
                  <c:v>78.821362799263355</c:v>
                </c:pt>
                <c:pt idx="3">
                  <c:v>9.4185740594580398</c:v>
                </c:pt>
              </c:numCache>
            </c:numRef>
          </c:val>
        </c:ser>
        <c:dLbls>
          <c:showPercent val="1"/>
        </c:dLbls>
        <c:gapWidth val="100"/>
        <c:secondPieSize val="75"/>
        <c:serLines/>
      </c:ofPieChart>
    </c:plotArea>
    <c:legend>
      <c:legendPos val="t"/>
      <c:layout>
        <c:manualLayout>
          <c:xMode val="edge"/>
          <c:yMode val="edge"/>
          <c:x val="5.6670166229221317E-2"/>
          <c:y val="0.90277777777777779"/>
          <c:w val="0.74221500437445365"/>
          <c:h val="6.694189268008166E-2"/>
        </c:manualLayout>
      </c:layout>
      <c:txPr>
        <a:bodyPr/>
        <a:lstStyle/>
        <a:p>
          <a:pPr>
            <a:defRPr sz="900" b="1">
              <a:latin typeface="Book Antiqua" pitchFamily="18" charset="0"/>
            </a:defRPr>
          </a:pPr>
          <a:endParaRPr lang="fr-FR"/>
        </a:p>
      </c:txPr>
    </c:legend>
    <c:plotVisOnly val="1"/>
    <c:dispBlanksAs val="zero"/>
  </c:chart>
  <c:externalData r:id="rId2"/>
</c:chartSpace>
</file>

<file path=word/charts/chart209.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21676618547682355"/>
          <c:y val="0.11605419592821398"/>
          <c:w val="0.7271172353455998"/>
          <c:h val="0.6840147549123925"/>
        </c:manualLayout>
      </c:layout>
      <c:bar3DChart>
        <c:barDir val="bar"/>
        <c:grouping val="percentStacked"/>
        <c:ser>
          <c:idx val="0"/>
          <c:order val="0"/>
          <c:tx>
            <c:strRef>
              <c:f>TB_CROISES_PP_FNDIAYE!$B$1483</c:f>
              <c:strCache>
                <c:ptCount val="1"/>
                <c:pt idx="0">
                  <c:v>Très courtois</c:v>
                </c:pt>
              </c:strCache>
            </c:strRef>
          </c:tx>
          <c:spPr>
            <a:solidFill>
              <a:srgbClr val="00B050"/>
            </a:solidFill>
          </c:spPr>
          <c:cat>
            <c:strRef>
              <c:f>TB_CROISES_PP_FNDIAYE!$C$1482:$P$1482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TB_CROISES_PP_FNDIAYE!$C$1483:$P$1483</c:f>
              <c:numCache>
                <c:formatCode>###0.0%</c:formatCode>
                <c:ptCount val="14"/>
                <c:pt idx="0">
                  <c:v>9.8065083553211765E-2</c:v>
                </c:pt>
                <c:pt idx="1">
                  <c:v>5.5900621118014387E-2</c:v>
                </c:pt>
                <c:pt idx="2">
                  <c:v>0.1125</c:v>
                </c:pt>
                <c:pt idx="3">
                  <c:v>1.2987012987012986E-2</c:v>
                </c:pt>
                <c:pt idx="5">
                  <c:v>0.17647058823529421</c:v>
                </c:pt>
                <c:pt idx="6">
                  <c:v>1.3698630136986301E-2</c:v>
                </c:pt>
                <c:pt idx="7">
                  <c:v>0.14166666666666666</c:v>
                </c:pt>
                <c:pt idx="8">
                  <c:v>0.14000000000000001</c:v>
                </c:pt>
                <c:pt idx="9">
                  <c:v>9.3167701863354033E-2</c:v>
                </c:pt>
                <c:pt idx="10">
                  <c:v>0.1111111111111111</c:v>
                </c:pt>
                <c:pt idx="12">
                  <c:v>9.3525179856115206E-2</c:v>
                </c:pt>
                <c:pt idx="13">
                  <c:v>0.13529411764705881</c:v>
                </c:pt>
              </c:numCache>
            </c:numRef>
          </c:val>
        </c:ser>
        <c:ser>
          <c:idx val="1"/>
          <c:order val="1"/>
          <c:tx>
            <c:strRef>
              <c:f>TB_CROISES_PP_FNDIAYE!$B$1484</c:f>
              <c:strCache>
                <c:ptCount val="1"/>
                <c:pt idx="0">
                  <c:v>Courtois</c:v>
                </c:pt>
              </c:strCache>
            </c:strRef>
          </c:tx>
          <c:spPr>
            <a:solidFill>
              <a:srgbClr val="92D050"/>
            </a:solidFill>
          </c:spPr>
          <c:cat>
            <c:strRef>
              <c:f>TB_CROISES_PP_FNDIAYE!$C$1482:$P$1482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TB_CROISES_PP_FNDIAYE!$C$1484:$P$1484</c:f>
              <c:numCache>
                <c:formatCode>###0.0%</c:formatCode>
                <c:ptCount val="14"/>
                <c:pt idx="0">
                  <c:v>0.79639401934916465</c:v>
                </c:pt>
                <c:pt idx="1">
                  <c:v>0.81987577639753595</c:v>
                </c:pt>
                <c:pt idx="2">
                  <c:v>0.73750000000000004</c:v>
                </c:pt>
                <c:pt idx="3">
                  <c:v>0.74025974025974062</c:v>
                </c:pt>
                <c:pt idx="4">
                  <c:v>0.80869565217394357</c:v>
                </c:pt>
                <c:pt idx="5">
                  <c:v>0.74789915966390252</c:v>
                </c:pt>
                <c:pt idx="6">
                  <c:v>0.91780821917810462</c:v>
                </c:pt>
                <c:pt idx="7">
                  <c:v>0.78333333333333333</c:v>
                </c:pt>
                <c:pt idx="8">
                  <c:v>0.65000000000001545</c:v>
                </c:pt>
                <c:pt idx="9">
                  <c:v>0.78260869565219204</c:v>
                </c:pt>
                <c:pt idx="10">
                  <c:v>0.71296296296294226</c:v>
                </c:pt>
                <c:pt idx="11">
                  <c:v>0.87500000000001377</c:v>
                </c:pt>
                <c:pt idx="12">
                  <c:v>0.82014388489208623</c:v>
                </c:pt>
                <c:pt idx="13">
                  <c:v>0.71176470588233731</c:v>
                </c:pt>
              </c:numCache>
            </c:numRef>
          </c:val>
        </c:ser>
        <c:ser>
          <c:idx val="2"/>
          <c:order val="2"/>
          <c:tx>
            <c:strRef>
              <c:f>TB_CROISES_PP_FNDIAYE!$B$1486</c:f>
              <c:strCache>
                <c:ptCount val="1"/>
                <c:pt idx="0">
                  <c:v>Discourtois</c:v>
                </c:pt>
              </c:strCache>
            </c:strRef>
          </c:tx>
          <c:spPr>
            <a:solidFill>
              <a:schemeClr val="accent6">
                <a:lumMod val="75000"/>
              </a:schemeClr>
            </a:solidFill>
          </c:spPr>
          <c:cat>
            <c:strRef>
              <c:f>TB_CROISES_PP_FNDIAYE!$C$1482:$P$1482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TB_CROISES_PP_FNDIAYE!$C$1486:$P$1486</c:f>
              <c:numCache>
                <c:formatCode>###0.0%</c:formatCode>
                <c:ptCount val="14"/>
                <c:pt idx="0">
                  <c:v>9.8504837291117267E-2</c:v>
                </c:pt>
                <c:pt idx="1">
                  <c:v>0.10559006211180126</c:v>
                </c:pt>
                <c:pt idx="2">
                  <c:v>0.1125</c:v>
                </c:pt>
                <c:pt idx="3">
                  <c:v>0.24675324675324894</c:v>
                </c:pt>
                <c:pt idx="4">
                  <c:v>0.17391304347826769</c:v>
                </c:pt>
                <c:pt idx="5">
                  <c:v>4.2016806722689079E-2</c:v>
                </c:pt>
                <c:pt idx="6">
                  <c:v>6.8493150684931503E-2</c:v>
                </c:pt>
                <c:pt idx="7">
                  <c:v>5.8333333333334923E-2</c:v>
                </c:pt>
                <c:pt idx="8">
                  <c:v>0.2</c:v>
                </c:pt>
                <c:pt idx="9">
                  <c:v>9.9378881987577647E-2</c:v>
                </c:pt>
                <c:pt idx="10">
                  <c:v>0.12962962962962485</c:v>
                </c:pt>
                <c:pt idx="11">
                  <c:v>0.11538461538461539</c:v>
                </c:pt>
                <c:pt idx="12">
                  <c:v>6.4748201438849434E-2</c:v>
                </c:pt>
                <c:pt idx="13">
                  <c:v>0.13529411764705881</c:v>
                </c:pt>
              </c:numCache>
            </c:numRef>
          </c:val>
        </c:ser>
        <c:ser>
          <c:idx val="3"/>
          <c:order val="3"/>
          <c:tx>
            <c:strRef>
              <c:f>TB_CROISES_PP_FNDIAYE!$B$1487</c:f>
              <c:strCache>
                <c:ptCount val="1"/>
                <c:pt idx="0">
                  <c:v>Très discourtois</c:v>
                </c:pt>
              </c:strCache>
            </c:strRef>
          </c:tx>
          <c:spPr>
            <a:solidFill>
              <a:srgbClr val="FF0000"/>
            </a:solidFill>
          </c:spPr>
          <c:cat>
            <c:strRef>
              <c:f>TB_CROISES_PP_FNDIAYE!$C$1482:$P$1482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TB_CROISES_PP_FNDIAYE!$C$1487:$P$1487</c:f>
              <c:numCache>
                <c:formatCode>###0.0%</c:formatCode>
                <c:ptCount val="14"/>
                <c:pt idx="0" formatCode="####.0%">
                  <c:v>7.0360598065083834E-3</c:v>
                </c:pt>
                <c:pt idx="1">
                  <c:v>1.8633540372670808E-2</c:v>
                </c:pt>
                <c:pt idx="2">
                  <c:v>3.7500000000000006E-2</c:v>
                </c:pt>
                <c:pt idx="4">
                  <c:v>1.7391304347826087E-2</c:v>
                </c:pt>
                <c:pt idx="5">
                  <c:v>3.3613445378151259E-2</c:v>
                </c:pt>
                <c:pt idx="7">
                  <c:v>1.6666666666666701E-2</c:v>
                </c:pt>
                <c:pt idx="8">
                  <c:v>1.0000000000000005E-2</c:v>
                </c:pt>
                <c:pt idx="9">
                  <c:v>2.4844720496894412E-2</c:v>
                </c:pt>
                <c:pt idx="10">
                  <c:v>4.6296296296296523E-2</c:v>
                </c:pt>
                <c:pt idx="11" formatCode="####.0%">
                  <c:v>9.6153846153850652E-3</c:v>
                </c:pt>
                <c:pt idx="12">
                  <c:v>2.1582733812949641E-2</c:v>
                </c:pt>
                <c:pt idx="13">
                  <c:v>1.7647058823529412E-2</c:v>
                </c:pt>
              </c:numCache>
            </c:numRef>
          </c:val>
        </c:ser>
        <c:gapWidth val="55"/>
        <c:gapDepth val="55"/>
        <c:shape val="cylinder"/>
        <c:axId val="241624960"/>
        <c:axId val="241626496"/>
        <c:axId val="0"/>
      </c:bar3DChart>
      <c:catAx>
        <c:axId val="241624960"/>
        <c:scaling>
          <c:orientation val="minMax"/>
        </c:scaling>
        <c:axPos val="l"/>
        <c:numFmt formatCode="General" sourceLinked="0"/>
        <c:majorTickMark val="none"/>
        <c:tickLblPos val="nextTo"/>
        <c:txPr>
          <a:bodyPr/>
          <a:lstStyle/>
          <a:p>
            <a:pPr>
              <a:defRPr sz="700" b="1">
                <a:latin typeface="Book Antiqua" pitchFamily="18" charset="0"/>
              </a:defRPr>
            </a:pPr>
            <a:endParaRPr lang="fr-FR"/>
          </a:p>
        </c:txPr>
        <c:crossAx val="241626496"/>
        <c:crosses val="autoZero"/>
        <c:auto val="1"/>
        <c:lblAlgn val="ctr"/>
        <c:lblOffset val="100"/>
      </c:catAx>
      <c:valAx>
        <c:axId val="241626496"/>
        <c:scaling>
          <c:orientation val="minMax"/>
        </c:scaling>
        <c:axPos val="b"/>
        <c:majorGridlines/>
        <c:numFmt formatCode="0%" sourceLinked="1"/>
        <c:majorTickMark val="none"/>
        <c:tickLblPos val="nextTo"/>
        <c:txPr>
          <a:bodyPr/>
          <a:lstStyle/>
          <a:p>
            <a:pPr>
              <a:defRPr sz="800">
                <a:latin typeface="Book Antiqua" pitchFamily="18" charset="0"/>
              </a:defRPr>
            </a:pPr>
            <a:endParaRPr lang="fr-FR"/>
          </a:p>
        </c:txPr>
        <c:crossAx val="241624960"/>
        <c:crosses val="autoZero"/>
        <c:crossBetween val="between"/>
      </c:valAx>
    </c:plotArea>
    <c:legend>
      <c:legendPos val="r"/>
      <c:layout>
        <c:manualLayout>
          <c:xMode val="edge"/>
          <c:yMode val="edge"/>
          <c:x val="0.13326531058618257"/>
          <c:y val="0.90517727175994656"/>
          <c:w val="0.83062357830271261"/>
          <c:h val="9.1285237993899426E-2"/>
        </c:manualLayout>
      </c:layout>
      <c:txPr>
        <a:bodyPr/>
        <a:lstStyle/>
        <a:p>
          <a:pPr>
            <a:defRPr sz="800" b="1">
              <a:latin typeface="Book Antiqua" pitchFamily="18" charset="0"/>
            </a:defRPr>
          </a:pPr>
          <a:endParaRPr lang="fr-FR"/>
        </a:p>
      </c:txPr>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Feuil11!$A$4</c:f>
              <c:strCache>
                <c:ptCount val="1"/>
                <c:pt idx="0">
                  <c:v>Très satisfaisante</c:v>
                </c:pt>
              </c:strCache>
            </c:strRef>
          </c:tx>
          <c:cat>
            <c:strRef>
              <c:f>Feuil11!$B$3:$O$3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Feuil11!$B$4:$O$4</c:f>
              <c:numCache>
                <c:formatCode>General</c:formatCode>
                <c:ptCount val="14"/>
                <c:pt idx="0" formatCode="###0.0%">
                  <c:v>2.0833333333333412E-2</c:v>
                </c:pt>
                <c:pt idx="5" formatCode="###0.0%">
                  <c:v>4.8780487804879924E-2</c:v>
                </c:pt>
                <c:pt idx="7" formatCode="###0.0%">
                  <c:v>4.6511627906977104E-2</c:v>
                </c:pt>
                <c:pt idx="8" formatCode="###0.0%">
                  <c:v>4.8780487804879924E-2</c:v>
                </c:pt>
                <c:pt idx="9" formatCode="###0.0%">
                  <c:v>0.1111111111111111</c:v>
                </c:pt>
                <c:pt idx="12" formatCode="###0.0%">
                  <c:v>5.5555555555555455E-2</c:v>
                </c:pt>
                <c:pt idx="13" formatCode="###0.0%">
                  <c:v>4.1237113402061848E-2</c:v>
                </c:pt>
              </c:numCache>
            </c:numRef>
          </c:val>
        </c:ser>
        <c:ser>
          <c:idx val="1"/>
          <c:order val="1"/>
          <c:tx>
            <c:strRef>
              <c:f>Feuil11!$A$5</c:f>
              <c:strCache>
                <c:ptCount val="1"/>
                <c:pt idx="0">
                  <c:v>Satisfaisante</c:v>
                </c:pt>
              </c:strCache>
            </c:strRef>
          </c:tx>
          <c:cat>
            <c:strRef>
              <c:f>Feuil11!$B$3:$O$3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Feuil11!$B$5:$O$5</c:f>
              <c:numCache>
                <c:formatCode>###0.0%</c:formatCode>
                <c:ptCount val="14"/>
                <c:pt idx="0">
                  <c:v>0.52462121212123036</c:v>
                </c:pt>
                <c:pt idx="1">
                  <c:v>0.36842105263157893</c:v>
                </c:pt>
                <c:pt idx="2">
                  <c:v>0.70000000000000062</c:v>
                </c:pt>
                <c:pt idx="3">
                  <c:v>0.41176470588236352</c:v>
                </c:pt>
                <c:pt idx="4">
                  <c:v>0.41935483870969026</c:v>
                </c:pt>
                <c:pt idx="5">
                  <c:v>0.45121951219512174</c:v>
                </c:pt>
                <c:pt idx="6">
                  <c:v>0.22222222222222221</c:v>
                </c:pt>
                <c:pt idx="7">
                  <c:v>0.55813953488372092</c:v>
                </c:pt>
                <c:pt idx="8">
                  <c:v>0.3902439024390244</c:v>
                </c:pt>
                <c:pt idx="9">
                  <c:v>0.55555555555555569</c:v>
                </c:pt>
                <c:pt idx="10">
                  <c:v>0.2978723404255319</c:v>
                </c:pt>
                <c:pt idx="11">
                  <c:v>0.30645161290322581</c:v>
                </c:pt>
                <c:pt idx="12">
                  <c:v>0.54444444444444462</c:v>
                </c:pt>
                <c:pt idx="13">
                  <c:v>0.53608247422680411</c:v>
                </c:pt>
              </c:numCache>
            </c:numRef>
          </c:val>
        </c:ser>
        <c:ser>
          <c:idx val="2"/>
          <c:order val="2"/>
          <c:tx>
            <c:strRef>
              <c:f>Feuil11!$A$6</c:f>
              <c:strCache>
                <c:ptCount val="1"/>
                <c:pt idx="0">
                  <c:v>Non satisfaisante</c:v>
                </c:pt>
              </c:strCache>
            </c:strRef>
          </c:tx>
          <c:cat>
            <c:strRef>
              <c:f>Feuil11!$B$3:$O$3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Feuil11!$B$6:$O$6</c:f>
              <c:numCache>
                <c:formatCode>###0.0%</c:formatCode>
                <c:ptCount val="14"/>
                <c:pt idx="0">
                  <c:v>0.40056818181818182</c:v>
                </c:pt>
                <c:pt idx="1">
                  <c:v>0.57894736842105254</c:v>
                </c:pt>
                <c:pt idx="2">
                  <c:v>0.2</c:v>
                </c:pt>
                <c:pt idx="3">
                  <c:v>0.58823529411763109</c:v>
                </c:pt>
                <c:pt idx="4">
                  <c:v>0.56451612903221915</c:v>
                </c:pt>
                <c:pt idx="5">
                  <c:v>0.23170731707317074</c:v>
                </c:pt>
                <c:pt idx="6">
                  <c:v>0.39682539682541068</c:v>
                </c:pt>
                <c:pt idx="7">
                  <c:v>0.34883720930232581</c:v>
                </c:pt>
                <c:pt idx="8">
                  <c:v>0.53658536585363559</c:v>
                </c:pt>
                <c:pt idx="9">
                  <c:v>0.32098765432099691</c:v>
                </c:pt>
                <c:pt idx="10">
                  <c:v>0.42553191489361702</c:v>
                </c:pt>
                <c:pt idx="11">
                  <c:v>0.61290322580645151</c:v>
                </c:pt>
                <c:pt idx="12">
                  <c:v>0.3888888888889101</c:v>
                </c:pt>
                <c:pt idx="13">
                  <c:v>0.27835051546391781</c:v>
                </c:pt>
              </c:numCache>
            </c:numRef>
          </c:val>
        </c:ser>
        <c:ser>
          <c:idx val="3"/>
          <c:order val="3"/>
          <c:tx>
            <c:strRef>
              <c:f>Feuil11!$A$7</c:f>
              <c:strCache>
                <c:ptCount val="1"/>
                <c:pt idx="0">
                  <c:v>Pas du tout satisfaisante</c:v>
                </c:pt>
              </c:strCache>
            </c:strRef>
          </c:tx>
          <c:cat>
            <c:strRef>
              <c:f>Feuil11!$B$3:$O$3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Feuil11!$B$7:$O$7</c:f>
              <c:numCache>
                <c:formatCode>###0.0%</c:formatCode>
                <c:ptCount val="14"/>
                <c:pt idx="0">
                  <c:v>5.3977272727272707E-2</c:v>
                </c:pt>
                <c:pt idx="1">
                  <c:v>5.2631578947368432E-2</c:v>
                </c:pt>
                <c:pt idx="2">
                  <c:v>0.1</c:v>
                </c:pt>
                <c:pt idx="4">
                  <c:v>1.6129032258064523E-2</c:v>
                </c:pt>
                <c:pt idx="5">
                  <c:v>0.26829268292682928</c:v>
                </c:pt>
                <c:pt idx="6">
                  <c:v>0.38095238095239292</c:v>
                </c:pt>
                <c:pt idx="7">
                  <c:v>4.6511627906977104E-2</c:v>
                </c:pt>
                <c:pt idx="8">
                  <c:v>2.4390243902439025E-2</c:v>
                </c:pt>
                <c:pt idx="9">
                  <c:v>1.2345679012345723E-2</c:v>
                </c:pt>
                <c:pt idx="10">
                  <c:v>0.27659574468085107</c:v>
                </c:pt>
                <c:pt idx="11">
                  <c:v>8.0645161290322745E-2</c:v>
                </c:pt>
                <c:pt idx="12">
                  <c:v>1.1111111111111125E-2</c:v>
                </c:pt>
                <c:pt idx="13">
                  <c:v>0.14432989690721651</c:v>
                </c:pt>
              </c:numCache>
            </c:numRef>
          </c:val>
        </c:ser>
        <c:shape val="cylinder"/>
        <c:axId val="188699392"/>
        <c:axId val="188700928"/>
        <c:axId val="0"/>
      </c:bar3DChart>
      <c:catAx>
        <c:axId val="188699392"/>
        <c:scaling>
          <c:orientation val="minMax"/>
        </c:scaling>
        <c:axPos val="b"/>
        <c:numFmt formatCode="General" sourceLinked="0"/>
        <c:tickLblPos val="nextTo"/>
        <c:txPr>
          <a:bodyPr/>
          <a:lstStyle/>
          <a:p>
            <a:pPr>
              <a:defRPr sz="700" b="1">
                <a:latin typeface="Book Antiqua" pitchFamily="18" charset="0"/>
              </a:defRPr>
            </a:pPr>
            <a:endParaRPr lang="fr-FR"/>
          </a:p>
        </c:txPr>
        <c:crossAx val="188700928"/>
        <c:crosses val="autoZero"/>
        <c:auto val="1"/>
        <c:lblAlgn val="ctr"/>
        <c:lblOffset val="100"/>
      </c:catAx>
      <c:valAx>
        <c:axId val="188700928"/>
        <c:scaling>
          <c:orientation val="minMax"/>
        </c:scaling>
        <c:axPos val="l"/>
        <c:majorGridlines/>
        <c:numFmt formatCode="0%" sourceLinked="0"/>
        <c:tickLblPos val="nextTo"/>
        <c:txPr>
          <a:bodyPr/>
          <a:lstStyle/>
          <a:p>
            <a:pPr>
              <a:defRPr sz="700" b="1">
                <a:latin typeface="Book Antiqua" pitchFamily="18" charset="0"/>
              </a:defRPr>
            </a:pPr>
            <a:endParaRPr lang="fr-FR"/>
          </a:p>
        </c:txPr>
        <c:crossAx val="188699392"/>
        <c:crosses val="autoZero"/>
        <c:crossBetween val="between"/>
      </c:valAx>
    </c:plotArea>
    <c:legend>
      <c:legendPos val="b"/>
      <c:txPr>
        <a:bodyPr/>
        <a:lstStyle/>
        <a:p>
          <a:pPr>
            <a:defRPr sz="700" b="1">
              <a:latin typeface="Book Antiqua" pitchFamily="18" charset="0"/>
            </a:defRPr>
          </a:pPr>
          <a:endParaRPr lang="fr-FR"/>
        </a:p>
      </c:txPr>
    </c:legend>
    <c:plotVisOnly val="1"/>
    <c:dispBlanksAs val="gap"/>
  </c:chart>
  <c:externalData r:id="rId2"/>
</c:chartSpace>
</file>

<file path=word/charts/chart210.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ofPieChart>
        <c:ofPieType val="bar"/>
        <c:varyColors val="1"/>
        <c:ser>
          <c:idx val="0"/>
          <c:order val="0"/>
          <c:dPt>
            <c:idx val="0"/>
            <c:spPr>
              <a:solidFill>
                <a:srgbClr val="FF0000"/>
              </a:solidFill>
            </c:spPr>
          </c:dPt>
          <c:dPt>
            <c:idx val="1"/>
            <c:spPr>
              <a:solidFill>
                <a:schemeClr val="accent6">
                  <a:lumMod val="75000"/>
                </a:schemeClr>
              </a:solidFill>
            </c:spPr>
          </c:dPt>
          <c:dPt>
            <c:idx val="2"/>
            <c:spPr>
              <a:solidFill>
                <a:srgbClr val="92D050"/>
              </a:solidFill>
            </c:spPr>
          </c:dPt>
          <c:dPt>
            <c:idx val="3"/>
            <c:spPr>
              <a:solidFill>
                <a:srgbClr val="00B050"/>
              </a:solidFill>
            </c:spPr>
          </c:dPt>
          <c:dPt>
            <c:idx val="4"/>
            <c:spPr>
              <a:solidFill>
                <a:schemeClr val="accent3">
                  <a:lumMod val="75000"/>
                </a:schemeClr>
              </a:solidFill>
            </c:spPr>
          </c:dPt>
          <c:dLbls>
            <c:numFmt formatCode="0.0%" sourceLinked="0"/>
            <c:spPr>
              <a:noFill/>
              <a:ln>
                <a:noFill/>
              </a:ln>
              <a:effectLst/>
            </c:spPr>
            <c:txPr>
              <a:bodyPr wrap="square" lIns="38100" tIns="19050" rIns="38100" bIns="19050" anchor="ctr">
                <a:spAutoFit/>
              </a:bodyPr>
              <a:lstStyle/>
              <a:p>
                <a:pPr>
                  <a:defRPr sz="800" b="1">
                    <a:latin typeface="Book Antiqua" pitchFamily="18" charset="0"/>
                  </a:defRPr>
                </a:pPr>
                <a:endParaRPr lang="fr-FR"/>
              </a:p>
            </c:txPr>
            <c:dLblPos val="bestFit"/>
            <c:showPercent val="1"/>
            <c:showLeaderLines val="1"/>
            <c:extLst>
              <c:ext xmlns:c15="http://schemas.microsoft.com/office/drawing/2012/chart" uri="{CE6537A1-D6FC-4f65-9D91-7224C49458BB}"/>
            </c:extLst>
          </c:dLbls>
          <c:cat>
            <c:strRef>
              <c:f>Feuil1!$A$97:$A$100</c:f>
              <c:strCache>
                <c:ptCount val="4"/>
                <c:pt idx="0">
                  <c:v>Non, pas du tout</c:v>
                </c:pt>
                <c:pt idx="1">
                  <c:v>Non</c:v>
                </c:pt>
                <c:pt idx="2">
                  <c:v>Oui</c:v>
                </c:pt>
                <c:pt idx="3">
                  <c:v>Oui, tout à fait</c:v>
                </c:pt>
              </c:strCache>
            </c:strRef>
          </c:cat>
          <c:val>
            <c:numRef>
              <c:f>Feuil1!$B$97:$B$100</c:f>
              <c:numCache>
                <c:formatCode>###0.0</c:formatCode>
                <c:ptCount val="4"/>
                <c:pt idx="0">
                  <c:v>9.086120621543321</c:v>
                </c:pt>
                <c:pt idx="1">
                  <c:v>34.448248617329455</c:v>
                </c:pt>
                <c:pt idx="2">
                  <c:v>50.355543850408196</c:v>
                </c:pt>
                <c:pt idx="3">
                  <c:v>6.1100869107188656</c:v>
                </c:pt>
              </c:numCache>
            </c:numRef>
          </c:val>
        </c:ser>
        <c:dLbls>
          <c:showPercent val="1"/>
        </c:dLbls>
        <c:gapWidth val="100"/>
        <c:secondPieSize val="75"/>
        <c:serLines/>
      </c:ofPieChart>
    </c:plotArea>
    <c:legend>
      <c:legendPos val="b"/>
      <c:txPr>
        <a:bodyPr/>
        <a:lstStyle/>
        <a:p>
          <a:pPr>
            <a:defRPr sz="900" b="1"/>
          </a:pPr>
          <a:endParaRPr lang="fr-FR"/>
        </a:p>
      </c:txPr>
    </c:legend>
    <c:plotVisOnly val="1"/>
    <c:dispBlanksAs val="zero"/>
  </c:chart>
  <c:externalData r:id="rId2"/>
</c:chartSpace>
</file>

<file path=word/charts/chart21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7073840769904094"/>
          <c:y val="8.0781102362204704E-2"/>
          <c:w val="0.77060323709538914"/>
          <c:h val="0.76119655043120005"/>
        </c:manualLayout>
      </c:layout>
      <c:bar3DChart>
        <c:barDir val="bar"/>
        <c:grouping val="percentStacked"/>
        <c:ser>
          <c:idx val="0"/>
          <c:order val="0"/>
          <c:tx>
            <c:strRef>
              <c:f>TB_CROISES_PP_FNDIAYE!$B$1667</c:f>
              <c:strCache>
                <c:ptCount val="1"/>
                <c:pt idx="0">
                  <c:v>Oui, tout à fait</c:v>
                </c:pt>
              </c:strCache>
            </c:strRef>
          </c:tx>
          <c:spPr>
            <a:solidFill>
              <a:srgbClr val="00B050"/>
            </a:solidFill>
          </c:spPr>
          <c:cat>
            <c:strRef>
              <c:f>TB_CROISES_PP_FNDIAYE!$C$1666:$P$1666</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TB_CROISES_PP_FNDIAYE!$C$1667:$P$1667</c:f>
              <c:numCache>
                <c:formatCode>###0.0%</c:formatCode>
                <c:ptCount val="14"/>
                <c:pt idx="0">
                  <c:v>5.3720827829150192E-2</c:v>
                </c:pt>
                <c:pt idx="1">
                  <c:v>5.5900621118014387E-2</c:v>
                </c:pt>
                <c:pt idx="2">
                  <c:v>3.7500000000000006E-2</c:v>
                </c:pt>
                <c:pt idx="3">
                  <c:v>1.2987012987012986E-2</c:v>
                </c:pt>
                <c:pt idx="4">
                  <c:v>3.5087719298245612E-2</c:v>
                </c:pt>
                <c:pt idx="5" formatCode="####.0%">
                  <c:v>8.403361344537813E-3</c:v>
                </c:pt>
                <c:pt idx="6">
                  <c:v>2.7397260273972612E-2</c:v>
                </c:pt>
                <c:pt idx="7">
                  <c:v>0.125</c:v>
                </c:pt>
                <c:pt idx="8">
                  <c:v>7.0000000000000021E-2</c:v>
                </c:pt>
                <c:pt idx="9">
                  <c:v>0.15527950310559024</c:v>
                </c:pt>
                <c:pt idx="10">
                  <c:v>3.7037037037037056E-2</c:v>
                </c:pt>
                <c:pt idx="11">
                  <c:v>3.8461538461538464E-2</c:v>
                </c:pt>
                <c:pt idx="12">
                  <c:v>0.21582733812950144</c:v>
                </c:pt>
                <c:pt idx="13">
                  <c:v>2.9411764705882353E-2</c:v>
                </c:pt>
              </c:numCache>
            </c:numRef>
          </c:val>
        </c:ser>
        <c:ser>
          <c:idx val="1"/>
          <c:order val="1"/>
          <c:tx>
            <c:strRef>
              <c:f>TB_CROISES_PP_FNDIAYE!$B$1668</c:f>
              <c:strCache>
                <c:ptCount val="1"/>
                <c:pt idx="0">
                  <c:v>Oui</c:v>
                </c:pt>
              </c:strCache>
            </c:strRef>
          </c:tx>
          <c:spPr>
            <a:solidFill>
              <a:srgbClr val="92D050"/>
            </a:solidFill>
          </c:spPr>
          <c:cat>
            <c:strRef>
              <c:f>TB_CROISES_PP_FNDIAYE!$C$1666:$P$1666</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TB_CROISES_PP_FNDIAYE!$C$1668:$P$1668</c:f>
              <c:numCache>
                <c:formatCode>###0.0%</c:formatCode>
                <c:ptCount val="14"/>
                <c:pt idx="0">
                  <c:v>0.49625715543812443</c:v>
                </c:pt>
                <c:pt idx="1">
                  <c:v>0.32919254658385338</c:v>
                </c:pt>
                <c:pt idx="2">
                  <c:v>0.48750000000000032</c:v>
                </c:pt>
                <c:pt idx="3">
                  <c:v>0.32467532467532467</c:v>
                </c:pt>
                <c:pt idx="4">
                  <c:v>0.36842105263157893</c:v>
                </c:pt>
                <c:pt idx="5">
                  <c:v>0.66386554621851834</c:v>
                </c:pt>
                <c:pt idx="6">
                  <c:v>0.52054794520547942</c:v>
                </c:pt>
                <c:pt idx="7">
                  <c:v>0.68333333333333324</c:v>
                </c:pt>
                <c:pt idx="8">
                  <c:v>0.59</c:v>
                </c:pt>
                <c:pt idx="9">
                  <c:v>0.5714285714285906</c:v>
                </c:pt>
                <c:pt idx="10">
                  <c:v>0.49074074074074081</c:v>
                </c:pt>
                <c:pt idx="11">
                  <c:v>0.40384615384615385</c:v>
                </c:pt>
                <c:pt idx="12">
                  <c:v>0.6043165467625895</c:v>
                </c:pt>
                <c:pt idx="13">
                  <c:v>0.57058823529411773</c:v>
                </c:pt>
              </c:numCache>
            </c:numRef>
          </c:val>
        </c:ser>
        <c:ser>
          <c:idx val="2"/>
          <c:order val="2"/>
          <c:tx>
            <c:strRef>
              <c:f>TB_CROISES_PP_FNDIAYE!$B$1669</c:f>
              <c:strCache>
                <c:ptCount val="1"/>
                <c:pt idx="0">
                  <c:v>Non</c:v>
                </c:pt>
              </c:strCache>
            </c:strRef>
          </c:tx>
          <c:spPr>
            <a:solidFill>
              <a:schemeClr val="accent6">
                <a:lumMod val="75000"/>
              </a:schemeClr>
            </a:solidFill>
          </c:spPr>
          <c:cat>
            <c:strRef>
              <c:f>TB_CROISES_PP_FNDIAYE!$C$1666:$P$1666</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TB_CROISES_PP_FNDIAYE!$C$1669:$P$1669</c:f>
              <c:numCache>
                <c:formatCode>###0.0%</c:formatCode>
                <c:ptCount val="14"/>
                <c:pt idx="0">
                  <c:v>0.38265081461911082</c:v>
                </c:pt>
                <c:pt idx="1">
                  <c:v>0.55900621118012461</c:v>
                </c:pt>
                <c:pt idx="2">
                  <c:v>0.23750000000000004</c:v>
                </c:pt>
                <c:pt idx="3">
                  <c:v>0.42857142857142855</c:v>
                </c:pt>
                <c:pt idx="4">
                  <c:v>0.47368421052631576</c:v>
                </c:pt>
                <c:pt idx="5">
                  <c:v>9.2436974789915929E-2</c:v>
                </c:pt>
                <c:pt idx="6">
                  <c:v>0.36986301369863733</c:v>
                </c:pt>
                <c:pt idx="7">
                  <c:v>0.16666666666666669</c:v>
                </c:pt>
                <c:pt idx="8">
                  <c:v>0.33000000000000795</c:v>
                </c:pt>
                <c:pt idx="9">
                  <c:v>0.22981366459627689</c:v>
                </c:pt>
                <c:pt idx="10">
                  <c:v>0.21296296296296857</c:v>
                </c:pt>
                <c:pt idx="11">
                  <c:v>0.34615384615384631</c:v>
                </c:pt>
                <c:pt idx="12">
                  <c:v>0.14388489208633548</c:v>
                </c:pt>
                <c:pt idx="13">
                  <c:v>0.21176470588235863</c:v>
                </c:pt>
              </c:numCache>
            </c:numRef>
          </c:val>
        </c:ser>
        <c:ser>
          <c:idx val="3"/>
          <c:order val="3"/>
          <c:tx>
            <c:strRef>
              <c:f>TB_CROISES_PP_FNDIAYE!$B$1670</c:f>
              <c:strCache>
                <c:ptCount val="1"/>
                <c:pt idx="0">
                  <c:v>Non, pas du tout</c:v>
                </c:pt>
              </c:strCache>
            </c:strRef>
          </c:tx>
          <c:spPr>
            <a:solidFill>
              <a:srgbClr val="FF0000"/>
            </a:solidFill>
          </c:spPr>
          <c:cat>
            <c:strRef>
              <c:f>TB_CROISES_PP_FNDIAYE!$C$1666:$P$1666</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TB_CROISES_PP_FNDIAYE!$C$1670:$P$1670</c:f>
              <c:numCache>
                <c:formatCode>###0.0%</c:formatCode>
                <c:ptCount val="14"/>
                <c:pt idx="0">
                  <c:v>6.7371202113606393E-2</c:v>
                </c:pt>
                <c:pt idx="1">
                  <c:v>5.5900621118014387E-2</c:v>
                </c:pt>
                <c:pt idx="2">
                  <c:v>0.23750000000000004</c:v>
                </c:pt>
                <c:pt idx="3">
                  <c:v>0.23376623376624145</c:v>
                </c:pt>
                <c:pt idx="4">
                  <c:v>0.12280701754385966</c:v>
                </c:pt>
                <c:pt idx="5">
                  <c:v>0.2352941176470589</c:v>
                </c:pt>
                <c:pt idx="6">
                  <c:v>8.2191780821916499E-2</c:v>
                </c:pt>
                <c:pt idx="7">
                  <c:v>2.5000000000000001E-2</c:v>
                </c:pt>
                <c:pt idx="8">
                  <c:v>1.0000000000000005E-2</c:v>
                </c:pt>
                <c:pt idx="9">
                  <c:v>4.3478260869565223E-2</c:v>
                </c:pt>
                <c:pt idx="10">
                  <c:v>0.2592592592592593</c:v>
                </c:pt>
                <c:pt idx="11">
                  <c:v>0.21153846153846897</c:v>
                </c:pt>
                <c:pt idx="12">
                  <c:v>3.5971223021582746E-2</c:v>
                </c:pt>
                <c:pt idx="13">
                  <c:v>0.18823529411765352</c:v>
                </c:pt>
              </c:numCache>
            </c:numRef>
          </c:val>
        </c:ser>
        <c:gapWidth val="55"/>
        <c:gapDepth val="55"/>
        <c:shape val="cylinder"/>
        <c:axId val="241936256"/>
        <c:axId val="241937792"/>
        <c:axId val="0"/>
      </c:bar3DChart>
      <c:catAx>
        <c:axId val="241936256"/>
        <c:scaling>
          <c:orientation val="minMax"/>
        </c:scaling>
        <c:axPos val="l"/>
        <c:numFmt formatCode="General" sourceLinked="0"/>
        <c:majorTickMark val="none"/>
        <c:tickLblPos val="nextTo"/>
        <c:txPr>
          <a:bodyPr/>
          <a:lstStyle/>
          <a:p>
            <a:pPr>
              <a:defRPr sz="700" b="1">
                <a:latin typeface="Book Antiqua" pitchFamily="18" charset="0"/>
              </a:defRPr>
            </a:pPr>
            <a:endParaRPr lang="fr-FR"/>
          </a:p>
        </c:txPr>
        <c:crossAx val="241937792"/>
        <c:crosses val="autoZero"/>
        <c:auto val="1"/>
        <c:lblAlgn val="ctr"/>
        <c:lblOffset val="100"/>
      </c:catAx>
      <c:valAx>
        <c:axId val="241937792"/>
        <c:scaling>
          <c:orientation val="minMax"/>
        </c:scaling>
        <c:axPos val="b"/>
        <c:majorGridlines/>
        <c:numFmt formatCode="0%" sourceLinked="1"/>
        <c:majorTickMark val="none"/>
        <c:tickLblPos val="nextTo"/>
        <c:txPr>
          <a:bodyPr/>
          <a:lstStyle/>
          <a:p>
            <a:pPr>
              <a:defRPr sz="700" b="1">
                <a:latin typeface="Book Antiqua" pitchFamily="18" charset="0"/>
              </a:defRPr>
            </a:pPr>
            <a:endParaRPr lang="fr-FR"/>
          </a:p>
        </c:txPr>
        <c:crossAx val="241936256"/>
        <c:crosses val="autoZero"/>
        <c:crossBetween val="between"/>
      </c:valAx>
    </c:plotArea>
    <c:legend>
      <c:legendPos val="r"/>
      <c:layout>
        <c:manualLayout>
          <c:xMode val="edge"/>
          <c:yMode val="edge"/>
          <c:x val="4.4612423447070858E-2"/>
          <c:y val="0.92071121109861265"/>
          <c:w val="0.92760979877515315"/>
          <c:h val="7.7453918260217469E-2"/>
        </c:manualLayout>
      </c:layout>
      <c:txPr>
        <a:bodyPr/>
        <a:lstStyle/>
        <a:p>
          <a:pPr>
            <a:defRPr sz="800" b="1">
              <a:latin typeface="Book Antiqua" pitchFamily="18" charset="0"/>
            </a:defRPr>
          </a:pPr>
          <a:endParaRPr lang="fr-FR"/>
        </a:p>
      </c:txPr>
    </c:legend>
    <c:plotVisOnly val="1"/>
    <c:dispBlanksAs val="gap"/>
  </c:chart>
  <c:externalData r:id="rId2"/>
</c:chartSpace>
</file>

<file path=word/charts/chart21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Pt>
            <c:idx val="0"/>
            <c:spPr>
              <a:solidFill>
                <a:srgbClr val="00B050"/>
              </a:solidFill>
            </c:spPr>
          </c:dPt>
          <c:dPt>
            <c:idx val="1"/>
            <c:spPr>
              <a:solidFill>
                <a:srgbClr val="FF0000"/>
              </a:solidFill>
            </c:spPr>
          </c:dPt>
          <c:dLbls>
            <c:dLbl>
              <c:idx val="0"/>
              <c:layout>
                <c:manualLayout>
                  <c:x val="-3.2547572178478285E-2"/>
                  <c:y val="-0.33675269757947818"/>
                </c:manualLayout>
              </c:layout>
              <c:showCatName val="1"/>
              <c:showPercent val="1"/>
              <c:extLst>
                <c:ext xmlns:c15="http://schemas.microsoft.com/office/drawing/2012/chart" uri="{CE6537A1-D6FC-4f65-9D91-7224C49458BB}">
                  <c15:layout/>
                </c:ext>
              </c:extLst>
            </c:dLbl>
            <c:dLbl>
              <c:idx val="1"/>
              <c:layout>
                <c:manualLayout>
                  <c:x val="7.8899059492563428E-2"/>
                  <c:y val="-7.5623359580052285E-2"/>
                </c:manualLayout>
              </c:layout>
              <c:showCatName val="1"/>
              <c:showPercent val="1"/>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Feuil1!$A$112:$A$113</c:f>
              <c:strCache>
                <c:ptCount val="2"/>
                <c:pt idx="0">
                  <c:v>Oui</c:v>
                </c:pt>
                <c:pt idx="1">
                  <c:v>Non</c:v>
                </c:pt>
              </c:strCache>
            </c:strRef>
          </c:cat>
          <c:val>
            <c:numRef>
              <c:f>Feuil1!$B$112:$B$113</c:f>
              <c:numCache>
                <c:formatCode>###0.0</c:formatCode>
                <c:ptCount val="2"/>
                <c:pt idx="0">
                  <c:v>59.405419626414101</c:v>
                </c:pt>
                <c:pt idx="1">
                  <c:v>40.594580373585913</c:v>
                </c:pt>
              </c:numCache>
            </c:numRef>
          </c:val>
        </c:ser>
        <c:dLbls>
          <c:showCatName val="1"/>
          <c:showPercent val="1"/>
        </c:dLbls>
      </c:pie3DChart>
    </c:plotArea>
    <c:plotVisOnly val="1"/>
    <c:dispBlanksAs val="zero"/>
  </c:chart>
  <c:externalData r:id="rId2"/>
</c:chartSpace>
</file>

<file path=word/charts/chart213.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ofPieChart>
        <c:ofPieType val="bar"/>
        <c:varyColors val="1"/>
        <c:ser>
          <c:idx val="0"/>
          <c:order val="0"/>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Pt>
            <c:idx val="4"/>
            <c:spPr>
              <a:solidFill>
                <a:srgbClr val="C00000"/>
              </a:solidFill>
            </c:spPr>
          </c:dPt>
          <c:dLbls>
            <c:dLbl>
              <c:idx val="1"/>
              <c:layout>
                <c:manualLayout>
                  <c:x val="-1.5495188101487561E-2"/>
                  <c:y val="-6.2621026538349389E-2"/>
                </c:manualLayout>
              </c:layout>
              <c:dLblPos val="bestFit"/>
              <c:showCatName val="1"/>
              <c:showPercent val="1"/>
              <c:extLst>
                <c:ext xmlns:c15="http://schemas.microsoft.com/office/drawing/2012/chart" uri="{CE6537A1-D6FC-4f65-9D91-7224C49458BB}">
                  <c15:layout/>
                </c:ext>
              </c:extLst>
            </c:dLbl>
            <c:dLbl>
              <c:idx val="2"/>
              <c:layout>
                <c:manualLayout>
                  <c:x val="-0.12129074623105779"/>
                  <c:y val="-2.084449758605985E-2"/>
                </c:manualLayout>
              </c:layout>
              <c:dLblPos val="bestFit"/>
              <c:showCatName val="1"/>
              <c:showPercent val="1"/>
            </c:dLbl>
            <c:dLbl>
              <c:idx val="3"/>
              <c:layout>
                <c:manualLayout>
                  <c:x val="-8.8509463465905727E-2"/>
                  <c:y val="0"/>
                </c:manualLayout>
              </c:layout>
              <c:dLblPos val="bestFit"/>
              <c:showCatName val="1"/>
              <c:showPercent val="1"/>
            </c:dLbl>
            <c:dLbl>
              <c:idx val="4"/>
              <c:layout>
                <c:manualLayout>
                  <c:x val="-0.10712445319335102"/>
                  <c:y val="1.483814523184602E-2"/>
                </c:manualLayout>
              </c:layout>
              <c:tx>
                <c:rich>
                  <a:bodyPr/>
                  <a:lstStyle/>
                  <a:p>
                    <a:r>
                      <a:rPr lang="en-US">
                        <a:latin typeface="Book Antiqua" pitchFamily="18" charset="0"/>
                      </a:rPr>
                      <a:t>Plutôt incomplètes
60,1%</a:t>
                    </a:r>
                  </a:p>
                </c:rich>
              </c:tx>
              <c:dLblPos val="bestFit"/>
              <c:showCatName val="1"/>
              <c:showPercent val="1"/>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700" b="1">
                    <a:latin typeface="Book Antiqua" pitchFamily="18" charset="0"/>
                  </a:defRPr>
                </a:pPr>
                <a:endParaRPr lang="fr-FR"/>
              </a:p>
            </c:txPr>
            <c:dLblPos val="bestFit"/>
            <c:showCatName val="1"/>
            <c:showPercent val="1"/>
            <c:showLeaderLines val="1"/>
            <c:extLst>
              <c:ext xmlns:c15="http://schemas.microsoft.com/office/drawing/2012/chart" uri="{CE6537A1-D6FC-4f65-9D91-7224C49458BB}">
                <c15:layout/>
              </c:ext>
            </c:extLst>
          </c:dLbls>
          <c:cat>
            <c:strRef>
              <c:f>Feuil1!$A$146:$A$149</c:f>
              <c:strCache>
                <c:ptCount val="4"/>
                <c:pt idx="0">
                  <c:v>Très complètes</c:v>
                </c:pt>
                <c:pt idx="1">
                  <c:v>Complètes</c:v>
                </c:pt>
                <c:pt idx="2">
                  <c:v>Incomplètes</c:v>
                </c:pt>
                <c:pt idx="3">
                  <c:v>Très incomplètes</c:v>
                </c:pt>
              </c:strCache>
            </c:strRef>
          </c:cat>
          <c:val>
            <c:numRef>
              <c:f>Feuil1!$B$146:$B$149</c:f>
              <c:numCache>
                <c:formatCode>###0.0</c:formatCode>
                <c:ptCount val="4"/>
                <c:pt idx="0">
                  <c:v>2.5828970331587477</c:v>
                </c:pt>
                <c:pt idx="1">
                  <c:v>37.277486910994767</c:v>
                </c:pt>
                <c:pt idx="2">
                  <c:v>48.865619546247821</c:v>
                </c:pt>
                <c:pt idx="3">
                  <c:v>11.273996509598676</c:v>
                </c:pt>
              </c:numCache>
            </c:numRef>
          </c:val>
        </c:ser>
        <c:dLbls>
          <c:showCatName val="1"/>
          <c:showPercent val="1"/>
        </c:dLbls>
        <c:gapWidth val="100"/>
        <c:secondPieSize val="75"/>
        <c:serLines/>
      </c:ofPieChart>
    </c:plotArea>
    <c:plotVisOnly val="1"/>
    <c:dispBlanksAs val="zero"/>
  </c:chart>
  <c:externalData r:id="rId2"/>
</c:chartSpace>
</file>

<file path=word/charts/chart214.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bar"/>
        <c:grouping val="percentStacked"/>
        <c:ser>
          <c:idx val="0"/>
          <c:order val="0"/>
          <c:tx>
            <c:strRef>
              <c:f>Feuil7!$B$3</c:f>
              <c:strCache>
                <c:ptCount val="1"/>
                <c:pt idx="0">
                  <c:v>Oui, 1 fois</c:v>
                </c:pt>
              </c:strCache>
            </c:strRef>
          </c:tx>
          <c:spPr>
            <a:solidFill>
              <a:srgbClr val="FFFF00"/>
            </a:solidFill>
          </c:spPr>
          <c:dLbls>
            <c:txPr>
              <a:bodyPr/>
              <a:lstStyle/>
              <a:p>
                <a:pPr>
                  <a:defRPr b="1">
                    <a:latin typeface="Book Antiqua" pitchFamily="18" charset="0"/>
                  </a:defRPr>
                </a:pPr>
                <a:endParaRPr lang="fr-FR"/>
              </a:p>
            </c:txPr>
            <c:showVal val="1"/>
          </c:dLbls>
          <c:val>
            <c:numRef>
              <c:f>Feuil7!$D$3</c:f>
              <c:numCache>
                <c:formatCode>0.0%</c:formatCode>
                <c:ptCount val="1"/>
                <c:pt idx="0">
                  <c:v>0.68623481781376561</c:v>
                </c:pt>
              </c:numCache>
            </c:numRef>
          </c:val>
        </c:ser>
        <c:ser>
          <c:idx val="1"/>
          <c:order val="1"/>
          <c:tx>
            <c:strRef>
              <c:f>Feuil7!$B$4</c:f>
              <c:strCache>
                <c:ptCount val="1"/>
                <c:pt idx="0">
                  <c:v>Oui, 2 fois</c:v>
                </c:pt>
              </c:strCache>
            </c:strRef>
          </c:tx>
          <c:spPr>
            <a:solidFill>
              <a:schemeClr val="accent6">
                <a:lumMod val="75000"/>
              </a:schemeClr>
            </a:solidFill>
          </c:spPr>
          <c:dLbls>
            <c:txPr>
              <a:bodyPr/>
              <a:lstStyle/>
              <a:p>
                <a:pPr>
                  <a:defRPr b="1">
                    <a:latin typeface="Book Antiqua" pitchFamily="18" charset="0"/>
                  </a:defRPr>
                </a:pPr>
                <a:endParaRPr lang="fr-FR"/>
              </a:p>
            </c:txPr>
            <c:showVal val="1"/>
          </c:dLbls>
          <c:val>
            <c:numRef>
              <c:f>Feuil7!$D$4</c:f>
              <c:numCache>
                <c:formatCode>0.0%</c:formatCode>
                <c:ptCount val="1"/>
                <c:pt idx="0">
                  <c:v>0.16396761133603241</c:v>
                </c:pt>
              </c:numCache>
            </c:numRef>
          </c:val>
        </c:ser>
        <c:ser>
          <c:idx val="2"/>
          <c:order val="2"/>
          <c:tx>
            <c:strRef>
              <c:f>Feuil7!$B$5</c:f>
              <c:strCache>
                <c:ptCount val="1"/>
                <c:pt idx="0">
                  <c:v>Oui, Plus de 2 fois</c:v>
                </c:pt>
              </c:strCache>
            </c:strRef>
          </c:tx>
          <c:spPr>
            <a:solidFill>
              <a:srgbClr val="FF0000"/>
            </a:solidFill>
          </c:spPr>
          <c:dLbls>
            <c:txPr>
              <a:bodyPr/>
              <a:lstStyle/>
              <a:p>
                <a:pPr>
                  <a:defRPr b="1">
                    <a:latin typeface="Book Antiqua" pitchFamily="18" charset="0"/>
                  </a:defRPr>
                </a:pPr>
                <a:endParaRPr lang="fr-FR"/>
              </a:p>
            </c:txPr>
            <c:showVal val="1"/>
          </c:dLbls>
          <c:val>
            <c:numRef>
              <c:f>Feuil7!$D$5</c:f>
              <c:numCache>
                <c:formatCode>0.0%</c:formatCode>
                <c:ptCount val="1"/>
                <c:pt idx="0">
                  <c:v>0.14979757085020357</c:v>
                </c:pt>
              </c:numCache>
            </c:numRef>
          </c:val>
        </c:ser>
        <c:gapWidth val="75"/>
        <c:shape val="cylinder"/>
        <c:axId val="242213248"/>
        <c:axId val="242214784"/>
        <c:axId val="0"/>
      </c:bar3DChart>
      <c:catAx>
        <c:axId val="242213248"/>
        <c:scaling>
          <c:orientation val="minMax"/>
        </c:scaling>
        <c:delete val="1"/>
        <c:axPos val="l"/>
        <c:majorTickMark val="none"/>
        <c:tickLblPos val="none"/>
        <c:crossAx val="242214784"/>
        <c:crosses val="autoZero"/>
        <c:auto val="1"/>
        <c:lblAlgn val="ctr"/>
        <c:lblOffset val="100"/>
      </c:catAx>
      <c:valAx>
        <c:axId val="242214784"/>
        <c:scaling>
          <c:orientation val="minMax"/>
        </c:scaling>
        <c:axPos val="b"/>
        <c:majorGridlines/>
        <c:numFmt formatCode="0%" sourceLinked="1"/>
        <c:majorTickMark val="none"/>
        <c:tickLblPos val="nextTo"/>
        <c:spPr>
          <a:ln w="9525">
            <a:noFill/>
          </a:ln>
        </c:spPr>
        <c:txPr>
          <a:bodyPr/>
          <a:lstStyle/>
          <a:p>
            <a:pPr>
              <a:defRPr b="1">
                <a:latin typeface="Book Antiqua" pitchFamily="18" charset="0"/>
              </a:defRPr>
            </a:pPr>
            <a:endParaRPr lang="fr-FR"/>
          </a:p>
        </c:txPr>
        <c:crossAx val="242213248"/>
        <c:crosses val="autoZero"/>
        <c:crossBetween val="between"/>
      </c:valAx>
    </c:plotArea>
    <c:legend>
      <c:legendPos val="b"/>
      <c:txPr>
        <a:bodyPr/>
        <a:lstStyle/>
        <a:p>
          <a:pPr>
            <a:defRPr b="1">
              <a:latin typeface="Book Antiqua" pitchFamily="18" charset="0"/>
            </a:defRPr>
          </a:pPr>
          <a:endParaRPr lang="fr-FR"/>
        </a:p>
      </c:txPr>
    </c:legend>
    <c:plotVisOnly val="1"/>
    <c:dispBlanksAs val="gap"/>
  </c:chart>
  <c:externalData r:id="rId1"/>
</c:chartSpace>
</file>

<file path=word/charts/chart215.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dLbls>
            <c:dLbl>
              <c:idx val="4"/>
              <c:tx>
                <c:rich>
                  <a:bodyPr/>
                  <a:lstStyle/>
                  <a:p>
                    <a:r>
                      <a:rPr lang="en-US">
                        <a:latin typeface="Book Antiqua" pitchFamily="18" charset="0"/>
                      </a:rPr>
                      <a:t>Autre 
9%</a:t>
                    </a:r>
                  </a:p>
                </c:rich>
              </c:tx>
              <c:showCatName val="1"/>
              <c:showPercent val="1"/>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700" b="1">
                    <a:latin typeface="Book Antiqua" pitchFamily="18" charset="0"/>
                  </a:defRPr>
                </a:pPr>
                <a:endParaRPr lang="fr-FR"/>
              </a:p>
            </c:txPr>
            <c:showCatName val="1"/>
            <c:showPercent val="1"/>
            <c:showLeaderLines val="1"/>
            <c:extLst>
              <c:ext xmlns:c15="http://schemas.microsoft.com/office/drawing/2012/chart" uri="{CE6537A1-D6FC-4f65-9D91-7224C49458BB}">
                <c15:layout/>
              </c:ext>
            </c:extLst>
          </c:dLbls>
          <c:cat>
            <c:strRef>
              <c:f>Feuil2!$A$1:$A$5</c:f>
              <c:strCache>
                <c:ptCount val="5"/>
                <c:pt idx="0">
                  <c:v>Facturation d'un service</c:v>
                </c:pt>
                <c:pt idx="1">
                  <c:v>Contestation du relevé</c:v>
                </c:pt>
                <c:pt idx="2">
                  <c:v>Absence de diligence</c:v>
                </c:pt>
                <c:pt idx="3">
                  <c:v>Déficit d'information</c:v>
                </c:pt>
                <c:pt idx="4">
                  <c:v>Autre (Préciser)</c:v>
                </c:pt>
              </c:strCache>
            </c:strRef>
          </c:cat>
          <c:val>
            <c:numRef>
              <c:f>Feuil2!$B$1:$B$5</c:f>
              <c:numCache>
                <c:formatCode>###0.0%</c:formatCode>
                <c:ptCount val="5"/>
                <c:pt idx="0">
                  <c:v>0.38337801608580063</c:v>
                </c:pt>
                <c:pt idx="1">
                  <c:v>0.20554066130473636</c:v>
                </c:pt>
                <c:pt idx="2">
                  <c:v>0.13583556747095618</c:v>
                </c:pt>
                <c:pt idx="3">
                  <c:v>0.18230563002680991</c:v>
                </c:pt>
                <c:pt idx="4">
                  <c:v>9.2940125111706878E-2</c:v>
                </c:pt>
              </c:numCache>
            </c:numRef>
          </c:val>
        </c:ser>
        <c:dLbls>
          <c:showCatName val="1"/>
          <c:showPercent val="1"/>
        </c:dLbls>
      </c:pie3DChart>
    </c:plotArea>
    <c:plotVisOnly val="1"/>
    <c:dispBlanksAs val="zero"/>
  </c:chart>
  <c:externalData r:id="rId2"/>
</c:chartSpace>
</file>

<file path=word/charts/chart216.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ofPieChart>
        <c:ofPieType val="bar"/>
        <c:varyColors val="1"/>
        <c:ser>
          <c:idx val="0"/>
          <c:order val="0"/>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Pt>
            <c:idx val="4"/>
            <c:spPr>
              <a:solidFill>
                <a:srgbClr val="C00000"/>
              </a:solidFill>
            </c:spPr>
          </c:dPt>
          <c:dLbls>
            <c:numFmt formatCode="0.0%" sourceLinked="0"/>
            <c:spPr>
              <a:noFill/>
              <a:ln>
                <a:noFill/>
              </a:ln>
              <a:effectLst/>
            </c:spPr>
            <c:txPr>
              <a:bodyPr wrap="square" lIns="38100" tIns="19050" rIns="38100" bIns="19050" anchor="ctr">
                <a:spAutoFit/>
              </a:bodyPr>
              <a:lstStyle/>
              <a:p>
                <a:pPr>
                  <a:defRPr sz="800" b="1">
                    <a:latin typeface="Book Antiqua" pitchFamily="18" charset="0"/>
                  </a:defRPr>
                </a:pPr>
                <a:endParaRPr lang="fr-FR"/>
              </a:p>
            </c:txPr>
            <c:dLblPos val="bestFit"/>
            <c:showPercent val="1"/>
            <c:showLeaderLines val="1"/>
            <c:extLst>
              <c:ext xmlns:c15="http://schemas.microsoft.com/office/drawing/2012/chart" uri="{CE6537A1-D6FC-4f65-9D91-7224C49458BB}">
                <c15:layout/>
              </c:ext>
            </c:extLst>
          </c:dLbls>
          <c:cat>
            <c:strRef>
              <c:f>Feuil2!$A$93:$A$96</c:f>
              <c:strCache>
                <c:ptCount val="4"/>
                <c:pt idx="0">
                  <c:v>Très bonne</c:v>
                </c:pt>
                <c:pt idx="1">
                  <c:v>Bonne</c:v>
                </c:pt>
                <c:pt idx="2">
                  <c:v>Mauvaise</c:v>
                </c:pt>
                <c:pt idx="3">
                  <c:v>Très mauvaise</c:v>
                </c:pt>
              </c:strCache>
            </c:strRef>
          </c:cat>
          <c:val>
            <c:numRef>
              <c:f>Feuil2!$B$93:$B$96</c:f>
              <c:numCache>
                <c:formatCode>###0.0</c:formatCode>
                <c:ptCount val="4"/>
                <c:pt idx="0">
                  <c:v>2.9322548028311424</c:v>
                </c:pt>
                <c:pt idx="1">
                  <c:v>41.658240647118298</c:v>
                </c:pt>
                <c:pt idx="2">
                  <c:v>41.658240647118298</c:v>
                </c:pt>
                <c:pt idx="3">
                  <c:v>13.751263902932248</c:v>
                </c:pt>
              </c:numCache>
            </c:numRef>
          </c:val>
        </c:ser>
        <c:dLbls>
          <c:showPercent val="1"/>
        </c:dLbls>
        <c:gapWidth val="100"/>
        <c:secondPieSize val="75"/>
        <c:serLines/>
      </c:ofPieChart>
    </c:plotArea>
    <c:legend>
      <c:legendPos val="b"/>
      <c:txPr>
        <a:bodyPr/>
        <a:lstStyle/>
        <a:p>
          <a:pPr>
            <a:defRPr sz="800" b="1">
              <a:latin typeface="Book Antiqua" pitchFamily="18" charset="0"/>
            </a:defRPr>
          </a:pPr>
          <a:endParaRPr lang="fr-FR"/>
        </a:p>
      </c:txPr>
    </c:legend>
    <c:plotVisOnly val="1"/>
    <c:dispBlanksAs val="zero"/>
  </c:chart>
  <c:externalData r:id="rId2"/>
</c:chartSpace>
</file>

<file path=word/charts/chart21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manualLayout>
          <c:layoutTarget val="inner"/>
          <c:xMode val="edge"/>
          <c:yMode val="edge"/>
          <c:x val="4.752777777777778E-2"/>
          <c:y val="0.12583333333333341"/>
          <c:w val="0.87076421697288453"/>
          <c:h val="0.50355715952172253"/>
        </c:manualLayout>
      </c:layout>
      <c:bar3DChart>
        <c:barDir val="bar"/>
        <c:grouping val="percentStacked"/>
        <c:ser>
          <c:idx val="0"/>
          <c:order val="0"/>
          <c:tx>
            <c:strRef>
              <c:f>Feuil8!$J$3</c:f>
              <c:strCache>
                <c:ptCount val="1"/>
                <c:pt idx="0">
                  <c:v>Oui, 1 fois</c:v>
                </c:pt>
              </c:strCache>
            </c:strRef>
          </c:tx>
          <c:spPr>
            <a:solidFill>
              <a:schemeClr val="accent3"/>
            </a:solidFill>
          </c:spPr>
          <c:dLbls>
            <c:showVal val="1"/>
          </c:dLbls>
          <c:val>
            <c:numRef>
              <c:f>Feuil8!$L$3</c:f>
              <c:numCache>
                <c:formatCode>0.0%</c:formatCode>
                <c:ptCount val="1"/>
                <c:pt idx="0">
                  <c:v>0.71929824561403854</c:v>
                </c:pt>
              </c:numCache>
            </c:numRef>
          </c:val>
        </c:ser>
        <c:ser>
          <c:idx val="1"/>
          <c:order val="1"/>
          <c:tx>
            <c:strRef>
              <c:f>Feuil8!$J$4</c:f>
              <c:strCache>
                <c:ptCount val="1"/>
                <c:pt idx="0">
                  <c:v>Oui, 2 fois</c:v>
                </c:pt>
              </c:strCache>
            </c:strRef>
          </c:tx>
          <c:spPr>
            <a:solidFill>
              <a:schemeClr val="accent6">
                <a:lumMod val="75000"/>
              </a:schemeClr>
            </a:solidFill>
          </c:spPr>
          <c:dLbls>
            <c:dLbl>
              <c:idx val="0"/>
              <c:layout>
                <c:manualLayout>
                  <c:x val="5.0925337632081321E-17"/>
                  <c:y val="-3.7037037037037056E-2"/>
                </c:manualLayout>
              </c:layout>
              <c:showVal val="1"/>
            </c:dLbl>
            <c:showVal val="1"/>
          </c:dLbls>
          <c:val>
            <c:numRef>
              <c:f>Feuil8!$L$4</c:f>
              <c:numCache>
                <c:formatCode>0.0%</c:formatCode>
                <c:ptCount val="1"/>
                <c:pt idx="0">
                  <c:v>0.13450292397660818</c:v>
                </c:pt>
              </c:numCache>
            </c:numRef>
          </c:val>
        </c:ser>
        <c:ser>
          <c:idx val="2"/>
          <c:order val="2"/>
          <c:tx>
            <c:strRef>
              <c:f>Feuil8!$J$5</c:f>
              <c:strCache>
                <c:ptCount val="1"/>
                <c:pt idx="0">
                  <c:v>Oui, plus de 2 fois</c:v>
                </c:pt>
              </c:strCache>
            </c:strRef>
          </c:tx>
          <c:spPr>
            <a:solidFill>
              <a:srgbClr val="FF0000"/>
            </a:solidFill>
          </c:spPr>
          <c:dLbls>
            <c:dLbl>
              <c:idx val="0"/>
              <c:layout>
                <c:manualLayout>
                  <c:x val="8.3333333333333367E-3"/>
                  <c:y val="1.8518518518518583E-2"/>
                </c:manualLayout>
              </c:layout>
              <c:showVal val="1"/>
            </c:dLbl>
            <c:showVal val="1"/>
          </c:dLbls>
          <c:val>
            <c:numRef>
              <c:f>Feuil8!$L$5</c:f>
              <c:numCache>
                <c:formatCode>0.0%</c:formatCode>
                <c:ptCount val="1"/>
                <c:pt idx="0">
                  <c:v>0.14619883040935674</c:v>
                </c:pt>
              </c:numCache>
            </c:numRef>
          </c:val>
        </c:ser>
        <c:gapWidth val="55"/>
        <c:gapDepth val="55"/>
        <c:shape val="cylinder"/>
        <c:axId val="243284224"/>
        <c:axId val="243326976"/>
        <c:axId val="0"/>
      </c:bar3DChart>
      <c:catAx>
        <c:axId val="243284224"/>
        <c:scaling>
          <c:orientation val="minMax"/>
        </c:scaling>
        <c:delete val="1"/>
        <c:axPos val="l"/>
        <c:majorTickMark val="none"/>
        <c:tickLblPos val="none"/>
        <c:crossAx val="243326976"/>
        <c:crosses val="autoZero"/>
        <c:auto val="1"/>
        <c:lblAlgn val="ctr"/>
        <c:lblOffset val="100"/>
      </c:catAx>
      <c:valAx>
        <c:axId val="243326976"/>
        <c:scaling>
          <c:orientation val="minMax"/>
        </c:scaling>
        <c:axPos val="b"/>
        <c:majorGridlines/>
        <c:numFmt formatCode="0%" sourceLinked="1"/>
        <c:majorTickMark val="none"/>
        <c:tickLblPos val="nextTo"/>
        <c:txPr>
          <a:bodyPr/>
          <a:lstStyle/>
          <a:p>
            <a:pPr>
              <a:defRPr sz="800" b="1">
                <a:latin typeface="Book Antiqua" pitchFamily="18" charset="0"/>
              </a:defRPr>
            </a:pPr>
            <a:endParaRPr lang="fr-FR"/>
          </a:p>
        </c:txPr>
        <c:crossAx val="243284224"/>
        <c:crosses val="autoZero"/>
        <c:crossBetween val="between"/>
      </c:valAx>
    </c:plotArea>
    <c:legend>
      <c:legendPos val="r"/>
      <c:layout>
        <c:manualLayout>
          <c:xMode val="edge"/>
          <c:yMode val="edge"/>
          <c:x val="4.9347550306211824E-2"/>
          <c:y val="0.79845180810731997"/>
          <c:w val="0.88120800524934351"/>
          <c:h val="0.11226268591426072"/>
        </c:manualLayout>
      </c:layout>
      <c:txPr>
        <a:bodyPr/>
        <a:lstStyle/>
        <a:p>
          <a:pPr>
            <a:defRPr sz="900" b="1">
              <a:latin typeface="Book Antiqua" pitchFamily="18" charset="0"/>
            </a:defRPr>
          </a:pPr>
          <a:endParaRPr lang="fr-FR"/>
        </a:p>
      </c:txPr>
    </c:legend>
    <c:plotVisOnly val="1"/>
    <c:dispBlanksAs val="gap"/>
  </c:chart>
  <c:externalData r:id="rId1"/>
</c:chartSpace>
</file>

<file path=word/charts/chart21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dLbls>
            <c:dLbl>
              <c:idx val="5"/>
              <c:layout>
                <c:manualLayout>
                  <c:x val="4.8030730533683334E-2"/>
                  <c:y val="-3.5848643919511019E-3"/>
                </c:manualLayout>
              </c:layout>
              <c:tx>
                <c:rich>
                  <a:bodyPr/>
                  <a:lstStyle/>
                  <a:p>
                    <a:r>
                      <a:rPr lang="en-US"/>
                      <a:t>Autre 7%</a:t>
                    </a:r>
                  </a:p>
                </c:rich>
              </c:tx>
              <c:showCatName val="1"/>
              <c:showPercent val="1"/>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700" b="1"/>
                </a:pPr>
                <a:endParaRPr lang="fr-FR"/>
              </a:p>
            </c:txPr>
            <c:showCatName val="1"/>
            <c:showPercent val="1"/>
            <c:showLeaderLines val="1"/>
            <c:extLst>
              <c:ext xmlns:c15="http://schemas.microsoft.com/office/drawing/2012/chart" uri="{CE6537A1-D6FC-4f65-9D91-7224C49458BB}">
                <c15:layout/>
              </c:ext>
            </c:extLst>
          </c:dLbls>
          <c:cat>
            <c:strRef>
              <c:f>Feuil2!$A$63:$A$68</c:f>
              <c:strCache>
                <c:ptCount val="6"/>
                <c:pt idx="0">
                  <c:v>Interprétation divergente du contrat</c:v>
                </c:pt>
                <c:pt idx="1">
                  <c:v>Non-conformité des produits</c:v>
                </c:pt>
                <c:pt idx="2">
                  <c:v>Coût des services</c:v>
                </c:pt>
                <c:pt idx="3">
                  <c:v>Déficit d'information</c:v>
                </c:pt>
                <c:pt idx="4">
                  <c:v>Prélèvement indû</c:v>
                </c:pt>
                <c:pt idx="5">
                  <c:v>Autre (Préciser)</c:v>
                </c:pt>
              </c:strCache>
            </c:strRef>
          </c:cat>
          <c:val>
            <c:numRef>
              <c:f>Feuil2!$B$63:$B$68</c:f>
              <c:numCache>
                <c:formatCode>###0.0%</c:formatCode>
                <c:ptCount val="6"/>
                <c:pt idx="0">
                  <c:v>0.1095890410958904</c:v>
                </c:pt>
                <c:pt idx="1">
                  <c:v>6.8493150684931503E-2</c:v>
                </c:pt>
                <c:pt idx="2">
                  <c:v>0.28767123287671226</c:v>
                </c:pt>
                <c:pt idx="3">
                  <c:v>0.22374429223744852</c:v>
                </c:pt>
                <c:pt idx="4">
                  <c:v>0.24200913242009831</c:v>
                </c:pt>
                <c:pt idx="5">
                  <c:v>6.8493150684931503E-2</c:v>
                </c:pt>
              </c:numCache>
            </c:numRef>
          </c:val>
        </c:ser>
        <c:dLbls>
          <c:showCatName val="1"/>
          <c:showPercent val="1"/>
        </c:dLbls>
      </c:pie3DChart>
    </c:plotArea>
    <c:plotVisOnly val="1"/>
    <c:dispBlanksAs val="zero"/>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varyColors val="1"/>
        <c:ser>
          <c:idx val="0"/>
          <c:order val="0"/>
          <c:dLbls>
            <c:dLbl>
              <c:idx val="0"/>
              <c:layout>
                <c:manualLayout>
                  <c:x val="1.5267175572519161E-2"/>
                  <c:y val="-7.4766355140187132E-2"/>
                </c:manualLayout>
              </c:layout>
              <c:tx>
                <c:rich>
                  <a:bodyPr/>
                  <a:lstStyle/>
                  <a:p>
                    <a:r>
                      <a:rPr lang="en-US" sz="700" b="1">
                        <a:latin typeface="Book Antiqua" pitchFamily="18" charset="0"/>
                      </a:rPr>
                      <a:t>35,5%</a:t>
                    </a:r>
                  </a:p>
                </c:rich>
              </c:tx>
              <c:showVal val="1"/>
              <c:extLst>
                <c:ext xmlns:c15="http://schemas.microsoft.com/office/drawing/2012/chart" uri="{CE6537A1-D6FC-4f65-9D91-7224C49458BB}">
                  <c15:layout/>
                </c:ext>
              </c:extLst>
            </c:dLbl>
            <c:dLbl>
              <c:idx val="1"/>
              <c:layout>
                <c:manualLayout>
                  <c:x val="2.544529262086645E-2"/>
                  <c:y val="-6.4085447263017362E-2"/>
                </c:manualLayout>
              </c:layout>
              <c:tx>
                <c:rich>
                  <a:bodyPr/>
                  <a:lstStyle/>
                  <a:p>
                    <a:r>
                      <a:rPr lang="en-US" sz="700"/>
                      <a:t>64,5%</a:t>
                    </a:r>
                  </a:p>
                </c:rich>
              </c:tx>
              <c:showVal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700"/>
                </a:pPr>
                <a:endParaRPr lang="fr-FR"/>
              </a:p>
            </c:txPr>
            <c:showVal val="1"/>
            <c:extLst>
              <c:ext xmlns:c15="http://schemas.microsoft.com/office/drawing/2012/chart" uri="{CE6537A1-D6FC-4f65-9D91-7224C49458BB}">
                <c15:showLeaderLines val="0"/>
              </c:ext>
            </c:extLst>
          </c:dLbls>
          <c:cat>
            <c:strRef>
              <c:f>Feuil4!$A$5:$A$6</c:f>
              <c:strCache>
                <c:ptCount val="2"/>
                <c:pt idx="0">
                  <c:v>Oui</c:v>
                </c:pt>
                <c:pt idx="1">
                  <c:v>Non</c:v>
                </c:pt>
              </c:strCache>
            </c:strRef>
          </c:cat>
          <c:val>
            <c:numRef>
              <c:f>Feuil4!$B$5:$B$6</c:f>
              <c:numCache>
                <c:formatCode>###0.0</c:formatCode>
                <c:ptCount val="2"/>
                <c:pt idx="0">
                  <c:v>35.538954108858213</c:v>
                </c:pt>
                <c:pt idx="1">
                  <c:v>64.461045891141936</c:v>
                </c:pt>
              </c:numCache>
            </c:numRef>
          </c:val>
        </c:ser>
        <c:shape val="cylinder"/>
        <c:axId val="188811520"/>
        <c:axId val="188813312"/>
        <c:axId val="0"/>
      </c:bar3DChart>
      <c:catAx>
        <c:axId val="188811520"/>
        <c:scaling>
          <c:orientation val="minMax"/>
        </c:scaling>
        <c:axPos val="b"/>
        <c:numFmt formatCode="General" sourceLinked="0"/>
        <c:tickLblPos val="nextTo"/>
        <c:txPr>
          <a:bodyPr/>
          <a:lstStyle/>
          <a:p>
            <a:pPr>
              <a:defRPr sz="700"/>
            </a:pPr>
            <a:endParaRPr lang="fr-FR"/>
          </a:p>
        </c:txPr>
        <c:crossAx val="188813312"/>
        <c:crosses val="autoZero"/>
        <c:auto val="1"/>
        <c:lblAlgn val="ctr"/>
        <c:lblOffset val="100"/>
      </c:catAx>
      <c:valAx>
        <c:axId val="188813312"/>
        <c:scaling>
          <c:orientation val="minMax"/>
        </c:scaling>
        <c:axPos val="l"/>
        <c:numFmt formatCode="###0" sourceLinked="0"/>
        <c:tickLblPos val="nextTo"/>
        <c:crossAx val="188811520"/>
        <c:crosses val="autoZero"/>
        <c:crossBetween val="between"/>
      </c:valAx>
    </c:plotArea>
    <c:plotVisOnly val="1"/>
    <c:dispBlanksAs val="gap"/>
  </c:chart>
  <c:txPr>
    <a:bodyPr/>
    <a:lstStyle/>
    <a:p>
      <a:pPr>
        <a:defRPr sz="800" b="1">
          <a:latin typeface="Book Antiqua" pitchFamily="18" charset="0"/>
        </a:defRPr>
      </a:pPr>
      <a:endParaRPr lang="fr-FR"/>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dLbls>
            <c:dLbl>
              <c:idx val="0"/>
              <c:tx>
                <c:rich>
                  <a:bodyPr/>
                  <a:lstStyle/>
                  <a:p>
                    <a:r>
                      <a:rPr lang="en-US" sz="800" b="1"/>
                      <a:t>5,7%</a:t>
                    </a:r>
                  </a:p>
                </c:rich>
              </c:tx>
              <c:showVal val="1"/>
              <c:extLst>
                <c:ext xmlns:c15="http://schemas.microsoft.com/office/drawing/2012/chart" uri="{CE6537A1-D6FC-4f65-9D91-7224C49458BB}">
                  <c15:layout/>
                </c:ext>
              </c:extLst>
            </c:dLbl>
            <c:dLbl>
              <c:idx val="1"/>
              <c:tx>
                <c:rich>
                  <a:bodyPr/>
                  <a:lstStyle/>
                  <a:p>
                    <a:r>
                      <a:rPr lang="en-US" sz="800" b="1"/>
                      <a:t>25,5%</a:t>
                    </a:r>
                  </a:p>
                </c:rich>
              </c:tx>
              <c:showVal val="1"/>
              <c:extLst>
                <c:ext xmlns:c15="http://schemas.microsoft.com/office/drawing/2012/chart" uri="{CE6537A1-D6FC-4f65-9D91-7224C49458BB}">
                  <c15:layout/>
                </c:ext>
              </c:extLst>
            </c:dLbl>
            <c:dLbl>
              <c:idx val="2"/>
              <c:tx>
                <c:rich>
                  <a:bodyPr/>
                  <a:lstStyle/>
                  <a:p>
                    <a:r>
                      <a:rPr lang="en-US" sz="800" b="1"/>
                      <a:t>67,2%</a:t>
                    </a:r>
                  </a:p>
                </c:rich>
              </c:tx>
              <c:showVal val="1"/>
              <c:extLst>
                <c:ext xmlns:c15="http://schemas.microsoft.com/office/drawing/2012/chart" uri="{CE6537A1-D6FC-4f65-9D91-7224C49458BB}">
                  <c15:layout/>
                </c:ext>
              </c:extLst>
            </c:dLbl>
            <c:dLbl>
              <c:idx val="3"/>
              <c:tx>
                <c:rich>
                  <a:bodyPr/>
                  <a:lstStyle/>
                  <a:p>
                    <a:r>
                      <a:rPr lang="en-US" sz="800" b="1"/>
                      <a:t>1,6%</a:t>
                    </a:r>
                  </a:p>
                </c:rich>
              </c:tx>
              <c:showVal val="1"/>
              <c:extLst>
                <c:ext xmlns:c15="http://schemas.microsoft.com/office/drawing/2012/chart" uri="{CE6537A1-D6FC-4f65-9D91-7224C49458BB}">
                  <c15:layout/>
                </c:ext>
              </c:extLst>
            </c:dLbl>
            <c:spPr>
              <a:noFill/>
              <a:ln>
                <a:noFill/>
              </a:ln>
              <a:effectLst/>
            </c:spPr>
            <c:txPr>
              <a:bodyPr/>
              <a:lstStyle/>
              <a:p>
                <a:pPr>
                  <a:defRPr sz="700" b="1">
                    <a:latin typeface="Book Antiqua" pitchFamily="18" charset="0"/>
                  </a:defRPr>
                </a:pPr>
                <a:endParaRPr lang="fr-FR"/>
              </a:p>
            </c:txPr>
            <c:showVal val="1"/>
            <c:showLeaderLines val="1"/>
            <c:extLst>
              <c:ext xmlns:c15="http://schemas.microsoft.com/office/drawing/2012/chart" uri="{CE6537A1-D6FC-4f65-9D91-7224C49458BB}"/>
            </c:extLst>
          </c:dLbls>
          <c:cat>
            <c:strRef>
              <c:f>Feuil6!$A$6:$A$9</c:f>
              <c:strCache>
                <c:ptCount val="4"/>
                <c:pt idx="0">
                  <c:v>Très longue</c:v>
                </c:pt>
                <c:pt idx="1">
                  <c:v>Longue</c:v>
                </c:pt>
                <c:pt idx="2">
                  <c:v>Correct</c:v>
                </c:pt>
                <c:pt idx="3">
                  <c:v>Très Correct</c:v>
                </c:pt>
              </c:strCache>
            </c:strRef>
          </c:cat>
          <c:val>
            <c:numRef>
              <c:f>Feuil6!$B$6:$B$9</c:f>
              <c:numCache>
                <c:formatCode>###0.0</c:formatCode>
                <c:ptCount val="4"/>
                <c:pt idx="0">
                  <c:v>5.663189269746411</c:v>
                </c:pt>
                <c:pt idx="1">
                  <c:v>25.484351713859915</c:v>
                </c:pt>
                <c:pt idx="2">
                  <c:v>67.213114754098427</c:v>
                </c:pt>
                <c:pt idx="3">
                  <c:v>1.6393442622950818</c:v>
                </c:pt>
              </c:numCache>
            </c:numRef>
          </c:val>
        </c:ser>
      </c:pie3DChart>
    </c:plotArea>
    <c:legend>
      <c:legendPos val="b"/>
      <c:txPr>
        <a:bodyPr/>
        <a:lstStyle/>
        <a:p>
          <a:pPr>
            <a:defRPr sz="700" b="1">
              <a:latin typeface="Book Antiqua" pitchFamily="18" charset="0"/>
            </a:defRPr>
          </a:pPr>
          <a:endParaRPr lang="fr-FR"/>
        </a:p>
      </c:txPr>
    </c:legend>
    <c:plotVisOnly val="1"/>
    <c:dispBlanksAs val="zero"/>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Feuil12!$A$4</c:f>
              <c:strCache>
                <c:ptCount val="1"/>
                <c:pt idx="0">
                  <c:v>Très longue</c:v>
                </c:pt>
              </c:strCache>
            </c:strRef>
          </c:tx>
          <c:cat>
            <c:strRef>
              <c:f>Feuil12!$B$3:$O$3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Feuil12!$B$4:$O$4</c:f>
              <c:numCache>
                <c:formatCode>General</c:formatCode>
                <c:ptCount val="14"/>
                <c:pt idx="0" formatCode="###0.0%">
                  <c:v>6.4814814814817628E-2</c:v>
                </c:pt>
                <c:pt idx="3" formatCode="###0.0%">
                  <c:v>0.16666666666666669</c:v>
                </c:pt>
                <c:pt idx="6" formatCode="###0.0%">
                  <c:v>0.125</c:v>
                </c:pt>
                <c:pt idx="8" formatCode="###0.0%">
                  <c:v>0.14285714285714796</c:v>
                </c:pt>
                <c:pt idx="9" formatCode="###0.0%">
                  <c:v>4.1666666666666671E-2</c:v>
                </c:pt>
                <c:pt idx="11" formatCode="###0.0%">
                  <c:v>0.18181818181818726</c:v>
                </c:pt>
                <c:pt idx="13" formatCode="###0.0%">
                  <c:v>5.5555555555555455E-2</c:v>
                </c:pt>
              </c:numCache>
            </c:numRef>
          </c:val>
        </c:ser>
        <c:ser>
          <c:idx val="1"/>
          <c:order val="1"/>
          <c:tx>
            <c:strRef>
              <c:f>Feuil12!$A$5</c:f>
              <c:strCache>
                <c:ptCount val="1"/>
                <c:pt idx="0">
                  <c:v>Longue</c:v>
                </c:pt>
              </c:strCache>
            </c:strRef>
          </c:tx>
          <c:cat>
            <c:strRef>
              <c:f>Feuil12!$B$3:$O$3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Feuil12!$B$5:$O$5</c:f>
              <c:numCache>
                <c:formatCode>###0.0%</c:formatCode>
                <c:ptCount val="14"/>
                <c:pt idx="0">
                  <c:v>0.28472222222222232</c:v>
                </c:pt>
                <c:pt idx="1">
                  <c:v>0.26923076923076938</c:v>
                </c:pt>
                <c:pt idx="2">
                  <c:v>9.0909090909091064E-2</c:v>
                </c:pt>
                <c:pt idx="3">
                  <c:v>0.33333333333333337</c:v>
                </c:pt>
                <c:pt idx="4">
                  <c:v>0.29629629629629628</c:v>
                </c:pt>
                <c:pt idx="5">
                  <c:v>0.1</c:v>
                </c:pt>
                <c:pt idx="6">
                  <c:v>0.25</c:v>
                </c:pt>
                <c:pt idx="7">
                  <c:v>0.37500000000000488</c:v>
                </c:pt>
                <c:pt idx="8">
                  <c:v>0.42857142857142855</c:v>
                </c:pt>
                <c:pt idx="9">
                  <c:v>0.16666666666666669</c:v>
                </c:pt>
                <c:pt idx="10">
                  <c:v>4.3478260869565223E-2</c:v>
                </c:pt>
                <c:pt idx="11">
                  <c:v>0.31818181818182617</c:v>
                </c:pt>
                <c:pt idx="12">
                  <c:v>0.19047619047619638</c:v>
                </c:pt>
                <c:pt idx="13">
                  <c:v>0.1111111111111111</c:v>
                </c:pt>
              </c:numCache>
            </c:numRef>
          </c:val>
        </c:ser>
        <c:ser>
          <c:idx val="2"/>
          <c:order val="2"/>
          <c:tx>
            <c:strRef>
              <c:f>Feuil12!$A$7</c:f>
              <c:strCache>
                <c:ptCount val="1"/>
                <c:pt idx="0">
                  <c:v>Correct</c:v>
                </c:pt>
              </c:strCache>
            </c:strRef>
          </c:tx>
          <c:cat>
            <c:strRef>
              <c:f>Feuil12!$B$3:$O$3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Feuil12!$B$7:$O$7</c:f>
              <c:numCache>
                <c:formatCode>###0.0%</c:formatCode>
                <c:ptCount val="14"/>
                <c:pt idx="0">
                  <c:v>0.63194444444446773</c:v>
                </c:pt>
                <c:pt idx="1">
                  <c:v>0.73076923076923084</c:v>
                </c:pt>
                <c:pt idx="2">
                  <c:v>0.90909090909090906</c:v>
                </c:pt>
                <c:pt idx="3">
                  <c:v>0.5</c:v>
                </c:pt>
                <c:pt idx="4">
                  <c:v>0.70370370370370372</c:v>
                </c:pt>
                <c:pt idx="5">
                  <c:v>0.9</c:v>
                </c:pt>
                <c:pt idx="6">
                  <c:v>0.62500000000001432</c:v>
                </c:pt>
                <c:pt idx="7">
                  <c:v>0.62500000000001432</c:v>
                </c:pt>
                <c:pt idx="8">
                  <c:v>0.42857142857142855</c:v>
                </c:pt>
                <c:pt idx="9">
                  <c:v>0.75000000000001432</c:v>
                </c:pt>
                <c:pt idx="10">
                  <c:v>0.91304347826086962</c:v>
                </c:pt>
                <c:pt idx="11">
                  <c:v>0.45454545454545453</c:v>
                </c:pt>
                <c:pt idx="12">
                  <c:v>0.80952380952380965</c:v>
                </c:pt>
                <c:pt idx="13">
                  <c:v>0.8333333333333337</c:v>
                </c:pt>
              </c:numCache>
            </c:numRef>
          </c:val>
        </c:ser>
        <c:ser>
          <c:idx val="3"/>
          <c:order val="3"/>
          <c:tx>
            <c:strRef>
              <c:f>Feuil12!$A$8</c:f>
              <c:strCache>
                <c:ptCount val="1"/>
                <c:pt idx="0">
                  <c:v>Très Correct</c:v>
                </c:pt>
              </c:strCache>
            </c:strRef>
          </c:tx>
          <c:cat>
            <c:strRef>
              <c:f>Feuil12!$B$3:$O$3</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Feuil12!$B$8:$O$8</c:f>
              <c:numCache>
                <c:formatCode>General</c:formatCode>
                <c:ptCount val="14"/>
                <c:pt idx="0" formatCode="###0.0%">
                  <c:v>1.8518518518518583E-2</c:v>
                </c:pt>
                <c:pt idx="9" formatCode="###0.0%">
                  <c:v>4.1666666666666671E-2</c:v>
                </c:pt>
                <c:pt idx="10" formatCode="###0.0%">
                  <c:v>4.3478260869565223E-2</c:v>
                </c:pt>
                <c:pt idx="11" formatCode="###0.0%">
                  <c:v>4.5454545454545463E-2</c:v>
                </c:pt>
              </c:numCache>
            </c:numRef>
          </c:val>
        </c:ser>
        <c:shape val="cylinder"/>
        <c:axId val="188861824"/>
        <c:axId val="188867712"/>
        <c:axId val="0"/>
      </c:bar3DChart>
      <c:catAx>
        <c:axId val="188861824"/>
        <c:scaling>
          <c:orientation val="minMax"/>
        </c:scaling>
        <c:axPos val="b"/>
        <c:numFmt formatCode="General" sourceLinked="0"/>
        <c:tickLblPos val="nextTo"/>
        <c:txPr>
          <a:bodyPr/>
          <a:lstStyle/>
          <a:p>
            <a:pPr>
              <a:defRPr sz="700" b="1">
                <a:latin typeface="Book Antiqua" pitchFamily="18" charset="0"/>
              </a:defRPr>
            </a:pPr>
            <a:endParaRPr lang="fr-FR"/>
          </a:p>
        </c:txPr>
        <c:crossAx val="188867712"/>
        <c:crosses val="autoZero"/>
        <c:auto val="1"/>
        <c:lblAlgn val="ctr"/>
        <c:lblOffset val="100"/>
      </c:catAx>
      <c:valAx>
        <c:axId val="188867712"/>
        <c:scaling>
          <c:orientation val="minMax"/>
        </c:scaling>
        <c:axPos val="l"/>
        <c:majorGridlines/>
        <c:numFmt formatCode="0%" sourceLinked="0"/>
        <c:tickLblPos val="nextTo"/>
        <c:txPr>
          <a:bodyPr/>
          <a:lstStyle/>
          <a:p>
            <a:pPr>
              <a:defRPr sz="700" b="1">
                <a:latin typeface="Book Antiqua" pitchFamily="18" charset="0"/>
              </a:defRPr>
            </a:pPr>
            <a:endParaRPr lang="fr-FR"/>
          </a:p>
        </c:txPr>
        <c:crossAx val="188861824"/>
        <c:crosses val="autoZero"/>
        <c:crossBetween val="between"/>
      </c:valAx>
    </c:plotArea>
    <c:legend>
      <c:legendPos val="b"/>
      <c:txPr>
        <a:bodyPr/>
        <a:lstStyle/>
        <a:p>
          <a:pPr>
            <a:defRPr sz="700" b="1">
              <a:latin typeface="Book Antiqua" pitchFamily="18" charset="0"/>
            </a:defRPr>
          </a:pPr>
          <a:endParaRPr lang="fr-FR"/>
        </a:p>
      </c:txPr>
    </c:legend>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sideWall>
      <c:spPr>
        <a:noFill/>
        <a:ln w="25400">
          <a:noFill/>
        </a:ln>
      </c:spPr>
    </c:sideWall>
    <c:backWall>
      <c:spPr>
        <a:noFill/>
        <a:ln w="25400">
          <a:noFill/>
        </a:ln>
      </c:spPr>
    </c:backWall>
    <c:plotArea>
      <c:layout/>
      <c:bar3DChart>
        <c:barDir val="col"/>
        <c:grouping val="clustered"/>
        <c:ser>
          <c:idx val="0"/>
          <c:order val="0"/>
          <c:tx>
            <c:strRef>
              <c:f>Feuil13!$A$5</c:f>
              <c:strCache>
                <c:ptCount val="1"/>
                <c:pt idx="0">
                  <c:v>Oui</c:v>
                </c:pt>
              </c:strCache>
            </c:strRef>
          </c:tx>
          <c:dLbls>
            <c:dLbl>
              <c:idx val="0"/>
              <c:layout>
                <c:manualLayout>
                  <c:x val="1.5428697377121438E-2"/>
                  <c:y val="-5.8997050147492833E-2"/>
                </c:manualLayout>
              </c:layout>
              <c:showVal val="1"/>
              <c:extLst>
                <c:ext xmlns:c15="http://schemas.microsoft.com/office/drawing/2012/chart" uri="{CE6537A1-D6FC-4f65-9D91-7224C49458BB}">
                  <c15:layout/>
                </c:ext>
              </c:extLst>
            </c:dLbl>
            <c:dLbl>
              <c:idx val="1"/>
              <c:layout>
                <c:manualLayout>
                  <c:x val="1.3224597751818628E-2"/>
                  <c:y val="-3.7543577366586242E-2"/>
                </c:manualLayout>
              </c:layout>
              <c:spPr/>
              <c:txPr>
                <a:bodyPr/>
                <a:lstStyle/>
                <a:p>
                  <a:pPr>
                    <a:defRPr sz="600" b="1">
                      <a:solidFill>
                        <a:sysClr val="windowText" lastClr="000000"/>
                      </a:solidFill>
                      <a:latin typeface="Book Antiqua" pitchFamily="18" charset="0"/>
                    </a:defRPr>
                  </a:pPr>
                  <a:endParaRPr lang="fr-FR"/>
                </a:p>
              </c:txPr>
              <c:showVal val="1"/>
              <c:extLst>
                <c:ext xmlns:c15="http://schemas.microsoft.com/office/drawing/2012/chart" uri="{CE6537A1-D6FC-4f65-9D91-7224C49458BB}">
                  <c15:layout/>
                </c:ext>
              </c:extLst>
            </c:dLbl>
            <c:spPr>
              <a:noFill/>
              <a:ln>
                <a:noFill/>
              </a:ln>
              <a:effectLst/>
            </c:spPr>
            <c:txPr>
              <a:bodyPr/>
              <a:lstStyle/>
              <a:p>
                <a:pPr>
                  <a:defRPr sz="600" b="1">
                    <a:solidFill>
                      <a:sysClr val="windowText" lastClr="000000"/>
                    </a:solidFill>
                    <a:latin typeface="Book Antiqua" pitchFamily="18" charset="0"/>
                  </a:defRPr>
                </a:pPr>
                <a:endParaRPr lang="fr-FR"/>
              </a:p>
            </c:txPr>
            <c:showVal val="1"/>
            <c:extLst>
              <c:ext xmlns:c15="http://schemas.microsoft.com/office/drawing/2012/chart" uri="{CE6537A1-D6FC-4f65-9D91-7224C49458BB}">
                <c15:showLeaderLines val="0"/>
              </c:ext>
            </c:extLst>
          </c:dLbls>
          <c:cat>
            <c:strRef>
              <c:f>Feuil13!$B$4:$C$4</c:f>
              <c:strCache>
                <c:ptCount val="2"/>
                <c:pt idx="0">
                  <c:v>Formel</c:v>
                </c:pt>
                <c:pt idx="1">
                  <c:v>Informel</c:v>
                </c:pt>
              </c:strCache>
            </c:strRef>
          </c:cat>
          <c:val>
            <c:numRef>
              <c:f>Feuil13!$B$5:$C$5</c:f>
              <c:numCache>
                <c:formatCode>###0.0%</c:formatCode>
                <c:ptCount val="2"/>
                <c:pt idx="0">
                  <c:v>0.42642642642642642</c:v>
                </c:pt>
                <c:pt idx="1">
                  <c:v>0.1808118081180812</c:v>
                </c:pt>
              </c:numCache>
            </c:numRef>
          </c:val>
        </c:ser>
        <c:ser>
          <c:idx val="1"/>
          <c:order val="1"/>
          <c:tx>
            <c:strRef>
              <c:f>Feuil13!$A$6</c:f>
              <c:strCache>
                <c:ptCount val="1"/>
                <c:pt idx="0">
                  <c:v>Non</c:v>
                </c:pt>
              </c:strCache>
            </c:strRef>
          </c:tx>
          <c:dLbls>
            <c:dLbl>
              <c:idx val="0"/>
              <c:layout>
                <c:manualLayout>
                  <c:x val="1.9836896627727581E-2"/>
                  <c:y val="-7.5087154733172484E-2"/>
                </c:manualLayout>
              </c:layout>
              <c:showVal val="1"/>
              <c:extLst>
                <c:ext xmlns:c15="http://schemas.microsoft.com/office/drawing/2012/chart" uri="{CE6537A1-D6FC-4f65-9D91-7224C49458BB}">
                  <c15:layout/>
                </c:ext>
              </c:extLst>
            </c:dLbl>
            <c:dLbl>
              <c:idx val="1"/>
              <c:layout>
                <c:manualLayout>
                  <c:x val="1.9836896627727543E-2"/>
                  <c:y val="-6.4360418342719924E-2"/>
                </c:manualLayout>
              </c:layout>
              <c:showVal val="1"/>
              <c:extLst>
                <c:ext xmlns:c15="http://schemas.microsoft.com/office/drawing/2012/chart" uri="{CE6537A1-D6FC-4f65-9D91-7224C49458BB}">
                  <c15:layout/>
                </c:ext>
              </c:extLst>
            </c:dLbl>
            <c:spPr>
              <a:noFill/>
              <a:ln>
                <a:noFill/>
              </a:ln>
              <a:effectLst/>
            </c:spPr>
            <c:txPr>
              <a:bodyPr/>
              <a:lstStyle/>
              <a:p>
                <a:pPr>
                  <a:defRPr sz="600" b="1">
                    <a:solidFill>
                      <a:sysClr val="windowText" lastClr="000000"/>
                    </a:solidFill>
                    <a:latin typeface="Book Antiqua" pitchFamily="18" charset="0"/>
                  </a:defRPr>
                </a:pPr>
                <a:endParaRPr lang="fr-FR"/>
              </a:p>
            </c:txPr>
            <c:showVal val="1"/>
            <c:extLst>
              <c:ext xmlns:c15="http://schemas.microsoft.com/office/drawing/2012/chart" uri="{CE6537A1-D6FC-4f65-9D91-7224C49458BB}">
                <c15:showLeaderLines val="0"/>
              </c:ext>
            </c:extLst>
          </c:dLbls>
          <c:cat>
            <c:strRef>
              <c:f>Feuil13!$B$4:$C$4</c:f>
              <c:strCache>
                <c:ptCount val="2"/>
                <c:pt idx="0">
                  <c:v>Formel</c:v>
                </c:pt>
                <c:pt idx="1">
                  <c:v>Informel</c:v>
                </c:pt>
              </c:strCache>
            </c:strRef>
          </c:cat>
          <c:val>
            <c:numRef>
              <c:f>Feuil13!$B$6:$C$6</c:f>
              <c:numCache>
                <c:formatCode>###0.0%</c:formatCode>
                <c:ptCount val="2"/>
                <c:pt idx="0">
                  <c:v>0.57357357357359573</c:v>
                </c:pt>
                <c:pt idx="1">
                  <c:v>0.81918819188189951</c:v>
                </c:pt>
              </c:numCache>
            </c:numRef>
          </c:val>
        </c:ser>
        <c:shape val="cylinder"/>
        <c:axId val="189328000"/>
        <c:axId val="198267264"/>
        <c:axId val="0"/>
      </c:bar3DChart>
      <c:catAx>
        <c:axId val="189328000"/>
        <c:scaling>
          <c:orientation val="minMax"/>
        </c:scaling>
        <c:axPos val="b"/>
        <c:numFmt formatCode="General" sourceLinked="0"/>
        <c:tickLblPos val="nextTo"/>
        <c:txPr>
          <a:bodyPr/>
          <a:lstStyle/>
          <a:p>
            <a:pPr>
              <a:defRPr sz="800" b="1">
                <a:latin typeface="Book Antiqua" pitchFamily="18" charset="0"/>
              </a:defRPr>
            </a:pPr>
            <a:endParaRPr lang="fr-FR"/>
          </a:p>
        </c:txPr>
        <c:crossAx val="198267264"/>
        <c:crosses val="autoZero"/>
        <c:auto val="1"/>
        <c:lblAlgn val="ctr"/>
        <c:lblOffset val="100"/>
      </c:catAx>
      <c:valAx>
        <c:axId val="198267264"/>
        <c:scaling>
          <c:orientation val="minMax"/>
        </c:scaling>
        <c:axPos val="l"/>
        <c:numFmt formatCode="0%" sourceLinked="0"/>
        <c:tickLblPos val="nextTo"/>
        <c:txPr>
          <a:bodyPr/>
          <a:lstStyle/>
          <a:p>
            <a:pPr>
              <a:defRPr sz="700" b="1">
                <a:latin typeface="Book Antiqua" pitchFamily="18" charset="0"/>
              </a:defRPr>
            </a:pPr>
            <a:endParaRPr lang="fr-FR"/>
          </a:p>
        </c:txPr>
        <c:crossAx val="189328000"/>
        <c:crosses val="autoZero"/>
        <c:crossBetween val="between"/>
      </c:valAx>
    </c:plotArea>
    <c:legend>
      <c:legendPos val="b"/>
      <c:layout>
        <c:manualLayout>
          <c:xMode val="edge"/>
          <c:yMode val="edge"/>
          <c:x val="0.43338681410907309"/>
          <c:y val="0.8927525369489242"/>
          <c:w val="0.13322637178189844"/>
          <c:h val="6.4466714387974494E-2"/>
        </c:manualLayout>
      </c:layout>
      <c:txPr>
        <a:bodyPr/>
        <a:lstStyle/>
        <a:p>
          <a:pPr>
            <a:defRPr sz="700" b="1">
              <a:latin typeface="Book Antiqua" pitchFamily="18" charset="0"/>
            </a:defRPr>
          </a:pPr>
          <a:endParaRPr lang="fr-FR"/>
        </a:p>
      </c:txPr>
    </c:legend>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Feuil14!$A$4</c:f>
              <c:strCache>
                <c:ptCount val="1"/>
                <c:pt idx="0">
                  <c:v>Oui</c:v>
                </c:pt>
              </c:strCache>
            </c:strRef>
          </c:tx>
          <c:cat>
            <c:strRef>
              <c:f>Feuil14!$B$3:$I$3</c:f>
              <c:strCache>
                <c:ptCount val="8"/>
                <c:pt idx="0">
                  <c:v>Industrie</c:v>
                </c:pt>
                <c:pt idx="1">
                  <c:v>Commerce</c:v>
                </c:pt>
                <c:pt idx="2">
                  <c:v>BTP</c:v>
                </c:pt>
                <c:pt idx="3">
                  <c:v>Services</c:v>
                </c:pt>
                <c:pt idx="4">
                  <c:v>Agriculture</c:v>
                </c:pt>
                <c:pt idx="5">
                  <c:v>Artisanat</c:v>
                </c:pt>
                <c:pt idx="6">
                  <c:v>Administration</c:v>
                </c:pt>
                <c:pt idx="7">
                  <c:v>Autre </c:v>
                </c:pt>
              </c:strCache>
            </c:strRef>
          </c:cat>
          <c:val>
            <c:numRef>
              <c:f>Feuil14!$B$4:$I$4</c:f>
              <c:numCache>
                <c:formatCode>###0.0%</c:formatCode>
                <c:ptCount val="8"/>
                <c:pt idx="0">
                  <c:v>0.52631578947368418</c:v>
                </c:pt>
                <c:pt idx="1">
                  <c:v>0.31047381546135372</c:v>
                </c:pt>
                <c:pt idx="2">
                  <c:v>0.46564885496183206</c:v>
                </c:pt>
                <c:pt idx="3">
                  <c:v>0.38581314878892736</c:v>
                </c:pt>
                <c:pt idx="4">
                  <c:v>0.16304347826086971</c:v>
                </c:pt>
                <c:pt idx="5">
                  <c:v>0.17977528089888087</c:v>
                </c:pt>
                <c:pt idx="6">
                  <c:v>0.58333333333333337</c:v>
                </c:pt>
                <c:pt idx="7">
                  <c:v>0.58510638297870743</c:v>
                </c:pt>
              </c:numCache>
            </c:numRef>
          </c:val>
        </c:ser>
        <c:ser>
          <c:idx val="1"/>
          <c:order val="1"/>
          <c:tx>
            <c:strRef>
              <c:f>Feuil14!$A$5</c:f>
              <c:strCache>
                <c:ptCount val="1"/>
                <c:pt idx="0">
                  <c:v>Non</c:v>
                </c:pt>
              </c:strCache>
            </c:strRef>
          </c:tx>
          <c:cat>
            <c:strRef>
              <c:f>Feuil14!$B$3:$I$3</c:f>
              <c:strCache>
                <c:ptCount val="8"/>
                <c:pt idx="0">
                  <c:v>Industrie</c:v>
                </c:pt>
                <c:pt idx="1">
                  <c:v>Commerce</c:v>
                </c:pt>
                <c:pt idx="2">
                  <c:v>BTP</c:v>
                </c:pt>
                <c:pt idx="3">
                  <c:v>Services</c:v>
                </c:pt>
                <c:pt idx="4">
                  <c:v>Agriculture</c:v>
                </c:pt>
                <c:pt idx="5">
                  <c:v>Artisanat</c:v>
                </c:pt>
                <c:pt idx="6">
                  <c:v>Administration</c:v>
                </c:pt>
                <c:pt idx="7">
                  <c:v>Autre </c:v>
                </c:pt>
              </c:strCache>
            </c:strRef>
          </c:cat>
          <c:val>
            <c:numRef>
              <c:f>Feuil14!$B$5:$I$5</c:f>
              <c:numCache>
                <c:formatCode>###0.0%</c:formatCode>
                <c:ptCount val="8"/>
                <c:pt idx="0">
                  <c:v>0.47368421052631576</c:v>
                </c:pt>
                <c:pt idx="1">
                  <c:v>0.68952618453865056</c:v>
                </c:pt>
                <c:pt idx="2">
                  <c:v>0.5343511450381675</c:v>
                </c:pt>
                <c:pt idx="3">
                  <c:v>0.61418685121107264</c:v>
                </c:pt>
                <c:pt idx="4">
                  <c:v>0.83695652173913049</c:v>
                </c:pt>
                <c:pt idx="5">
                  <c:v>0.8202247191011236</c:v>
                </c:pt>
                <c:pt idx="6">
                  <c:v>0.4166666666666754</c:v>
                </c:pt>
                <c:pt idx="7">
                  <c:v>0.41489361702127658</c:v>
                </c:pt>
              </c:numCache>
            </c:numRef>
          </c:val>
        </c:ser>
        <c:shape val="cylinder"/>
        <c:axId val="198288128"/>
        <c:axId val="198289664"/>
        <c:axId val="0"/>
      </c:bar3DChart>
      <c:catAx>
        <c:axId val="198288128"/>
        <c:scaling>
          <c:orientation val="minMax"/>
        </c:scaling>
        <c:axPos val="b"/>
        <c:numFmt formatCode="General" sourceLinked="0"/>
        <c:tickLblPos val="nextTo"/>
        <c:txPr>
          <a:bodyPr/>
          <a:lstStyle/>
          <a:p>
            <a:pPr>
              <a:defRPr sz="600" b="1">
                <a:latin typeface="Book Antiqua" pitchFamily="18" charset="0"/>
              </a:defRPr>
            </a:pPr>
            <a:endParaRPr lang="fr-FR"/>
          </a:p>
        </c:txPr>
        <c:crossAx val="198289664"/>
        <c:crosses val="autoZero"/>
        <c:auto val="1"/>
        <c:lblAlgn val="ctr"/>
        <c:lblOffset val="100"/>
      </c:catAx>
      <c:valAx>
        <c:axId val="198289664"/>
        <c:scaling>
          <c:orientation val="minMax"/>
        </c:scaling>
        <c:axPos val="l"/>
        <c:majorGridlines>
          <c:spPr>
            <a:ln>
              <a:solidFill>
                <a:sysClr val="window" lastClr="FFFFFF">
                  <a:lumMod val="95000"/>
                </a:sysClr>
              </a:solidFill>
            </a:ln>
          </c:spPr>
        </c:majorGridlines>
        <c:numFmt formatCode="0%" sourceLinked="0"/>
        <c:tickLblPos val="nextTo"/>
        <c:txPr>
          <a:bodyPr/>
          <a:lstStyle/>
          <a:p>
            <a:pPr>
              <a:defRPr sz="700" b="1">
                <a:latin typeface="Book Antiqua" pitchFamily="18" charset="0"/>
              </a:defRPr>
            </a:pPr>
            <a:endParaRPr lang="fr-FR"/>
          </a:p>
        </c:txPr>
        <c:crossAx val="198288128"/>
        <c:crosses val="autoZero"/>
        <c:crossBetween val="between"/>
      </c:valAx>
    </c:plotArea>
    <c:legend>
      <c:legendPos val="b"/>
      <c:txPr>
        <a:bodyPr/>
        <a:lstStyle/>
        <a:p>
          <a:pPr>
            <a:defRPr sz="700" b="1">
              <a:latin typeface="Book Antiqua" pitchFamily="18" charset="0"/>
            </a:defRPr>
          </a:pPr>
          <a:endParaRPr lang="fr-FR"/>
        </a:p>
      </c:txPr>
    </c:legend>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5.5440334342252408E-2"/>
          <c:y val="0.11559225597477121"/>
          <c:w val="0.89382576736679564"/>
          <c:h val="0.71978391740274672"/>
        </c:manualLayout>
      </c:layout>
      <c:pie3DChart>
        <c:varyColors val="1"/>
        <c:ser>
          <c:idx val="0"/>
          <c:order val="0"/>
          <c:dLbls>
            <c:dLbl>
              <c:idx val="0"/>
              <c:tx>
                <c:rich>
                  <a:bodyPr/>
                  <a:lstStyle/>
                  <a:p>
                    <a:r>
                      <a:rPr lang="en-US" sz="800" b="1">
                        <a:latin typeface="Book Antiqua" pitchFamily="18" charset="0"/>
                      </a:rPr>
                      <a:t>20,5%</a:t>
                    </a:r>
                  </a:p>
                </c:rich>
              </c:tx>
              <c:showVal val="1"/>
              <c:extLst>
                <c:ext xmlns:c15="http://schemas.microsoft.com/office/drawing/2012/chart" uri="{CE6537A1-D6FC-4f65-9D91-7224C49458BB}">
                  <c15:layout/>
                </c:ext>
              </c:extLst>
            </c:dLbl>
            <c:dLbl>
              <c:idx val="1"/>
              <c:tx>
                <c:rich>
                  <a:bodyPr/>
                  <a:lstStyle/>
                  <a:p>
                    <a:r>
                      <a:rPr lang="en-US" sz="800" b="1">
                        <a:latin typeface="Book Antiqua" pitchFamily="18" charset="0"/>
                      </a:rPr>
                      <a:t>79,5%</a:t>
                    </a:r>
                  </a:p>
                </c:rich>
              </c:tx>
              <c:showVal val="1"/>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showLeaderLines val="1"/>
            <c:extLst>
              <c:ext xmlns:c15="http://schemas.microsoft.com/office/drawing/2012/chart" uri="{CE6537A1-D6FC-4f65-9D91-7224C49458BB}"/>
            </c:extLst>
          </c:dLbls>
          <c:cat>
            <c:strRef>
              <c:f>Feuil7!$A$3:$A$5</c:f>
              <c:strCache>
                <c:ptCount val="3"/>
                <c:pt idx="0">
                  <c:v>Oui</c:v>
                </c:pt>
                <c:pt idx="1">
                  <c:v>Non</c:v>
                </c:pt>
                <c:pt idx="2">
                  <c:v>Non concerné</c:v>
                </c:pt>
              </c:strCache>
            </c:strRef>
          </c:cat>
          <c:val>
            <c:numRef>
              <c:f>Feuil7!$B$3:$B$5</c:f>
              <c:numCache>
                <c:formatCode>###0.0</c:formatCode>
                <c:ptCount val="3"/>
                <c:pt idx="0">
                  <c:v>20.490928495197437</c:v>
                </c:pt>
                <c:pt idx="1">
                  <c:v>79.45570971184631</c:v>
                </c:pt>
                <c:pt idx="2" formatCode="####.0">
                  <c:v>0.1</c:v>
                </c:pt>
              </c:numCache>
            </c:numRef>
          </c:val>
        </c:ser>
      </c:pie3DChart>
    </c:plotArea>
    <c:legend>
      <c:legendPos val="b"/>
      <c:legendEntry>
        <c:idx val="2"/>
        <c:delete val="1"/>
      </c:legendEntry>
      <c:layout>
        <c:manualLayout>
          <c:xMode val="edge"/>
          <c:yMode val="edge"/>
          <c:x val="0.27044063936453133"/>
          <c:y val="0.8956342451413225"/>
          <c:w val="0.45911872127096498"/>
          <c:h val="6.9683673933824741E-2"/>
        </c:manualLayout>
      </c:layout>
      <c:txPr>
        <a:bodyPr/>
        <a:lstStyle/>
        <a:p>
          <a:pPr>
            <a:defRPr sz="600" b="1">
              <a:latin typeface="Book Antiqua" pitchFamily="18" charset="0"/>
            </a:defRPr>
          </a:pPr>
          <a:endParaRPr lang="fr-FR"/>
        </a:p>
      </c:txPr>
    </c:legend>
    <c:plotVisOnly val="1"/>
    <c:dispBlanksAs val="zero"/>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Feuil15!$A$3</c:f>
              <c:strCache>
                <c:ptCount val="1"/>
                <c:pt idx="0">
                  <c:v>Oui</c:v>
                </c:pt>
              </c:strCache>
            </c:strRef>
          </c:tx>
          <c:dLbls>
            <c:spPr>
              <a:noFill/>
              <a:ln>
                <a:noFill/>
              </a:ln>
              <a:effectLst/>
            </c:spPr>
            <c:txPr>
              <a:bodyPr/>
              <a:lstStyle/>
              <a:p>
                <a:pPr>
                  <a:defRPr sz="600" b="1">
                    <a:solidFill>
                      <a:sysClr val="windowText" lastClr="000000"/>
                    </a:solidFill>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Feuil15!$B$2:$G$2</c:f>
              <c:strCache>
                <c:ptCount val="6"/>
                <c:pt idx="0">
                  <c:v>SARL</c:v>
                </c:pt>
                <c:pt idx="1">
                  <c:v>SU</c:v>
                </c:pt>
                <c:pt idx="2">
                  <c:v>SA</c:v>
                </c:pt>
                <c:pt idx="3">
                  <c:v>SNC</c:v>
                </c:pt>
                <c:pt idx="4">
                  <c:v>GIE</c:v>
                </c:pt>
                <c:pt idx="5">
                  <c:v>Autre </c:v>
                </c:pt>
              </c:strCache>
            </c:strRef>
          </c:cat>
          <c:val>
            <c:numRef>
              <c:f>Feuil15!$B$3:$G$3</c:f>
              <c:numCache>
                <c:formatCode>###0.0%</c:formatCode>
                <c:ptCount val="6"/>
                <c:pt idx="0">
                  <c:v>0.32805429864253388</c:v>
                </c:pt>
                <c:pt idx="1">
                  <c:v>0.14890510948905294</c:v>
                </c:pt>
                <c:pt idx="2">
                  <c:v>0.369458128078825</c:v>
                </c:pt>
                <c:pt idx="3">
                  <c:v>0.33333333333333337</c:v>
                </c:pt>
                <c:pt idx="4">
                  <c:v>8.1967213114754051E-2</c:v>
                </c:pt>
                <c:pt idx="5">
                  <c:v>0.1380471380471448</c:v>
                </c:pt>
              </c:numCache>
            </c:numRef>
          </c:val>
        </c:ser>
        <c:ser>
          <c:idx val="1"/>
          <c:order val="1"/>
          <c:tx>
            <c:strRef>
              <c:f>Feuil15!$A$4</c:f>
              <c:strCache>
                <c:ptCount val="1"/>
                <c:pt idx="0">
                  <c:v>Non</c:v>
                </c:pt>
              </c:strCache>
            </c:strRef>
          </c:tx>
          <c:dLbls>
            <c:spPr>
              <a:noFill/>
              <a:ln>
                <a:noFill/>
              </a:ln>
              <a:effectLst/>
            </c:spPr>
            <c:txPr>
              <a:bodyPr/>
              <a:lstStyle/>
              <a:p>
                <a:pPr>
                  <a:defRPr sz="600" b="1">
                    <a:solidFill>
                      <a:sysClr val="windowText" lastClr="000000"/>
                    </a:solidFill>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Feuil15!$B$2:$G$2</c:f>
              <c:strCache>
                <c:ptCount val="6"/>
                <c:pt idx="0">
                  <c:v>SARL</c:v>
                </c:pt>
                <c:pt idx="1">
                  <c:v>SU</c:v>
                </c:pt>
                <c:pt idx="2">
                  <c:v>SA</c:v>
                </c:pt>
                <c:pt idx="3">
                  <c:v>SNC</c:v>
                </c:pt>
                <c:pt idx="4">
                  <c:v>GIE</c:v>
                </c:pt>
                <c:pt idx="5">
                  <c:v>Autre </c:v>
                </c:pt>
              </c:strCache>
            </c:strRef>
          </c:cat>
          <c:val>
            <c:numRef>
              <c:f>Feuil15!$B$4:$G$4</c:f>
              <c:numCache>
                <c:formatCode>###0.0%</c:formatCode>
                <c:ptCount val="6"/>
                <c:pt idx="0">
                  <c:v>0.66968325791858174</c:v>
                </c:pt>
                <c:pt idx="1">
                  <c:v>0.85109489051096165</c:v>
                </c:pt>
                <c:pt idx="2">
                  <c:v>0.63054187192120004</c:v>
                </c:pt>
                <c:pt idx="3">
                  <c:v>0.66666666666666674</c:v>
                </c:pt>
                <c:pt idx="4">
                  <c:v>0.91803278688522505</c:v>
                </c:pt>
                <c:pt idx="5">
                  <c:v>0.86195286195286158</c:v>
                </c:pt>
              </c:numCache>
            </c:numRef>
          </c:val>
        </c:ser>
        <c:shape val="cylinder"/>
        <c:axId val="199682688"/>
        <c:axId val="200024448"/>
        <c:axId val="0"/>
      </c:bar3DChart>
      <c:catAx>
        <c:axId val="199682688"/>
        <c:scaling>
          <c:orientation val="minMax"/>
        </c:scaling>
        <c:axPos val="b"/>
        <c:numFmt formatCode="General" sourceLinked="0"/>
        <c:tickLblPos val="nextTo"/>
        <c:txPr>
          <a:bodyPr/>
          <a:lstStyle/>
          <a:p>
            <a:pPr>
              <a:defRPr sz="700" b="1">
                <a:latin typeface="Book Antiqua" pitchFamily="18" charset="0"/>
              </a:defRPr>
            </a:pPr>
            <a:endParaRPr lang="fr-FR"/>
          </a:p>
        </c:txPr>
        <c:crossAx val="200024448"/>
        <c:crosses val="autoZero"/>
        <c:auto val="1"/>
        <c:lblAlgn val="ctr"/>
        <c:lblOffset val="100"/>
      </c:catAx>
      <c:valAx>
        <c:axId val="200024448"/>
        <c:scaling>
          <c:orientation val="minMax"/>
        </c:scaling>
        <c:axPos val="l"/>
        <c:numFmt formatCode="0%" sourceLinked="0"/>
        <c:tickLblPos val="nextTo"/>
        <c:txPr>
          <a:bodyPr/>
          <a:lstStyle/>
          <a:p>
            <a:pPr>
              <a:defRPr sz="700" b="1">
                <a:latin typeface="Book Antiqua" pitchFamily="18" charset="0"/>
              </a:defRPr>
            </a:pPr>
            <a:endParaRPr lang="fr-FR"/>
          </a:p>
        </c:txPr>
        <c:crossAx val="199682688"/>
        <c:crosses val="autoZero"/>
        <c:crossBetween val="between"/>
      </c:valAx>
    </c:plotArea>
    <c:legend>
      <c:legendPos val="b"/>
      <c:txPr>
        <a:bodyPr/>
        <a:lstStyle/>
        <a:p>
          <a:pPr>
            <a:defRPr sz="700" b="1">
              <a:latin typeface="Book Antiqua" pitchFamily="18" charset="0"/>
            </a:defRPr>
          </a:pPr>
          <a:endParaRPr lang="fr-FR"/>
        </a:p>
      </c:txPr>
    </c:legend>
    <c:plotVisOnly val="1"/>
    <c:dispBlanksAs val="gap"/>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7.1922688109216024E-2"/>
          <c:y val="8.4501194107494765E-2"/>
          <c:w val="0.90562458844589466"/>
          <c:h val="0.7746095702001492"/>
        </c:manualLayout>
      </c:layout>
      <c:pie3DChart>
        <c:varyColors val="1"/>
        <c:ser>
          <c:idx val="0"/>
          <c:order val="0"/>
          <c:dLbls>
            <c:dLbl>
              <c:idx val="0"/>
              <c:tx>
                <c:rich>
                  <a:bodyPr/>
                  <a:lstStyle/>
                  <a:p>
                    <a:r>
                      <a:rPr lang="en-US" sz="800" b="1"/>
                      <a:t>6,3%</a:t>
                    </a:r>
                  </a:p>
                </c:rich>
              </c:tx>
              <c:showVal val="1"/>
              <c:extLst>
                <c:ext xmlns:c15="http://schemas.microsoft.com/office/drawing/2012/chart" uri="{CE6537A1-D6FC-4f65-9D91-7224C49458BB}"/>
              </c:extLst>
            </c:dLbl>
            <c:dLbl>
              <c:idx val="1"/>
              <c:tx>
                <c:rich>
                  <a:bodyPr/>
                  <a:lstStyle/>
                  <a:p>
                    <a:r>
                      <a:rPr lang="en-US" sz="800" b="1"/>
                      <a:t>31,6%</a:t>
                    </a:r>
                  </a:p>
                </c:rich>
              </c:tx>
              <c:showVal val="1"/>
              <c:extLst>
                <c:ext xmlns:c15="http://schemas.microsoft.com/office/drawing/2012/chart" uri="{CE6537A1-D6FC-4f65-9D91-7224C49458BB}"/>
              </c:extLst>
            </c:dLbl>
            <c:dLbl>
              <c:idx val="2"/>
              <c:tx>
                <c:rich>
                  <a:bodyPr/>
                  <a:lstStyle/>
                  <a:p>
                    <a:r>
                      <a:rPr lang="en-US" sz="800" b="1"/>
                      <a:t>60,7%</a:t>
                    </a:r>
                  </a:p>
                </c:rich>
              </c:tx>
              <c:showVal val="1"/>
              <c:extLst>
                <c:ext xmlns:c15="http://schemas.microsoft.com/office/drawing/2012/chart" uri="{CE6537A1-D6FC-4f65-9D91-7224C49458BB}"/>
              </c:extLst>
            </c:dLbl>
            <c:dLbl>
              <c:idx val="3"/>
              <c:tx>
                <c:rich>
                  <a:bodyPr/>
                  <a:lstStyle/>
                  <a:p>
                    <a:r>
                      <a:rPr lang="en-US" sz="800" b="1"/>
                      <a:t>1,4%</a:t>
                    </a:r>
                  </a:p>
                </c:rich>
              </c:tx>
              <c:showVal val="1"/>
              <c:extLst>
                <c:ext xmlns:c15="http://schemas.microsoft.com/office/drawing/2012/chart" uri="{CE6537A1-D6FC-4f65-9D91-7224C49458BB}"/>
              </c:extLst>
            </c:dLbl>
            <c:spPr>
              <a:noFill/>
              <a:ln>
                <a:noFill/>
              </a:ln>
              <a:effectLst/>
            </c:spPr>
            <c:txPr>
              <a:bodyPr/>
              <a:lstStyle/>
              <a:p>
                <a:pPr>
                  <a:defRPr sz="600" b="1">
                    <a:latin typeface="Book Antiqua" pitchFamily="18" charset="0"/>
                  </a:defRPr>
                </a:pPr>
                <a:endParaRPr lang="fr-FR"/>
              </a:p>
            </c:txPr>
            <c:showVal val="1"/>
            <c:showLeaderLines val="1"/>
            <c:extLst>
              <c:ext xmlns:c15="http://schemas.microsoft.com/office/drawing/2012/chart" uri="{CE6537A1-D6FC-4f65-9D91-7224C49458BB}"/>
            </c:extLst>
          </c:dLbls>
          <c:cat>
            <c:strRef>
              <c:f>Feuil8!$A$4:$A$7</c:f>
              <c:strCache>
                <c:ptCount val="4"/>
                <c:pt idx="0">
                  <c:v>Très longue</c:v>
                </c:pt>
                <c:pt idx="1">
                  <c:v>Longue</c:v>
                </c:pt>
                <c:pt idx="2">
                  <c:v>Correcte</c:v>
                </c:pt>
                <c:pt idx="3">
                  <c:v>Très Correcte</c:v>
                </c:pt>
              </c:strCache>
            </c:strRef>
          </c:cat>
          <c:val>
            <c:numRef>
              <c:f>Feuil8!$B$4:$B$7</c:f>
              <c:numCache>
                <c:formatCode>###0.0</c:formatCode>
                <c:ptCount val="4"/>
                <c:pt idx="0">
                  <c:v>6.3231850117095645</c:v>
                </c:pt>
                <c:pt idx="1">
                  <c:v>31.615925058548235</c:v>
                </c:pt>
                <c:pt idx="2">
                  <c:v>60.655737704918032</c:v>
                </c:pt>
                <c:pt idx="3">
                  <c:v>1.405152224824356</c:v>
                </c:pt>
              </c:numCache>
            </c:numRef>
          </c:val>
        </c:ser>
      </c:pie3DChart>
    </c:plotArea>
    <c:legend>
      <c:legendPos val="b"/>
      <c:txPr>
        <a:bodyPr/>
        <a:lstStyle/>
        <a:p>
          <a:pPr>
            <a:defRPr sz="600" b="1">
              <a:latin typeface="Book Antiqua" pitchFamily="18" charset="0"/>
            </a:defRPr>
          </a:pPr>
          <a:endParaRPr lang="fr-FR"/>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view3D>
      <c:rotX val="30"/>
      <c:perspective val="30"/>
    </c:view3D>
    <c:plotArea>
      <c:layout>
        <c:manualLayout>
          <c:layoutTarget val="inner"/>
          <c:xMode val="edge"/>
          <c:yMode val="edge"/>
          <c:x val="9.0277777777777693E-2"/>
          <c:y val="4.0871245261008847E-2"/>
          <c:w val="0.90972222222222221"/>
          <c:h val="0.69256889763779561"/>
        </c:manualLayout>
      </c:layout>
      <c:pie3DChart>
        <c:varyColors val="1"/>
        <c:ser>
          <c:idx val="0"/>
          <c:order val="0"/>
          <c:dLbls>
            <c:numFmt formatCode="0.0%" sourceLinked="0"/>
            <c:spPr>
              <a:noFill/>
              <a:ln>
                <a:noFill/>
              </a:ln>
              <a:effectLst/>
            </c:spPr>
            <c:txPr>
              <a:bodyPr/>
              <a:lstStyle/>
              <a:p>
                <a:pPr>
                  <a:defRPr sz="800" b="1">
                    <a:latin typeface="Book Antiqua" pitchFamily="18" charset="0"/>
                  </a:defRPr>
                </a:pPr>
                <a:endParaRPr lang="fr-FR"/>
              </a:p>
            </c:txPr>
            <c:showVal val="1"/>
            <c:showLeaderLines val="1"/>
            <c:extLst>
              <c:ext xmlns:c15="http://schemas.microsoft.com/office/drawing/2012/chart" uri="{CE6537A1-D6FC-4f65-9D91-7224C49458BB}"/>
            </c:extLst>
          </c:dLbls>
          <c:cat>
            <c:strRef>
              <c:f>Feuil1!$A$4:$A$12</c:f>
              <c:strCache>
                <c:ptCount val="9"/>
                <c:pt idx="0">
                  <c:v>Secteur d'activité </c:v>
                </c:pt>
                <c:pt idx="1">
                  <c:v>Industrie </c:v>
                </c:pt>
                <c:pt idx="2">
                  <c:v>Commerce</c:v>
                </c:pt>
                <c:pt idx="3">
                  <c:v>BTP </c:v>
                </c:pt>
                <c:pt idx="4">
                  <c:v>Services </c:v>
                </c:pt>
                <c:pt idx="5">
                  <c:v>Agriculture </c:v>
                </c:pt>
                <c:pt idx="6">
                  <c:v>Artisanat </c:v>
                </c:pt>
                <c:pt idx="7">
                  <c:v>Administration </c:v>
                </c:pt>
                <c:pt idx="8">
                  <c:v>Autres </c:v>
                </c:pt>
              </c:strCache>
            </c:strRef>
          </c:cat>
          <c:val>
            <c:numRef>
              <c:f>Feuil1!$B$4:$B$12</c:f>
              <c:numCache>
                <c:formatCode>0.00%</c:formatCode>
                <c:ptCount val="9"/>
                <c:pt idx="1">
                  <c:v>4.1000000000000002E-2</c:v>
                </c:pt>
                <c:pt idx="2">
                  <c:v>0.42800000000000032</c:v>
                </c:pt>
                <c:pt idx="3">
                  <c:v>7.0000000000000021E-2</c:v>
                </c:pt>
                <c:pt idx="4">
                  <c:v>0.30800000000000038</c:v>
                </c:pt>
                <c:pt idx="5">
                  <c:v>4.9000000000000113E-2</c:v>
                </c:pt>
                <c:pt idx="6">
                  <c:v>4.7000000000000014E-2</c:v>
                </c:pt>
                <c:pt idx="7">
                  <c:v>6.0000000000000114E-3</c:v>
                </c:pt>
                <c:pt idx="8">
                  <c:v>0.05</c:v>
                </c:pt>
              </c:numCache>
            </c:numRef>
          </c:val>
        </c:ser>
      </c:pie3DChart>
    </c:plotArea>
    <c:legend>
      <c:legendPos val="b"/>
      <c:legendEntry>
        <c:idx val="0"/>
        <c:delete val="1"/>
      </c:legendEntry>
      <c:layout>
        <c:manualLayout>
          <c:xMode val="edge"/>
          <c:yMode val="edge"/>
          <c:x val="4.0781074511991824E-2"/>
          <c:y val="0.7707298676736406"/>
          <c:w val="0.92191272965879267"/>
          <c:h val="0.13692338611515342"/>
        </c:manualLayout>
      </c:layout>
      <c:txPr>
        <a:bodyPr/>
        <a:lstStyle/>
        <a:p>
          <a:pPr>
            <a:defRPr sz="800" b="1" baseline="30000">
              <a:latin typeface="Book Antiqua" pitchFamily="18" charset="0"/>
            </a:defRPr>
          </a:pPr>
          <a:endParaRPr lang="fr-FR"/>
        </a:p>
      </c:txP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8.7252405949256748E-2"/>
          <c:y val="6.0211540721588887E-2"/>
          <c:w val="0.77242957130360501"/>
          <c:h val="0.77053791763574064"/>
        </c:manualLayout>
      </c:layout>
      <c:bar3DChart>
        <c:barDir val="col"/>
        <c:grouping val="clustered"/>
        <c:ser>
          <c:idx val="0"/>
          <c:order val="0"/>
          <c:tx>
            <c:strRef>
              <c:f>Feuil7!$B$10</c:f>
              <c:strCache>
                <c:ptCount val="1"/>
                <c:pt idx="0">
                  <c:v>OUI</c:v>
                </c:pt>
              </c:strCache>
            </c:strRef>
          </c:tx>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Feuil7!$C$9:$H$9</c:f>
              <c:strCache>
                <c:ptCount val="6"/>
                <c:pt idx="0">
                  <c:v>SARL</c:v>
                </c:pt>
                <c:pt idx="1">
                  <c:v>SU</c:v>
                </c:pt>
                <c:pt idx="2">
                  <c:v>SA</c:v>
                </c:pt>
                <c:pt idx="3">
                  <c:v>SNC</c:v>
                </c:pt>
                <c:pt idx="4">
                  <c:v>GIE</c:v>
                </c:pt>
                <c:pt idx="5">
                  <c:v>Autre (préciser)</c:v>
                </c:pt>
              </c:strCache>
            </c:strRef>
          </c:cat>
          <c:val>
            <c:numRef>
              <c:f>Feuil7!$C$10:$H$10</c:f>
              <c:numCache>
                <c:formatCode>0.0%</c:formatCode>
                <c:ptCount val="6"/>
                <c:pt idx="0">
                  <c:v>0.3235294117647165</c:v>
                </c:pt>
                <c:pt idx="1">
                  <c:v>0.16934306569343074</c:v>
                </c:pt>
                <c:pt idx="2">
                  <c:v>0.32019704433497537</c:v>
                </c:pt>
                <c:pt idx="3">
                  <c:v>0.33333333333333331</c:v>
                </c:pt>
                <c:pt idx="4">
                  <c:v>0.11475409836065574</c:v>
                </c:pt>
                <c:pt idx="5">
                  <c:v>0.23569023569023845</c:v>
                </c:pt>
              </c:numCache>
            </c:numRef>
          </c:val>
        </c:ser>
        <c:ser>
          <c:idx val="1"/>
          <c:order val="1"/>
          <c:tx>
            <c:strRef>
              <c:f>Feuil7!$B$11</c:f>
              <c:strCache>
                <c:ptCount val="1"/>
                <c:pt idx="0">
                  <c:v>NON</c:v>
                </c:pt>
              </c:strCache>
            </c:strRef>
          </c:tx>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Feuil7!$C$9:$H$9</c:f>
              <c:strCache>
                <c:ptCount val="6"/>
                <c:pt idx="0">
                  <c:v>SARL</c:v>
                </c:pt>
                <c:pt idx="1">
                  <c:v>SU</c:v>
                </c:pt>
                <c:pt idx="2">
                  <c:v>SA</c:v>
                </c:pt>
                <c:pt idx="3">
                  <c:v>SNC</c:v>
                </c:pt>
                <c:pt idx="4">
                  <c:v>GIE</c:v>
                </c:pt>
                <c:pt idx="5">
                  <c:v>Autre (préciser)</c:v>
                </c:pt>
              </c:strCache>
            </c:strRef>
          </c:cat>
          <c:val>
            <c:numRef>
              <c:f>Feuil7!$C$11:$H$11</c:f>
              <c:numCache>
                <c:formatCode>0.0%</c:formatCode>
                <c:ptCount val="6"/>
                <c:pt idx="0">
                  <c:v>0.6764705882352946</c:v>
                </c:pt>
                <c:pt idx="1">
                  <c:v>0.83065693430656962</c:v>
                </c:pt>
                <c:pt idx="2">
                  <c:v>0.67980295566503546</c:v>
                </c:pt>
                <c:pt idx="3">
                  <c:v>0.66666666666666663</c:v>
                </c:pt>
                <c:pt idx="4">
                  <c:v>0.88524590163934425</c:v>
                </c:pt>
                <c:pt idx="5">
                  <c:v>0.76430976430976461</c:v>
                </c:pt>
              </c:numCache>
            </c:numRef>
          </c:val>
        </c:ser>
        <c:shape val="cylinder"/>
        <c:axId val="200621440"/>
        <c:axId val="200631424"/>
        <c:axId val="0"/>
      </c:bar3DChart>
      <c:catAx>
        <c:axId val="200621440"/>
        <c:scaling>
          <c:orientation val="minMax"/>
        </c:scaling>
        <c:axPos val="b"/>
        <c:numFmt formatCode="General" sourceLinked="0"/>
        <c:tickLblPos val="nextTo"/>
        <c:txPr>
          <a:bodyPr/>
          <a:lstStyle/>
          <a:p>
            <a:pPr>
              <a:defRPr sz="800" b="1">
                <a:latin typeface="Book Antiqua" pitchFamily="18" charset="0"/>
              </a:defRPr>
            </a:pPr>
            <a:endParaRPr lang="fr-FR"/>
          </a:p>
        </c:txPr>
        <c:crossAx val="200631424"/>
        <c:crosses val="autoZero"/>
        <c:auto val="1"/>
        <c:lblAlgn val="ctr"/>
        <c:lblOffset val="100"/>
      </c:catAx>
      <c:valAx>
        <c:axId val="200631424"/>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00621440"/>
        <c:crosses val="autoZero"/>
        <c:crossBetween val="between"/>
      </c:valAx>
    </c:plotArea>
    <c:legend>
      <c:legendPos val="b"/>
      <c:layout>
        <c:manualLayout>
          <c:xMode val="edge"/>
          <c:yMode val="edge"/>
          <c:x val="0.3981251330070284"/>
          <c:y val="0.91067757706758357"/>
          <c:w val="0.1542000070937079"/>
          <c:h val="8.9322422932428744E-2"/>
        </c:manualLayout>
      </c:layout>
      <c:txPr>
        <a:bodyPr/>
        <a:lstStyle/>
        <a:p>
          <a:pPr>
            <a:defRPr sz="800" b="1"/>
          </a:pPr>
          <a:endParaRPr lang="fr-FR"/>
        </a:p>
      </c:txP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'[ensemble ESUB.xlsx]Feuil3'!$C$79</c:f>
              <c:strCache>
                <c:ptCount val="1"/>
                <c:pt idx="0">
                  <c:v>Formel</c:v>
                </c:pt>
              </c:strCache>
            </c:strRef>
          </c:tx>
          <c:dLbls>
            <c:numFmt formatCode="0.0%" sourceLinked="0"/>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'[ensemble ESUB.xlsx]Feuil3'!$B$80:$B$81</c:f>
              <c:strCache>
                <c:ptCount val="2"/>
                <c:pt idx="0">
                  <c:v>Oui</c:v>
                </c:pt>
                <c:pt idx="1">
                  <c:v>Non</c:v>
                </c:pt>
              </c:strCache>
            </c:strRef>
          </c:cat>
          <c:val>
            <c:numRef>
              <c:f>'[ensemble ESUB.xlsx]Feuil3'!$C$80:$C$81</c:f>
              <c:numCache>
                <c:formatCode>General</c:formatCode>
                <c:ptCount val="2"/>
                <c:pt idx="0">
                  <c:v>0.25450450450450451</c:v>
                </c:pt>
                <c:pt idx="1">
                  <c:v>0.74474474474474472</c:v>
                </c:pt>
              </c:numCache>
            </c:numRef>
          </c:val>
        </c:ser>
        <c:ser>
          <c:idx val="1"/>
          <c:order val="1"/>
          <c:tx>
            <c:strRef>
              <c:f>'[ensemble ESUB.xlsx]Feuil3'!$D$79</c:f>
              <c:strCache>
                <c:ptCount val="1"/>
                <c:pt idx="0">
                  <c:v>Informel</c:v>
                </c:pt>
              </c:strCache>
            </c:strRef>
          </c:tx>
          <c:dLbls>
            <c:numFmt formatCode="0.0%" sourceLinked="0"/>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'[ensemble ESUB.xlsx]Feuil3'!$B$80:$B$81</c:f>
              <c:strCache>
                <c:ptCount val="2"/>
                <c:pt idx="0">
                  <c:v>Oui</c:v>
                </c:pt>
                <c:pt idx="1">
                  <c:v>Non</c:v>
                </c:pt>
              </c:strCache>
            </c:strRef>
          </c:cat>
          <c:val>
            <c:numRef>
              <c:f>'[ensemble ESUB.xlsx]Feuil3'!$D$80:$D$81</c:f>
              <c:numCache>
                <c:formatCode>General</c:formatCode>
                <c:ptCount val="2"/>
                <c:pt idx="0">
                  <c:v>8.3025830258303748E-2</c:v>
                </c:pt>
                <c:pt idx="1">
                  <c:v>0.91697416974168755</c:v>
                </c:pt>
              </c:numCache>
            </c:numRef>
          </c:val>
        </c:ser>
        <c:shape val="cylinder"/>
        <c:axId val="200648960"/>
        <c:axId val="200654848"/>
        <c:axId val="0"/>
      </c:bar3DChart>
      <c:catAx>
        <c:axId val="200648960"/>
        <c:scaling>
          <c:orientation val="minMax"/>
        </c:scaling>
        <c:axPos val="b"/>
        <c:numFmt formatCode="General" sourceLinked="0"/>
        <c:tickLblPos val="nextTo"/>
        <c:txPr>
          <a:bodyPr/>
          <a:lstStyle/>
          <a:p>
            <a:pPr>
              <a:defRPr sz="800" b="1">
                <a:latin typeface="Book Antiqua" pitchFamily="18" charset="0"/>
              </a:defRPr>
            </a:pPr>
            <a:endParaRPr lang="fr-FR"/>
          </a:p>
        </c:txPr>
        <c:crossAx val="200654848"/>
        <c:crosses val="autoZero"/>
        <c:auto val="1"/>
        <c:lblAlgn val="ctr"/>
        <c:lblOffset val="100"/>
      </c:catAx>
      <c:valAx>
        <c:axId val="200654848"/>
        <c:scaling>
          <c:orientation val="minMax"/>
        </c:scaling>
        <c:delete val="1"/>
        <c:axPos val="l"/>
        <c:majorGridlines/>
        <c:numFmt formatCode="General" sourceLinked="1"/>
        <c:tickLblPos val="none"/>
        <c:crossAx val="200648960"/>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8.8096265453730768E-2"/>
          <c:y val="7.2341238410287473E-2"/>
          <c:w val="0.85405761452593365"/>
          <c:h val="0.73270248023730766"/>
        </c:manualLayout>
      </c:layout>
      <c:pie3DChart>
        <c:varyColors val="1"/>
        <c:ser>
          <c:idx val="0"/>
          <c:order val="0"/>
          <c:dLbls>
            <c:dLbl>
              <c:idx val="0"/>
              <c:tx>
                <c:rich>
                  <a:bodyPr/>
                  <a:lstStyle/>
                  <a:p>
                    <a:r>
                      <a:rPr lang="en-US" sz="800" b="1"/>
                      <a:t>7,5%</a:t>
                    </a:r>
                  </a:p>
                </c:rich>
              </c:tx>
              <c:showVal val="1"/>
              <c:extLst>
                <c:ext xmlns:c15="http://schemas.microsoft.com/office/drawing/2012/chart" uri="{CE6537A1-D6FC-4f65-9D91-7224C49458BB}"/>
              </c:extLst>
            </c:dLbl>
            <c:dLbl>
              <c:idx val="1"/>
              <c:tx>
                <c:rich>
                  <a:bodyPr/>
                  <a:lstStyle/>
                  <a:p>
                    <a:r>
                      <a:rPr lang="en-US" sz="800" b="1"/>
                      <a:t>43,0%</a:t>
                    </a:r>
                  </a:p>
                </c:rich>
              </c:tx>
              <c:showVal val="1"/>
              <c:extLst>
                <c:ext xmlns:c15="http://schemas.microsoft.com/office/drawing/2012/chart" uri="{CE6537A1-D6FC-4f65-9D91-7224C49458BB}"/>
              </c:extLst>
            </c:dLbl>
            <c:dLbl>
              <c:idx val="2"/>
              <c:tx>
                <c:rich>
                  <a:bodyPr/>
                  <a:lstStyle/>
                  <a:p>
                    <a:r>
                      <a:rPr lang="en-US" sz="800" b="1"/>
                      <a:t>3,0%</a:t>
                    </a:r>
                  </a:p>
                </c:rich>
              </c:tx>
              <c:showVal val="1"/>
              <c:extLst>
                <c:ext xmlns:c15="http://schemas.microsoft.com/office/drawing/2012/chart" uri="{CE6537A1-D6FC-4f65-9D91-7224C49458BB}"/>
              </c:extLst>
            </c:dLbl>
            <c:dLbl>
              <c:idx val="3"/>
              <c:tx>
                <c:rich>
                  <a:bodyPr/>
                  <a:lstStyle/>
                  <a:p>
                    <a:r>
                      <a:rPr lang="en-US" sz="800" b="1"/>
                      <a:t>1,0%</a:t>
                    </a:r>
                  </a:p>
                </c:rich>
              </c:tx>
              <c:showVal val="1"/>
              <c:extLst>
                <c:ext xmlns:c15="http://schemas.microsoft.com/office/drawing/2012/chart" uri="{CE6537A1-D6FC-4f65-9D91-7224C49458BB}"/>
              </c:extLst>
            </c:dLbl>
            <c:dLbl>
              <c:idx val="4"/>
              <c:tx>
                <c:rich>
                  <a:bodyPr/>
                  <a:lstStyle/>
                  <a:p>
                    <a:r>
                      <a:rPr lang="en-US" sz="800" b="1"/>
                      <a:t>34,1%</a:t>
                    </a:r>
                  </a:p>
                </c:rich>
              </c:tx>
              <c:showVal val="1"/>
              <c:extLst>
                <c:ext xmlns:c15="http://schemas.microsoft.com/office/drawing/2012/chart" uri="{CE6537A1-D6FC-4f65-9D91-7224C49458BB}"/>
              </c:extLst>
            </c:dLbl>
            <c:dLbl>
              <c:idx val="5"/>
              <c:tx>
                <c:rich>
                  <a:bodyPr/>
                  <a:lstStyle/>
                  <a:p>
                    <a:r>
                      <a:rPr lang="en-US" sz="800" b="1"/>
                      <a:t>11,4%</a:t>
                    </a:r>
                  </a:p>
                </c:rich>
              </c:tx>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showLeaderLines val="1"/>
            <c:extLst>
              <c:ext xmlns:c15="http://schemas.microsoft.com/office/drawing/2012/chart" uri="{CE6537A1-D6FC-4f65-9D91-7224C49458BB}"/>
            </c:extLst>
          </c:dLbls>
          <c:cat>
            <c:strRef>
              <c:f>Feuil9!$A$4:$A$9</c:f>
              <c:strCache>
                <c:ptCount val="6"/>
                <c:pt idx="0">
                  <c:v>Tous les 15 jours</c:v>
                </c:pt>
                <c:pt idx="1">
                  <c:v>Mensuelle</c:v>
                </c:pt>
                <c:pt idx="2">
                  <c:v>Trimestrielle</c:v>
                </c:pt>
                <c:pt idx="3">
                  <c:v>Annuelle</c:v>
                </c:pt>
                <c:pt idx="4">
                  <c:v>Irrégulière</c:v>
                </c:pt>
                <c:pt idx="5">
                  <c:v>Jamais reçu</c:v>
                </c:pt>
              </c:strCache>
            </c:strRef>
          </c:cat>
          <c:val>
            <c:numRef>
              <c:f>Feuil9!$B$4:$B$9</c:f>
              <c:numCache>
                <c:formatCode>###0.0</c:formatCode>
                <c:ptCount val="6"/>
                <c:pt idx="0">
                  <c:v>7.4706510138742859</c:v>
                </c:pt>
                <c:pt idx="1">
                  <c:v>43.009605122732125</c:v>
                </c:pt>
                <c:pt idx="2">
                  <c:v>3.0416221985058667</c:v>
                </c:pt>
                <c:pt idx="3">
                  <c:v>1.0138740661686232</c:v>
                </c:pt>
                <c:pt idx="4">
                  <c:v>34.098185699039512</c:v>
                </c:pt>
                <c:pt idx="5">
                  <c:v>11.366061899679829</c:v>
                </c:pt>
              </c:numCache>
            </c:numRef>
          </c:val>
        </c:ser>
      </c:pie3DChart>
    </c:plotArea>
    <c:legend>
      <c:legendPos val="b"/>
      <c:layout>
        <c:manualLayout>
          <c:xMode val="edge"/>
          <c:yMode val="edge"/>
          <c:x val="5.2326888458314492E-2"/>
          <c:y val="0.83367460215015921"/>
          <c:w val="0.8999999083884328"/>
          <c:h val="0.1370458610706449"/>
        </c:manualLayout>
      </c:layout>
      <c:txPr>
        <a:bodyPr/>
        <a:lstStyle/>
        <a:p>
          <a:pPr>
            <a:defRPr sz="800" b="1">
              <a:latin typeface="Book Antiqua" pitchFamily="18" charset="0"/>
            </a:defRPr>
          </a:pPr>
          <a:endParaRPr lang="fr-FR"/>
        </a:p>
      </c:txPr>
    </c:legend>
    <c:plotVisOnly val="1"/>
    <c:dispBlanksAs val="zero"/>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varyColors val="1"/>
        <c:ser>
          <c:idx val="0"/>
          <c:order val="0"/>
          <c:dLbls>
            <c:dLbl>
              <c:idx val="0"/>
              <c:layout>
                <c:manualLayout>
                  <c:x val="1.7921146953405017E-2"/>
                  <c:y val="-1.7901096442157101E-2"/>
                </c:manualLayout>
              </c:layout>
              <c:tx>
                <c:rich>
                  <a:bodyPr/>
                  <a:lstStyle/>
                  <a:p>
                    <a:r>
                      <a:rPr lang="en-US" sz="800" b="1">
                        <a:latin typeface="Book Antiqua" pitchFamily="18" charset="0"/>
                      </a:rPr>
                      <a:t>39,0%</a:t>
                    </a:r>
                  </a:p>
                </c:rich>
              </c:tx>
              <c:showVal val="1"/>
              <c:extLst>
                <c:ext xmlns:c15="http://schemas.microsoft.com/office/drawing/2012/chart" uri="{CE6537A1-D6FC-4f65-9D91-7224C49458BB}"/>
              </c:extLst>
            </c:dLbl>
            <c:dLbl>
              <c:idx val="1"/>
              <c:layout>
                <c:manualLayout>
                  <c:x val="1.7921146953405017E-2"/>
                  <c:y val="-2.2376370552697089E-2"/>
                </c:manualLayout>
              </c:layout>
              <c:tx>
                <c:rich>
                  <a:bodyPr/>
                  <a:lstStyle/>
                  <a:p>
                    <a:r>
                      <a:rPr lang="en-US" sz="800" b="1">
                        <a:latin typeface="Book Antiqua" pitchFamily="18" charset="0"/>
                      </a:rPr>
                      <a:t>19,7%</a:t>
                    </a:r>
                  </a:p>
                </c:rich>
              </c:tx>
              <c:showVal val="1"/>
              <c:extLst>
                <c:ext xmlns:c15="http://schemas.microsoft.com/office/drawing/2012/chart" uri="{CE6537A1-D6FC-4f65-9D91-7224C49458BB}"/>
              </c:extLst>
            </c:dLbl>
            <c:dLbl>
              <c:idx val="2"/>
              <c:tx>
                <c:rich>
                  <a:bodyPr/>
                  <a:lstStyle/>
                  <a:p>
                    <a:r>
                      <a:rPr lang="en-US" sz="800" b="1">
                        <a:latin typeface="Book Antiqua" pitchFamily="18" charset="0"/>
                      </a:rPr>
                      <a:t>5,7%</a:t>
                    </a:r>
                  </a:p>
                </c:rich>
              </c:tx>
              <c:showVal val="1"/>
              <c:extLst>
                <c:ext xmlns:c15="http://schemas.microsoft.com/office/drawing/2012/chart" uri="{CE6537A1-D6FC-4f65-9D91-7224C49458BB}"/>
              </c:extLst>
            </c:dLbl>
            <c:dLbl>
              <c:idx val="3"/>
              <c:tx>
                <c:rich>
                  <a:bodyPr/>
                  <a:lstStyle/>
                  <a:p>
                    <a:r>
                      <a:rPr lang="en-US" sz="800" b="1">
                        <a:latin typeface="Book Antiqua" pitchFamily="18" charset="0"/>
                      </a:rPr>
                      <a:t>35,6%</a:t>
                    </a:r>
                  </a:p>
                </c:rich>
              </c:tx>
              <c:showVal val="1"/>
              <c:extLst>
                <c:ext xmlns:c15="http://schemas.microsoft.com/office/drawing/2012/chart" uri="{CE6537A1-D6FC-4f65-9D91-7224C49458BB}"/>
              </c:extLst>
            </c:dLbl>
            <c:spPr>
              <a:noFill/>
              <a:ln>
                <a:noFill/>
              </a:ln>
              <a:effectLst/>
            </c:spPr>
            <c:txPr>
              <a:bodyPr/>
              <a:lstStyle/>
              <a:p>
                <a:pPr>
                  <a:defRPr sz="6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Feuil10!$A$4:$A$7</c:f>
              <c:strCache>
                <c:ptCount val="4"/>
                <c:pt idx="0">
                  <c:v>Mail</c:v>
                </c:pt>
                <c:pt idx="1">
                  <c:v>Poste</c:v>
                </c:pt>
                <c:pt idx="2">
                  <c:v>SMS</c:v>
                </c:pt>
                <c:pt idx="3">
                  <c:v>Directement au guichet</c:v>
                </c:pt>
              </c:strCache>
            </c:strRef>
          </c:cat>
          <c:val>
            <c:numRef>
              <c:f>Feuil10!$B$4:$B$7</c:f>
              <c:numCache>
                <c:formatCode>###0.0</c:formatCode>
                <c:ptCount val="4"/>
                <c:pt idx="0">
                  <c:v>38.971906754332274</c:v>
                </c:pt>
                <c:pt idx="1">
                  <c:v>19.725044829647189</c:v>
                </c:pt>
                <c:pt idx="2">
                  <c:v>5.7381948595337695</c:v>
                </c:pt>
                <c:pt idx="3">
                  <c:v>35.564853556485346</c:v>
                </c:pt>
              </c:numCache>
            </c:numRef>
          </c:val>
        </c:ser>
        <c:shape val="cylinder"/>
        <c:axId val="200890240"/>
        <c:axId val="200891776"/>
        <c:axId val="0"/>
      </c:bar3DChart>
      <c:catAx>
        <c:axId val="200890240"/>
        <c:scaling>
          <c:orientation val="minMax"/>
        </c:scaling>
        <c:axPos val="b"/>
        <c:numFmt formatCode="General" sourceLinked="0"/>
        <c:tickLblPos val="nextTo"/>
        <c:txPr>
          <a:bodyPr/>
          <a:lstStyle/>
          <a:p>
            <a:pPr>
              <a:defRPr sz="800" b="1">
                <a:latin typeface="Book Antiqua" pitchFamily="18" charset="0"/>
              </a:defRPr>
            </a:pPr>
            <a:endParaRPr lang="fr-FR"/>
          </a:p>
        </c:txPr>
        <c:crossAx val="200891776"/>
        <c:crosses val="autoZero"/>
        <c:auto val="1"/>
        <c:lblAlgn val="ctr"/>
        <c:lblOffset val="100"/>
      </c:catAx>
      <c:valAx>
        <c:axId val="200891776"/>
        <c:scaling>
          <c:orientation val="minMax"/>
        </c:scaling>
        <c:axPos val="l"/>
        <c:numFmt formatCode="###0" sourceLinked="0"/>
        <c:tickLblPos val="nextTo"/>
        <c:txPr>
          <a:bodyPr/>
          <a:lstStyle/>
          <a:p>
            <a:pPr>
              <a:defRPr sz="700" b="1">
                <a:latin typeface="Book Antiqua" pitchFamily="18" charset="0"/>
              </a:defRPr>
            </a:pPr>
            <a:endParaRPr lang="fr-FR"/>
          </a:p>
        </c:txPr>
        <c:crossAx val="200890240"/>
        <c:crosses val="autoZero"/>
        <c:crossBetween val="between"/>
      </c:valAx>
    </c:plotArea>
    <c:plotVisOnly val="1"/>
    <c:dispBlanksAs val="gap"/>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Feuil22!$B$2</c:f>
              <c:strCache>
                <c:ptCount val="1"/>
                <c:pt idx="0">
                  <c:v>Formel</c:v>
                </c:pt>
              </c:strCache>
            </c:strRef>
          </c:tx>
          <c:dLbls>
            <c:dLbl>
              <c:idx val="0"/>
              <c:layout>
                <c:manualLayout>
                  <c:x val="1.7066926734121662E-2"/>
                  <c:y val="-2.2758306781976285E-2"/>
                </c:manualLayout>
              </c:layout>
              <c:showVal val="1"/>
              <c:extLst>
                <c:ext xmlns:c15="http://schemas.microsoft.com/office/drawing/2012/chart" uri="{CE6537A1-D6FC-4f65-9D91-7224C49458BB}"/>
              </c:extLst>
            </c:dLbl>
            <c:dLbl>
              <c:idx val="1"/>
              <c:layout>
                <c:manualLayout>
                  <c:x val="1.2190661952943938E-2"/>
                  <c:y val="-3.1861629494765592E-2"/>
                </c:manualLayout>
              </c:layout>
              <c:showVal val="1"/>
              <c:extLst>
                <c:ext xmlns:c15="http://schemas.microsoft.com/office/drawing/2012/chart" uri="{CE6537A1-D6FC-4f65-9D91-7224C49458BB}"/>
              </c:extLst>
            </c:dLbl>
            <c:dLbl>
              <c:idx val="3"/>
              <c:layout>
                <c:manualLayout>
                  <c:x val="4.8762647811777899E-3"/>
                  <c:y val="-1.3654984069185421E-2"/>
                </c:manualLayout>
              </c:layout>
              <c:showVal val="1"/>
              <c:extLst>
                <c:ext xmlns:c15="http://schemas.microsoft.com/office/drawing/2012/chart" uri="{CE6537A1-D6FC-4f65-9D91-7224C49458BB}"/>
              </c:extLst>
            </c:dLbl>
            <c:spPr>
              <a:noFill/>
              <a:ln>
                <a:noFill/>
              </a:ln>
              <a:effectLst/>
            </c:spPr>
            <c:txPr>
              <a:bodyPr/>
              <a:lstStyle/>
              <a:p>
                <a:pPr>
                  <a:defRPr sz="800" b="1">
                    <a:solidFill>
                      <a:sysClr val="windowText" lastClr="000000"/>
                    </a:solidFill>
                    <a:latin typeface="Book Antiqua" pitchFamily="18" charset="0"/>
                  </a:defRPr>
                </a:pPr>
                <a:endParaRPr lang="fr-FR"/>
              </a:p>
            </c:txPr>
            <c:showVal val="1"/>
            <c:extLst>
              <c:ext xmlns:c15="http://schemas.microsoft.com/office/drawing/2012/chart" uri="{CE6537A1-D6FC-4f65-9D91-7224C49458BB}">
                <c15:showLeaderLines val="0"/>
              </c:ext>
            </c:extLst>
          </c:dLbls>
          <c:cat>
            <c:strRef>
              <c:f>Feuil22!$A$3:$A$6</c:f>
              <c:strCache>
                <c:ptCount val="4"/>
                <c:pt idx="0">
                  <c:v>Mail</c:v>
                </c:pt>
                <c:pt idx="1">
                  <c:v>Poste</c:v>
                </c:pt>
                <c:pt idx="2">
                  <c:v>SMS</c:v>
                </c:pt>
                <c:pt idx="3">
                  <c:v>Directement au guichet</c:v>
                </c:pt>
              </c:strCache>
            </c:strRef>
          </c:cat>
          <c:val>
            <c:numRef>
              <c:f>Feuil22!$B$3:$B$6</c:f>
              <c:numCache>
                <c:formatCode>###0.0%</c:formatCode>
                <c:ptCount val="4"/>
                <c:pt idx="0">
                  <c:v>0.42998352553542873</c:v>
                </c:pt>
                <c:pt idx="1">
                  <c:v>0.24217462932454084</c:v>
                </c:pt>
                <c:pt idx="2">
                  <c:v>4.6952224052719933E-2</c:v>
                </c:pt>
                <c:pt idx="3">
                  <c:v>0.28088962108732352</c:v>
                </c:pt>
              </c:numCache>
            </c:numRef>
          </c:val>
        </c:ser>
        <c:ser>
          <c:idx val="1"/>
          <c:order val="1"/>
          <c:tx>
            <c:strRef>
              <c:f>Feuil22!$C$2</c:f>
              <c:strCache>
                <c:ptCount val="1"/>
                <c:pt idx="0">
                  <c:v>Informel</c:v>
                </c:pt>
              </c:strCache>
            </c:strRef>
          </c:tx>
          <c:dLbls>
            <c:dLbl>
              <c:idx val="0"/>
              <c:layout>
                <c:manualLayout>
                  <c:x val="1.2190661952943938E-2"/>
                  <c:y val="-2.2758306781976236E-2"/>
                </c:manualLayout>
              </c:layout>
              <c:showVal val="1"/>
              <c:extLst>
                <c:ext xmlns:c15="http://schemas.microsoft.com/office/drawing/2012/chart" uri="{CE6537A1-D6FC-4f65-9D91-7224C49458BB}"/>
              </c:extLst>
            </c:dLbl>
            <c:dLbl>
              <c:idx val="1"/>
              <c:layout>
                <c:manualLayout>
                  <c:x val="9.7525295623554567E-3"/>
                  <c:y val="-1.8206645425580335E-2"/>
                </c:manualLayout>
              </c:layout>
              <c:showVal val="1"/>
              <c:extLst>
                <c:ext xmlns:c15="http://schemas.microsoft.com/office/drawing/2012/chart" uri="{CE6537A1-D6FC-4f65-9D91-7224C49458BB}"/>
              </c:extLst>
            </c:dLbl>
            <c:dLbl>
              <c:idx val="2"/>
              <c:layout>
                <c:manualLayout>
                  <c:x val="2.4381323905888087E-3"/>
                  <c:y val="-2.7309968138370652E-2"/>
                </c:manualLayout>
              </c:layout>
              <c:showVal val="1"/>
              <c:extLst>
                <c:ext xmlns:c15="http://schemas.microsoft.com/office/drawing/2012/chart" uri="{CE6537A1-D6FC-4f65-9D91-7224C49458BB}"/>
              </c:extLst>
            </c:dLbl>
            <c:dLbl>
              <c:idx val="3"/>
              <c:layout>
                <c:manualLayout>
                  <c:x val="4.876264781177881E-3"/>
                  <c:y val="-1.8206645425580349E-2"/>
                </c:manualLayout>
              </c:layout>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Feuil22!$A$3:$A$6</c:f>
              <c:strCache>
                <c:ptCount val="4"/>
                <c:pt idx="0">
                  <c:v>Mail</c:v>
                </c:pt>
                <c:pt idx="1">
                  <c:v>Poste</c:v>
                </c:pt>
                <c:pt idx="2">
                  <c:v>SMS</c:v>
                </c:pt>
                <c:pt idx="3">
                  <c:v>Directement au guichet</c:v>
                </c:pt>
              </c:strCache>
            </c:strRef>
          </c:cat>
          <c:val>
            <c:numRef>
              <c:f>Feuil22!$C$3:$C$6</c:f>
              <c:numCache>
                <c:formatCode>###0.0%</c:formatCode>
                <c:ptCount val="4"/>
                <c:pt idx="0">
                  <c:v>0.28322440087146661</c:v>
                </c:pt>
                <c:pt idx="1">
                  <c:v>7.8431372549019607E-2</c:v>
                </c:pt>
                <c:pt idx="2">
                  <c:v>8.4967320261441548E-2</c:v>
                </c:pt>
                <c:pt idx="3">
                  <c:v>0.55337690631809744</c:v>
                </c:pt>
              </c:numCache>
            </c:numRef>
          </c:val>
        </c:ser>
        <c:shape val="cylinder"/>
        <c:axId val="201089408"/>
        <c:axId val="201090944"/>
        <c:axId val="0"/>
      </c:bar3DChart>
      <c:catAx>
        <c:axId val="201089408"/>
        <c:scaling>
          <c:orientation val="minMax"/>
        </c:scaling>
        <c:axPos val="b"/>
        <c:numFmt formatCode="General" sourceLinked="0"/>
        <c:tickLblPos val="nextTo"/>
        <c:txPr>
          <a:bodyPr/>
          <a:lstStyle/>
          <a:p>
            <a:pPr>
              <a:defRPr sz="800" b="1">
                <a:latin typeface="Book Antiqua" pitchFamily="18" charset="0"/>
              </a:defRPr>
            </a:pPr>
            <a:endParaRPr lang="fr-FR"/>
          </a:p>
        </c:txPr>
        <c:crossAx val="201090944"/>
        <c:crosses val="autoZero"/>
        <c:auto val="1"/>
        <c:lblAlgn val="ctr"/>
        <c:lblOffset val="100"/>
      </c:catAx>
      <c:valAx>
        <c:axId val="201090944"/>
        <c:scaling>
          <c:orientation val="minMax"/>
        </c:scaling>
        <c:axPos val="l"/>
        <c:numFmt formatCode="0%" sourceLinked="0"/>
        <c:tickLblPos val="nextTo"/>
        <c:txPr>
          <a:bodyPr/>
          <a:lstStyle/>
          <a:p>
            <a:pPr>
              <a:defRPr sz="600" b="1">
                <a:latin typeface="Book Antiqua" pitchFamily="18" charset="0"/>
              </a:defRPr>
            </a:pPr>
            <a:endParaRPr lang="fr-FR"/>
          </a:p>
        </c:txPr>
        <c:crossAx val="201089408"/>
        <c:crosses val="autoZero"/>
        <c:crossBetween val="between"/>
      </c:valAx>
    </c:plotArea>
    <c:legend>
      <c:legendPos val="b"/>
      <c:layout>
        <c:manualLayout>
          <c:xMode val="edge"/>
          <c:yMode val="edge"/>
          <c:x val="0.24526308076938125"/>
          <c:y val="0.82913722936675849"/>
          <c:w val="0.35591585032890088"/>
          <c:h val="6.7493081556244214E-2"/>
        </c:manualLayout>
      </c:layout>
      <c:txPr>
        <a:bodyPr/>
        <a:lstStyle/>
        <a:p>
          <a:pPr>
            <a:defRPr sz="800" b="1">
              <a:latin typeface="Book Antiqua" pitchFamily="18" charset="0"/>
            </a:defRPr>
          </a:pPr>
          <a:endParaRPr lang="fr-FR"/>
        </a:p>
      </c:txPr>
    </c:legend>
    <c:plotVisOnly val="1"/>
    <c:dispBlanksAs val="gap"/>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6.7429131432508102E-2"/>
          <c:y val="9.9954650639085263E-2"/>
          <c:w val="0.8922520267221522"/>
          <c:h val="0.76820543881720005"/>
        </c:manualLayout>
      </c:layout>
      <c:pie3DChart>
        <c:varyColors val="1"/>
        <c:ser>
          <c:idx val="0"/>
          <c:order val="0"/>
          <c:dLbls>
            <c:dLbl>
              <c:idx val="0"/>
              <c:tx>
                <c:rich>
                  <a:bodyPr/>
                  <a:lstStyle/>
                  <a:p>
                    <a:r>
                      <a:rPr lang="en-US" sz="800" b="1"/>
                      <a:t>1,4%</a:t>
                    </a:r>
                  </a:p>
                </c:rich>
              </c:tx>
              <c:showVal val="1"/>
              <c:extLst>
                <c:ext xmlns:c15="http://schemas.microsoft.com/office/drawing/2012/chart" uri="{CE6537A1-D6FC-4f65-9D91-7224C49458BB}"/>
              </c:extLst>
            </c:dLbl>
            <c:dLbl>
              <c:idx val="1"/>
              <c:tx>
                <c:rich>
                  <a:bodyPr/>
                  <a:lstStyle/>
                  <a:p>
                    <a:r>
                      <a:rPr lang="en-US" sz="800" b="1"/>
                      <a:t>8,6%</a:t>
                    </a:r>
                  </a:p>
                </c:rich>
              </c:tx>
              <c:showVal val="1"/>
              <c:extLst>
                <c:ext xmlns:c15="http://schemas.microsoft.com/office/drawing/2012/chart" uri="{CE6537A1-D6FC-4f65-9D91-7224C49458BB}"/>
              </c:extLst>
            </c:dLbl>
            <c:dLbl>
              <c:idx val="2"/>
              <c:tx>
                <c:rich>
                  <a:bodyPr/>
                  <a:lstStyle/>
                  <a:p>
                    <a:r>
                      <a:rPr lang="en-US" sz="800" b="1"/>
                      <a:t>20,8%</a:t>
                    </a:r>
                  </a:p>
                </c:rich>
              </c:tx>
              <c:showVal val="1"/>
              <c:extLst>
                <c:ext xmlns:c15="http://schemas.microsoft.com/office/drawing/2012/chart" uri="{CE6537A1-D6FC-4f65-9D91-7224C49458BB}"/>
              </c:extLst>
            </c:dLbl>
            <c:dLbl>
              <c:idx val="3"/>
              <c:tx>
                <c:rich>
                  <a:bodyPr/>
                  <a:lstStyle/>
                  <a:p>
                    <a:r>
                      <a:rPr lang="en-US" sz="800" b="1"/>
                      <a:t>59,9%</a:t>
                    </a:r>
                  </a:p>
                </c:rich>
              </c:tx>
              <c:showVal val="1"/>
              <c:extLst>
                <c:ext xmlns:c15="http://schemas.microsoft.com/office/drawing/2012/chart" uri="{CE6537A1-D6FC-4f65-9D91-7224C49458BB}"/>
              </c:extLst>
            </c:dLbl>
            <c:dLbl>
              <c:idx val="4"/>
              <c:tx>
                <c:rich>
                  <a:bodyPr/>
                  <a:lstStyle/>
                  <a:p>
                    <a:r>
                      <a:rPr lang="en-US" sz="800" b="1"/>
                      <a:t>9,3%</a:t>
                    </a:r>
                  </a:p>
                </c:rich>
              </c:tx>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showLeaderLines val="1"/>
            <c:extLst>
              <c:ext xmlns:c15="http://schemas.microsoft.com/office/drawing/2012/chart" uri="{CE6537A1-D6FC-4f65-9D91-7224C49458BB}"/>
            </c:extLst>
          </c:dLbls>
          <c:cat>
            <c:strRef>
              <c:f>Feuil11!$A$2:$A$6</c:f>
              <c:strCache>
                <c:ptCount val="5"/>
                <c:pt idx="0">
                  <c:v>Très souvent</c:v>
                </c:pt>
                <c:pt idx="1">
                  <c:v>Souvent</c:v>
                </c:pt>
                <c:pt idx="2">
                  <c:v>Rarement</c:v>
                </c:pt>
                <c:pt idx="3">
                  <c:v>Jamais</c:v>
                </c:pt>
                <c:pt idx="4">
                  <c:v>Sans objet</c:v>
                </c:pt>
              </c:strCache>
            </c:strRef>
          </c:cat>
          <c:val>
            <c:numRef>
              <c:f>Feuil11!$B$2:$B$6</c:f>
              <c:numCache>
                <c:formatCode>###0.0</c:formatCode>
                <c:ptCount val="5"/>
                <c:pt idx="0">
                  <c:v>1.3609467455621298</c:v>
                </c:pt>
                <c:pt idx="1">
                  <c:v>8.6390532544378686</c:v>
                </c:pt>
                <c:pt idx="2">
                  <c:v>20.76923076923077</c:v>
                </c:pt>
                <c:pt idx="3">
                  <c:v>59.940828402365995</c:v>
                </c:pt>
                <c:pt idx="4">
                  <c:v>9.2899408284023668</c:v>
                </c:pt>
              </c:numCache>
            </c:numRef>
          </c:val>
        </c:ser>
      </c:pie3DChart>
    </c:plotArea>
    <c:legend>
      <c:legendPos val="b"/>
      <c:txPr>
        <a:bodyPr/>
        <a:lstStyle/>
        <a:p>
          <a:pPr>
            <a:defRPr sz="600" b="1">
              <a:latin typeface="Book Antiqua" pitchFamily="18" charset="0"/>
            </a:defRPr>
          </a:pPr>
          <a:endParaRPr lang="fr-FR"/>
        </a:p>
      </c:txPr>
    </c:legend>
    <c:plotVisOnly val="1"/>
    <c:dispBlanksAs val="zero"/>
  </c:chart>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'[ensemble ESUB.xlsx]Feuil2'!$O$178</c:f>
              <c:strCache>
                <c:ptCount val="1"/>
                <c:pt idx="0">
                  <c:v>Formel</c:v>
                </c:pt>
              </c:strCache>
            </c:strRef>
          </c:tx>
          <c:dLbls>
            <c:numFmt formatCode="0.0%" sourceLinked="0"/>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'[ensemble ESUB.xlsx]Feuil2'!$N$179:$N$182</c:f>
              <c:strCache>
                <c:ptCount val="4"/>
                <c:pt idx="0">
                  <c:v>Très souvent</c:v>
                </c:pt>
                <c:pt idx="1">
                  <c:v>Souvent</c:v>
                </c:pt>
                <c:pt idx="2">
                  <c:v>Rarement</c:v>
                </c:pt>
                <c:pt idx="3">
                  <c:v>Jamais</c:v>
                </c:pt>
              </c:strCache>
            </c:strRef>
          </c:cat>
          <c:val>
            <c:numRef>
              <c:f>'[ensemble ESUB.xlsx]Feuil2'!$O$179:$O$182</c:f>
              <c:numCache>
                <c:formatCode>General</c:formatCode>
                <c:ptCount val="4"/>
                <c:pt idx="0">
                  <c:v>1.4196983141082519E-2</c:v>
                </c:pt>
                <c:pt idx="1">
                  <c:v>0.10913930789707187</c:v>
                </c:pt>
                <c:pt idx="2">
                  <c:v>0.26885536823425865</c:v>
                </c:pt>
                <c:pt idx="3">
                  <c:v>0.6078083407275956</c:v>
                </c:pt>
              </c:numCache>
            </c:numRef>
          </c:val>
        </c:ser>
        <c:ser>
          <c:idx val="1"/>
          <c:order val="1"/>
          <c:tx>
            <c:strRef>
              <c:f>'[ensemble ESUB.xlsx]Feuil2'!$P$178</c:f>
              <c:strCache>
                <c:ptCount val="1"/>
                <c:pt idx="0">
                  <c:v>Informel</c:v>
                </c:pt>
              </c:strCache>
            </c:strRef>
          </c:tx>
          <c:dLbls>
            <c:dLbl>
              <c:idx val="0"/>
              <c:layout>
                <c:manualLayout>
                  <c:x val="5.5555555555555558E-3"/>
                  <c:y val="-4.8309178743961352E-2"/>
                </c:manualLayout>
              </c:layout>
              <c:showVal val="1"/>
              <c:extLst>
                <c:ext xmlns:c15="http://schemas.microsoft.com/office/drawing/2012/chart" uri="{CE6537A1-D6FC-4f65-9D91-7224C49458BB}">
                  <c15:layout/>
                </c:ext>
              </c:extLst>
            </c:dLbl>
            <c:dLbl>
              <c:idx val="1"/>
              <c:layout>
                <c:manualLayout>
                  <c:x val="2.2222222222222251E-2"/>
                  <c:y val="-2.4154589371979993E-2"/>
                </c:manualLayout>
              </c:layout>
              <c:showVal val="1"/>
              <c:extLst>
                <c:ext xmlns:c15="http://schemas.microsoft.com/office/drawing/2012/chart" uri="{CE6537A1-D6FC-4f65-9D91-7224C49458BB}">
                  <c15:layout/>
                </c:ext>
              </c:extLst>
            </c:dLbl>
            <c:numFmt formatCode="0.0%" sourceLinked="0"/>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'[ensemble ESUB.xlsx]Feuil2'!$N$179:$N$182</c:f>
              <c:strCache>
                <c:ptCount val="4"/>
                <c:pt idx="0">
                  <c:v>Très souvent</c:v>
                </c:pt>
                <c:pt idx="1">
                  <c:v>Souvent</c:v>
                </c:pt>
                <c:pt idx="2">
                  <c:v>Rarement</c:v>
                </c:pt>
                <c:pt idx="3">
                  <c:v>Jamais</c:v>
                </c:pt>
              </c:strCache>
            </c:strRef>
          </c:cat>
          <c:val>
            <c:numRef>
              <c:f>'[ensemble ESUB.xlsx]Feuil2'!$P$179:$P$182</c:f>
              <c:numCache>
                <c:formatCode>General</c:formatCode>
                <c:ptCount val="4"/>
                <c:pt idx="0">
                  <c:v>1.7241379310344827E-2</c:v>
                </c:pt>
                <c:pt idx="1">
                  <c:v>5.6650246305418719E-2</c:v>
                </c:pt>
                <c:pt idx="2">
                  <c:v>0.11822660098522515</c:v>
                </c:pt>
                <c:pt idx="3">
                  <c:v>0.80788177339902534</c:v>
                </c:pt>
              </c:numCache>
            </c:numRef>
          </c:val>
        </c:ser>
        <c:shape val="cylinder"/>
        <c:axId val="201144192"/>
        <c:axId val="201145728"/>
        <c:axId val="0"/>
      </c:bar3DChart>
      <c:catAx>
        <c:axId val="201144192"/>
        <c:scaling>
          <c:orientation val="minMax"/>
        </c:scaling>
        <c:axPos val="b"/>
        <c:numFmt formatCode="General" sourceLinked="0"/>
        <c:tickLblPos val="nextTo"/>
        <c:txPr>
          <a:bodyPr/>
          <a:lstStyle/>
          <a:p>
            <a:pPr>
              <a:defRPr sz="800" b="0">
                <a:latin typeface="Book Antiqua" pitchFamily="18" charset="0"/>
              </a:defRPr>
            </a:pPr>
            <a:endParaRPr lang="fr-FR"/>
          </a:p>
        </c:txPr>
        <c:crossAx val="201145728"/>
        <c:crosses val="autoZero"/>
        <c:auto val="1"/>
        <c:lblAlgn val="ctr"/>
        <c:lblOffset val="100"/>
      </c:catAx>
      <c:valAx>
        <c:axId val="201145728"/>
        <c:scaling>
          <c:orientation val="minMax"/>
        </c:scaling>
        <c:axPos val="l"/>
        <c:majorGridlines/>
        <c:numFmt formatCode="General" sourceLinked="1"/>
        <c:tickLblPos val="nextTo"/>
        <c:crossAx val="201144192"/>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dLbls>
            <c:dLbl>
              <c:idx val="0"/>
              <c:tx>
                <c:rich>
                  <a:bodyPr/>
                  <a:lstStyle/>
                  <a:p>
                    <a:r>
                      <a:rPr lang="en-US" sz="800"/>
                      <a:t>0,8%</a:t>
                    </a:r>
                  </a:p>
                </c:rich>
              </c:tx>
              <c:showVal val="1"/>
              <c:showCatName val="1"/>
              <c:extLst>
                <c:ext xmlns:c15="http://schemas.microsoft.com/office/drawing/2012/chart" uri="{CE6537A1-D6FC-4f65-9D91-7224C49458BB}">
                  <c15:layout/>
                </c:ext>
              </c:extLst>
            </c:dLbl>
            <c:dLbl>
              <c:idx val="1"/>
              <c:tx>
                <c:rich>
                  <a:bodyPr/>
                  <a:lstStyle/>
                  <a:p>
                    <a:r>
                      <a:rPr lang="en-US" sz="800"/>
                      <a:t>59,1%</a:t>
                    </a:r>
                  </a:p>
                </c:rich>
              </c:tx>
              <c:showVal val="1"/>
              <c:showCatName val="1"/>
              <c:extLst>
                <c:ext xmlns:c15="http://schemas.microsoft.com/office/drawing/2012/chart" uri="{CE6537A1-D6FC-4f65-9D91-7224C49458BB}">
                  <c15:layout/>
                </c:ext>
              </c:extLst>
            </c:dLbl>
            <c:dLbl>
              <c:idx val="2"/>
              <c:tx>
                <c:rich>
                  <a:bodyPr/>
                  <a:lstStyle/>
                  <a:p>
                    <a:pPr>
                      <a:defRPr sz="800" b="1">
                        <a:latin typeface="Book Antiqua" pitchFamily="18" charset="0"/>
                      </a:defRPr>
                    </a:pPr>
                    <a:r>
                      <a:rPr lang="en-US" sz="800" b="1"/>
                      <a:t>33,4%</a:t>
                    </a:r>
                  </a:p>
                </c:rich>
              </c:tx>
              <c:spPr/>
              <c:showVal val="1"/>
              <c:showCatName val="1"/>
              <c:extLst>
                <c:ext xmlns:c15="http://schemas.microsoft.com/office/drawing/2012/chart" uri="{CE6537A1-D6FC-4f65-9D91-7224C49458BB}">
                  <c15:layout/>
                </c:ext>
              </c:extLst>
            </c:dLbl>
            <c:dLbl>
              <c:idx val="3"/>
              <c:tx>
                <c:rich>
                  <a:bodyPr/>
                  <a:lstStyle/>
                  <a:p>
                    <a:r>
                      <a:rPr lang="en-US" sz="800"/>
                      <a:t>6,7%</a:t>
                    </a:r>
                  </a:p>
                </c:rich>
              </c:tx>
              <c:showVal val="1"/>
              <c:showCatName val="1"/>
              <c:extLst>
                <c:ext xmlns:c15="http://schemas.microsoft.com/office/drawing/2012/chart" uri="{CE6537A1-D6FC-4f65-9D91-7224C49458BB}">
                  <c15:layout/>
                </c:ext>
              </c:extLst>
            </c:dLbl>
            <c:spPr>
              <a:noFill/>
              <a:ln>
                <a:noFill/>
              </a:ln>
              <a:effectLst/>
            </c:spPr>
            <c:txPr>
              <a:bodyPr/>
              <a:lstStyle/>
              <a:p>
                <a:pPr>
                  <a:defRPr sz="800" b="1">
                    <a:latin typeface="Book Antiqua" pitchFamily="18" charset="0"/>
                  </a:defRPr>
                </a:pPr>
                <a:endParaRPr lang="fr-FR"/>
              </a:p>
            </c:txPr>
            <c:showVal val="1"/>
            <c:showCatName val="1"/>
            <c:showLeaderLines val="1"/>
            <c:extLst>
              <c:ext xmlns:c15="http://schemas.microsoft.com/office/drawing/2012/chart" uri="{CE6537A1-D6FC-4f65-9D91-7224C49458BB}"/>
            </c:extLst>
          </c:dLbls>
          <c:cat>
            <c:strRef>
              <c:f>Feuil12!$A$10:$A$13</c:f>
              <c:strCache>
                <c:ptCount val="4"/>
                <c:pt idx="0">
                  <c:v>Très Satisfait</c:v>
                </c:pt>
                <c:pt idx="1">
                  <c:v>Satisfait</c:v>
                </c:pt>
                <c:pt idx="2">
                  <c:v>Pas Satisfait</c:v>
                </c:pt>
                <c:pt idx="3">
                  <c:v>Pas du tout Satisfait</c:v>
                </c:pt>
              </c:strCache>
            </c:strRef>
          </c:cat>
          <c:val>
            <c:numRef>
              <c:f>Feuil12!$B$10:$B$13</c:f>
              <c:numCache>
                <c:formatCode>###0.0</c:formatCode>
                <c:ptCount val="4"/>
                <c:pt idx="0" formatCode="####.0">
                  <c:v>0.80042689434365</c:v>
                </c:pt>
                <c:pt idx="1">
                  <c:v>59.124866595516359</c:v>
                </c:pt>
                <c:pt idx="2">
                  <c:v>33.351120597650819</c:v>
                </c:pt>
                <c:pt idx="3">
                  <c:v>6.7235859124866355</c:v>
                </c:pt>
              </c:numCache>
            </c:numRef>
          </c:val>
        </c:ser>
      </c:pie3DChart>
    </c:plotArea>
    <c:legend>
      <c:legendPos val="b"/>
      <c:txPr>
        <a:bodyPr/>
        <a:lstStyle/>
        <a:p>
          <a:pPr>
            <a:defRPr sz="800" b="1">
              <a:latin typeface="Book Antiqua" pitchFamily="18" charset="0"/>
            </a:defRPr>
          </a:pPr>
          <a:endParaRPr lang="fr-FR"/>
        </a:p>
      </c:txPr>
    </c:legend>
    <c:plotVisOnly val="1"/>
    <c:dispBlanksAs val="zero"/>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Feuil24!$B$4</c:f>
              <c:strCache>
                <c:ptCount val="1"/>
                <c:pt idx="0">
                  <c:v>Formel</c:v>
                </c:pt>
              </c:strCache>
            </c:strRef>
          </c:tx>
          <c:dLbls>
            <c:dLbl>
              <c:idx val="0"/>
              <c:layout>
                <c:manualLayout>
                  <c:x val="-2.4078173821317534E-17"/>
                  <c:y val="-4.0994107097104888E-2"/>
                </c:manualLayout>
              </c:layout>
              <c:showVal val="1"/>
              <c:extLst>
                <c:ext xmlns:c15="http://schemas.microsoft.com/office/drawing/2012/chart" uri="{CE6537A1-D6FC-4f65-9D91-7224C49458BB}">
                  <c15:layout/>
                </c:ext>
              </c:extLst>
            </c:dLbl>
            <c:dLbl>
              <c:idx val="1"/>
              <c:layout>
                <c:manualLayout>
                  <c:x val="2.6267402153927052E-3"/>
                  <c:y val="-1.5372790161414303E-2"/>
                </c:manualLayout>
              </c:layout>
              <c:showVal val="1"/>
              <c:extLst>
                <c:ext xmlns:c15="http://schemas.microsoft.com/office/drawing/2012/chart" uri="{CE6537A1-D6FC-4f65-9D91-7224C49458BB}">
                  <c15:layout/>
                </c:ext>
              </c:extLst>
            </c:dLbl>
            <c:dLbl>
              <c:idx val="2"/>
              <c:layout>
                <c:manualLayout>
                  <c:x val="2.6267402153927052E-3"/>
                  <c:y val="-1.02485267742762E-2"/>
                </c:manualLayout>
              </c:layout>
              <c:showVal val="1"/>
              <c:extLst>
                <c:ext xmlns:c15="http://schemas.microsoft.com/office/drawing/2012/chart" uri="{CE6537A1-D6FC-4f65-9D91-7224C49458BB}">
                  <c15:layout/>
                </c:ext>
              </c:extLst>
            </c:dLbl>
            <c:dLbl>
              <c:idx val="3"/>
              <c:layout>
                <c:manualLayout>
                  <c:x val="5.2534804307852985E-3"/>
                  <c:y val="-1.02485267742762E-2"/>
                </c:manualLayout>
              </c:layout>
              <c:showVal val="1"/>
              <c:extLst>
                <c:ext xmlns:c15="http://schemas.microsoft.com/office/drawing/2012/chart" uri="{CE6537A1-D6FC-4f65-9D91-7224C49458BB}">
                  <c15:layout/>
                </c:ext>
              </c:extLst>
            </c:dLbl>
            <c:spPr>
              <a:noFill/>
              <a:ln>
                <a:noFill/>
              </a:ln>
              <a:effectLst/>
            </c:spPr>
            <c:txPr>
              <a:bodyPr/>
              <a:lstStyle/>
              <a:p>
                <a:pPr>
                  <a:defRPr sz="800" b="1">
                    <a:solidFill>
                      <a:sysClr val="windowText" lastClr="000000"/>
                    </a:solidFill>
                    <a:latin typeface="Book Antiqua" pitchFamily="18" charset="0"/>
                  </a:defRPr>
                </a:pPr>
                <a:endParaRPr lang="fr-FR"/>
              </a:p>
            </c:txPr>
            <c:showVal val="1"/>
            <c:extLst>
              <c:ext xmlns:c15="http://schemas.microsoft.com/office/drawing/2012/chart" uri="{CE6537A1-D6FC-4f65-9D91-7224C49458BB}">
                <c15:showLeaderLines val="0"/>
              </c:ext>
            </c:extLst>
          </c:dLbls>
          <c:cat>
            <c:strRef>
              <c:f>Feuil24!$A$5:$A$8</c:f>
              <c:strCache>
                <c:ptCount val="4"/>
                <c:pt idx="0">
                  <c:v>Très Satisfait</c:v>
                </c:pt>
                <c:pt idx="1">
                  <c:v>Satisfait</c:v>
                </c:pt>
                <c:pt idx="2">
                  <c:v>Pas Satisfait</c:v>
                </c:pt>
                <c:pt idx="3">
                  <c:v>Pas du tout Satisfait</c:v>
                </c:pt>
              </c:strCache>
            </c:strRef>
          </c:cat>
          <c:val>
            <c:numRef>
              <c:f>Feuil24!$B$5:$B$8</c:f>
              <c:numCache>
                <c:formatCode>###0.0%</c:formatCode>
                <c:ptCount val="4"/>
                <c:pt idx="0" formatCode="####.0%">
                  <c:v>9.7597597597598746E-3</c:v>
                </c:pt>
                <c:pt idx="1">
                  <c:v>0.59984984984984979</c:v>
                </c:pt>
                <c:pt idx="2">
                  <c:v>0.32057057057058091</c:v>
                </c:pt>
                <c:pt idx="3">
                  <c:v>6.9819819819819912E-2</c:v>
                </c:pt>
              </c:numCache>
            </c:numRef>
          </c:val>
        </c:ser>
        <c:ser>
          <c:idx val="1"/>
          <c:order val="1"/>
          <c:tx>
            <c:strRef>
              <c:f>Feuil24!$C$4</c:f>
              <c:strCache>
                <c:ptCount val="1"/>
                <c:pt idx="0">
                  <c:v>Informel</c:v>
                </c:pt>
              </c:strCache>
            </c:strRef>
          </c:tx>
          <c:dLbls>
            <c:dLbl>
              <c:idx val="0"/>
              <c:layout>
                <c:manualLayout>
                  <c:x val="1.050696086157079E-2"/>
                  <c:y val="-3.5869843709966896E-2"/>
                </c:manualLayout>
              </c:layout>
              <c:tx>
                <c:rich>
                  <a:bodyPr/>
                  <a:lstStyle/>
                  <a:p>
                    <a:r>
                      <a:rPr lang="en-US" sz="800">
                        <a:solidFill>
                          <a:sysClr val="windowText" lastClr="000000"/>
                        </a:solidFill>
                      </a:rPr>
                      <a:t>0,4%</a:t>
                    </a:r>
                  </a:p>
                </c:rich>
              </c:tx>
              <c:showVal val="1"/>
              <c:extLst>
                <c:ext xmlns:c15="http://schemas.microsoft.com/office/drawing/2012/chart" uri="{CE6537A1-D6FC-4f65-9D91-7224C49458BB}">
                  <c15:layout/>
                </c:ext>
              </c:extLst>
            </c:dLbl>
            <c:dLbl>
              <c:idx val="1"/>
              <c:layout>
                <c:manualLayout>
                  <c:x val="2.3640661938534178E-2"/>
                  <c:y val="-1.0248526774276213E-2"/>
                </c:manualLayout>
              </c:layout>
              <c:showVal val="1"/>
              <c:extLst>
                <c:ext xmlns:c15="http://schemas.microsoft.com/office/drawing/2012/chart" uri="{CE6537A1-D6FC-4f65-9D91-7224C49458BB}">
                  <c15:layout/>
                </c:ext>
              </c:extLst>
            </c:dLbl>
            <c:dLbl>
              <c:idx val="3"/>
              <c:layout>
                <c:manualLayout>
                  <c:x val="1.8387181507748887E-2"/>
                  <c:y val="-6.1491160645657156E-2"/>
                </c:manualLayout>
              </c:layout>
              <c:showVal val="1"/>
              <c:extLst>
                <c:ext xmlns:c15="http://schemas.microsoft.com/office/drawing/2012/chart" uri="{CE6537A1-D6FC-4f65-9D91-7224C49458BB}">
                  <c15:layout/>
                </c:ext>
              </c:extLst>
            </c:dLbl>
            <c:spPr>
              <a:noFill/>
              <a:ln>
                <a:noFill/>
              </a:ln>
              <a:effectLst/>
            </c:spPr>
            <c:txPr>
              <a:bodyPr/>
              <a:lstStyle/>
              <a:p>
                <a:pPr>
                  <a:defRPr sz="800" b="1">
                    <a:solidFill>
                      <a:sysClr val="windowText" lastClr="000000"/>
                    </a:solidFill>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Feuil24!$A$5:$A$8</c:f>
              <c:strCache>
                <c:ptCount val="4"/>
                <c:pt idx="0">
                  <c:v>Très Satisfait</c:v>
                </c:pt>
                <c:pt idx="1">
                  <c:v>Satisfait</c:v>
                </c:pt>
                <c:pt idx="2">
                  <c:v>Pas Satisfait</c:v>
                </c:pt>
                <c:pt idx="3">
                  <c:v>Pas du tout Satisfait</c:v>
                </c:pt>
              </c:strCache>
            </c:strRef>
          </c:cat>
          <c:val>
            <c:numRef>
              <c:f>Feuil24!$C$5:$C$8</c:f>
              <c:numCache>
                <c:formatCode>###0.0%</c:formatCode>
                <c:ptCount val="4"/>
                <c:pt idx="0" formatCode="####.0%">
                  <c:v>3.6900369003690092E-3</c:v>
                </c:pt>
                <c:pt idx="1">
                  <c:v>0.57011070110701056</c:v>
                </c:pt>
                <c:pt idx="2">
                  <c:v>0.36531365313653141</c:v>
                </c:pt>
                <c:pt idx="3">
                  <c:v>6.0885608856089034E-2</c:v>
                </c:pt>
              </c:numCache>
            </c:numRef>
          </c:val>
        </c:ser>
        <c:shape val="cylinder"/>
        <c:axId val="201207168"/>
        <c:axId val="201221248"/>
        <c:axId val="0"/>
      </c:bar3DChart>
      <c:catAx>
        <c:axId val="201207168"/>
        <c:scaling>
          <c:orientation val="minMax"/>
        </c:scaling>
        <c:axPos val="b"/>
        <c:numFmt formatCode="General" sourceLinked="0"/>
        <c:tickLblPos val="nextTo"/>
        <c:txPr>
          <a:bodyPr/>
          <a:lstStyle/>
          <a:p>
            <a:pPr>
              <a:defRPr sz="800" b="1">
                <a:latin typeface="Book Antiqua" pitchFamily="18" charset="0"/>
              </a:defRPr>
            </a:pPr>
            <a:endParaRPr lang="fr-FR"/>
          </a:p>
        </c:txPr>
        <c:crossAx val="201221248"/>
        <c:crosses val="autoZero"/>
        <c:auto val="1"/>
        <c:lblAlgn val="ctr"/>
        <c:lblOffset val="100"/>
      </c:catAx>
      <c:valAx>
        <c:axId val="201221248"/>
        <c:scaling>
          <c:orientation val="minMax"/>
        </c:scaling>
        <c:axPos val="l"/>
        <c:numFmt formatCode="0%" sourceLinked="0"/>
        <c:tickLblPos val="nextTo"/>
        <c:txPr>
          <a:bodyPr/>
          <a:lstStyle/>
          <a:p>
            <a:pPr>
              <a:defRPr sz="600" b="1">
                <a:latin typeface="Book Antiqua" pitchFamily="18" charset="0"/>
              </a:defRPr>
            </a:pPr>
            <a:endParaRPr lang="fr-FR"/>
          </a:p>
        </c:txPr>
        <c:crossAx val="201207168"/>
        <c:crosses val="autoZero"/>
        <c:crossBetween val="between"/>
      </c:valAx>
    </c:plotArea>
    <c:legend>
      <c:legendPos val="b"/>
      <c:layout>
        <c:manualLayout>
          <c:xMode val="edge"/>
          <c:yMode val="edge"/>
          <c:x val="0.35063299831092942"/>
          <c:y val="0.81994488188976378"/>
          <c:w val="0.2987337432810418"/>
          <c:h val="8.5610673665791781E-2"/>
        </c:manualLayout>
      </c:layout>
      <c:txPr>
        <a:bodyPr/>
        <a:lstStyle/>
        <a:p>
          <a:pPr>
            <a:defRPr sz="800" b="1">
              <a:latin typeface="Book Antiqua" pitchFamily="18" charset="0"/>
            </a:defRPr>
          </a:pPr>
          <a:endParaRPr lang="fr-FR"/>
        </a:p>
      </c:txPr>
    </c:legend>
    <c:plotVisOnly val="1"/>
    <c:dispBlanksAs val="gap"/>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0.1017364402483428"/>
          <c:y val="8.281070901342695E-2"/>
          <c:w val="0.83576378795347261"/>
          <c:h val="0.67877359839661255"/>
        </c:manualLayout>
      </c:layout>
      <c:pie3DChart>
        <c:varyColors val="1"/>
        <c:ser>
          <c:idx val="0"/>
          <c:order val="0"/>
          <c:dLbls>
            <c:dLbl>
              <c:idx val="0"/>
              <c:tx>
                <c:rich>
                  <a:bodyPr/>
                  <a:lstStyle/>
                  <a:p>
                    <a:r>
                      <a:rPr lang="en-US" sz="800"/>
                      <a:t>79,9%</a:t>
                    </a:r>
                  </a:p>
                </c:rich>
              </c:tx>
              <c:showVal val="1"/>
              <c:showCatName val="1"/>
              <c:extLst>
                <c:ext xmlns:c15="http://schemas.microsoft.com/office/drawing/2012/chart" uri="{CE6537A1-D6FC-4f65-9D91-7224C49458BB}">
                  <c15:layout/>
                </c:ext>
              </c:extLst>
            </c:dLbl>
            <c:dLbl>
              <c:idx val="1"/>
              <c:tx>
                <c:rich>
                  <a:bodyPr/>
                  <a:lstStyle/>
                  <a:p>
                    <a:r>
                      <a:rPr lang="en-US" sz="800"/>
                      <a:t>20,1%</a:t>
                    </a:r>
                  </a:p>
                </c:rich>
              </c:tx>
              <c:showVal val="1"/>
              <c:showCatName val="1"/>
              <c:extLst>
                <c:ext xmlns:c15="http://schemas.microsoft.com/office/drawing/2012/chart" uri="{CE6537A1-D6FC-4f65-9D91-7224C49458BB}">
                  <c15:layout/>
                </c:ext>
              </c:extLst>
            </c:dLbl>
            <c:spPr>
              <a:noFill/>
              <a:ln>
                <a:noFill/>
              </a:ln>
              <a:effectLst/>
            </c:spPr>
            <c:txPr>
              <a:bodyPr/>
              <a:lstStyle/>
              <a:p>
                <a:pPr>
                  <a:defRPr sz="800" b="1">
                    <a:latin typeface="Book Antiqua" pitchFamily="18" charset="0"/>
                  </a:defRPr>
                </a:pPr>
                <a:endParaRPr lang="fr-FR"/>
              </a:p>
            </c:txPr>
            <c:showVal val="1"/>
            <c:showCatName val="1"/>
            <c:showLeaderLines val="1"/>
            <c:extLst>
              <c:ext xmlns:c15="http://schemas.microsoft.com/office/drawing/2012/chart" uri="{CE6537A1-D6FC-4f65-9D91-7224C49458BB}"/>
            </c:extLst>
          </c:dLbls>
          <c:cat>
            <c:strRef>
              <c:f>Feuil13!$A$4:$A$5</c:f>
              <c:strCache>
                <c:ptCount val="2"/>
                <c:pt idx="0">
                  <c:v>Oui</c:v>
                </c:pt>
                <c:pt idx="1">
                  <c:v>Non</c:v>
                </c:pt>
              </c:strCache>
            </c:strRef>
          </c:cat>
          <c:val>
            <c:numRef>
              <c:f>Feuil13!$B$4:$B$5</c:f>
              <c:numCache>
                <c:formatCode>###0.0</c:formatCode>
                <c:ptCount val="2"/>
                <c:pt idx="0">
                  <c:v>79.935965848452511</c:v>
                </c:pt>
                <c:pt idx="1">
                  <c:v>20.064034151547492</c:v>
                </c:pt>
              </c:numCache>
            </c:numRef>
          </c:val>
        </c:ser>
      </c:pie3DChart>
    </c:plotArea>
    <c:legend>
      <c:legendPos val="b"/>
      <c:layout>
        <c:manualLayout>
          <c:xMode val="edge"/>
          <c:yMode val="edge"/>
          <c:x val="0.40845244976361011"/>
          <c:y val="0.80274716147145497"/>
          <c:w val="0.18309484494038294"/>
          <c:h val="9.2348202624726719E-2"/>
        </c:manualLayout>
      </c:layout>
      <c:txPr>
        <a:bodyPr/>
        <a:lstStyle/>
        <a:p>
          <a:pPr>
            <a:defRPr sz="800">
              <a:latin typeface="Book Antiqua" pitchFamily="18" charset="0"/>
            </a:defRPr>
          </a:pPr>
          <a:endParaRPr lang="fr-FR"/>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4.3055555555555375E-2"/>
          <c:y val="0.1296055701370662"/>
          <c:w val="0.87500000000001121"/>
          <c:h val="0.72651611256926218"/>
        </c:manualLayout>
      </c:layout>
      <c:pie3DChart>
        <c:varyColors val="1"/>
        <c:ser>
          <c:idx val="0"/>
          <c:order val="0"/>
          <c:tx>
            <c:strRef>
              <c:f>Feuil2!$B$2</c:f>
              <c:strCache>
                <c:ptCount val="1"/>
                <c:pt idx="0">
                  <c:v>%</c:v>
                </c:pt>
              </c:strCache>
            </c:strRef>
          </c:tx>
          <c:explosion val="25"/>
          <c:dLbls>
            <c:numFmt formatCode="0.0%" sourceLinked="0"/>
            <c:spPr>
              <a:noFill/>
              <a:ln>
                <a:noFill/>
              </a:ln>
              <a:effectLst/>
            </c:spPr>
            <c:txPr>
              <a:bodyPr/>
              <a:lstStyle/>
              <a:p>
                <a:pPr>
                  <a:defRPr sz="800">
                    <a:latin typeface="Book Antiqua" pitchFamily="18" charset="0"/>
                  </a:defRPr>
                </a:pPr>
                <a:endParaRPr lang="fr-FR"/>
              </a:p>
            </c:txPr>
            <c:showVal val="1"/>
            <c:showLeaderLines val="1"/>
            <c:extLst>
              <c:ext xmlns:c15="http://schemas.microsoft.com/office/drawing/2012/chart" uri="{CE6537A1-D6FC-4f65-9D91-7224C49458BB}"/>
            </c:extLst>
          </c:dLbls>
          <c:cat>
            <c:strRef>
              <c:f>Feuil2!$A$3:$A$4</c:f>
              <c:strCache>
                <c:ptCount val="2"/>
                <c:pt idx="0">
                  <c:v>Formelle </c:v>
                </c:pt>
                <c:pt idx="1">
                  <c:v>Informelle </c:v>
                </c:pt>
              </c:strCache>
            </c:strRef>
          </c:cat>
          <c:val>
            <c:numRef>
              <c:f>Feuil2!$B$3:$B$4</c:f>
              <c:numCache>
                <c:formatCode>0.00%</c:formatCode>
                <c:ptCount val="2"/>
                <c:pt idx="0">
                  <c:v>0.71100000000000063</c:v>
                </c:pt>
                <c:pt idx="1">
                  <c:v>0.28900000000000031</c:v>
                </c:pt>
              </c:numCache>
            </c:numRef>
          </c:val>
        </c:ser>
      </c:pie3DChart>
    </c:plotArea>
    <c:legend>
      <c:legendPos val="b"/>
      <c:layout>
        <c:manualLayout>
          <c:xMode val="edge"/>
          <c:yMode val="edge"/>
          <c:x val="0.2453014738030467"/>
          <c:y val="0.84634678938019481"/>
          <c:w val="0.55107458442694657"/>
          <c:h val="8.3717191601050026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Feuil25!$A$2</c:f>
              <c:strCache>
                <c:ptCount val="1"/>
                <c:pt idx="0">
                  <c:v>Oui</c:v>
                </c:pt>
              </c:strCache>
            </c:strRef>
          </c:tx>
          <c:dLbls>
            <c:dLbl>
              <c:idx val="0"/>
              <c:layout>
                <c:manualLayout>
                  <c:x val="1.0473946059177739E-2"/>
                  <c:y val="-4.7573739295908794E-2"/>
                </c:manualLayout>
              </c:layout>
              <c:showVal val="1"/>
              <c:extLst>
                <c:ext xmlns:c15="http://schemas.microsoft.com/office/drawing/2012/chart" uri="{CE6537A1-D6FC-4f65-9D91-7224C49458BB}">
                  <c15:layout/>
                </c:ext>
              </c:extLst>
            </c:dLbl>
            <c:dLbl>
              <c:idx val="1"/>
              <c:layout>
                <c:manualLayout>
                  <c:x val="1.3092432573972239E-2"/>
                  <c:y val="-4.7573739295908794E-2"/>
                </c:manualLayout>
              </c:layout>
              <c:showVal val="1"/>
              <c:extLst>
                <c:ext xmlns:c15="http://schemas.microsoft.com/office/drawing/2012/chart" uri="{CE6537A1-D6FC-4f65-9D91-7224C49458BB}">
                  <c15:layout/>
                </c:ext>
              </c:extLst>
            </c:dLbl>
            <c:spPr>
              <a:noFill/>
              <a:ln>
                <a:noFill/>
              </a:ln>
              <a:effectLst/>
            </c:spPr>
            <c:txPr>
              <a:bodyPr/>
              <a:lstStyle/>
              <a:p>
                <a:pPr>
                  <a:defRPr sz="800" b="1">
                    <a:solidFill>
                      <a:sysClr val="windowText" lastClr="000000"/>
                    </a:solidFill>
                    <a:latin typeface="Book Antiqua" pitchFamily="18" charset="0"/>
                  </a:defRPr>
                </a:pPr>
                <a:endParaRPr lang="fr-FR"/>
              </a:p>
            </c:txPr>
            <c:showVal val="1"/>
            <c:extLst>
              <c:ext xmlns:c15="http://schemas.microsoft.com/office/drawing/2012/chart" uri="{CE6537A1-D6FC-4f65-9D91-7224C49458BB}">
                <c15:showLeaderLines val="0"/>
              </c:ext>
            </c:extLst>
          </c:dLbls>
          <c:cat>
            <c:strRef>
              <c:f>Feuil25!$B$1:$C$1</c:f>
              <c:strCache>
                <c:ptCount val="2"/>
                <c:pt idx="0">
                  <c:v>Formel</c:v>
                </c:pt>
                <c:pt idx="1">
                  <c:v>Informel</c:v>
                </c:pt>
              </c:strCache>
            </c:strRef>
          </c:cat>
          <c:val>
            <c:numRef>
              <c:f>Feuil25!$B$2:$C$2</c:f>
              <c:numCache>
                <c:formatCode>###0.0%</c:formatCode>
                <c:ptCount val="2"/>
                <c:pt idx="0">
                  <c:v>0.85960960960963106</c:v>
                </c:pt>
                <c:pt idx="1">
                  <c:v>0.65129151291515386</c:v>
                </c:pt>
              </c:numCache>
            </c:numRef>
          </c:val>
        </c:ser>
        <c:ser>
          <c:idx val="1"/>
          <c:order val="1"/>
          <c:tx>
            <c:strRef>
              <c:f>Feuil25!$A$3</c:f>
              <c:strCache>
                <c:ptCount val="1"/>
                <c:pt idx="0">
                  <c:v>Non</c:v>
                </c:pt>
              </c:strCache>
            </c:strRef>
          </c:tx>
          <c:dLbls>
            <c:dLbl>
              <c:idx val="0"/>
              <c:layout>
                <c:manualLayout>
                  <c:x val="2.0947892118355616E-2"/>
                  <c:y val="-4.2816365366317791E-2"/>
                </c:manualLayout>
              </c:layout>
              <c:showVal val="1"/>
              <c:extLst>
                <c:ext xmlns:c15="http://schemas.microsoft.com/office/drawing/2012/chart" uri="{CE6537A1-D6FC-4f65-9D91-7224C49458BB}">
                  <c15:layout/>
                </c:ext>
              </c:extLst>
            </c:dLbl>
            <c:dLbl>
              <c:idx val="1"/>
              <c:layout>
                <c:manualLayout>
                  <c:x val="1.5710919088766703E-2"/>
                  <c:y val="-5.2331113225499527E-2"/>
                </c:manualLayout>
              </c:layout>
              <c:showVal val="1"/>
              <c:extLst>
                <c:ext xmlns:c15="http://schemas.microsoft.com/office/drawing/2012/chart" uri="{CE6537A1-D6FC-4f65-9D91-7224C49458BB}">
                  <c15:layout/>
                </c:ext>
              </c:extLst>
            </c:dLbl>
            <c:spPr>
              <a:noFill/>
              <a:ln>
                <a:noFill/>
              </a:ln>
              <a:effectLst/>
            </c:spPr>
            <c:txPr>
              <a:bodyPr/>
              <a:lstStyle/>
              <a:p>
                <a:pPr>
                  <a:defRPr sz="800" b="1" i="0">
                    <a:solidFill>
                      <a:sysClr val="windowText" lastClr="000000"/>
                    </a:solidFill>
                    <a:latin typeface="Book Antiqua" pitchFamily="18" charset="0"/>
                  </a:defRPr>
                </a:pPr>
                <a:endParaRPr lang="fr-FR"/>
              </a:p>
            </c:txPr>
            <c:showVal val="1"/>
            <c:extLst>
              <c:ext xmlns:c15="http://schemas.microsoft.com/office/drawing/2012/chart" uri="{CE6537A1-D6FC-4f65-9D91-7224C49458BB}">
                <c15:showLeaderLines val="0"/>
              </c:ext>
            </c:extLst>
          </c:dLbls>
          <c:cat>
            <c:strRef>
              <c:f>Feuil25!$B$1:$C$1</c:f>
              <c:strCache>
                <c:ptCount val="2"/>
                <c:pt idx="0">
                  <c:v>Formel</c:v>
                </c:pt>
                <c:pt idx="1">
                  <c:v>Informel</c:v>
                </c:pt>
              </c:strCache>
            </c:strRef>
          </c:cat>
          <c:val>
            <c:numRef>
              <c:f>Feuil25!$B$3:$C$3</c:f>
              <c:numCache>
                <c:formatCode>###0.0%</c:formatCode>
                <c:ptCount val="2"/>
                <c:pt idx="0">
                  <c:v>0.14039039039039702</c:v>
                </c:pt>
                <c:pt idx="1">
                  <c:v>0.34870848708488572</c:v>
                </c:pt>
              </c:numCache>
            </c:numRef>
          </c:val>
        </c:ser>
        <c:shape val="cylinder"/>
        <c:axId val="201257344"/>
        <c:axId val="201258880"/>
        <c:axId val="0"/>
      </c:bar3DChart>
      <c:catAx>
        <c:axId val="201257344"/>
        <c:scaling>
          <c:orientation val="minMax"/>
        </c:scaling>
        <c:axPos val="b"/>
        <c:numFmt formatCode="General" sourceLinked="0"/>
        <c:tickLblPos val="nextTo"/>
        <c:txPr>
          <a:bodyPr/>
          <a:lstStyle/>
          <a:p>
            <a:pPr>
              <a:defRPr sz="800" b="1">
                <a:latin typeface="Book Antiqua" pitchFamily="18" charset="0"/>
              </a:defRPr>
            </a:pPr>
            <a:endParaRPr lang="fr-FR"/>
          </a:p>
        </c:txPr>
        <c:crossAx val="201258880"/>
        <c:crosses val="autoZero"/>
        <c:auto val="1"/>
        <c:lblAlgn val="ctr"/>
        <c:lblOffset val="100"/>
      </c:catAx>
      <c:valAx>
        <c:axId val="201258880"/>
        <c:scaling>
          <c:orientation val="minMax"/>
        </c:scaling>
        <c:axPos val="l"/>
        <c:numFmt formatCode="0%" sourceLinked="0"/>
        <c:tickLblPos val="nextTo"/>
        <c:txPr>
          <a:bodyPr/>
          <a:lstStyle/>
          <a:p>
            <a:pPr>
              <a:defRPr sz="600" b="1">
                <a:latin typeface="Book Antiqua" pitchFamily="18" charset="0"/>
              </a:defRPr>
            </a:pPr>
            <a:endParaRPr lang="fr-FR"/>
          </a:p>
        </c:txPr>
        <c:crossAx val="201257344"/>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dLbls>
            <c:dLbl>
              <c:idx val="0"/>
              <c:layout>
                <c:manualLayout>
                  <c:x val="6.8297900262467195E-2"/>
                  <c:y val="-2.7999416739574252E-2"/>
                </c:manualLayout>
              </c:layout>
              <c:showVal val="1"/>
              <c:extLst>
                <c:ext xmlns:c15="http://schemas.microsoft.com/office/drawing/2012/chart" uri="{CE6537A1-D6FC-4f65-9D91-7224C49458BB}">
                  <c15:layout/>
                </c:ext>
              </c:extLst>
            </c:dLbl>
            <c:dLbl>
              <c:idx val="1"/>
              <c:layout>
                <c:manualLayout>
                  <c:x val="1.0078958880139974E-2"/>
                  <c:y val="0.14785578885972644"/>
                </c:manualLayout>
              </c:layout>
              <c:showVal val="1"/>
              <c:extLst>
                <c:ext xmlns:c15="http://schemas.microsoft.com/office/drawing/2012/chart" uri="{CE6537A1-D6FC-4f65-9D91-7224C49458BB}">
                  <c15:layout/>
                </c:ext>
              </c:extLst>
            </c:dLbl>
            <c:dLbl>
              <c:idx val="2"/>
              <c:layout>
                <c:manualLayout>
                  <c:x val="1.4471784776902887E-2"/>
                  <c:y val="0.14209098862642613"/>
                </c:manualLayout>
              </c:layout>
              <c:showVal val="1"/>
              <c:extLst>
                <c:ext xmlns:c15="http://schemas.microsoft.com/office/drawing/2012/chart" uri="{CE6537A1-D6FC-4f65-9D91-7224C49458BB}">
                  <c15:layout/>
                </c:ext>
              </c:extLst>
            </c:dLbl>
            <c:dLbl>
              <c:idx val="3"/>
              <c:layout>
                <c:manualLayout>
                  <c:x val="-3.0463473315835536E-2"/>
                  <c:y val="-7.4599008457277034E-3"/>
                </c:manualLayout>
              </c:layout>
              <c:showVal val="1"/>
              <c:extLst>
                <c:ext xmlns:c15="http://schemas.microsoft.com/office/drawing/2012/chart" uri="{CE6537A1-D6FC-4f65-9D91-7224C49458BB}">
                  <c15:layout/>
                </c:ext>
              </c:extLst>
            </c:dLbl>
            <c:numFmt formatCode="0.0%" sourceLinked="0"/>
            <c:spPr>
              <a:noFill/>
              <a:ln>
                <a:noFill/>
              </a:ln>
              <a:effectLst/>
            </c:spPr>
            <c:txPr>
              <a:bodyPr/>
              <a:lstStyle/>
              <a:p>
                <a:pPr>
                  <a:defRPr sz="800" b="1">
                    <a:latin typeface="Book Antiqua" pitchFamily="18" charset="0"/>
                  </a:defRPr>
                </a:pPr>
                <a:endParaRPr lang="fr-FR"/>
              </a:p>
            </c:txPr>
            <c:showVal val="1"/>
            <c:showLeaderLines val="1"/>
            <c:extLst>
              <c:ext xmlns:c15="http://schemas.microsoft.com/office/drawing/2012/chart" uri="{CE6537A1-D6FC-4f65-9D91-7224C49458BB}"/>
            </c:extLst>
          </c:dLbls>
          <c:cat>
            <c:strRef>
              <c:f>[1]Feuil2!$N$260:$N$263</c:f>
              <c:strCache>
                <c:ptCount val="4"/>
                <c:pt idx="0">
                  <c:v>Très adaptés</c:v>
                </c:pt>
                <c:pt idx="1">
                  <c:v>Adaptés</c:v>
                </c:pt>
                <c:pt idx="2">
                  <c:v>Non adaptés</c:v>
                </c:pt>
                <c:pt idx="3">
                  <c:v>Pas du tout adaptés</c:v>
                </c:pt>
              </c:strCache>
            </c:strRef>
          </c:cat>
          <c:val>
            <c:numRef>
              <c:f>[1]Feuil2!$O$260:$O$263</c:f>
              <c:numCache>
                <c:formatCode>General</c:formatCode>
                <c:ptCount val="4"/>
                <c:pt idx="0">
                  <c:v>1.4727540500736377E-2</c:v>
                </c:pt>
                <c:pt idx="1">
                  <c:v>0.54491899852724557</c:v>
                </c:pt>
                <c:pt idx="2">
                  <c:v>0.33284241531665593</c:v>
                </c:pt>
                <c:pt idx="3">
                  <c:v>0.10751104565537556</c:v>
                </c:pt>
              </c:numCache>
            </c:numRef>
          </c:val>
        </c:ser>
        <c:firstSliceAng val="0"/>
      </c:pieChart>
    </c:plotArea>
    <c:legend>
      <c:legendPos val="b"/>
      <c:layout>
        <c:manualLayout>
          <c:xMode val="edge"/>
          <c:yMode val="edge"/>
          <c:x val="0.17310342891630526"/>
          <c:y val="0.82621441550575414"/>
          <c:w val="0.7108341403848587"/>
          <c:h val="0.14814455885322272"/>
        </c:manualLayout>
      </c:layout>
      <c:txPr>
        <a:bodyPr/>
        <a:lstStyle/>
        <a:p>
          <a:pPr>
            <a:defRPr sz="800">
              <a:latin typeface="Book Antiqua" pitchFamily="18" charset="0"/>
            </a:defRPr>
          </a:pPr>
          <a:endParaRPr lang="fr-FR"/>
        </a:p>
      </c:txPr>
    </c:legend>
    <c:plotVisOnly val="1"/>
    <c:dispBlanksAs val="zero"/>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Feuil1!$C$14</c:f>
              <c:strCache>
                <c:ptCount val="1"/>
                <c:pt idx="0">
                  <c:v>Formel</c:v>
                </c:pt>
              </c:strCache>
            </c:strRef>
          </c:tx>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Feuil1!$B$15:$B$18</c:f>
              <c:strCache>
                <c:ptCount val="4"/>
                <c:pt idx="0">
                  <c:v>Très adaptés</c:v>
                </c:pt>
                <c:pt idx="1">
                  <c:v>Adaptés</c:v>
                </c:pt>
                <c:pt idx="2">
                  <c:v>Non adaptés</c:v>
                </c:pt>
                <c:pt idx="3">
                  <c:v>Pas du tout adaptés</c:v>
                </c:pt>
              </c:strCache>
            </c:strRef>
          </c:cat>
          <c:val>
            <c:numRef>
              <c:f>Feuil1!$C$15:$C$18</c:f>
              <c:numCache>
                <c:formatCode>0.0%</c:formatCode>
                <c:ptCount val="4"/>
                <c:pt idx="0">
                  <c:v>1.9191919191919201E-2</c:v>
                </c:pt>
                <c:pt idx="1">
                  <c:v>0.54646464646464643</c:v>
                </c:pt>
                <c:pt idx="2">
                  <c:v>0.32828282828283833</c:v>
                </c:pt>
                <c:pt idx="3">
                  <c:v>0.1060606060606077</c:v>
                </c:pt>
              </c:numCache>
            </c:numRef>
          </c:val>
        </c:ser>
        <c:ser>
          <c:idx val="1"/>
          <c:order val="1"/>
          <c:tx>
            <c:strRef>
              <c:f>Feuil1!$D$14</c:f>
              <c:strCache>
                <c:ptCount val="1"/>
                <c:pt idx="0">
                  <c:v>Informel</c:v>
                </c:pt>
              </c:strCache>
            </c:strRef>
          </c:tx>
          <c:dLbls>
            <c:dLbl>
              <c:idx val="0"/>
              <c:layout>
                <c:manualLayout>
                  <c:x val="1.3888888888889188E-2"/>
                  <c:y val="-3.2407407407408197E-2"/>
                </c:manualLayout>
              </c:layout>
              <c:showVal val="1"/>
              <c:extLst>
                <c:ext xmlns:c15="http://schemas.microsoft.com/office/drawing/2012/chart" uri="{CE6537A1-D6FC-4f65-9D91-7224C49458BB}">
                  <c15:layout/>
                </c:ext>
              </c:extLst>
            </c:dLbl>
            <c:dLbl>
              <c:idx val="1"/>
              <c:layout>
                <c:manualLayout>
                  <c:x val="2.5000000000000001E-2"/>
                  <c:y val="-5.0925925925925923E-2"/>
                </c:manualLayout>
              </c:layout>
              <c:showVal val="1"/>
              <c:extLst>
                <c:ext xmlns:c15="http://schemas.microsoft.com/office/drawing/2012/chart" uri="{CE6537A1-D6FC-4f65-9D91-7224C49458BB}">
                  <c15:layout/>
                </c:ext>
              </c:extLst>
            </c:dLbl>
            <c:dLbl>
              <c:idx val="2"/>
              <c:layout>
                <c:manualLayout>
                  <c:x val="8.3333333333333367E-3"/>
                  <c:y val="-4.6296296296296523E-2"/>
                </c:manualLayout>
              </c:layout>
              <c:showVal val="1"/>
              <c:extLst>
                <c:ext xmlns:c15="http://schemas.microsoft.com/office/drawing/2012/chart" uri="{CE6537A1-D6FC-4f65-9D91-7224C49458BB}">
                  <c15:layout/>
                </c:ext>
              </c:extLst>
            </c:dLbl>
            <c:dLbl>
              <c:idx val="3"/>
              <c:layout>
                <c:manualLayout>
                  <c:x val="2.4999999999999897E-2"/>
                  <c:y val="-2.7777777777778775E-2"/>
                </c:manualLayout>
              </c:layout>
              <c:showVal val="1"/>
              <c:extLst>
                <c:ext xmlns:c15="http://schemas.microsoft.com/office/drawing/2012/chart" uri="{CE6537A1-D6FC-4f65-9D91-7224C49458BB}">
                  <c15:layout/>
                </c:ext>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Feuil1!$B$15:$B$18</c:f>
              <c:strCache>
                <c:ptCount val="4"/>
                <c:pt idx="0">
                  <c:v>Très adaptés</c:v>
                </c:pt>
                <c:pt idx="1">
                  <c:v>Adaptés</c:v>
                </c:pt>
                <c:pt idx="2">
                  <c:v>Non adaptés</c:v>
                </c:pt>
                <c:pt idx="3">
                  <c:v>Pas du tout adaptés</c:v>
                </c:pt>
              </c:strCache>
            </c:strRef>
          </c:cat>
          <c:val>
            <c:numRef>
              <c:f>Feuil1!$D$15:$D$18</c:f>
              <c:numCache>
                <c:formatCode>0.0%</c:formatCode>
                <c:ptCount val="4"/>
                <c:pt idx="0">
                  <c:v>2.7173913043479054E-3</c:v>
                </c:pt>
                <c:pt idx="1">
                  <c:v>0.54076086956521741</c:v>
                </c:pt>
                <c:pt idx="2">
                  <c:v>0.34510869565217844</c:v>
                </c:pt>
                <c:pt idx="3">
                  <c:v>0.11141304347826129</c:v>
                </c:pt>
              </c:numCache>
            </c:numRef>
          </c:val>
        </c:ser>
        <c:shape val="cylinder"/>
        <c:axId val="201377280"/>
        <c:axId val="201378816"/>
        <c:axId val="0"/>
      </c:bar3DChart>
      <c:catAx>
        <c:axId val="201377280"/>
        <c:scaling>
          <c:orientation val="minMax"/>
        </c:scaling>
        <c:axPos val="b"/>
        <c:numFmt formatCode="General" sourceLinked="0"/>
        <c:tickLblPos val="nextTo"/>
        <c:txPr>
          <a:bodyPr/>
          <a:lstStyle/>
          <a:p>
            <a:pPr>
              <a:defRPr sz="800" b="1">
                <a:latin typeface="Book Antiqua" pitchFamily="18" charset="0"/>
              </a:defRPr>
            </a:pPr>
            <a:endParaRPr lang="fr-FR"/>
          </a:p>
        </c:txPr>
        <c:crossAx val="201378816"/>
        <c:crosses val="autoZero"/>
        <c:auto val="1"/>
        <c:lblAlgn val="ctr"/>
        <c:lblOffset val="100"/>
      </c:catAx>
      <c:valAx>
        <c:axId val="201378816"/>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01377280"/>
        <c:crosses val="autoZero"/>
        <c:crossBetween val="between"/>
      </c:valAx>
    </c:plotArea>
    <c:legend>
      <c:legendPos val="b"/>
      <c:txPr>
        <a:bodyPr/>
        <a:lstStyle/>
        <a:p>
          <a:pPr>
            <a:defRPr sz="800">
              <a:latin typeface="Book Antiqua" pitchFamily="18" charset="0"/>
            </a:defRPr>
          </a:pPr>
          <a:endParaRPr lang="fr-FR"/>
        </a:p>
      </c:txPr>
    </c:legend>
    <c:plotVisOnly val="1"/>
    <c:dispBlanksAs val="gap"/>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dLbls>
            <c:dLbl>
              <c:idx val="1"/>
              <c:layout>
                <c:manualLayout>
                  <c:x val="1.6222222222222221E-2"/>
                  <c:y val="0.10838145231846018"/>
                </c:manualLayout>
              </c:layout>
              <c:showCatName val="1"/>
              <c:showPercent val="1"/>
              <c:extLst>
                <c:ext xmlns:c15="http://schemas.microsoft.com/office/drawing/2012/chart" uri="{CE6537A1-D6FC-4f65-9D91-7224C49458BB}">
                  <c15:layout/>
                </c:ext>
              </c:extLst>
            </c:dLbl>
            <c:dLbl>
              <c:idx val="2"/>
              <c:layout>
                <c:manualLayout>
                  <c:x val="0"/>
                  <c:y val="0.20220180810732433"/>
                </c:manualLayout>
              </c:layout>
              <c:showCatName val="1"/>
              <c:showPercent val="1"/>
              <c:extLst>
                <c:ext xmlns:c15="http://schemas.microsoft.com/office/drawing/2012/chart" uri="{CE6537A1-D6FC-4f65-9D91-7224C49458BB}">
                  <c15:layout/>
                </c:ext>
              </c:extLst>
            </c:dLbl>
            <c:numFmt formatCode="0.0%" sourceLinked="0"/>
            <c:spPr>
              <a:noFill/>
              <a:ln>
                <a:noFill/>
              </a:ln>
              <a:effectLst/>
            </c:spPr>
            <c:txPr>
              <a:bodyPr/>
              <a:lstStyle/>
              <a:p>
                <a:pPr>
                  <a:defRPr sz="1000" b="1" baseline="30000">
                    <a:latin typeface="Book Antiqua" pitchFamily="18" charset="0"/>
                  </a:defRPr>
                </a:pPr>
                <a:endParaRPr lang="fr-FR"/>
              </a:p>
            </c:txPr>
            <c:showCatName val="1"/>
            <c:showPercent val="1"/>
            <c:showLeaderLines val="1"/>
            <c:extLst>
              <c:ext xmlns:c15="http://schemas.microsoft.com/office/drawing/2012/chart" uri="{CE6537A1-D6FC-4f65-9D91-7224C49458BB}">
                <c15:layout/>
              </c:ext>
            </c:extLst>
          </c:dLbls>
          <c:cat>
            <c:strRef>
              <c:f>Feuil1!$A$8:$A$11</c:f>
              <c:strCache>
                <c:ptCount val="4"/>
                <c:pt idx="0">
                  <c:v>Très adaptés</c:v>
                </c:pt>
                <c:pt idx="1">
                  <c:v>Adaptés</c:v>
                </c:pt>
                <c:pt idx="2">
                  <c:v>Non adaptés</c:v>
                </c:pt>
                <c:pt idx="3">
                  <c:v>Pas du tout adaptés</c:v>
                </c:pt>
              </c:strCache>
            </c:strRef>
          </c:cat>
          <c:val>
            <c:numRef>
              <c:f>Feuil1!$B$8:$B$11</c:f>
              <c:numCache>
                <c:formatCode>0.0%</c:formatCode>
                <c:ptCount val="4"/>
                <c:pt idx="0">
                  <c:v>6.0975609756097563E-3</c:v>
                </c:pt>
                <c:pt idx="1">
                  <c:v>0.55182926829268364</c:v>
                </c:pt>
                <c:pt idx="2">
                  <c:v>0.33841463414634948</c:v>
                </c:pt>
                <c:pt idx="3">
                  <c:v>0.10365853658536585</c:v>
                </c:pt>
              </c:numCache>
            </c:numRef>
          </c:val>
        </c:ser>
        <c:dLbls>
          <c:showCatName val="1"/>
          <c:showPercent val="1"/>
        </c:dLbls>
      </c:pie3DChart>
    </c:plotArea>
    <c:plotVisOnly val="1"/>
    <c:dispBlanksAs val="zero"/>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Feuil1!$B$23</c:f>
              <c:strCache>
                <c:ptCount val="1"/>
                <c:pt idx="0">
                  <c:v>Formel</c:v>
                </c:pt>
              </c:strCache>
            </c:strRef>
          </c:tx>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Feuil1!$A$24:$A$27</c:f>
              <c:strCache>
                <c:ptCount val="4"/>
                <c:pt idx="0">
                  <c:v>Très adaptés</c:v>
                </c:pt>
                <c:pt idx="1">
                  <c:v>Adaptés</c:v>
                </c:pt>
                <c:pt idx="2">
                  <c:v>Non adaptés</c:v>
                </c:pt>
                <c:pt idx="3">
                  <c:v>Pas du tout adaptés</c:v>
                </c:pt>
              </c:strCache>
            </c:strRef>
          </c:cat>
          <c:val>
            <c:numRef>
              <c:f>Feuil1!$B$24:$B$27</c:f>
              <c:numCache>
                <c:formatCode>0.0%</c:formatCode>
                <c:ptCount val="4"/>
                <c:pt idx="0">
                  <c:v>7.3221757322175715E-3</c:v>
                </c:pt>
                <c:pt idx="1">
                  <c:v>0.55125523012553324</c:v>
                </c:pt>
                <c:pt idx="2">
                  <c:v>0.33682008368202193</c:v>
                </c:pt>
                <c:pt idx="3">
                  <c:v>0.10460251046025321</c:v>
                </c:pt>
              </c:numCache>
            </c:numRef>
          </c:val>
        </c:ser>
        <c:ser>
          <c:idx val="1"/>
          <c:order val="1"/>
          <c:tx>
            <c:strRef>
              <c:f>Feuil1!$C$23</c:f>
              <c:strCache>
                <c:ptCount val="1"/>
                <c:pt idx="0">
                  <c:v>Informel</c:v>
                </c:pt>
              </c:strCache>
            </c:strRef>
          </c:tx>
          <c:dLbls>
            <c:dLbl>
              <c:idx val="1"/>
              <c:layout>
                <c:manualLayout>
                  <c:x val="1.3888888888889183E-2"/>
                  <c:y val="-1.8518518518518583E-2"/>
                </c:manualLayout>
              </c:layout>
              <c:showVal val="1"/>
              <c:extLst>
                <c:ext xmlns:c15="http://schemas.microsoft.com/office/drawing/2012/chart" uri="{CE6537A1-D6FC-4f65-9D91-7224C49458BB}">
                  <c15:layout/>
                </c:ext>
              </c:extLst>
            </c:dLbl>
            <c:dLbl>
              <c:idx val="2"/>
              <c:layout>
                <c:manualLayout>
                  <c:x val="1.9444444444444445E-2"/>
                  <c:y val="-4.6296296296296523E-2"/>
                </c:manualLayout>
              </c:layout>
              <c:showVal val="1"/>
              <c:extLst>
                <c:ext xmlns:c15="http://schemas.microsoft.com/office/drawing/2012/chart" uri="{CE6537A1-D6FC-4f65-9D91-7224C49458BB}">
                  <c15:layout/>
                </c:ext>
              </c:extLst>
            </c:dLbl>
            <c:dLbl>
              <c:idx val="3"/>
              <c:layout>
                <c:manualLayout>
                  <c:x val="5.5555555555554465E-3"/>
                  <c:y val="-5.5555555555555455E-2"/>
                </c:manualLayout>
              </c:layout>
              <c:showVal val="1"/>
              <c:extLst>
                <c:ext xmlns:c15="http://schemas.microsoft.com/office/drawing/2012/chart" uri="{CE6537A1-D6FC-4f65-9D91-7224C49458BB}">
                  <c15:layout/>
                </c:ext>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Feuil1!$A$24:$A$27</c:f>
              <c:strCache>
                <c:ptCount val="4"/>
                <c:pt idx="0">
                  <c:v>Très adaptés</c:v>
                </c:pt>
                <c:pt idx="1">
                  <c:v>Adaptés</c:v>
                </c:pt>
                <c:pt idx="2">
                  <c:v>Non adaptés</c:v>
                </c:pt>
                <c:pt idx="3">
                  <c:v>Pas du tout adaptés</c:v>
                </c:pt>
              </c:strCache>
            </c:strRef>
          </c:cat>
          <c:val>
            <c:numRef>
              <c:f>Feuil1!$C$24:$C$27</c:f>
              <c:numCache>
                <c:formatCode>0.0%</c:formatCode>
                <c:ptCount val="4"/>
                <c:pt idx="0">
                  <c:v>2.8089887640449893E-3</c:v>
                </c:pt>
                <c:pt idx="1">
                  <c:v>0.5533707865168539</c:v>
                </c:pt>
                <c:pt idx="2">
                  <c:v>0.34269662921348332</c:v>
                </c:pt>
                <c:pt idx="3">
                  <c:v>0.10112359550561822</c:v>
                </c:pt>
              </c:numCache>
            </c:numRef>
          </c:val>
        </c:ser>
        <c:shape val="cylinder"/>
        <c:axId val="201632768"/>
        <c:axId val="201634560"/>
        <c:axId val="0"/>
      </c:bar3DChart>
      <c:catAx>
        <c:axId val="201632768"/>
        <c:scaling>
          <c:orientation val="minMax"/>
        </c:scaling>
        <c:axPos val="b"/>
        <c:numFmt formatCode="General" sourceLinked="0"/>
        <c:tickLblPos val="nextTo"/>
        <c:txPr>
          <a:bodyPr/>
          <a:lstStyle/>
          <a:p>
            <a:pPr>
              <a:defRPr sz="800" b="1">
                <a:latin typeface="Book Antiqua" pitchFamily="18" charset="0"/>
              </a:defRPr>
            </a:pPr>
            <a:endParaRPr lang="fr-FR"/>
          </a:p>
        </c:txPr>
        <c:crossAx val="201634560"/>
        <c:crosses val="autoZero"/>
        <c:auto val="1"/>
        <c:lblAlgn val="ctr"/>
        <c:lblOffset val="100"/>
      </c:catAx>
      <c:valAx>
        <c:axId val="201634560"/>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01632768"/>
        <c:crosses val="autoZero"/>
        <c:crossBetween val="between"/>
      </c:valAx>
    </c:plotArea>
    <c:legend>
      <c:legendPos val="b"/>
      <c:layout>
        <c:manualLayout>
          <c:xMode val="edge"/>
          <c:yMode val="edge"/>
          <c:x val="0.37688998250219324"/>
          <c:y val="0.87571522309712402"/>
          <c:w val="0.24613061276785733"/>
          <c:h val="8.4362654020806629E-2"/>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explosion val="25"/>
          <c:dLbls>
            <c:dLbl>
              <c:idx val="0"/>
              <c:layout>
                <c:manualLayout>
                  <c:x val="3.0670056867891551E-2"/>
                  <c:y val="-3.9960629921259844E-2"/>
                </c:manualLayout>
              </c:layout>
              <c:tx>
                <c:rich>
                  <a:bodyPr/>
                  <a:lstStyle/>
                  <a:p>
                    <a:pPr>
                      <a:defRPr sz="800" b="1">
                        <a:latin typeface="Book Antiqua" pitchFamily="18" charset="0"/>
                      </a:defRPr>
                    </a:pPr>
                    <a:r>
                      <a:rPr lang="en-US" sz="800" b="1">
                        <a:latin typeface="Book Antiqua" pitchFamily="18" charset="0"/>
                      </a:rPr>
                      <a:t>Bénéficiaires
27,7%</a:t>
                    </a:r>
                  </a:p>
                </c:rich>
              </c:tx>
              <c:numFmt formatCode="0.0%" sourceLinked="0"/>
              <c:spPr/>
              <c:showCatName val="1"/>
              <c:showPercent val="1"/>
              <c:extLst>
                <c:ext xmlns:c15="http://schemas.microsoft.com/office/drawing/2012/chart" uri="{CE6537A1-D6FC-4f65-9D91-7224C49458BB}"/>
              </c:extLst>
            </c:dLbl>
            <c:dLbl>
              <c:idx val="1"/>
              <c:layout>
                <c:manualLayout>
                  <c:x val="-7.3636264216972924E-3"/>
                  <c:y val="2.3806503353747427E-2"/>
                </c:manualLayout>
              </c:layout>
              <c:tx>
                <c:rich>
                  <a:bodyPr/>
                  <a:lstStyle/>
                  <a:p>
                    <a:pPr>
                      <a:defRPr sz="800" b="1">
                        <a:latin typeface="Book Antiqua" pitchFamily="18" charset="0"/>
                      </a:defRPr>
                    </a:pPr>
                    <a:r>
                      <a:rPr lang="en-US" sz="800" b="1">
                        <a:latin typeface="Book Antiqua" pitchFamily="18" charset="0"/>
                      </a:rPr>
                      <a:t>Non bénéficiaires
72,3%</a:t>
                    </a:r>
                  </a:p>
                </c:rich>
              </c:tx>
              <c:numFmt formatCode="0.0%" sourceLinked="0"/>
              <c:spPr/>
              <c:showCatName val="1"/>
              <c:showPercent val="1"/>
              <c:extLst>
                <c:ext xmlns:c15="http://schemas.microsoft.com/office/drawing/2012/chart" uri="{CE6537A1-D6FC-4f65-9D91-7224C49458BB}"/>
              </c:extLst>
            </c:dLbl>
            <c:numFmt formatCode="0.0%" sourceLinked="0"/>
            <c:spPr>
              <a:noFill/>
              <a:ln>
                <a:noFill/>
              </a:ln>
              <a:effectLst/>
            </c:spPr>
            <c:txPr>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'[Statistiques ESUB 2015 v05.xlsx]Feuil1'!$B$52:$B$53</c:f>
              <c:strCache>
                <c:ptCount val="2"/>
                <c:pt idx="0">
                  <c:v>A bénéficié d'un crédit</c:v>
                </c:pt>
                <c:pt idx="1">
                  <c:v>N'a pas bénéficié de crédit</c:v>
                </c:pt>
              </c:strCache>
            </c:strRef>
          </c:cat>
          <c:val>
            <c:numRef>
              <c:f>'[Statistiques ESUB 2015 v05.xlsx]Feuil1'!$C$52:$C$53</c:f>
              <c:numCache>
                <c:formatCode>0.0%</c:formatCode>
                <c:ptCount val="2"/>
                <c:pt idx="0">
                  <c:v>0.27700000000000002</c:v>
                </c:pt>
                <c:pt idx="1">
                  <c:v>0.72300000000000064</c:v>
                </c:pt>
              </c:numCache>
            </c:numRef>
          </c:val>
        </c:ser>
        <c:dLbls>
          <c:showCatName val="1"/>
          <c:showPercent val="1"/>
        </c:dLbls>
      </c:pie3DChart>
    </c:plotArea>
    <c:plotVisOnly val="1"/>
    <c:dispBlanksAs val="zero"/>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clustered"/>
        <c:varyColors val="1"/>
        <c:ser>
          <c:idx val="0"/>
          <c:order val="0"/>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Feuil1!$C$4:$H$4</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Feuil1!$C$12:$H$12</c:f>
              <c:numCache>
                <c:formatCode>0.0%</c:formatCode>
                <c:ptCount val="6"/>
                <c:pt idx="0">
                  <c:v>0.22558593750000044</c:v>
                </c:pt>
                <c:pt idx="1">
                  <c:v>0.28571428571429236</c:v>
                </c:pt>
                <c:pt idx="2">
                  <c:v>0.29729729729729731</c:v>
                </c:pt>
                <c:pt idx="3">
                  <c:v>0.42735042735043555</c:v>
                </c:pt>
                <c:pt idx="4">
                  <c:v>0.5</c:v>
                </c:pt>
                <c:pt idx="5">
                  <c:v>0.56321839080459768</c:v>
                </c:pt>
              </c:numCache>
            </c:numRef>
          </c:val>
        </c:ser>
        <c:axId val="201988736"/>
        <c:axId val="201990528"/>
      </c:barChart>
      <c:catAx>
        <c:axId val="201988736"/>
        <c:scaling>
          <c:orientation val="minMax"/>
        </c:scaling>
        <c:axPos val="l"/>
        <c:numFmt formatCode="General" sourceLinked="0"/>
        <c:tickLblPos val="nextTo"/>
        <c:txPr>
          <a:bodyPr/>
          <a:lstStyle/>
          <a:p>
            <a:pPr>
              <a:defRPr sz="800" b="1">
                <a:latin typeface="Book Antiqua" pitchFamily="18" charset="0"/>
              </a:defRPr>
            </a:pPr>
            <a:endParaRPr lang="fr-FR"/>
          </a:p>
        </c:txPr>
        <c:crossAx val="201990528"/>
        <c:crosses val="autoZero"/>
        <c:auto val="1"/>
        <c:lblAlgn val="ctr"/>
        <c:lblOffset val="100"/>
      </c:catAx>
      <c:valAx>
        <c:axId val="201990528"/>
        <c:scaling>
          <c:orientation val="minMax"/>
        </c:scaling>
        <c:axPos val="b"/>
        <c:majorGridlines/>
        <c:numFmt formatCode="0.0%" sourceLinked="1"/>
        <c:tickLblPos val="nextTo"/>
        <c:txPr>
          <a:bodyPr/>
          <a:lstStyle/>
          <a:p>
            <a:pPr>
              <a:defRPr sz="800" b="1">
                <a:latin typeface="Book Antiqua" pitchFamily="18" charset="0"/>
              </a:defRPr>
            </a:pPr>
            <a:endParaRPr lang="fr-FR"/>
          </a:p>
        </c:txPr>
        <c:crossAx val="201988736"/>
        <c:crosses val="autoZero"/>
        <c:crossBetween val="between"/>
      </c:valAx>
    </c:plotArea>
    <c:plotVisOnly val="1"/>
    <c:dispBlanksAs val="gap"/>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varyColors val="1"/>
        <c:ser>
          <c:idx val="0"/>
          <c:order val="0"/>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Feuil1!$C$28:$H$28</c:f>
              <c:strCache>
                <c:ptCount val="6"/>
                <c:pt idx="0">
                  <c:v>Industrie</c:v>
                </c:pt>
                <c:pt idx="1">
                  <c:v>Commerce</c:v>
                </c:pt>
                <c:pt idx="2">
                  <c:v>BTP</c:v>
                </c:pt>
                <c:pt idx="3">
                  <c:v>Services</c:v>
                </c:pt>
                <c:pt idx="4">
                  <c:v>Agriculture</c:v>
                </c:pt>
                <c:pt idx="5">
                  <c:v>Artisanat</c:v>
                </c:pt>
              </c:strCache>
            </c:strRef>
          </c:cat>
          <c:val>
            <c:numRef>
              <c:f>Feuil1!$C$35:$H$35</c:f>
              <c:numCache>
                <c:formatCode>0.0%</c:formatCode>
                <c:ptCount val="6"/>
                <c:pt idx="0">
                  <c:v>0.43421052631578982</c:v>
                </c:pt>
                <c:pt idx="1">
                  <c:v>0.26309226932668778</c:v>
                </c:pt>
                <c:pt idx="2">
                  <c:v>0.47328244274809161</c:v>
                </c:pt>
                <c:pt idx="3">
                  <c:v>0.23702422145328719</c:v>
                </c:pt>
                <c:pt idx="4">
                  <c:v>0.46739130434782838</c:v>
                </c:pt>
                <c:pt idx="5">
                  <c:v>0.16853932584269973</c:v>
                </c:pt>
              </c:numCache>
            </c:numRef>
          </c:val>
        </c:ser>
        <c:shape val="cylinder"/>
        <c:axId val="202027008"/>
        <c:axId val="202028544"/>
        <c:axId val="0"/>
      </c:bar3DChart>
      <c:catAx>
        <c:axId val="202027008"/>
        <c:scaling>
          <c:orientation val="minMax"/>
        </c:scaling>
        <c:axPos val="b"/>
        <c:numFmt formatCode="General" sourceLinked="0"/>
        <c:tickLblPos val="nextTo"/>
        <c:txPr>
          <a:bodyPr/>
          <a:lstStyle/>
          <a:p>
            <a:pPr>
              <a:defRPr sz="800">
                <a:latin typeface="Book Antiqua" pitchFamily="18" charset="0"/>
              </a:defRPr>
            </a:pPr>
            <a:endParaRPr lang="fr-FR"/>
          </a:p>
        </c:txPr>
        <c:crossAx val="202028544"/>
        <c:crosses val="autoZero"/>
        <c:auto val="1"/>
        <c:lblAlgn val="ctr"/>
        <c:lblOffset val="100"/>
      </c:catAx>
      <c:valAx>
        <c:axId val="202028544"/>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02027008"/>
        <c:crosses val="autoZero"/>
        <c:crossBetween val="between"/>
      </c:valAx>
    </c:plotArea>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8412145465363447"/>
          <c:y val="4.245056120128099E-2"/>
          <c:w val="0.76365438780848305"/>
          <c:h val="0.86087155225933243"/>
        </c:manualLayout>
      </c:layout>
      <c:bar3DChart>
        <c:barDir val="bar"/>
        <c:grouping val="clustered"/>
        <c:varyColors val="1"/>
        <c:ser>
          <c:idx val="0"/>
          <c:order val="0"/>
          <c:dLbls>
            <c:spPr>
              <a:noFill/>
              <a:ln>
                <a:noFill/>
              </a:ln>
              <a:effectLst/>
            </c:spPr>
            <c:txPr>
              <a:bodyPr/>
              <a:lstStyle/>
              <a:p>
                <a:pPr>
                  <a:defRPr sz="800">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'[Statistiques ESUB 2015 v05.xlsx]Feuil2'!$A$2:$A$15</c:f>
              <c:strCache>
                <c:ptCount val="14"/>
                <c:pt idx="0">
                  <c:v>Kaffrine</c:v>
                </c:pt>
                <c:pt idx="1">
                  <c:v>Kaolack</c:v>
                </c:pt>
                <c:pt idx="2">
                  <c:v>Kédougou</c:v>
                </c:pt>
                <c:pt idx="3">
                  <c:v>Tambacounda</c:v>
                </c:pt>
                <c:pt idx="4">
                  <c:v>Diourbel</c:v>
                </c:pt>
                <c:pt idx="5">
                  <c:v>Kolda</c:v>
                </c:pt>
                <c:pt idx="6">
                  <c:v>Dakar</c:v>
                </c:pt>
                <c:pt idx="7">
                  <c:v>Fatick</c:v>
                </c:pt>
                <c:pt idx="8">
                  <c:v>Ziguinchor</c:v>
                </c:pt>
                <c:pt idx="9">
                  <c:v>Louga</c:v>
                </c:pt>
                <c:pt idx="10">
                  <c:v>Thiès</c:v>
                </c:pt>
                <c:pt idx="11">
                  <c:v>Sédhiou</c:v>
                </c:pt>
                <c:pt idx="12">
                  <c:v>Matam</c:v>
                </c:pt>
                <c:pt idx="13">
                  <c:v>Saint Louis</c:v>
                </c:pt>
              </c:strCache>
            </c:strRef>
          </c:cat>
          <c:val>
            <c:numRef>
              <c:f>'[Statistiques ESUB 2015 v05.xlsx]Feuil2'!$B$2:$B$15</c:f>
              <c:numCache>
                <c:formatCode>0.0%</c:formatCode>
                <c:ptCount val="14"/>
                <c:pt idx="0">
                  <c:v>0.52941176470588236</c:v>
                </c:pt>
                <c:pt idx="1">
                  <c:v>0.43548387096775526</c:v>
                </c:pt>
                <c:pt idx="2">
                  <c:v>0.42857142857142855</c:v>
                </c:pt>
                <c:pt idx="3">
                  <c:v>0.40322580645161277</c:v>
                </c:pt>
                <c:pt idx="4">
                  <c:v>0.34210526315790046</c:v>
                </c:pt>
                <c:pt idx="5">
                  <c:v>0.29268292682927644</c:v>
                </c:pt>
                <c:pt idx="6">
                  <c:v>0.27935606060606138</c:v>
                </c:pt>
                <c:pt idx="7">
                  <c:v>0.25</c:v>
                </c:pt>
                <c:pt idx="8">
                  <c:v>0.23711340206185574</c:v>
                </c:pt>
                <c:pt idx="9">
                  <c:v>0.16279069767441864</c:v>
                </c:pt>
                <c:pt idx="10">
                  <c:v>0.15555555555555556</c:v>
                </c:pt>
                <c:pt idx="11">
                  <c:v>0.14893617021276859</c:v>
                </c:pt>
                <c:pt idx="12">
                  <c:v>0.14634146341463444</c:v>
                </c:pt>
                <c:pt idx="13">
                  <c:v>0.13580246913580246</c:v>
                </c:pt>
              </c:numCache>
            </c:numRef>
          </c:val>
        </c:ser>
        <c:shape val="cylinder"/>
        <c:axId val="211428864"/>
        <c:axId val="211430400"/>
        <c:axId val="0"/>
      </c:bar3DChart>
      <c:catAx>
        <c:axId val="211428864"/>
        <c:scaling>
          <c:orientation val="minMax"/>
        </c:scaling>
        <c:axPos val="l"/>
        <c:numFmt formatCode="General" sourceLinked="0"/>
        <c:tickLblPos val="nextTo"/>
        <c:txPr>
          <a:bodyPr/>
          <a:lstStyle/>
          <a:p>
            <a:pPr>
              <a:defRPr sz="1000" baseline="30000">
                <a:latin typeface="Book Antiqua" pitchFamily="18" charset="0"/>
              </a:defRPr>
            </a:pPr>
            <a:endParaRPr lang="fr-FR"/>
          </a:p>
        </c:txPr>
        <c:crossAx val="211430400"/>
        <c:crosses val="autoZero"/>
        <c:auto val="1"/>
        <c:lblAlgn val="ctr"/>
        <c:lblOffset val="100"/>
      </c:catAx>
      <c:valAx>
        <c:axId val="211430400"/>
        <c:scaling>
          <c:orientation val="minMax"/>
        </c:scaling>
        <c:axPos val="b"/>
        <c:majorGridlines/>
        <c:numFmt formatCode="0.0%" sourceLinked="1"/>
        <c:tickLblPos val="nextTo"/>
        <c:txPr>
          <a:bodyPr/>
          <a:lstStyle/>
          <a:p>
            <a:pPr>
              <a:defRPr sz="800">
                <a:latin typeface="Book Antiqua" pitchFamily="18" charset="0"/>
              </a:defRPr>
            </a:pPr>
            <a:endParaRPr lang="fr-FR"/>
          </a:p>
        </c:txPr>
        <c:crossAx val="211428864"/>
        <c:crosses val="autoZero"/>
        <c:crossBetween val="between"/>
      </c:valAx>
    </c:plotArea>
    <c:plotVisOnly val="1"/>
    <c:dispBlanksAs val="gap"/>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explosion val="25"/>
          <c:dLbls>
            <c:dLbl>
              <c:idx val="0"/>
              <c:layout>
                <c:manualLayout>
                  <c:x val="-5.106089139987445E-2"/>
                  <c:y val="0.42971198860792648"/>
                </c:manualLayout>
              </c:layout>
              <c:showCatName val="1"/>
              <c:showPercent val="1"/>
              <c:extLst>
                <c:ext xmlns:c15="http://schemas.microsoft.com/office/drawing/2012/chart" uri="{CE6537A1-D6FC-4f65-9D91-7224C49458BB}">
                  <c15:layout/>
                </c:ext>
              </c:extLst>
            </c:dLbl>
            <c:dLbl>
              <c:idx val="1"/>
              <c:layout>
                <c:manualLayout>
                  <c:x val="1.7344682197211223E-2"/>
                  <c:y val="0.16700104648689387"/>
                </c:manualLayout>
              </c:layout>
              <c:showCatName val="1"/>
              <c:showPercent val="1"/>
              <c:extLst>
                <c:ext xmlns:c15="http://schemas.microsoft.com/office/drawing/2012/chart" uri="{CE6537A1-D6FC-4f65-9D91-7224C49458BB}">
                  <c15:layout/>
                </c:ext>
              </c:extLst>
            </c:dLbl>
            <c:dLbl>
              <c:idx val="2"/>
              <c:layout>
                <c:manualLayout>
                  <c:x val="-0.10891904048717238"/>
                  <c:y val="0.12838924639417021"/>
                </c:manualLayout>
              </c:layout>
              <c:showCatName val="1"/>
              <c:showPercent val="1"/>
              <c:extLst>
                <c:ext xmlns:c15="http://schemas.microsoft.com/office/drawing/2012/chart" uri="{CE6537A1-D6FC-4f65-9D91-7224C49458BB}">
                  <c15:layout/>
                </c:ext>
              </c:extLst>
            </c:dLbl>
            <c:dLbl>
              <c:idx val="3"/>
              <c:layout>
                <c:manualLayout>
                  <c:x val="-0.18908640657206613"/>
                  <c:y val="-1.0015715749074333E-2"/>
                </c:manualLayout>
              </c:layout>
              <c:showCatName val="1"/>
              <c:showPercent val="1"/>
              <c:extLst>
                <c:ext xmlns:c15="http://schemas.microsoft.com/office/drawing/2012/chart" uri="{CE6537A1-D6FC-4f65-9D91-7224C49458BB}">
                  <c15:layout/>
                </c:ext>
              </c:extLst>
            </c:dLbl>
            <c:numFmt formatCode="0.0%" sourceLinked="0"/>
            <c:spPr>
              <a:noFill/>
              <a:ln>
                <a:noFill/>
              </a:ln>
              <a:effectLst/>
            </c:spPr>
            <c:txPr>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15:layout/>
              </c:ext>
            </c:extLst>
          </c:dLbls>
          <c:cat>
            <c:strRef>
              <c:f>Feuil2!$B$25:$B$30</c:f>
              <c:strCache>
                <c:ptCount val="6"/>
                <c:pt idx="0">
                  <c:v>Fonctionnement</c:v>
                </c:pt>
                <c:pt idx="1">
                  <c:v>Investissement</c:v>
                </c:pt>
                <c:pt idx="2">
                  <c:v>Crédit documentaire</c:v>
                </c:pt>
                <c:pt idx="3">
                  <c:v>Escompte</c:v>
                </c:pt>
                <c:pt idx="4">
                  <c:v>Crédit bail</c:v>
                </c:pt>
                <c:pt idx="5">
                  <c:v>Autres </c:v>
                </c:pt>
              </c:strCache>
            </c:strRef>
          </c:cat>
          <c:val>
            <c:numRef>
              <c:f>Feuil2!$K$25:$K$30</c:f>
              <c:numCache>
                <c:formatCode>###0</c:formatCode>
                <c:ptCount val="6"/>
                <c:pt idx="0">
                  <c:v>291</c:v>
                </c:pt>
                <c:pt idx="1">
                  <c:v>232</c:v>
                </c:pt>
                <c:pt idx="2">
                  <c:v>28</c:v>
                </c:pt>
                <c:pt idx="3">
                  <c:v>17</c:v>
                </c:pt>
                <c:pt idx="4">
                  <c:v>20</c:v>
                </c:pt>
                <c:pt idx="5">
                  <c:v>23</c:v>
                </c:pt>
              </c:numCache>
            </c:numRef>
          </c:val>
        </c:ser>
        <c:dLbls>
          <c:showCatName val="1"/>
          <c:showPercent val="1"/>
        </c:dLbls>
      </c:pie3D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8.0707405726954298E-2"/>
          <c:y val="3.8207711010767642E-2"/>
          <c:w val="0.8694840451981567"/>
          <c:h val="0.73409648472648803"/>
        </c:manualLayout>
      </c:layout>
      <c:bar3DChart>
        <c:barDir val="bar"/>
        <c:grouping val="stacked"/>
        <c:varyColors val="1"/>
        <c:ser>
          <c:idx val="0"/>
          <c:order val="0"/>
          <c:dLbls>
            <c:dLbl>
              <c:idx val="0"/>
              <c:layout>
                <c:manualLayout>
                  <c:x val="5.9536466085477434E-2"/>
                  <c:y val="6.9468565474122964E-3"/>
                </c:manualLayout>
              </c:layout>
              <c:showVal val="1"/>
              <c:extLst>
                <c:ext xmlns:c15="http://schemas.microsoft.com/office/drawing/2012/chart" uri="{CE6537A1-D6FC-4f65-9D91-7224C49458BB}"/>
              </c:extLst>
            </c:dLbl>
            <c:dLbl>
              <c:idx val="1"/>
              <c:layout>
                <c:manualLayout>
                  <c:x val="5.7410163725281814E-2"/>
                  <c:y val="0"/>
                </c:manualLayout>
              </c:layout>
              <c:showVal val="1"/>
              <c:extLst>
                <c:ext xmlns:c15="http://schemas.microsoft.com/office/drawing/2012/chart" uri="{CE6537A1-D6FC-4f65-9D91-7224C49458BB}"/>
              </c:extLst>
            </c:dLbl>
            <c:dLbl>
              <c:idx val="2"/>
              <c:layout>
                <c:manualLayout>
                  <c:x val="5.7410163725281814E-2"/>
                  <c:y val="0"/>
                </c:manualLayout>
              </c:layout>
              <c:showVal val="1"/>
              <c:extLst>
                <c:ext xmlns:c15="http://schemas.microsoft.com/office/drawing/2012/chart" uri="{CE6537A1-D6FC-4f65-9D91-7224C49458BB}"/>
              </c:extLst>
            </c:dLbl>
            <c:dLbl>
              <c:idx val="3"/>
              <c:layout>
                <c:manualLayout>
                  <c:x val="5.5283861365086097E-2"/>
                  <c:y val="3.4734282737061482E-3"/>
                </c:manualLayout>
              </c:layout>
              <c:showVal val="1"/>
              <c:extLst>
                <c:ext xmlns:c15="http://schemas.microsoft.com/office/drawing/2012/chart" uri="{CE6537A1-D6FC-4f65-9D91-7224C49458BB}"/>
              </c:extLst>
            </c:dLbl>
            <c:dLbl>
              <c:idx val="4"/>
              <c:layout>
                <c:manualLayout>
                  <c:x val="5.1031256644694857E-2"/>
                  <c:y val="-6.3678782728552175E-17"/>
                </c:manualLayout>
              </c:layout>
              <c:showVal val="1"/>
              <c:extLst>
                <c:ext xmlns:c15="http://schemas.microsoft.com/office/drawing/2012/chart" uri="{CE6537A1-D6FC-4f65-9D91-7224C49458BB}"/>
              </c:extLst>
            </c:dLbl>
            <c:dLbl>
              <c:idx val="5"/>
              <c:layout>
                <c:manualLayout>
                  <c:x val="4.8904954284499272E-2"/>
                  <c:y val="0"/>
                </c:manualLayout>
              </c:layout>
              <c:showVal val="1"/>
              <c:extLst>
                <c:ext xmlns:c15="http://schemas.microsoft.com/office/drawing/2012/chart" uri="{CE6537A1-D6FC-4f65-9D91-7224C49458BB}"/>
              </c:extLst>
            </c:dLbl>
            <c:dLbl>
              <c:idx val="6"/>
              <c:layout>
                <c:manualLayout>
                  <c:x val="4.4652349564107865E-2"/>
                  <c:y val="-3.4734282737061482E-3"/>
                </c:manualLayout>
              </c:layout>
              <c:showVal val="1"/>
              <c:extLst>
                <c:ext xmlns:c15="http://schemas.microsoft.com/office/drawing/2012/chart" uri="{CE6537A1-D6FC-4f65-9D91-7224C49458BB}"/>
              </c:extLst>
            </c:dLbl>
            <c:dLbl>
              <c:idx val="7"/>
              <c:layout>
                <c:manualLayout>
                  <c:x val="4.0399744843718222E-2"/>
                  <c:y val="0"/>
                </c:manualLayout>
              </c:layout>
              <c:showVal val="1"/>
              <c:extLst>
                <c:ext xmlns:c15="http://schemas.microsoft.com/office/drawing/2012/chart" uri="{CE6537A1-D6FC-4f65-9D91-7224C49458BB}"/>
              </c:extLst>
            </c:dLbl>
            <c:dLbl>
              <c:idx val="8"/>
              <c:layout>
                <c:manualLayout>
                  <c:x val="3.6147140123326517E-2"/>
                  <c:y val="0"/>
                </c:manualLayout>
              </c:layout>
              <c:showVal val="1"/>
              <c:extLst>
                <c:ext xmlns:c15="http://schemas.microsoft.com/office/drawing/2012/chart" uri="{CE6537A1-D6FC-4f65-9D91-7224C49458BB}"/>
              </c:extLst>
            </c:dLbl>
            <c:dLbl>
              <c:idx val="9"/>
              <c:layout>
                <c:manualLayout>
                  <c:x val="4.2526047203912412E-2"/>
                  <c:y val="3.4734282737061482E-3"/>
                </c:manualLayout>
              </c:layout>
              <c:showVal val="1"/>
              <c:extLst>
                <c:ext xmlns:c15="http://schemas.microsoft.com/office/drawing/2012/chart" uri="{CE6537A1-D6FC-4f65-9D91-7224C49458BB}"/>
              </c:extLst>
            </c:dLbl>
            <c:dLbl>
              <c:idx val="10"/>
              <c:layout>
                <c:manualLayout>
                  <c:x val="4.4652349564107865E-2"/>
                  <c:y val="0"/>
                </c:manualLayout>
              </c:layout>
              <c:showVal val="1"/>
              <c:extLst>
                <c:ext xmlns:c15="http://schemas.microsoft.com/office/drawing/2012/chart" uri="{CE6537A1-D6FC-4f65-9D91-7224C49458BB}"/>
              </c:extLst>
            </c:dLbl>
            <c:dLbl>
              <c:idx val="11"/>
              <c:layout>
                <c:manualLayout>
                  <c:x val="5.3157559004890498E-2"/>
                  <c:y val="0"/>
                </c:manualLayout>
              </c:layout>
              <c:showVal val="1"/>
              <c:extLst>
                <c:ext xmlns:c15="http://schemas.microsoft.com/office/drawing/2012/chart" uri="{CE6537A1-D6FC-4f65-9D91-7224C49458BB}"/>
              </c:extLst>
            </c:dLbl>
            <c:dLbl>
              <c:idx val="12"/>
              <c:layout>
                <c:manualLayout>
                  <c:x val="6.5915373166064217E-2"/>
                  <c:y val="3.4734282737061482E-3"/>
                </c:manualLayout>
              </c:layout>
              <c:showVal val="1"/>
              <c:extLst>
                <c:ext xmlns:c15="http://schemas.microsoft.com/office/drawing/2012/chart" uri="{CE6537A1-D6FC-4f65-9D91-7224C49458BB}"/>
              </c:extLst>
            </c:dLbl>
            <c:dLbl>
              <c:idx val="13"/>
              <c:layout>
                <c:manualLayout>
                  <c:x val="8.7178396768020527E-2"/>
                  <c:y val="3.183939136427724E-17"/>
                </c:manualLayout>
              </c:layout>
              <c:showVal val="1"/>
              <c:extLst>
                <c:ext xmlns:c15="http://schemas.microsoft.com/office/drawing/2012/chart" uri="{CE6537A1-D6FC-4f65-9D91-7224C49458BB}"/>
              </c:extLst>
            </c:dLbl>
            <c:dLbl>
              <c:idx val="14"/>
              <c:layout>
                <c:manualLayout>
                  <c:x val="0.14246225813310981"/>
                  <c:y val="3.4734282737061482E-3"/>
                </c:manualLayout>
              </c:layout>
              <c:showVal val="1"/>
              <c:extLst>
                <c:ext xmlns:c15="http://schemas.microsoft.com/office/drawing/2012/chart" uri="{CE6537A1-D6FC-4f65-9D91-7224C49458BB}"/>
              </c:extLst>
            </c:dLbl>
            <c:dLbl>
              <c:idx val="15"/>
              <c:layout>
                <c:manualLayout>
                  <c:x val="0.21050393365936979"/>
                  <c:y val="3.4734282737061482E-3"/>
                </c:manualLayout>
              </c:layout>
              <c:showVal val="1"/>
              <c:extLst>
                <c:ext xmlns:c15="http://schemas.microsoft.com/office/drawing/2012/chart" uri="{CE6537A1-D6FC-4f65-9D91-7224C49458BB}"/>
              </c:extLst>
            </c:dLbl>
            <c:dLbl>
              <c:idx val="16"/>
              <c:layout>
                <c:manualLayout>
                  <c:x val="0.27641930682543081"/>
                  <c:y val="3.4734282737061482E-3"/>
                </c:manualLayout>
              </c:layout>
              <c:showVal val="1"/>
              <c:extLst>
                <c:ext xmlns:c15="http://schemas.microsoft.com/office/drawing/2012/chart" uri="{CE6537A1-D6FC-4f65-9D91-7224C49458BB}"/>
              </c:extLst>
            </c:dLbl>
            <c:dLbl>
              <c:idx val="17"/>
              <c:layout>
                <c:manualLayout>
                  <c:x val="0.28067191154582188"/>
                  <c:y val="0"/>
                </c:manualLayout>
              </c:layout>
              <c:showVal val="1"/>
              <c:extLst>
                <c:ext xmlns:c15="http://schemas.microsoft.com/office/drawing/2012/chart" uri="{CE6537A1-D6FC-4f65-9D91-7224C49458BB}"/>
              </c:extLst>
            </c:dLbl>
            <c:dLbl>
              <c:idx val="18"/>
              <c:layout>
                <c:manualLayout>
                  <c:x val="0.39761854135658914"/>
                  <c:y val="0"/>
                </c:manualLayout>
              </c:layout>
              <c:showVal val="1"/>
              <c:extLst>
                <c:ext xmlns:c15="http://schemas.microsoft.com/office/drawing/2012/chart" uri="{CE6537A1-D6FC-4f65-9D91-7224C49458BB}"/>
              </c:extLst>
            </c:dLbl>
            <c:dLbl>
              <c:idx val="19"/>
              <c:layout>
                <c:manualLayout>
                  <c:x val="0.37635551775463538"/>
                  <c:y val="-3.4734282737061482E-3"/>
                </c:manualLayout>
              </c:layout>
              <c:showVal val="1"/>
              <c:extLst>
                <c:ext xmlns:c15="http://schemas.microsoft.com/office/drawing/2012/chart" uri="{CE6537A1-D6FC-4f65-9D91-7224C49458BB}"/>
              </c:extLst>
            </c:dLbl>
            <c:spPr>
              <a:noFill/>
              <a:ln>
                <a:noFill/>
              </a:ln>
              <a:effectLst/>
            </c:spPr>
            <c:txPr>
              <a:bodyPr/>
              <a:lstStyle/>
              <a:p>
                <a:pPr>
                  <a:defRPr sz="800">
                    <a:latin typeface="Book Antiqua" pitchFamily="18" charset="0"/>
                  </a:defRPr>
                </a:pPr>
                <a:endParaRPr lang="fr-FR"/>
              </a:p>
            </c:txPr>
            <c:showVal val="1"/>
            <c:extLst>
              <c:ext xmlns:c15="http://schemas.microsoft.com/office/drawing/2012/chart" uri="{CE6537A1-D6FC-4f65-9D91-7224C49458BB}">
                <c15:showLeaderLines val="0"/>
              </c:ext>
            </c:extLst>
          </c:dLbls>
          <c:cat>
            <c:strRef>
              <c:f>Feuil2!$B$49:$B$68</c:f>
              <c:strCache>
                <c:ptCount val="20"/>
                <c:pt idx="0">
                  <c:v>BRM</c:v>
                </c:pt>
                <c:pt idx="1">
                  <c:v>CITIBANK</c:v>
                </c:pt>
                <c:pt idx="2">
                  <c:v>ICB</c:v>
                </c:pt>
                <c:pt idx="3">
                  <c:v>DIAMOND</c:v>
                </c:pt>
                <c:pt idx="4">
                  <c:v>CI</c:v>
                </c:pt>
                <c:pt idx="5">
                  <c:v>BNDE</c:v>
                </c:pt>
                <c:pt idx="6">
                  <c:v>BIMAO</c:v>
                </c:pt>
                <c:pt idx="7">
                  <c:v>ORABANK</c:v>
                </c:pt>
                <c:pt idx="8">
                  <c:v>UBA</c:v>
                </c:pt>
                <c:pt idx="9">
                  <c:v>BHS</c:v>
                </c:pt>
                <c:pt idx="10">
                  <c:v>CDS</c:v>
                </c:pt>
                <c:pt idx="11">
                  <c:v>BSIC</c:v>
                </c:pt>
                <c:pt idx="12">
                  <c:v>BA</c:v>
                </c:pt>
                <c:pt idx="13">
                  <c:v>BIS</c:v>
                </c:pt>
                <c:pt idx="14">
                  <c:v>BOA</c:v>
                </c:pt>
                <c:pt idx="15">
                  <c:v>BICIS</c:v>
                </c:pt>
                <c:pt idx="16">
                  <c:v>SGBS</c:v>
                </c:pt>
                <c:pt idx="17">
                  <c:v>ECOBANK</c:v>
                </c:pt>
                <c:pt idx="18">
                  <c:v>CNCAS</c:v>
                </c:pt>
                <c:pt idx="19">
                  <c:v>CBAO</c:v>
                </c:pt>
              </c:strCache>
            </c:strRef>
          </c:cat>
          <c:val>
            <c:numRef>
              <c:f>Feuil2!$D$49:$D$68</c:f>
              <c:numCache>
                <c:formatCode>0.0%</c:formatCode>
                <c:ptCount val="20"/>
                <c:pt idx="0">
                  <c:v>1.6008537886873161E-3</c:v>
                </c:pt>
                <c:pt idx="1">
                  <c:v>1.6008537886873161E-3</c:v>
                </c:pt>
                <c:pt idx="2">
                  <c:v>2.6680896478122693E-3</c:v>
                </c:pt>
                <c:pt idx="3">
                  <c:v>3.2017075773747013E-3</c:v>
                </c:pt>
                <c:pt idx="4">
                  <c:v>3.7353255069371397E-3</c:v>
                </c:pt>
                <c:pt idx="5">
                  <c:v>5.3361792956245387E-3</c:v>
                </c:pt>
                <c:pt idx="6">
                  <c:v>9.0715048025614767E-3</c:v>
                </c:pt>
                <c:pt idx="7">
                  <c:v>1.1739594450373533E-2</c:v>
                </c:pt>
                <c:pt idx="8">
                  <c:v>1.1739594450373533E-2</c:v>
                </c:pt>
                <c:pt idx="9">
                  <c:v>1.2806830309498423E-2</c:v>
                </c:pt>
                <c:pt idx="10">
                  <c:v>1.4407684098185701E-2</c:v>
                </c:pt>
                <c:pt idx="11">
                  <c:v>1.8676627534685165E-2</c:v>
                </c:pt>
                <c:pt idx="12">
                  <c:v>2.1344717182497412E-2</c:v>
                </c:pt>
                <c:pt idx="13">
                  <c:v>3.3084311632870872E-2</c:v>
                </c:pt>
                <c:pt idx="14">
                  <c:v>6.9370330843118569E-2</c:v>
                </c:pt>
                <c:pt idx="15">
                  <c:v>0.10725720384204909</c:v>
                </c:pt>
                <c:pt idx="16">
                  <c:v>0.14034151547491988</c:v>
                </c:pt>
                <c:pt idx="17">
                  <c:v>0.14087513340448241</c:v>
                </c:pt>
                <c:pt idx="18">
                  <c:v>0.18463180362860188</c:v>
                </c:pt>
                <c:pt idx="19">
                  <c:v>0.20651013874066548</c:v>
                </c:pt>
              </c:numCache>
            </c:numRef>
          </c:val>
        </c:ser>
        <c:shape val="cylinder"/>
        <c:axId val="211764352"/>
        <c:axId val="219924352"/>
        <c:axId val="0"/>
      </c:bar3DChart>
      <c:catAx>
        <c:axId val="211764352"/>
        <c:scaling>
          <c:orientation val="minMax"/>
        </c:scaling>
        <c:axPos val="l"/>
        <c:numFmt formatCode="General" sourceLinked="0"/>
        <c:tickLblPos val="nextTo"/>
        <c:txPr>
          <a:bodyPr/>
          <a:lstStyle/>
          <a:p>
            <a:pPr>
              <a:defRPr sz="600">
                <a:latin typeface="Book Antiqua" pitchFamily="18" charset="0"/>
              </a:defRPr>
            </a:pPr>
            <a:endParaRPr lang="fr-FR"/>
          </a:p>
        </c:txPr>
        <c:crossAx val="219924352"/>
        <c:crosses val="autoZero"/>
        <c:auto val="1"/>
        <c:lblAlgn val="ctr"/>
        <c:lblOffset val="100"/>
      </c:catAx>
      <c:valAx>
        <c:axId val="219924352"/>
        <c:scaling>
          <c:orientation val="minMax"/>
        </c:scaling>
        <c:axPos val="b"/>
        <c:majorGridlines/>
        <c:numFmt formatCode="0.0%" sourceLinked="1"/>
        <c:tickLblPos val="nextTo"/>
        <c:txPr>
          <a:bodyPr/>
          <a:lstStyle/>
          <a:p>
            <a:pPr>
              <a:defRPr sz="800" baseline="30000"/>
            </a:pPr>
            <a:endParaRPr lang="fr-FR"/>
          </a:p>
        </c:txPr>
        <c:crossAx val="211764352"/>
        <c:crosses val="autoZero"/>
        <c:crossBetween val="between"/>
      </c:valAx>
    </c:plotArea>
    <c:legend>
      <c:legendPos val="b"/>
      <c:layout>
        <c:manualLayout>
          <c:xMode val="edge"/>
          <c:yMode val="edge"/>
          <c:x val="1.9361211843441861E-2"/>
          <c:y val="0.84195208591005677"/>
          <c:w val="0.89108981214202065"/>
          <c:h val="5.3148915013426119E-2"/>
        </c:manualLayout>
      </c:layout>
      <c:txPr>
        <a:bodyPr/>
        <a:lstStyle/>
        <a:p>
          <a:pPr>
            <a:defRPr sz="700"/>
          </a:pPr>
          <a:endParaRPr lang="fr-FR"/>
        </a:p>
      </c:txPr>
    </c:legend>
    <c:plotVisOnly val="1"/>
    <c:dispBlanksAs val="gap"/>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bar"/>
        <c:grouping val="percentStacked"/>
        <c:ser>
          <c:idx val="0"/>
          <c:order val="0"/>
          <c:tx>
            <c:strRef>
              <c:f>Feuil3!$B$40</c:f>
              <c:strCache>
                <c:ptCount val="1"/>
                <c:pt idx="0">
                  <c:v>Fonctionnement</c:v>
                </c:pt>
              </c:strCache>
            </c:strRef>
          </c:tx>
          <c:spPr>
            <a:solidFill>
              <a:schemeClr val="tx2">
                <a:lumMod val="40000"/>
                <a:lumOff val="60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Feuil3!$C$39:$H$39</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Feuil3!$C$40:$H$40</c:f>
              <c:numCache>
                <c:formatCode>0.0%</c:formatCode>
                <c:ptCount val="6"/>
                <c:pt idx="0">
                  <c:v>0.55642023346304614</c:v>
                </c:pt>
                <c:pt idx="1">
                  <c:v>0.46017699115045219</c:v>
                </c:pt>
                <c:pt idx="2" formatCode="0.00%">
                  <c:v>0.4489795918367348</c:v>
                </c:pt>
                <c:pt idx="3">
                  <c:v>0.5535714285714286</c:v>
                </c:pt>
                <c:pt idx="4">
                  <c:v>0.36842105263157893</c:v>
                </c:pt>
                <c:pt idx="5">
                  <c:v>0.26666666666666738</c:v>
                </c:pt>
              </c:numCache>
            </c:numRef>
          </c:val>
        </c:ser>
        <c:ser>
          <c:idx val="1"/>
          <c:order val="1"/>
          <c:tx>
            <c:strRef>
              <c:f>Feuil3!$B$41</c:f>
              <c:strCache>
                <c:ptCount val="1"/>
                <c:pt idx="0">
                  <c:v>Investissement</c:v>
                </c:pt>
              </c:strCache>
            </c:strRef>
          </c:tx>
          <c:spPr>
            <a:solidFill>
              <a:srgbClr val="FFFF0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Feuil3!$C$39:$H$39</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Feuil3!$C$41:$H$41</c:f>
              <c:numCache>
                <c:formatCode>0.0%</c:formatCode>
                <c:ptCount val="6"/>
                <c:pt idx="0">
                  <c:v>0.36964980544747517</c:v>
                </c:pt>
                <c:pt idx="1">
                  <c:v>0.42477876106195628</c:v>
                </c:pt>
                <c:pt idx="2" formatCode="0.00%">
                  <c:v>0.4489795918367348</c:v>
                </c:pt>
                <c:pt idx="3">
                  <c:v>0.30357142857142855</c:v>
                </c:pt>
                <c:pt idx="4">
                  <c:v>0.44736842105263741</c:v>
                </c:pt>
                <c:pt idx="5">
                  <c:v>0.33333333333333331</c:v>
                </c:pt>
              </c:numCache>
            </c:numRef>
          </c:val>
        </c:ser>
        <c:ser>
          <c:idx val="2"/>
          <c:order val="2"/>
          <c:tx>
            <c:strRef>
              <c:f>Feuil3!$B$42</c:f>
              <c:strCache>
                <c:ptCount val="1"/>
                <c:pt idx="0">
                  <c:v>Crédit documentaire</c:v>
                </c:pt>
              </c:strCache>
            </c:strRef>
          </c:tx>
          <c:cat>
            <c:strRef>
              <c:f>Feuil3!$C$39:$H$39</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Feuil3!$C$42:$H$42</c:f>
              <c:numCache>
                <c:formatCode>0.0%</c:formatCode>
                <c:ptCount val="6"/>
                <c:pt idx="0">
                  <c:v>1.1673151750972941E-2</c:v>
                </c:pt>
                <c:pt idx="1">
                  <c:v>4.4247787610619468E-2</c:v>
                </c:pt>
                <c:pt idx="2">
                  <c:v>2.0408163265306142E-2</c:v>
                </c:pt>
                <c:pt idx="3">
                  <c:v>1.7857142857142856E-2</c:v>
                </c:pt>
                <c:pt idx="4">
                  <c:v>7.8947368421052475E-2</c:v>
                </c:pt>
                <c:pt idx="5">
                  <c:v>0.16666666666666666</c:v>
                </c:pt>
              </c:numCache>
            </c:numRef>
          </c:val>
        </c:ser>
        <c:ser>
          <c:idx val="3"/>
          <c:order val="3"/>
          <c:tx>
            <c:strRef>
              <c:f>Feuil3!$B$43</c:f>
              <c:strCache>
                <c:ptCount val="1"/>
                <c:pt idx="0">
                  <c:v>Escompte</c:v>
                </c:pt>
              </c:strCache>
            </c:strRef>
          </c:tx>
          <c:cat>
            <c:strRef>
              <c:f>Feuil3!$C$39:$H$39</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Feuil3!$C$43:$H$43</c:f>
              <c:numCache>
                <c:formatCode>0.0%</c:formatCode>
                <c:ptCount val="6"/>
                <c:pt idx="0">
                  <c:v>7.7821011673151804E-3</c:v>
                </c:pt>
                <c:pt idx="1">
                  <c:v>8.8495575221241417E-3</c:v>
                </c:pt>
                <c:pt idx="2">
                  <c:v>0</c:v>
                </c:pt>
                <c:pt idx="3">
                  <c:v>1.7857142857142856E-2</c:v>
                </c:pt>
                <c:pt idx="4">
                  <c:v>5.2631578947368432E-2</c:v>
                </c:pt>
                <c:pt idx="5">
                  <c:v>0.12222222222222495</c:v>
                </c:pt>
              </c:numCache>
            </c:numRef>
          </c:val>
        </c:ser>
        <c:ser>
          <c:idx val="4"/>
          <c:order val="4"/>
          <c:tx>
            <c:strRef>
              <c:f>Feuil3!$B$44</c:f>
              <c:strCache>
                <c:ptCount val="1"/>
                <c:pt idx="0">
                  <c:v>Crédit bail</c:v>
                </c:pt>
              </c:strCache>
            </c:strRef>
          </c:tx>
          <c:cat>
            <c:strRef>
              <c:f>Feuil3!$C$39:$H$39</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Feuil3!$C$44:$H$44</c:f>
              <c:numCache>
                <c:formatCode>0.0%</c:formatCode>
                <c:ptCount val="6"/>
                <c:pt idx="0">
                  <c:v>3.8910505836575876E-3</c:v>
                </c:pt>
                <c:pt idx="1">
                  <c:v>3.5398230088495596E-2</c:v>
                </c:pt>
                <c:pt idx="2">
                  <c:v>6.1224489795918373E-2</c:v>
                </c:pt>
                <c:pt idx="3">
                  <c:v>8.9285714285713982E-2</c:v>
                </c:pt>
                <c:pt idx="4">
                  <c:v>2.6315789473684216E-2</c:v>
                </c:pt>
                <c:pt idx="5">
                  <c:v>6.666666666666668E-2</c:v>
                </c:pt>
              </c:numCache>
            </c:numRef>
          </c:val>
        </c:ser>
        <c:ser>
          <c:idx val="5"/>
          <c:order val="5"/>
          <c:tx>
            <c:strRef>
              <c:f>Feuil3!$B$45</c:f>
              <c:strCache>
                <c:ptCount val="1"/>
                <c:pt idx="0">
                  <c:v>Autres </c:v>
                </c:pt>
              </c:strCache>
            </c:strRef>
          </c:tx>
          <c:cat>
            <c:strRef>
              <c:f>Feuil3!$C$39:$H$39</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Feuil3!$C$45:$H$45</c:f>
              <c:numCache>
                <c:formatCode>0.0%</c:formatCode>
                <c:ptCount val="6"/>
                <c:pt idx="0">
                  <c:v>5.0583657587548923E-2</c:v>
                </c:pt>
                <c:pt idx="1">
                  <c:v>2.6548672566372188E-2</c:v>
                </c:pt>
                <c:pt idx="2">
                  <c:v>2.0408163265306142E-2</c:v>
                </c:pt>
                <c:pt idx="3">
                  <c:v>1.7857142857142856E-2</c:v>
                </c:pt>
                <c:pt idx="4">
                  <c:v>2.6315789473684216E-2</c:v>
                </c:pt>
                <c:pt idx="5">
                  <c:v>4.4444444444444502E-2</c:v>
                </c:pt>
              </c:numCache>
            </c:numRef>
          </c:val>
        </c:ser>
        <c:shape val="cylinder"/>
        <c:axId val="211990016"/>
        <c:axId val="211991552"/>
        <c:axId val="0"/>
      </c:bar3DChart>
      <c:catAx>
        <c:axId val="211990016"/>
        <c:scaling>
          <c:orientation val="minMax"/>
        </c:scaling>
        <c:axPos val="l"/>
        <c:numFmt formatCode="General" sourceLinked="0"/>
        <c:tickLblPos val="nextTo"/>
        <c:txPr>
          <a:bodyPr/>
          <a:lstStyle/>
          <a:p>
            <a:pPr>
              <a:defRPr sz="800" b="1">
                <a:latin typeface="Book Antiqua" pitchFamily="18" charset="0"/>
              </a:defRPr>
            </a:pPr>
            <a:endParaRPr lang="fr-FR"/>
          </a:p>
        </c:txPr>
        <c:crossAx val="211991552"/>
        <c:crosses val="autoZero"/>
        <c:auto val="1"/>
        <c:lblAlgn val="ctr"/>
        <c:lblOffset val="100"/>
      </c:catAx>
      <c:valAx>
        <c:axId val="211991552"/>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1990016"/>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bar"/>
        <c:grouping val="percentStacked"/>
        <c:ser>
          <c:idx val="0"/>
          <c:order val="0"/>
          <c:tx>
            <c:strRef>
              <c:f>Feuil3!$B$107</c:f>
              <c:strCache>
                <c:ptCount val="1"/>
                <c:pt idx="0">
                  <c:v>Fonctionnement</c:v>
                </c:pt>
              </c:strCache>
            </c:strRef>
          </c:tx>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Feuil3!$C$106:$D$106</c:f>
              <c:strCache>
                <c:ptCount val="2"/>
                <c:pt idx="0">
                  <c:v>Formel</c:v>
                </c:pt>
                <c:pt idx="1">
                  <c:v>Informel</c:v>
                </c:pt>
              </c:strCache>
            </c:strRef>
          </c:cat>
          <c:val>
            <c:numRef>
              <c:f>Feuil3!$C$107:$D$107</c:f>
              <c:numCache>
                <c:formatCode>0.0%</c:formatCode>
                <c:ptCount val="2"/>
                <c:pt idx="0">
                  <c:v>0.4484304932735475</c:v>
                </c:pt>
                <c:pt idx="1">
                  <c:v>0.55151515151515151</c:v>
                </c:pt>
              </c:numCache>
            </c:numRef>
          </c:val>
        </c:ser>
        <c:ser>
          <c:idx val="1"/>
          <c:order val="1"/>
          <c:tx>
            <c:strRef>
              <c:f>Feuil3!$B$108</c:f>
              <c:strCache>
                <c:ptCount val="1"/>
                <c:pt idx="0">
                  <c:v>Investissement</c:v>
                </c:pt>
              </c:strCache>
            </c:strRef>
          </c:tx>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Feuil3!$C$106:$D$106</c:f>
              <c:strCache>
                <c:ptCount val="2"/>
                <c:pt idx="0">
                  <c:v>Formel</c:v>
                </c:pt>
                <c:pt idx="1">
                  <c:v>Informel</c:v>
                </c:pt>
              </c:strCache>
            </c:strRef>
          </c:cat>
          <c:val>
            <c:numRef>
              <c:f>Feuil3!$C$108:$D$108</c:f>
              <c:numCache>
                <c:formatCode>0.0%</c:formatCode>
                <c:ptCount val="2"/>
                <c:pt idx="0">
                  <c:v>0.39237668161436318</c:v>
                </c:pt>
                <c:pt idx="1">
                  <c:v>0.3454545454545504</c:v>
                </c:pt>
              </c:numCache>
            </c:numRef>
          </c:val>
        </c:ser>
        <c:ser>
          <c:idx val="2"/>
          <c:order val="2"/>
          <c:tx>
            <c:strRef>
              <c:f>Feuil3!$B$109</c:f>
              <c:strCache>
                <c:ptCount val="1"/>
                <c:pt idx="0">
                  <c:v>Crédit documentaire</c:v>
                </c:pt>
              </c:strCache>
            </c:strRef>
          </c:tx>
          <c:dLbls>
            <c:dLbl>
              <c:idx val="0"/>
              <c:showVal val="1"/>
              <c:extLst>
                <c:ext xmlns:c15="http://schemas.microsoft.com/office/drawing/2012/chart" uri="{CE6537A1-D6FC-4f65-9D91-7224C49458BB}">
                  <c15:layout/>
                </c:ext>
              </c:extLst>
            </c:dLbl>
            <c:dLbl>
              <c:idx val="1"/>
              <c:showVal val="1"/>
              <c:extLst>
                <c:ext xmlns:c15="http://schemas.microsoft.com/office/drawing/2012/chart" uri="{CE6537A1-D6FC-4f65-9D91-7224C49458BB}">
                  <c15:layout/>
                </c:ext>
              </c:extLst>
            </c:dLbl>
            <c:delete val="1"/>
            <c:extLst>
              <c:ext xmlns:c15="http://schemas.microsoft.com/office/drawing/2012/chart" uri="{CE6537A1-D6FC-4f65-9D91-7224C49458BB}">
                <c15:showLeaderLines val="0"/>
              </c:ext>
            </c:extLst>
          </c:dLbls>
          <c:cat>
            <c:strRef>
              <c:f>Feuil3!$C$106:$D$106</c:f>
              <c:strCache>
                <c:ptCount val="2"/>
                <c:pt idx="0">
                  <c:v>Formel</c:v>
                </c:pt>
                <c:pt idx="1">
                  <c:v>Informel</c:v>
                </c:pt>
              </c:strCache>
            </c:strRef>
          </c:cat>
          <c:val>
            <c:numRef>
              <c:f>Feuil3!$C$109:$D$109</c:f>
              <c:numCache>
                <c:formatCode>0.0%</c:formatCode>
                <c:ptCount val="2"/>
                <c:pt idx="0">
                  <c:v>5.3811659192825122E-2</c:v>
                </c:pt>
                <c:pt idx="1">
                  <c:v>2.4242424242424229E-2</c:v>
                </c:pt>
              </c:numCache>
            </c:numRef>
          </c:val>
        </c:ser>
        <c:ser>
          <c:idx val="3"/>
          <c:order val="3"/>
          <c:tx>
            <c:strRef>
              <c:f>Feuil3!$B$110</c:f>
              <c:strCache>
                <c:ptCount val="1"/>
                <c:pt idx="0">
                  <c:v>Escompte</c:v>
                </c:pt>
              </c:strCache>
            </c:strRef>
          </c:tx>
          <c:cat>
            <c:strRef>
              <c:f>Feuil3!$C$106:$D$106</c:f>
              <c:strCache>
                <c:ptCount val="2"/>
                <c:pt idx="0">
                  <c:v>Formel</c:v>
                </c:pt>
                <c:pt idx="1">
                  <c:v>Informel</c:v>
                </c:pt>
              </c:strCache>
            </c:strRef>
          </c:cat>
          <c:val>
            <c:numRef>
              <c:f>Feuil3!$C$110:$D$110</c:f>
              <c:numCache>
                <c:formatCode>0.0%</c:formatCode>
                <c:ptCount val="2"/>
                <c:pt idx="0">
                  <c:v>3.5874439461883414E-2</c:v>
                </c:pt>
                <c:pt idx="1">
                  <c:v>6.0606060606060623E-3</c:v>
                </c:pt>
              </c:numCache>
            </c:numRef>
          </c:val>
        </c:ser>
        <c:ser>
          <c:idx val="4"/>
          <c:order val="4"/>
          <c:tx>
            <c:strRef>
              <c:f>Feuil3!$B$111</c:f>
              <c:strCache>
                <c:ptCount val="1"/>
                <c:pt idx="0">
                  <c:v>Crédit bail</c:v>
                </c:pt>
              </c:strCache>
            </c:strRef>
          </c:tx>
          <c:cat>
            <c:strRef>
              <c:f>Feuil3!$C$106:$D$106</c:f>
              <c:strCache>
                <c:ptCount val="2"/>
                <c:pt idx="0">
                  <c:v>Formel</c:v>
                </c:pt>
                <c:pt idx="1">
                  <c:v>Informel</c:v>
                </c:pt>
              </c:strCache>
            </c:strRef>
          </c:cat>
          <c:val>
            <c:numRef>
              <c:f>Feuil3!$C$111:$D$111</c:f>
              <c:numCache>
                <c:formatCode>0.0%</c:formatCode>
                <c:ptCount val="2"/>
                <c:pt idx="0">
                  <c:v>4.2600896860986552E-2</c:v>
                </c:pt>
                <c:pt idx="1">
                  <c:v>6.0606060606060623E-3</c:v>
                </c:pt>
              </c:numCache>
            </c:numRef>
          </c:val>
        </c:ser>
        <c:ser>
          <c:idx val="5"/>
          <c:order val="5"/>
          <c:tx>
            <c:strRef>
              <c:f>Feuil3!$B$112</c:f>
              <c:strCache>
                <c:ptCount val="1"/>
                <c:pt idx="0">
                  <c:v>Autres </c:v>
                </c:pt>
              </c:strCache>
            </c:strRef>
          </c:tx>
          <c:cat>
            <c:strRef>
              <c:f>Feuil3!$C$106:$D$106</c:f>
              <c:strCache>
                <c:ptCount val="2"/>
                <c:pt idx="0">
                  <c:v>Formel</c:v>
                </c:pt>
                <c:pt idx="1">
                  <c:v>Informel</c:v>
                </c:pt>
              </c:strCache>
            </c:strRef>
          </c:cat>
          <c:val>
            <c:numRef>
              <c:f>Feuil3!$C$112:$D$112</c:f>
              <c:numCache>
                <c:formatCode>0.0%</c:formatCode>
                <c:ptCount val="2"/>
                <c:pt idx="0">
                  <c:v>2.6905829596412592E-2</c:v>
                </c:pt>
                <c:pt idx="1">
                  <c:v>6.666666666666668E-2</c:v>
                </c:pt>
              </c:numCache>
            </c:numRef>
          </c:val>
        </c:ser>
        <c:shape val="cylinder"/>
        <c:axId val="212046592"/>
        <c:axId val="212048128"/>
        <c:axId val="0"/>
      </c:bar3DChart>
      <c:catAx>
        <c:axId val="212046592"/>
        <c:scaling>
          <c:orientation val="minMax"/>
        </c:scaling>
        <c:axPos val="l"/>
        <c:numFmt formatCode="General" sourceLinked="0"/>
        <c:tickLblPos val="nextTo"/>
        <c:txPr>
          <a:bodyPr/>
          <a:lstStyle/>
          <a:p>
            <a:pPr>
              <a:defRPr sz="800" b="1">
                <a:latin typeface="Book Antiqua" pitchFamily="18" charset="0"/>
              </a:defRPr>
            </a:pPr>
            <a:endParaRPr lang="fr-FR"/>
          </a:p>
        </c:txPr>
        <c:crossAx val="212048128"/>
        <c:crosses val="autoZero"/>
        <c:auto val="1"/>
        <c:lblAlgn val="ctr"/>
        <c:lblOffset val="100"/>
      </c:catAx>
      <c:valAx>
        <c:axId val="212048128"/>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2046592"/>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75"/>
      <c:perspective val="30"/>
    </c:view3D>
    <c:plotArea>
      <c:layout>
        <c:manualLayout>
          <c:layoutTarget val="inner"/>
          <c:xMode val="edge"/>
          <c:yMode val="edge"/>
          <c:x val="2.2831233308105391E-2"/>
          <c:y val="4.2690551245068084E-2"/>
          <c:w val="0.97716876669189845"/>
          <c:h val="0.84405588112080865"/>
        </c:manualLayout>
      </c:layout>
      <c:pie3DChart>
        <c:varyColors val="1"/>
        <c:ser>
          <c:idx val="1"/>
          <c:order val="1"/>
          <c:explosion val="25"/>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ext>
            </c:extLst>
          </c:dLbls>
          <c:cat>
            <c:strRef>
              <c:f>'Taux interet'!$B$13:$B$16</c:f>
              <c:strCache>
                <c:ptCount val="4"/>
                <c:pt idx="0">
                  <c:v>Très élevés</c:v>
                </c:pt>
                <c:pt idx="1">
                  <c:v>Elevés</c:v>
                </c:pt>
                <c:pt idx="2">
                  <c:v>Corrects</c:v>
                </c:pt>
                <c:pt idx="3">
                  <c:v>Très correct</c:v>
                </c:pt>
              </c:strCache>
            </c:strRef>
          </c:cat>
          <c:val>
            <c:numRef>
              <c:f>'Taux interet'!$H$13:$H$16</c:f>
              <c:numCache>
                <c:formatCode>0.0%</c:formatCode>
                <c:ptCount val="4"/>
                <c:pt idx="0">
                  <c:v>0.20414201183431951</c:v>
                </c:pt>
                <c:pt idx="1">
                  <c:v>0.64990138067061165</c:v>
                </c:pt>
                <c:pt idx="2">
                  <c:v>0.1291913214990138</c:v>
                </c:pt>
                <c:pt idx="3">
                  <c:v>1.67652859960555E-2</c:v>
                </c:pt>
              </c:numCache>
            </c:numRef>
          </c:val>
        </c:ser>
        <c:ser>
          <c:idx val="0"/>
          <c:order val="0"/>
          <c:explosion val="25"/>
          <c:cat>
            <c:strRef>
              <c:f>'Taux interet'!$B$22:$B$25</c:f>
              <c:strCache>
                <c:ptCount val="4"/>
                <c:pt idx="0">
                  <c:v>Très élevés</c:v>
                </c:pt>
                <c:pt idx="1">
                  <c:v>Elevés</c:v>
                </c:pt>
                <c:pt idx="2">
                  <c:v>Corrects</c:v>
                </c:pt>
                <c:pt idx="3">
                  <c:v>Très Corrects</c:v>
                </c:pt>
              </c:strCache>
            </c:strRef>
          </c:cat>
          <c:val>
            <c:numRef>
              <c:f>'Taux interet'!$H$22:$H$25</c:f>
              <c:numCache>
                <c:formatCode>0.0%</c:formatCode>
                <c:ptCount val="4"/>
                <c:pt idx="0">
                  <c:v>0.21085972850678733</c:v>
                </c:pt>
                <c:pt idx="1">
                  <c:v>0.6434389140271497</c:v>
                </c:pt>
                <c:pt idx="2">
                  <c:v>0.12579185520361735</c:v>
                </c:pt>
                <c:pt idx="3">
                  <c:v>1.9909502262443732E-2</c:v>
                </c:pt>
              </c:numCache>
            </c:numRef>
          </c:val>
        </c:ser>
      </c:pie3DChart>
    </c:plotArea>
    <c:legend>
      <c:legendPos val="b"/>
      <c:txPr>
        <a:bodyPr/>
        <a:lstStyle/>
        <a:p>
          <a:pPr>
            <a:defRPr sz="800" b="1">
              <a:latin typeface="Book Antiqua" pitchFamily="18" charset="0"/>
            </a:defRPr>
          </a:pPr>
          <a:endParaRPr lang="fr-FR"/>
        </a:p>
      </c:txPr>
    </c:legend>
    <c:plotVisOnly val="1"/>
    <c:dispBlanksAs val="zero"/>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0633621360800025"/>
          <c:y val="4.3290043290043302E-2"/>
          <c:w val="0.44979122776798769"/>
          <c:h val="0.82181998236951082"/>
        </c:manualLayout>
      </c:layout>
      <c:pieChart>
        <c:varyColors val="1"/>
        <c:ser>
          <c:idx val="0"/>
          <c:order val="0"/>
          <c:explosion val="25"/>
          <c:dLbls>
            <c:spPr>
              <a:noFill/>
              <a:ln>
                <a:noFill/>
              </a:ln>
              <a:effectLst/>
            </c:spPr>
            <c:txPr>
              <a:bodyPr/>
              <a:lstStyle/>
              <a:p>
                <a:pPr>
                  <a:defRPr sz="800" b="1">
                    <a:latin typeface="Book Antiqua" pitchFamily="18" charset="0"/>
                  </a:defRPr>
                </a:pPr>
                <a:endParaRPr lang="fr-FR"/>
              </a:p>
            </c:txPr>
            <c:showVal val="1"/>
            <c:showLeaderLines val="1"/>
            <c:extLst>
              <c:ext xmlns:c15="http://schemas.microsoft.com/office/drawing/2012/chart" uri="{CE6537A1-D6FC-4f65-9D91-7224C49458BB}">
                <c15:layout/>
              </c:ext>
            </c:extLst>
          </c:dLbls>
          <c:cat>
            <c:strRef>
              <c:f>'Taux interet'!$B$22:$B$25</c:f>
              <c:strCache>
                <c:ptCount val="4"/>
                <c:pt idx="0">
                  <c:v>Très élevés</c:v>
                </c:pt>
                <c:pt idx="1">
                  <c:v>Elevés</c:v>
                </c:pt>
                <c:pt idx="2">
                  <c:v>Corrects</c:v>
                </c:pt>
                <c:pt idx="3">
                  <c:v>Très Corrects</c:v>
                </c:pt>
              </c:strCache>
            </c:strRef>
          </c:cat>
          <c:val>
            <c:numRef>
              <c:f>'Taux interet'!$H$22:$H$25</c:f>
              <c:numCache>
                <c:formatCode>0.0%</c:formatCode>
                <c:ptCount val="4"/>
                <c:pt idx="0">
                  <c:v>0.21085972850678733</c:v>
                </c:pt>
                <c:pt idx="1">
                  <c:v>0.6434389140271497</c:v>
                </c:pt>
                <c:pt idx="2">
                  <c:v>0.12579185520361735</c:v>
                </c:pt>
                <c:pt idx="3">
                  <c:v>1.9909502262443732E-2</c:v>
                </c:pt>
              </c:numCache>
            </c:numRef>
          </c:val>
        </c:ser>
        <c:firstSliceAng val="0"/>
      </c:pieChart>
    </c:plotArea>
    <c:legend>
      <c:legendPos val="b"/>
      <c:txPr>
        <a:bodyPr/>
        <a:lstStyle/>
        <a:p>
          <a:pPr>
            <a:defRPr sz="800">
              <a:latin typeface="Book Antiqua" pitchFamily="18" charset="0"/>
            </a:defRPr>
          </a:pPr>
          <a:endParaRPr lang="fr-FR"/>
        </a:p>
      </c:txPr>
    </c:legend>
    <c:plotVisOnly val="1"/>
    <c:dispBlanksAs val="zero"/>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bar"/>
        <c:grouping val="clustered"/>
        <c:ser>
          <c:idx val="0"/>
          <c:order val="0"/>
          <c:tx>
            <c:strRef>
              <c:f>Feuil5!$B$1</c:f>
              <c:strCache>
                <c:ptCount val="1"/>
                <c:pt idx="0">
                  <c:v>Crédits investissement </c:v>
                </c:pt>
              </c:strCache>
            </c:strRef>
          </c:tx>
          <c:cat>
            <c:strRef>
              <c:f>Feuil5!$A$2:$A$15</c:f>
              <c:strCache>
                <c:ptCount val="14"/>
                <c:pt idx="0">
                  <c:v>Thiès</c:v>
                </c:pt>
                <c:pt idx="1">
                  <c:v>Louga</c:v>
                </c:pt>
                <c:pt idx="2">
                  <c:v>Kaffrine</c:v>
                </c:pt>
                <c:pt idx="3">
                  <c:v>Sédhiou</c:v>
                </c:pt>
                <c:pt idx="4">
                  <c:v>Dakar</c:v>
                </c:pt>
                <c:pt idx="5">
                  <c:v>Saint Louis</c:v>
                </c:pt>
                <c:pt idx="6">
                  <c:v>Kaolack</c:v>
                </c:pt>
                <c:pt idx="7">
                  <c:v>Tambacounda</c:v>
                </c:pt>
                <c:pt idx="8">
                  <c:v>Kolda</c:v>
                </c:pt>
                <c:pt idx="9">
                  <c:v>Diourbel</c:v>
                </c:pt>
                <c:pt idx="10">
                  <c:v>Matam</c:v>
                </c:pt>
                <c:pt idx="11">
                  <c:v>Ziguinchor</c:v>
                </c:pt>
                <c:pt idx="12">
                  <c:v>Fatick</c:v>
                </c:pt>
                <c:pt idx="13">
                  <c:v>Kédougou</c:v>
                </c:pt>
              </c:strCache>
            </c:strRef>
          </c:cat>
          <c:val>
            <c:numRef>
              <c:f>Feuil5!$B$2:$B$15</c:f>
              <c:numCache>
                <c:formatCode>0.0%</c:formatCode>
                <c:ptCount val="14"/>
                <c:pt idx="0">
                  <c:v>0.17777777777777778</c:v>
                </c:pt>
                <c:pt idx="1">
                  <c:v>0.2558139534883721</c:v>
                </c:pt>
                <c:pt idx="2">
                  <c:v>0.35294117647058826</c:v>
                </c:pt>
                <c:pt idx="3">
                  <c:v>0.36170212765957482</c:v>
                </c:pt>
                <c:pt idx="4">
                  <c:v>0.42992424242424998</c:v>
                </c:pt>
                <c:pt idx="5">
                  <c:v>0.43209876543210413</c:v>
                </c:pt>
                <c:pt idx="6">
                  <c:v>0.51612903225808004</c:v>
                </c:pt>
                <c:pt idx="7">
                  <c:v>0.532258064516129</c:v>
                </c:pt>
                <c:pt idx="8">
                  <c:v>0.56097560975609762</c:v>
                </c:pt>
                <c:pt idx="9">
                  <c:v>0.63157894736843045</c:v>
                </c:pt>
                <c:pt idx="10">
                  <c:v>0.63414634146341464</c:v>
                </c:pt>
                <c:pt idx="11">
                  <c:v>0.64948453608248491</c:v>
                </c:pt>
                <c:pt idx="12">
                  <c:v>0.65000000000000968</c:v>
                </c:pt>
                <c:pt idx="13">
                  <c:v>0.65079365079366158</c:v>
                </c:pt>
              </c:numCache>
            </c:numRef>
          </c:val>
        </c:ser>
        <c:ser>
          <c:idx val="1"/>
          <c:order val="1"/>
          <c:tx>
            <c:strRef>
              <c:f>Feuil5!$C$1</c:f>
              <c:strCache>
                <c:ptCount val="1"/>
                <c:pt idx="0">
                  <c:v>Crédits de fonctionnement </c:v>
                </c:pt>
              </c:strCache>
            </c:strRef>
          </c:tx>
          <c:cat>
            <c:strRef>
              <c:f>Feuil5!$A$2:$A$15</c:f>
              <c:strCache>
                <c:ptCount val="14"/>
                <c:pt idx="0">
                  <c:v>Thiès</c:v>
                </c:pt>
                <c:pt idx="1">
                  <c:v>Louga</c:v>
                </c:pt>
                <c:pt idx="2">
                  <c:v>Kaffrine</c:v>
                </c:pt>
                <c:pt idx="3">
                  <c:v>Sédhiou</c:v>
                </c:pt>
                <c:pt idx="4">
                  <c:v>Dakar</c:v>
                </c:pt>
                <c:pt idx="5">
                  <c:v>Saint Louis</c:v>
                </c:pt>
                <c:pt idx="6">
                  <c:v>Kaolack</c:v>
                </c:pt>
                <c:pt idx="7">
                  <c:v>Tambacounda</c:v>
                </c:pt>
                <c:pt idx="8">
                  <c:v>Kolda</c:v>
                </c:pt>
                <c:pt idx="9">
                  <c:v>Diourbel</c:v>
                </c:pt>
                <c:pt idx="10">
                  <c:v>Matam</c:v>
                </c:pt>
                <c:pt idx="11">
                  <c:v>Ziguinchor</c:v>
                </c:pt>
                <c:pt idx="12">
                  <c:v>Fatick</c:v>
                </c:pt>
                <c:pt idx="13">
                  <c:v>Kédougou</c:v>
                </c:pt>
              </c:strCache>
            </c:strRef>
          </c:cat>
          <c:val>
            <c:numRef>
              <c:f>Feuil5!$C$2:$C$15</c:f>
              <c:numCache>
                <c:formatCode>0.0%</c:formatCode>
                <c:ptCount val="14"/>
                <c:pt idx="0">
                  <c:v>0.15555555555555556</c:v>
                </c:pt>
                <c:pt idx="1">
                  <c:v>0.17021276595744694</c:v>
                </c:pt>
                <c:pt idx="2">
                  <c:v>0.20930232558139919</c:v>
                </c:pt>
                <c:pt idx="3">
                  <c:v>0.26470588235294595</c:v>
                </c:pt>
                <c:pt idx="4">
                  <c:v>0.34567901234567938</c:v>
                </c:pt>
                <c:pt idx="5">
                  <c:v>0.38709677419355593</c:v>
                </c:pt>
                <c:pt idx="6">
                  <c:v>0.41035218783351646</c:v>
                </c:pt>
                <c:pt idx="7">
                  <c:v>0.41761363636363635</c:v>
                </c:pt>
                <c:pt idx="8">
                  <c:v>0.47500000000000031</c:v>
                </c:pt>
                <c:pt idx="9">
                  <c:v>0.5</c:v>
                </c:pt>
                <c:pt idx="10">
                  <c:v>0.50515463917525749</c:v>
                </c:pt>
                <c:pt idx="11">
                  <c:v>0.56578947368422305</c:v>
                </c:pt>
                <c:pt idx="12">
                  <c:v>0.58730158730158732</c:v>
                </c:pt>
                <c:pt idx="13">
                  <c:v>0.60975609756098625</c:v>
                </c:pt>
              </c:numCache>
            </c:numRef>
          </c:val>
        </c:ser>
        <c:shape val="box"/>
        <c:axId val="212229120"/>
        <c:axId val="212243200"/>
        <c:axId val="0"/>
      </c:bar3DChart>
      <c:catAx>
        <c:axId val="212229120"/>
        <c:scaling>
          <c:orientation val="minMax"/>
        </c:scaling>
        <c:axPos val="l"/>
        <c:numFmt formatCode="General" sourceLinked="0"/>
        <c:tickLblPos val="nextTo"/>
        <c:txPr>
          <a:bodyPr/>
          <a:lstStyle/>
          <a:p>
            <a:pPr>
              <a:defRPr sz="800">
                <a:latin typeface="Book Antiqua" pitchFamily="18" charset="0"/>
              </a:defRPr>
            </a:pPr>
            <a:endParaRPr lang="fr-FR"/>
          </a:p>
        </c:txPr>
        <c:crossAx val="212243200"/>
        <c:crosses val="autoZero"/>
        <c:auto val="1"/>
        <c:lblAlgn val="ctr"/>
        <c:lblOffset val="100"/>
      </c:catAx>
      <c:valAx>
        <c:axId val="212243200"/>
        <c:scaling>
          <c:orientation val="minMax"/>
        </c:scaling>
        <c:axPos val="b"/>
        <c:majorGridlines/>
        <c:numFmt formatCode="0.0%" sourceLinked="1"/>
        <c:tickLblPos val="nextTo"/>
        <c:txPr>
          <a:bodyPr/>
          <a:lstStyle/>
          <a:p>
            <a:pPr>
              <a:defRPr sz="800">
                <a:latin typeface="Book Antiqua" pitchFamily="18" charset="0"/>
              </a:defRPr>
            </a:pPr>
            <a:endParaRPr lang="fr-FR"/>
          </a:p>
        </c:txPr>
        <c:crossAx val="212229120"/>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tx>
            <c:strRef>
              <c:f>'Statut juridique'!$A$98</c:f>
              <c:strCache>
                <c:ptCount val="1"/>
                <c:pt idx="0">
                  <c:v>Investissement</c:v>
                </c:pt>
              </c:strCache>
            </c:strRef>
          </c:tx>
          <c:cat>
            <c:strRef>
              <c:f>'Statut juridique'!$B$97:$I$97</c:f>
              <c:strCache>
                <c:ptCount val="8"/>
                <c:pt idx="0">
                  <c:v>Industrie</c:v>
                </c:pt>
                <c:pt idx="1">
                  <c:v>Commerce</c:v>
                </c:pt>
                <c:pt idx="2">
                  <c:v>BTP</c:v>
                </c:pt>
                <c:pt idx="3">
                  <c:v>Services</c:v>
                </c:pt>
                <c:pt idx="4">
                  <c:v>Agriculture</c:v>
                </c:pt>
                <c:pt idx="5">
                  <c:v>Artisanat</c:v>
                </c:pt>
                <c:pt idx="6">
                  <c:v>Administration</c:v>
                </c:pt>
                <c:pt idx="7">
                  <c:v>Autre </c:v>
                </c:pt>
              </c:strCache>
            </c:strRef>
          </c:cat>
          <c:val>
            <c:numRef>
              <c:f>'Statut juridique'!$B$98:$I$98</c:f>
              <c:numCache>
                <c:formatCode>0.0%</c:formatCode>
                <c:ptCount val="8"/>
                <c:pt idx="0">
                  <c:v>0.27631578947368907</c:v>
                </c:pt>
                <c:pt idx="1">
                  <c:v>0.47007481296758646</c:v>
                </c:pt>
                <c:pt idx="2">
                  <c:v>0.32824427480916563</c:v>
                </c:pt>
                <c:pt idx="3">
                  <c:v>0.47058823529412391</c:v>
                </c:pt>
                <c:pt idx="4">
                  <c:v>0.42391304347826086</c:v>
                </c:pt>
                <c:pt idx="5">
                  <c:v>0.60674157303372689</c:v>
                </c:pt>
                <c:pt idx="6">
                  <c:v>0.75000000000000855</c:v>
                </c:pt>
                <c:pt idx="7">
                  <c:v>0.47872340425531917</c:v>
                </c:pt>
              </c:numCache>
            </c:numRef>
          </c:val>
        </c:ser>
        <c:ser>
          <c:idx val="1"/>
          <c:order val="1"/>
          <c:tx>
            <c:strRef>
              <c:f>'Statut juridique'!$A$99</c:f>
              <c:strCache>
                <c:ptCount val="1"/>
                <c:pt idx="0">
                  <c:v>Fonctionnement</c:v>
                </c:pt>
              </c:strCache>
            </c:strRef>
          </c:tx>
          <c:cat>
            <c:strRef>
              <c:f>'Statut juridique'!$B$97:$I$97</c:f>
              <c:strCache>
                <c:ptCount val="8"/>
                <c:pt idx="0">
                  <c:v>Industrie</c:v>
                </c:pt>
                <c:pt idx="1">
                  <c:v>Commerce</c:v>
                </c:pt>
                <c:pt idx="2">
                  <c:v>BTP</c:v>
                </c:pt>
                <c:pt idx="3">
                  <c:v>Services</c:v>
                </c:pt>
                <c:pt idx="4">
                  <c:v>Agriculture</c:v>
                </c:pt>
                <c:pt idx="5">
                  <c:v>Artisanat</c:v>
                </c:pt>
                <c:pt idx="6">
                  <c:v>Administration</c:v>
                </c:pt>
                <c:pt idx="7">
                  <c:v>Autre </c:v>
                </c:pt>
              </c:strCache>
            </c:strRef>
          </c:cat>
          <c:val>
            <c:numRef>
              <c:f>'Statut juridique'!$B$99:$I$99</c:f>
              <c:numCache>
                <c:formatCode>0.0%</c:formatCode>
                <c:ptCount val="8"/>
                <c:pt idx="0">
                  <c:v>0.26315789473684231</c:v>
                </c:pt>
                <c:pt idx="1">
                  <c:v>0.43266832917706516</c:v>
                </c:pt>
                <c:pt idx="2">
                  <c:v>0.3053435114503818</c:v>
                </c:pt>
                <c:pt idx="3">
                  <c:v>0.41695501730103807</c:v>
                </c:pt>
                <c:pt idx="4">
                  <c:v>0.29347826086957479</c:v>
                </c:pt>
                <c:pt idx="5">
                  <c:v>0.53932584269662964</c:v>
                </c:pt>
                <c:pt idx="6">
                  <c:v>0.5</c:v>
                </c:pt>
                <c:pt idx="7">
                  <c:v>0.42553191489361702</c:v>
                </c:pt>
              </c:numCache>
            </c:numRef>
          </c:val>
        </c:ser>
        <c:shape val="cylinder"/>
        <c:axId val="212268160"/>
        <c:axId val="212269696"/>
        <c:axId val="0"/>
      </c:bar3DChart>
      <c:catAx>
        <c:axId val="212268160"/>
        <c:scaling>
          <c:orientation val="minMax"/>
        </c:scaling>
        <c:axPos val="b"/>
        <c:numFmt formatCode="General" sourceLinked="0"/>
        <c:majorTickMark val="none"/>
        <c:tickLblPos val="nextTo"/>
        <c:txPr>
          <a:bodyPr/>
          <a:lstStyle/>
          <a:p>
            <a:pPr>
              <a:defRPr sz="700" b="1">
                <a:latin typeface="Book Antiqua" pitchFamily="18" charset="0"/>
              </a:defRPr>
            </a:pPr>
            <a:endParaRPr lang="fr-FR"/>
          </a:p>
        </c:txPr>
        <c:crossAx val="212269696"/>
        <c:crosses val="autoZero"/>
        <c:auto val="1"/>
        <c:lblAlgn val="ctr"/>
        <c:lblOffset val="100"/>
      </c:catAx>
      <c:valAx>
        <c:axId val="212269696"/>
        <c:scaling>
          <c:orientation val="minMax"/>
        </c:scaling>
        <c:axPos val="l"/>
        <c:majorGridlines/>
        <c:numFmt formatCode="0.0%" sourceLinked="1"/>
        <c:majorTickMark val="none"/>
        <c:tickLblPos val="nextTo"/>
        <c:txPr>
          <a:bodyPr/>
          <a:lstStyle/>
          <a:p>
            <a:pPr>
              <a:defRPr sz="800">
                <a:latin typeface="Book Antiqua" pitchFamily="18" charset="0"/>
              </a:defRPr>
            </a:pPr>
            <a:endParaRPr lang="fr-FR"/>
          </a:p>
        </c:txPr>
        <c:crossAx val="212268160"/>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tx>
            <c:strRef>
              <c:f>'Nature activité'!$A$31</c:f>
              <c:strCache>
                <c:ptCount val="1"/>
                <c:pt idx="0">
                  <c:v>Crédit d'investissement</c:v>
                </c:pt>
              </c:strCache>
            </c:strRef>
          </c:tx>
          <c:dLbls>
            <c:numFmt formatCode="0.0%" sourceLinked="0"/>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'Nature activité'!$B$30:$C$30</c:f>
              <c:strCache>
                <c:ptCount val="2"/>
                <c:pt idx="0">
                  <c:v>Formel</c:v>
                </c:pt>
                <c:pt idx="1">
                  <c:v>Informel</c:v>
                </c:pt>
              </c:strCache>
            </c:strRef>
          </c:cat>
          <c:val>
            <c:numRef>
              <c:f>'Nature activité'!$B$31:$C$31</c:f>
              <c:numCache>
                <c:formatCode>0%</c:formatCode>
                <c:ptCount val="2"/>
                <c:pt idx="0">
                  <c:v>0.43018018018018472</c:v>
                </c:pt>
                <c:pt idx="1">
                  <c:v>0.52952029520294197</c:v>
                </c:pt>
              </c:numCache>
            </c:numRef>
          </c:val>
        </c:ser>
        <c:ser>
          <c:idx val="1"/>
          <c:order val="1"/>
          <c:tx>
            <c:strRef>
              <c:f>'Nature activité'!$A$32</c:f>
              <c:strCache>
                <c:ptCount val="1"/>
                <c:pt idx="0">
                  <c:v>Crédit de fonctionnement</c:v>
                </c:pt>
              </c:strCache>
            </c:strRef>
          </c:tx>
          <c:dLbls>
            <c:numFmt formatCode="0.0%" sourceLinked="0"/>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'Nature activité'!$B$30:$C$30</c:f>
              <c:strCache>
                <c:ptCount val="2"/>
                <c:pt idx="0">
                  <c:v>Formel</c:v>
                </c:pt>
                <c:pt idx="1">
                  <c:v>Informel</c:v>
                </c:pt>
              </c:strCache>
            </c:strRef>
          </c:cat>
          <c:val>
            <c:numRef>
              <c:f>'Nature activité'!$B$32:$C$32</c:f>
              <c:numCache>
                <c:formatCode>0%</c:formatCode>
                <c:ptCount val="2"/>
                <c:pt idx="0">
                  <c:v>0.37762762762763341</c:v>
                </c:pt>
                <c:pt idx="1">
                  <c:v>0.49077490774908622</c:v>
                </c:pt>
              </c:numCache>
            </c:numRef>
          </c:val>
        </c:ser>
        <c:shape val="cylinder"/>
        <c:axId val="212332544"/>
        <c:axId val="212334080"/>
        <c:axId val="0"/>
      </c:bar3DChart>
      <c:catAx>
        <c:axId val="212332544"/>
        <c:scaling>
          <c:orientation val="minMax"/>
        </c:scaling>
        <c:axPos val="b"/>
        <c:numFmt formatCode="General" sourceLinked="0"/>
        <c:majorTickMark val="none"/>
        <c:tickLblPos val="nextTo"/>
        <c:txPr>
          <a:bodyPr/>
          <a:lstStyle/>
          <a:p>
            <a:pPr>
              <a:defRPr sz="800" b="1">
                <a:latin typeface="Book Antiqua" pitchFamily="18" charset="0"/>
              </a:defRPr>
            </a:pPr>
            <a:endParaRPr lang="fr-FR"/>
          </a:p>
        </c:txPr>
        <c:crossAx val="212334080"/>
        <c:crosses val="autoZero"/>
        <c:auto val="1"/>
        <c:lblAlgn val="ctr"/>
        <c:lblOffset val="100"/>
      </c:catAx>
      <c:valAx>
        <c:axId val="212334080"/>
        <c:scaling>
          <c:orientation val="minMax"/>
        </c:scaling>
        <c:axPos val="l"/>
        <c:majorGridlines/>
        <c:numFmt formatCode="0%" sourceLinked="1"/>
        <c:majorTickMark val="none"/>
        <c:tickLblPos val="nextTo"/>
        <c:crossAx val="212332544"/>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bar"/>
        <c:grouping val="percentStacked"/>
        <c:ser>
          <c:idx val="0"/>
          <c:order val="0"/>
          <c:tx>
            <c:strRef>
              <c:f>Région!$B$12</c:f>
              <c:strCache>
                <c:ptCount val="1"/>
                <c:pt idx="0">
                  <c:v>Très élevés</c:v>
                </c:pt>
              </c:strCache>
            </c:strRef>
          </c:tx>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Région!$C$11:$P$11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Région!$C$12:$P$12</c:f>
              <c:numCache>
                <c:formatCode>0.0%</c:formatCode>
                <c:ptCount val="14"/>
                <c:pt idx="0">
                  <c:v>0.21594684385382551</c:v>
                </c:pt>
                <c:pt idx="1">
                  <c:v>7.1428571428571425E-2</c:v>
                </c:pt>
                <c:pt idx="2">
                  <c:v>0.21428571428571427</c:v>
                </c:pt>
                <c:pt idx="3">
                  <c:v>0.22727272727272727</c:v>
                </c:pt>
                <c:pt idx="4">
                  <c:v>0.13333333333333341</c:v>
                </c:pt>
                <c:pt idx="5">
                  <c:v>0.19444444444444869</c:v>
                </c:pt>
                <c:pt idx="6">
                  <c:v>0.54545454545454541</c:v>
                </c:pt>
                <c:pt idx="7">
                  <c:v>6.25E-2</c:v>
                </c:pt>
                <c:pt idx="8">
                  <c:v>0</c:v>
                </c:pt>
                <c:pt idx="9">
                  <c:v>6.5217391304347824E-2</c:v>
                </c:pt>
                <c:pt idx="10">
                  <c:v>0.30000000000000032</c:v>
                </c:pt>
                <c:pt idx="11">
                  <c:v>0.34482758620690201</c:v>
                </c:pt>
                <c:pt idx="12">
                  <c:v>0.13513513513513739</c:v>
                </c:pt>
                <c:pt idx="13">
                  <c:v>0.29411764705882382</c:v>
                </c:pt>
              </c:numCache>
            </c:numRef>
          </c:val>
        </c:ser>
        <c:ser>
          <c:idx val="1"/>
          <c:order val="1"/>
          <c:tx>
            <c:strRef>
              <c:f>Région!$B$13</c:f>
              <c:strCache>
                <c:ptCount val="1"/>
                <c:pt idx="0">
                  <c:v>Elevés</c:v>
                </c:pt>
              </c:strCache>
            </c:strRef>
          </c:tx>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Région!$C$11:$P$11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Région!$C$13:$P$13</c:f>
              <c:numCache>
                <c:formatCode>0.0%</c:formatCode>
                <c:ptCount val="14"/>
                <c:pt idx="0">
                  <c:v>0.67441860465116465</c:v>
                </c:pt>
                <c:pt idx="1">
                  <c:v>0.67857142857143926</c:v>
                </c:pt>
                <c:pt idx="2">
                  <c:v>0.6428571428571429</c:v>
                </c:pt>
                <c:pt idx="3">
                  <c:v>0.59090909090909094</c:v>
                </c:pt>
                <c:pt idx="4">
                  <c:v>0.73333333333333361</c:v>
                </c:pt>
                <c:pt idx="5">
                  <c:v>0.66666666666666663</c:v>
                </c:pt>
                <c:pt idx="6">
                  <c:v>0.31818181818182295</c:v>
                </c:pt>
                <c:pt idx="7">
                  <c:v>0.75000000000000855</c:v>
                </c:pt>
                <c:pt idx="8">
                  <c:v>0.66666666666666663</c:v>
                </c:pt>
                <c:pt idx="9">
                  <c:v>0.67391304347826164</c:v>
                </c:pt>
                <c:pt idx="10">
                  <c:v>0.63333333333333364</c:v>
                </c:pt>
                <c:pt idx="11">
                  <c:v>0.58620689655172409</c:v>
                </c:pt>
                <c:pt idx="12">
                  <c:v>0.58108108108108059</c:v>
                </c:pt>
                <c:pt idx="13">
                  <c:v>0.44117647058823528</c:v>
                </c:pt>
              </c:numCache>
            </c:numRef>
          </c:val>
        </c:ser>
        <c:ser>
          <c:idx val="2"/>
          <c:order val="2"/>
          <c:tx>
            <c:strRef>
              <c:f>Région!$B$14</c:f>
              <c:strCache>
                <c:ptCount val="1"/>
                <c:pt idx="0">
                  <c:v>Corrects</c:v>
                </c:pt>
              </c:strCache>
            </c:strRef>
          </c:tx>
          <c:cat>
            <c:strRef>
              <c:f>Région!$C$11:$P$11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Région!$C$14:$P$14</c:f>
              <c:numCache>
                <c:formatCode>0.0%</c:formatCode>
                <c:ptCount val="14"/>
                <c:pt idx="0">
                  <c:v>9.634551495016612E-2</c:v>
                </c:pt>
                <c:pt idx="1">
                  <c:v>0.25</c:v>
                </c:pt>
                <c:pt idx="2">
                  <c:v>0.14285714285714593</c:v>
                </c:pt>
                <c:pt idx="3">
                  <c:v>0.18181818181818526</c:v>
                </c:pt>
                <c:pt idx="4">
                  <c:v>0.13333333333333341</c:v>
                </c:pt>
                <c:pt idx="5">
                  <c:v>0.1388888888888889</c:v>
                </c:pt>
                <c:pt idx="6">
                  <c:v>4.5454545454545463E-2</c:v>
                </c:pt>
                <c:pt idx="7">
                  <c:v>0.15625000000000044</c:v>
                </c:pt>
                <c:pt idx="8">
                  <c:v>0.33333333333333331</c:v>
                </c:pt>
                <c:pt idx="9">
                  <c:v>0.23913043478261123</c:v>
                </c:pt>
                <c:pt idx="10">
                  <c:v>3.333333333333334E-2</c:v>
                </c:pt>
                <c:pt idx="11">
                  <c:v>3.4482758620689655E-2</c:v>
                </c:pt>
                <c:pt idx="12">
                  <c:v>0.27027027027027506</c:v>
                </c:pt>
                <c:pt idx="13">
                  <c:v>0.20588235294117646</c:v>
                </c:pt>
              </c:numCache>
            </c:numRef>
          </c:val>
        </c:ser>
        <c:ser>
          <c:idx val="3"/>
          <c:order val="3"/>
          <c:tx>
            <c:strRef>
              <c:f>Région!$B$15</c:f>
              <c:strCache>
                <c:ptCount val="1"/>
                <c:pt idx="0">
                  <c:v>Très correct</c:v>
                </c:pt>
              </c:strCache>
            </c:strRef>
          </c:tx>
          <c:cat>
            <c:strRef>
              <c:f>Région!$C$11:$P$11</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Région!$C$15:$P$15</c:f>
              <c:numCache>
                <c:formatCode>0.0%</c:formatCode>
                <c:ptCount val="14"/>
                <c:pt idx="0">
                  <c:v>1.32890365448505E-2</c:v>
                </c:pt>
                <c:pt idx="1">
                  <c:v>0</c:v>
                </c:pt>
                <c:pt idx="2">
                  <c:v>0</c:v>
                </c:pt>
                <c:pt idx="3">
                  <c:v>0</c:v>
                </c:pt>
                <c:pt idx="4">
                  <c:v>0</c:v>
                </c:pt>
                <c:pt idx="5">
                  <c:v>0</c:v>
                </c:pt>
                <c:pt idx="6">
                  <c:v>9.0909090909091064E-2</c:v>
                </c:pt>
                <c:pt idx="7">
                  <c:v>3.125E-2</c:v>
                </c:pt>
                <c:pt idx="8">
                  <c:v>0</c:v>
                </c:pt>
                <c:pt idx="9">
                  <c:v>2.1739130434782612E-2</c:v>
                </c:pt>
                <c:pt idx="10">
                  <c:v>3.333333333333334E-2</c:v>
                </c:pt>
                <c:pt idx="11">
                  <c:v>3.4482758620689655E-2</c:v>
                </c:pt>
                <c:pt idx="12">
                  <c:v>1.3513513513513521E-2</c:v>
                </c:pt>
                <c:pt idx="13">
                  <c:v>5.8823529411764705E-2</c:v>
                </c:pt>
              </c:numCache>
            </c:numRef>
          </c:val>
        </c:ser>
        <c:gapWidth val="55"/>
        <c:gapDepth val="55"/>
        <c:shape val="cylinder"/>
        <c:axId val="212386944"/>
        <c:axId val="212388480"/>
        <c:axId val="0"/>
      </c:bar3DChart>
      <c:catAx>
        <c:axId val="212386944"/>
        <c:scaling>
          <c:orientation val="minMax"/>
        </c:scaling>
        <c:axPos val="l"/>
        <c:numFmt formatCode="General" sourceLinked="0"/>
        <c:majorTickMark val="none"/>
        <c:tickLblPos val="nextTo"/>
        <c:txPr>
          <a:bodyPr/>
          <a:lstStyle/>
          <a:p>
            <a:pPr>
              <a:defRPr sz="800" b="1">
                <a:latin typeface="Book Antiqua" pitchFamily="18" charset="0"/>
              </a:defRPr>
            </a:pPr>
            <a:endParaRPr lang="fr-FR"/>
          </a:p>
        </c:txPr>
        <c:crossAx val="212388480"/>
        <c:crosses val="autoZero"/>
        <c:auto val="1"/>
        <c:lblAlgn val="ctr"/>
        <c:lblOffset val="100"/>
      </c:catAx>
      <c:valAx>
        <c:axId val="212388480"/>
        <c:scaling>
          <c:orientation val="minMax"/>
        </c:scaling>
        <c:axPos val="b"/>
        <c:majorGridlines/>
        <c:numFmt formatCode="0%" sourceLinked="1"/>
        <c:majorTickMark val="none"/>
        <c:tickLblPos val="nextTo"/>
        <c:txPr>
          <a:bodyPr/>
          <a:lstStyle/>
          <a:p>
            <a:pPr>
              <a:defRPr sz="800" b="1">
                <a:latin typeface="Book Antiqua" pitchFamily="18" charset="0"/>
              </a:defRPr>
            </a:pPr>
            <a:endParaRPr lang="fr-FR"/>
          </a:p>
        </c:txPr>
        <c:crossAx val="212386944"/>
        <c:crosses val="autoZero"/>
        <c:crossBetween val="between"/>
      </c:valAx>
    </c:plotArea>
    <c:legend>
      <c:legendPos val="b"/>
      <c:txPr>
        <a:bodyPr/>
        <a:lstStyle/>
        <a:p>
          <a:pPr>
            <a:defRPr sz="900" b="1">
              <a:latin typeface="Book Antiqua" pitchFamily="18" charset="0"/>
            </a:defRPr>
          </a:pPr>
          <a:endParaRPr lang="fr-FR"/>
        </a:p>
      </c:txPr>
    </c:legend>
    <c:plotVisOnly val="1"/>
    <c:dispBlanksAs val="gap"/>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bar"/>
        <c:grouping val="percentStacked"/>
        <c:ser>
          <c:idx val="0"/>
          <c:order val="0"/>
          <c:tx>
            <c:strRef>
              <c:f>Région!$B$31</c:f>
              <c:strCache>
                <c:ptCount val="1"/>
                <c:pt idx="0">
                  <c:v>Très élevés</c:v>
                </c:pt>
              </c:strCache>
            </c:strRef>
          </c:tx>
          <c:cat>
            <c:strRef>
              <c:f>Région!$C$30:$P$30</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Région!$C$31:$P$31</c:f>
              <c:numCache>
                <c:formatCode>0.0%</c:formatCode>
                <c:ptCount val="14"/>
                <c:pt idx="0">
                  <c:v>0.21300813008130556</c:v>
                </c:pt>
                <c:pt idx="1">
                  <c:v>0.15151515151515499</c:v>
                </c:pt>
                <c:pt idx="2">
                  <c:v>0.14285714285714593</c:v>
                </c:pt>
                <c:pt idx="3">
                  <c:v>0.28000000000000008</c:v>
                </c:pt>
                <c:pt idx="4">
                  <c:v>0.21052631578947623</c:v>
                </c:pt>
                <c:pt idx="5">
                  <c:v>0.16</c:v>
                </c:pt>
                <c:pt idx="6">
                  <c:v>0.57692307692309208</c:v>
                </c:pt>
                <c:pt idx="7">
                  <c:v>8.8235294117647745E-2</c:v>
                </c:pt>
                <c:pt idx="8">
                  <c:v>0</c:v>
                </c:pt>
                <c:pt idx="9">
                  <c:v>9.4339622641509524E-2</c:v>
                </c:pt>
                <c:pt idx="10">
                  <c:v>0.25641025641025639</c:v>
                </c:pt>
                <c:pt idx="11">
                  <c:v>0.38709677419355593</c:v>
                </c:pt>
                <c:pt idx="12">
                  <c:v>0.14473684210526697</c:v>
                </c:pt>
                <c:pt idx="13">
                  <c:v>0.31250000000000422</c:v>
                </c:pt>
              </c:numCache>
            </c:numRef>
          </c:val>
        </c:ser>
        <c:ser>
          <c:idx val="1"/>
          <c:order val="1"/>
          <c:tx>
            <c:strRef>
              <c:f>Région!$B$32</c:f>
              <c:strCache>
                <c:ptCount val="1"/>
                <c:pt idx="0">
                  <c:v>Elevés</c:v>
                </c:pt>
              </c:strCache>
            </c:strRef>
          </c:tx>
          <c:cat>
            <c:strRef>
              <c:f>Région!$C$30:$P$30</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Région!$C$32:$P$32</c:f>
              <c:numCache>
                <c:formatCode>0.0%</c:formatCode>
                <c:ptCount val="14"/>
                <c:pt idx="0">
                  <c:v>0.67317073170731712</c:v>
                </c:pt>
                <c:pt idx="1">
                  <c:v>0.6363636363636459</c:v>
                </c:pt>
                <c:pt idx="2">
                  <c:v>0.76190476190476186</c:v>
                </c:pt>
                <c:pt idx="3">
                  <c:v>0.52</c:v>
                </c:pt>
                <c:pt idx="4">
                  <c:v>0.65789473684212019</c:v>
                </c:pt>
                <c:pt idx="5">
                  <c:v>0.70000000000000062</c:v>
                </c:pt>
                <c:pt idx="6">
                  <c:v>0.34615384615384631</c:v>
                </c:pt>
                <c:pt idx="7">
                  <c:v>0.73529411764705965</c:v>
                </c:pt>
                <c:pt idx="8">
                  <c:v>0.75000000000000855</c:v>
                </c:pt>
                <c:pt idx="9">
                  <c:v>0.66037735849057955</c:v>
                </c:pt>
                <c:pt idx="10">
                  <c:v>0.61538461538461564</c:v>
                </c:pt>
                <c:pt idx="11">
                  <c:v>0.58064516129032251</c:v>
                </c:pt>
                <c:pt idx="12">
                  <c:v>0.56578947368422305</c:v>
                </c:pt>
                <c:pt idx="13">
                  <c:v>0.43750000000000422</c:v>
                </c:pt>
              </c:numCache>
            </c:numRef>
          </c:val>
        </c:ser>
        <c:ser>
          <c:idx val="2"/>
          <c:order val="2"/>
          <c:tx>
            <c:strRef>
              <c:f>Région!$B$33</c:f>
              <c:strCache>
                <c:ptCount val="1"/>
                <c:pt idx="0">
                  <c:v>Corrects</c:v>
                </c:pt>
              </c:strCache>
            </c:strRef>
          </c:tx>
          <c:cat>
            <c:strRef>
              <c:f>Région!$C$30:$P$30</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Région!$C$33:$P$33</c:f>
              <c:numCache>
                <c:formatCode>0.0%</c:formatCode>
                <c:ptCount val="14"/>
                <c:pt idx="0">
                  <c:v>0.10406504065040775</c:v>
                </c:pt>
                <c:pt idx="1">
                  <c:v>0.21212121212121221</c:v>
                </c:pt>
                <c:pt idx="2">
                  <c:v>9.5238095238095247E-2</c:v>
                </c:pt>
                <c:pt idx="3">
                  <c:v>0.2</c:v>
                </c:pt>
                <c:pt idx="4">
                  <c:v>0.10526315789473686</c:v>
                </c:pt>
                <c:pt idx="5">
                  <c:v>0.12000000000000002</c:v>
                </c:pt>
                <c:pt idx="6">
                  <c:v>0</c:v>
                </c:pt>
                <c:pt idx="7">
                  <c:v>0.14705882352941191</c:v>
                </c:pt>
                <c:pt idx="8">
                  <c:v>0.25</c:v>
                </c:pt>
                <c:pt idx="9">
                  <c:v>0.20754716981132573</c:v>
                </c:pt>
                <c:pt idx="10">
                  <c:v>7.6923076923076927E-2</c:v>
                </c:pt>
                <c:pt idx="11">
                  <c:v>3.2258064516129649E-2</c:v>
                </c:pt>
                <c:pt idx="12">
                  <c:v>0.26315789473684231</c:v>
                </c:pt>
                <c:pt idx="13">
                  <c:v>0.14583333333333587</c:v>
                </c:pt>
              </c:numCache>
            </c:numRef>
          </c:val>
        </c:ser>
        <c:ser>
          <c:idx val="3"/>
          <c:order val="3"/>
          <c:tx>
            <c:strRef>
              <c:f>Région!$B$34</c:f>
              <c:strCache>
                <c:ptCount val="1"/>
                <c:pt idx="0">
                  <c:v>Très Corrects</c:v>
                </c:pt>
              </c:strCache>
            </c:strRef>
          </c:tx>
          <c:cat>
            <c:strRef>
              <c:f>Région!$C$30:$P$30</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Région!$C$34:$P$34</c:f>
              <c:numCache>
                <c:formatCode>0.0%</c:formatCode>
                <c:ptCount val="14"/>
                <c:pt idx="0">
                  <c:v>9.7560975609756566E-3</c:v>
                </c:pt>
                <c:pt idx="1">
                  <c:v>0</c:v>
                </c:pt>
                <c:pt idx="2">
                  <c:v>0</c:v>
                </c:pt>
                <c:pt idx="3">
                  <c:v>0</c:v>
                </c:pt>
                <c:pt idx="4">
                  <c:v>2.6315789473684216E-2</c:v>
                </c:pt>
                <c:pt idx="5">
                  <c:v>2.0000000000000011E-2</c:v>
                </c:pt>
                <c:pt idx="6">
                  <c:v>7.6923076923076927E-2</c:v>
                </c:pt>
                <c:pt idx="7">
                  <c:v>2.9411764705882353E-2</c:v>
                </c:pt>
                <c:pt idx="8">
                  <c:v>0</c:v>
                </c:pt>
                <c:pt idx="9">
                  <c:v>3.7735849056604598E-2</c:v>
                </c:pt>
                <c:pt idx="10">
                  <c:v>5.128205128205128E-2</c:v>
                </c:pt>
                <c:pt idx="11">
                  <c:v>0</c:v>
                </c:pt>
                <c:pt idx="12">
                  <c:v>2.6315789473684216E-2</c:v>
                </c:pt>
                <c:pt idx="13">
                  <c:v>0.104166666666668</c:v>
                </c:pt>
              </c:numCache>
            </c:numRef>
          </c:val>
        </c:ser>
        <c:gapWidth val="55"/>
        <c:gapDepth val="55"/>
        <c:shape val="cylinder"/>
        <c:axId val="212583168"/>
        <c:axId val="212584704"/>
        <c:axId val="0"/>
      </c:bar3DChart>
      <c:catAx>
        <c:axId val="212583168"/>
        <c:scaling>
          <c:orientation val="minMax"/>
        </c:scaling>
        <c:axPos val="l"/>
        <c:numFmt formatCode="General" sourceLinked="0"/>
        <c:majorTickMark val="none"/>
        <c:tickLblPos val="nextTo"/>
        <c:txPr>
          <a:bodyPr/>
          <a:lstStyle/>
          <a:p>
            <a:pPr>
              <a:defRPr sz="800">
                <a:latin typeface="Book Antiqua" pitchFamily="18" charset="0"/>
              </a:defRPr>
            </a:pPr>
            <a:endParaRPr lang="fr-FR"/>
          </a:p>
        </c:txPr>
        <c:crossAx val="212584704"/>
        <c:crosses val="autoZero"/>
        <c:auto val="1"/>
        <c:lblAlgn val="ctr"/>
        <c:lblOffset val="100"/>
      </c:catAx>
      <c:valAx>
        <c:axId val="212584704"/>
        <c:scaling>
          <c:orientation val="minMax"/>
        </c:scaling>
        <c:axPos val="b"/>
        <c:majorGridlines/>
        <c:numFmt formatCode="0%" sourceLinked="1"/>
        <c:majorTickMark val="none"/>
        <c:tickLblPos val="nextTo"/>
        <c:txPr>
          <a:bodyPr/>
          <a:lstStyle/>
          <a:p>
            <a:pPr>
              <a:defRPr sz="800" b="1">
                <a:latin typeface="Book Antiqua" pitchFamily="18" charset="0"/>
              </a:defRPr>
            </a:pPr>
            <a:endParaRPr lang="fr-FR"/>
          </a:p>
        </c:txPr>
        <c:crossAx val="212583168"/>
        <c:crosses val="autoZero"/>
        <c:crossBetween val="between"/>
      </c:valAx>
    </c:plotArea>
    <c:legend>
      <c:legendPos val="b"/>
      <c:txPr>
        <a:bodyPr/>
        <a:lstStyle/>
        <a:p>
          <a:pPr>
            <a:defRPr sz="800">
              <a:latin typeface="Book Antiqua" pitchFamily="18" charset="0"/>
            </a:defRPr>
          </a:pPr>
          <a:endParaRPr lang="fr-FR"/>
        </a:p>
      </c:txPr>
    </c:legend>
    <c:plotVisOnly val="1"/>
    <c:dispBlanksAs val="gap"/>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1286351706036735"/>
          <c:y val="5.1400554097404488E-2"/>
          <c:w val="0.88224846894138231"/>
          <c:h val="0.5939545056867892"/>
        </c:manualLayout>
      </c:layout>
      <c:bar3DChart>
        <c:barDir val="col"/>
        <c:grouping val="clustered"/>
        <c:ser>
          <c:idx val="0"/>
          <c:order val="0"/>
          <c:tx>
            <c:strRef>
              <c:f>Feuil1!$H$32</c:f>
              <c:strCache>
                <c:ptCount val="1"/>
                <c:pt idx="0">
                  <c:v>Formel</c:v>
                </c:pt>
              </c:strCache>
            </c:strRef>
          </c:tx>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multiLvlStrRef>
              <c:f>Feuil1!$F$33:$G$36</c:f>
              <c:multiLvlStrCache>
                <c:ptCount val="4"/>
                <c:lvl>
                  <c:pt idx="0">
                    <c:v>Elevés</c:v>
                  </c:pt>
                  <c:pt idx="1">
                    <c:v>Corrects</c:v>
                  </c:pt>
                  <c:pt idx="2">
                    <c:v>Elevés</c:v>
                  </c:pt>
                  <c:pt idx="3">
                    <c:v>Corrects</c:v>
                  </c:pt>
                </c:lvl>
                <c:lvl>
                  <c:pt idx="0">
                    <c:v>Investissement</c:v>
                  </c:pt>
                  <c:pt idx="1">
                    <c:v>Investissement</c:v>
                  </c:pt>
                  <c:pt idx="2">
                    <c:v>Fonctionnement</c:v>
                  </c:pt>
                  <c:pt idx="3">
                    <c:v>Fonctionnement</c:v>
                  </c:pt>
                </c:lvl>
              </c:multiLvlStrCache>
            </c:multiLvlStrRef>
          </c:cat>
          <c:val>
            <c:numRef>
              <c:f>Feuil1!$H$33:$H$36</c:f>
              <c:numCache>
                <c:formatCode>0.0%</c:formatCode>
                <c:ptCount val="4"/>
                <c:pt idx="0">
                  <c:v>0.8629776021080513</c:v>
                </c:pt>
                <c:pt idx="1">
                  <c:v>0.13702239789196649</c:v>
                </c:pt>
                <c:pt idx="2">
                  <c:v>0.85524728588661036</c:v>
                </c:pt>
                <c:pt idx="3">
                  <c:v>0.14475271411338964</c:v>
                </c:pt>
              </c:numCache>
            </c:numRef>
          </c:val>
        </c:ser>
        <c:ser>
          <c:idx val="1"/>
          <c:order val="1"/>
          <c:tx>
            <c:strRef>
              <c:f>Feuil1!$I$32</c:f>
              <c:strCache>
                <c:ptCount val="1"/>
                <c:pt idx="0">
                  <c:v>Informel</c:v>
                </c:pt>
              </c:strCache>
            </c:strRef>
          </c:tx>
          <c:dLbls>
            <c:dLbl>
              <c:idx val="0"/>
              <c:layout>
                <c:manualLayout>
                  <c:x val="2.777777777777864E-2"/>
                  <c:y val="0"/>
                </c:manualLayout>
              </c:layout>
              <c:showVal val="1"/>
              <c:extLst>
                <c:ext xmlns:c15="http://schemas.microsoft.com/office/drawing/2012/chart" uri="{CE6537A1-D6FC-4f65-9D91-7224C49458BB}">
                  <c15:layout/>
                </c:ext>
              </c:extLst>
            </c:dLbl>
            <c:dLbl>
              <c:idx val="1"/>
              <c:layout>
                <c:manualLayout>
                  <c:x val="1.6666666666666701E-2"/>
                  <c:y val="-2.3148148148148147E-2"/>
                </c:manualLayout>
              </c:layout>
              <c:showVal val="1"/>
              <c:extLst>
                <c:ext xmlns:c15="http://schemas.microsoft.com/office/drawing/2012/chart" uri="{CE6537A1-D6FC-4f65-9D91-7224C49458BB}">
                  <c15:layout/>
                </c:ext>
              </c:extLst>
            </c:dLbl>
            <c:dLbl>
              <c:idx val="2"/>
              <c:layout>
                <c:manualLayout>
                  <c:x val="4.1666666666666664E-2"/>
                  <c:y val="-9.2592592592595085E-3"/>
                </c:manualLayout>
              </c:layout>
              <c:showVal val="1"/>
              <c:extLst>
                <c:ext xmlns:c15="http://schemas.microsoft.com/office/drawing/2012/chart" uri="{CE6537A1-D6FC-4f65-9D91-7224C49458BB}">
                  <c15:layout/>
                </c:ext>
              </c:extLst>
            </c:dLbl>
            <c:dLbl>
              <c:idx val="3"/>
              <c:layout>
                <c:manualLayout>
                  <c:x val="2.777777777777864E-2"/>
                  <c:y val="4.6296296296297014E-3"/>
                </c:manualLayout>
              </c:layout>
              <c:showVal val="1"/>
              <c:extLst>
                <c:ext xmlns:c15="http://schemas.microsoft.com/office/drawing/2012/chart" uri="{CE6537A1-D6FC-4f65-9D91-7224C49458BB}">
                  <c15:layout/>
                </c:ext>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multiLvlStrRef>
              <c:f>Feuil1!$F$33:$G$36</c:f>
              <c:multiLvlStrCache>
                <c:ptCount val="4"/>
                <c:lvl>
                  <c:pt idx="0">
                    <c:v>Elevés</c:v>
                  </c:pt>
                  <c:pt idx="1">
                    <c:v>Corrects</c:v>
                  </c:pt>
                  <c:pt idx="2">
                    <c:v>Elevés</c:v>
                  </c:pt>
                  <c:pt idx="3">
                    <c:v>Corrects</c:v>
                  </c:pt>
                </c:lvl>
                <c:lvl>
                  <c:pt idx="0">
                    <c:v>Investissement</c:v>
                  </c:pt>
                  <c:pt idx="1">
                    <c:v>Investissement</c:v>
                  </c:pt>
                  <c:pt idx="2">
                    <c:v>Fonctionnement</c:v>
                  </c:pt>
                  <c:pt idx="3">
                    <c:v>Fonctionnement</c:v>
                  </c:pt>
                </c:lvl>
              </c:multiLvlStrCache>
            </c:multiLvlStrRef>
          </c:cat>
          <c:val>
            <c:numRef>
              <c:f>Feuil1!$I$33:$I$36</c:f>
              <c:numCache>
                <c:formatCode>0.0%</c:formatCode>
                <c:ptCount val="4"/>
                <c:pt idx="0">
                  <c:v>0.82745098039215659</c:v>
                </c:pt>
                <c:pt idx="1">
                  <c:v>0.17254901960784341</c:v>
                </c:pt>
                <c:pt idx="2">
                  <c:v>0.85144927536231885</c:v>
                </c:pt>
                <c:pt idx="3">
                  <c:v>0.14855072463768115</c:v>
                </c:pt>
              </c:numCache>
            </c:numRef>
          </c:val>
        </c:ser>
        <c:shape val="box"/>
        <c:axId val="212692992"/>
        <c:axId val="212694528"/>
        <c:axId val="0"/>
      </c:bar3DChart>
      <c:catAx>
        <c:axId val="212692992"/>
        <c:scaling>
          <c:orientation val="minMax"/>
        </c:scaling>
        <c:axPos val="b"/>
        <c:numFmt formatCode="General" sourceLinked="0"/>
        <c:tickLblPos val="nextTo"/>
        <c:txPr>
          <a:bodyPr/>
          <a:lstStyle/>
          <a:p>
            <a:pPr>
              <a:defRPr sz="800" b="1">
                <a:latin typeface="Book Antiqua" pitchFamily="18" charset="0"/>
              </a:defRPr>
            </a:pPr>
            <a:endParaRPr lang="fr-FR"/>
          </a:p>
        </c:txPr>
        <c:crossAx val="212694528"/>
        <c:crosses val="autoZero"/>
        <c:auto val="1"/>
        <c:lblAlgn val="ctr"/>
        <c:lblOffset val="100"/>
      </c:catAx>
      <c:valAx>
        <c:axId val="212694528"/>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12692992"/>
        <c:crosses val="autoZero"/>
        <c:crossBetween val="between"/>
      </c:valAx>
    </c:plotArea>
    <c:legend>
      <c:legendPos val="r"/>
      <c:layout>
        <c:manualLayout>
          <c:xMode val="edge"/>
          <c:yMode val="edge"/>
          <c:x val="0.32269531933508488"/>
          <c:y val="0.88387540099154271"/>
          <c:w val="0.45508245844269468"/>
          <c:h val="9.7989938757655284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bar"/>
        <c:grouping val="stacked"/>
        <c:varyColors val="1"/>
        <c:ser>
          <c:idx val="0"/>
          <c:order val="0"/>
          <c:dLbls>
            <c:dLbl>
              <c:idx val="0"/>
              <c:layout>
                <c:manualLayout>
                  <c:x val="6.3849185644184847E-2"/>
                  <c:y val="-4.6411750431958176E-3"/>
                </c:manualLayout>
              </c:layout>
              <c:showVal val="1"/>
              <c:extLst>
                <c:ext xmlns:c15="http://schemas.microsoft.com/office/drawing/2012/chart" uri="{CE6537A1-D6FC-4f65-9D91-7224C49458BB}"/>
              </c:extLst>
            </c:dLbl>
            <c:dLbl>
              <c:idx val="1"/>
              <c:layout>
                <c:manualLayout>
                  <c:x val="0.46082455725803656"/>
                  <c:y val="-9.2823500863915519E-3"/>
                </c:manualLayout>
              </c:layout>
              <c:showVal val="1"/>
              <c:extLst>
                <c:ext xmlns:c15="http://schemas.microsoft.com/office/drawing/2012/chart" uri="{CE6537A1-D6FC-4f65-9D91-7224C49458BB}"/>
              </c:extLst>
            </c:dLbl>
            <c:dLbl>
              <c:idx val="2"/>
              <c:layout>
                <c:manualLayout>
                  <c:x val="0.18877150538280771"/>
                  <c:y val="0"/>
                </c:manualLayout>
              </c:layout>
              <c:showVal val="1"/>
              <c:extLst>
                <c:ext xmlns:c15="http://schemas.microsoft.com/office/drawing/2012/chart" uri="{CE6537A1-D6FC-4f65-9D91-7224C49458BB}"/>
              </c:extLst>
            </c:dLbl>
            <c:dLbl>
              <c:idx val="3"/>
              <c:layout>
                <c:manualLayout>
                  <c:x val="7.217734029342647E-2"/>
                  <c:y val="-9.2823500863916369E-3"/>
                </c:manualLayout>
              </c:layout>
              <c:showVal val="1"/>
              <c:extLst>
                <c:ext xmlns:c15="http://schemas.microsoft.com/office/drawing/2012/chart" uri="{CE6537A1-D6FC-4f65-9D91-7224C49458BB}"/>
              </c:extLst>
            </c:dLbl>
            <c:dLbl>
              <c:idx val="4"/>
              <c:layout>
                <c:manualLayout>
                  <c:x val="6.1073134094437792E-2"/>
                  <c:y val="-9.2823500863916369E-3"/>
                </c:manualLayout>
              </c:layout>
              <c:showVal val="1"/>
              <c:extLst>
                <c:ext xmlns:c15="http://schemas.microsoft.com/office/drawing/2012/chart" uri="{CE6537A1-D6FC-4f65-9D91-7224C49458BB}"/>
              </c:extLst>
            </c:dLbl>
            <c:dLbl>
              <c:idx val="5"/>
              <c:layout>
                <c:manualLayout>
                  <c:x val="6.3849185644184847E-2"/>
                  <c:y val="-4.6411750431958176E-3"/>
                </c:manualLayout>
              </c:layout>
              <c:showVal val="1"/>
              <c:extLst>
                <c:ext xmlns:c15="http://schemas.microsoft.com/office/drawing/2012/chart" uri="{CE6537A1-D6FC-4f65-9D91-7224C49458BB}"/>
              </c:extLst>
            </c:dLbl>
            <c:dLbl>
              <c:idx val="6"/>
              <c:layout>
                <c:manualLayout>
                  <c:x val="6.940128874367929E-2"/>
                  <c:y val="0"/>
                </c:manualLayout>
              </c:layout>
              <c:showVal val="1"/>
              <c:extLst>
                <c:ext xmlns:c15="http://schemas.microsoft.com/office/drawing/2012/chart" uri="{CE6537A1-D6FC-4f65-9D91-7224C49458BB}"/>
              </c:extLst>
            </c:dLbl>
            <c:dLbl>
              <c:idx val="7"/>
              <c:layout>
                <c:manualLayout>
                  <c:x val="6.662523719393211E-2"/>
                  <c:y val="0"/>
                </c:manualLayout>
              </c:layout>
              <c:showVal val="1"/>
              <c:extLst>
                <c:ext xmlns:c15="http://schemas.microsoft.com/office/drawing/2012/chart" uri="{CE6537A1-D6FC-4f65-9D91-7224C49458BB}"/>
              </c:extLst>
            </c:dLbl>
            <c:dLbl>
              <c:idx val="8"/>
              <c:layout>
                <c:manualLayout>
                  <c:x val="7.4953391843175524E-2"/>
                  <c:y val="-4.6411750431958176E-3"/>
                </c:manualLayout>
              </c:layout>
              <c:showVal val="1"/>
              <c:extLst>
                <c:ext xmlns:c15="http://schemas.microsoft.com/office/drawing/2012/chart" uri="{CE6537A1-D6FC-4f65-9D91-7224C49458BB}"/>
              </c:extLst>
            </c:dLbl>
            <c:dLbl>
              <c:idx val="9"/>
              <c:layout>
                <c:manualLayout>
                  <c:x val="8.3281546492415148E-2"/>
                  <c:y val="4.6411750431958176E-3"/>
                </c:manualLayout>
              </c:layout>
              <c:showVal val="1"/>
              <c:extLst>
                <c:ext xmlns:c15="http://schemas.microsoft.com/office/drawing/2012/chart" uri="{CE6537A1-D6FC-4f65-9D91-7224C49458BB}"/>
              </c:extLst>
            </c:dLbl>
            <c:spPr>
              <a:noFill/>
              <a:ln>
                <a:noFill/>
              </a:ln>
              <a:effectLst/>
            </c:spPr>
            <c:txPr>
              <a:bodyPr/>
              <a:lstStyle/>
              <a:p>
                <a:pPr>
                  <a:defRPr sz="900">
                    <a:latin typeface="Book Antiqua" pitchFamily="18" charset="0"/>
                  </a:defRPr>
                </a:pPr>
                <a:endParaRPr lang="fr-FR"/>
              </a:p>
            </c:txPr>
            <c:showVal val="1"/>
            <c:extLst>
              <c:ext xmlns:c15="http://schemas.microsoft.com/office/drawing/2012/chart" uri="{CE6537A1-D6FC-4f65-9D91-7224C49458BB}">
                <c15:showLeaderLines val="0"/>
              </c:ext>
            </c:extLst>
          </c:dLbls>
          <c:cat>
            <c:strRef>
              <c:f>Feuil4!$B$3:$B$12</c:f>
              <c:strCache>
                <c:ptCount val="10"/>
                <c:pt idx="0">
                  <c:v>0</c:v>
                </c:pt>
                <c:pt idx="1">
                  <c:v>1</c:v>
                </c:pt>
                <c:pt idx="2">
                  <c:v>2</c:v>
                </c:pt>
                <c:pt idx="3">
                  <c:v>3</c:v>
                </c:pt>
                <c:pt idx="4">
                  <c:v>4</c:v>
                </c:pt>
                <c:pt idx="5">
                  <c:v>5</c:v>
                </c:pt>
                <c:pt idx="6">
                  <c:v>6</c:v>
                </c:pt>
                <c:pt idx="7">
                  <c:v>7</c:v>
                </c:pt>
                <c:pt idx="8">
                  <c:v>8</c:v>
                </c:pt>
                <c:pt idx="9">
                  <c:v>9</c:v>
                </c:pt>
              </c:strCache>
            </c:strRef>
          </c:cat>
          <c:val>
            <c:numRef>
              <c:f>Feuil4!$D$3:$D$12</c:f>
              <c:numCache>
                <c:formatCode>0.0%</c:formatCode>
                <c:ptCount val="10"/>
                <c:pt idx="0">
                  <c:v>1.4407684098185701E-2</c:v>
                </c:pt>
                <c:pt idx="1">
                  <c:v>0.67502668089648465</c:v>
                </c:pt>
                <c:pt idx="2">
                  <c:v>0.21291355389541608</c:v>
                </c:pt>
                <c:pt idx="3">
                  <c:v>5.7630736392742833E-2</c:v>
                </c:pt>
                <c:pt idx="4">
                  <c:v>2.1878335112060658E-2</c:v>
                </c:pt>
                <c:pt idx="5">
                  <c:v>5.3361792956245335E-3</c:v>
                </c:pt>
                <c:pt idx="6">
                  <c:v>1.6008537886873161E-3</c:v>
                </c:pt>
                <c:pt idx="7">
                  <c:v>5.3361792956245335E-3</c:v>
                </c:pt>
                <c:pt idx="8">
                  <c:v>2.6680896478122676E-3</c:v>
                </c:pt>
                <c:pt idx="9">
                  <c:v>3.2017075773746995E-3</c:v>
                </c:pt>
              </c:numCache>
            </c:numRef>
          </c:val>
        </c:ser>
        <c:gapWidth val="75"/>
        <c:shape val="cylinder"/>
        <c:axId val="220721920"/>
        <c:axId val="220723840"/>
        <c:axId val="0"/>
      </c:bar3DChart>
      <c:catAx>
        <c:axId val="220721920"/>
        <c:scaling>
          <c:orientation val="minMax"/>
        </c:scaling>
        <c:axPos val="l"/>
        <c:numFmt formatCode="General" sourceLinked="0"/>
        <c:majorTickMark val="none"/>
        <c:tickLblPos val="nextTo"/>
        <c:crossAx val="220723840"/>
        <c:crosses val="autoZero"/>
        <c:auto val="1"/>
        <c:lblAlgn val="ctr"/>
        <c:lblOffset val="100"/>
      </c:catAx>
      <c:valAx>
        <c:axId val="220723840"/>
        <c:scaling>
          <c:orientation val="minMax"/>
        </c:scaling>
        <c:axPos val="b"/>
        <c:majorGridlines/>
        <c:numFmt formatCode="0.0%" sourceLinked="1"/>
        <c:majorTickMark val="none"/>
        <c:tickLblPos val="nextTo"/>
        <c:spPr>
          <a:ln w="9525">
            <a:noFill/>
          </a:ln>
        </c:spPr>
        <c:txPr>
          <a:bodyPr/>
          <a:lstStyle/>
          <a:p>
            <a:pPr>
              <a:defRPr sz="800">
                <a:latin typeface="Book Antiqua" pitchFamily="18" charset="0"/>
              </a:defRPr>
            </a:pPr>
            <a:endParaRPr lang="fr-FR"/>
          </a:p>
        </c:txPr>
        <c:crossAx val="220721920"/>
        <c:crosses val="autoZero"/>
        <c:crossBetween val="between"/>
      </c:valAx>
    </c:plotArea>
    <c:plotVisOnly val="1"/>
    <c:dispBlanksAs val="gap"/>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fr-FR"/>
  <c:chart>
    <c:view3D>
      <c:rotX val="30"/>
      <c:perspective val="30"/>
    </c:view3D>
    <c:plotArea>
      <c:layout>
        <c:manualLayout>
          <c:layoutTarget val="inner"/>
          <c:xMode val="edge"/>
          <c:yMode val="edge"/>
          <c:x val="0.17222747156605497"/>
          <c:y val="3.3289612771006456E-2"/>
          <c:w val="0.71118503937008881"/>
          <c:h val="0.77864610673665791"/>
        </c:manualLayout>
      </c:layout>
      <c:pie3DChart>
        <c:varyColors val="1"/>
        <c:ser>
          <c:idx val="0"/>
          <c:order val="0"/>
          <c:explosion val="25"/>
          <c:dLbls>
            <c:dLbl>
              <c:idx val="0"/>
              <c:layout>
                <c:manualLayout>
                  <c:x val="-3.1440726159230097E-2"/>
                  <c:y val="-5.0710484106154134E-2"/>
                </c:manualLayout>
              </c:layout>
              <c:showVal val="1"/>
              <c:extLst>
                <c:ext xmlns:c15="http://schemas.microsoft.com/office/drawing/2012/chart" uri="{CE6537A1-D6FC-4f65-9D91-7224C49458BB}">
                  <c15:layout/>
                </c:ext>
              </c:extLst>
            </c:dLbl>
            <c:dLbl>
              <c:idx val="1"/>
              <c:layout>
                <c:manualLayout>
                  <c:x val="-0.17930161854768153"/>
                  <c:y val="-6.6404564012831804E-2"/>
                </c:manualLayout>
              </c:layout>
              <c:showVal val="1"/>
              <c:extLst>
                <c:ext xmlns:c15="http://schemas.microsoft.com/office/drawing/2012/chart" uri="{CE6537A1-D6FC-4f65-9D91-7224C49458BB}">
                  <c15:layout/>
                </c:ext>
              </c:extLst>
            </c:dLbl>
            <c:spPr>
              <a:noFill/>
              <a:ln>
                <a:noFill/>
              </a:ln>
              <a:effectLst/>
            </c:spPr>
            <c:txPr>
              <a:bodyPr/>
              <a:lstStyle/>
              <a:p>
                <a:pPr>
                  <a:defRPr sz="800" b="1">
                    <a:latin typeface="Book Antiqua" pitchFamily="18" charset="0"/>
                  </a:defRPr>
                </a:pPr>
                <a:endParaRPr lang="fr-FR"/>
              </a:p>
            </c:txPr>
            <c:showVal val="1"/>
            <c:showLeaderLines val="1"/>
            <c:extLst>
              <c:ext xmlns:c15="http://schemas.microsoft.com/office/drawing/2012/chart" uri="{CE6537A1-D6FC-4f65-9D91-7224C49458BB}"/>
            </c:extLst>
          </c:dLbls>
          <c:cat>
            <c:strRef>
              <c:f>Feuil5!$B$10:$B$11</c:f>
              <c:strCache>
                <c:ptCount val="2"/>
                <c:pt idx="0">
                  <c:v>Oui</c:v>
                </c:pt>
                <c:pt idx="1">
                  <c:v>Non</c:v>
                </c:pt>
              </c:strCache>
            </c:strRef>
          </c:cat>
          <c:val>
            <c:numRef>
              <c:f>Feuil5!$C$10:$C$11</c:f>
              <c:numCache>
                <c:formatCode>0.0%</c:formatCode>
                <c:ptCount val="2"/>
                <c:pt idx="0">
                  <c:v>0.11591880341880341</c:v>
                </c:pt>
                <c:pt idx="1">
                  <c:v>0.8840811965812001</c:v>
                </c:pt>
              </c:numCache>
            </c:numRef>
          </c:val>
        </c:ser>
      </c:pie3DChart>
    </c:plotArea>
    <c:legend>
      <c:legendPos val="r"/>
      <c:layout>
        <c:manualLayout>
          <c:xMode val="edge"/>
          <c:yMode val="edge"/>
          <c:x val="0.40563998250218719"/>
          <c:y val="0.86561535972387371"/>
          <c:w val="0.24158223972003742"/>
          <c:h val="8.3138795293610568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29772244094488437"/>
          <c:y val="3.4951049369779406E-2"/>
          <c:w val="0.43871522309711286"/>
          <c:h val="0.80069698512020548"/>
        </c:manualLayout>
      </c:layout>
      <c:pieChart>
        <c:varyColors val="1"/>
        <c:ser>
          <c:idx val="0"/>
          <c:order val="0"/>
          <c:explosion val="22"/>
          <c:dLbls>
            <c:dLbl>
              <c:idx val="0"/>
              <c:layout>
                <c:manualLayout>
                  <c:x val="2.4979221347331583E-2"/>
                  <c:y val="-5.7757728200642434E-2"/>
                </c:manualLayout>
              </c:layout>
              <c:showVal val="1"/>
              <c:extLst>
                <c:ext xmlns:c15="http://schemas.microsoft.com/office/drawing/2012/chart" uri="{CE6537A1-D6FC-4f65-9D91-7224C49458BB}">
                  <c15:layout/>
                </c:ext>
              </c:extLst>
            </c:dLbl>
            <c:dLbl>
              <c:idx val="1"/>
              <c:layout>
                <c:manualLayout>
                  <c:x val="-4.0061351706036794E-2"/>
                  <c:y val="1.7660032079323418E-2"/>
                </c:manualLayout>
              </c:layout>
              <c:showVal val="1"/>
              <c:extLst>
                <c:ext xmlns:c15="http://schemas.microsoft.com/office/drawing/2012/chart" uri="{CE6537A1-D6FC-4f65-9D91-7224C49458BB}">
                  <c15:layout/>
                </c:ext>
              </c:extLst>
            </c:dLbl>
            <c:spPr>
              <a:noFill/>
              <a:ln>
                <a:noFill/>
              </a:ln>
              <a:effectLst/>
            </c:spPr>
            <c:txPr>
              <a:bodyPr/>
              <a:lstStyle/>
              <a:p>
                <a:pPr>
                  <a:defRPr sz="800" b="1">
                    <a:latin typeface="Book Antiqua" pitchFamily="18" charset="0"/>
                  </a:defRPr>
                </a:pPr>
                <a:endParaRPr lang="fr-FR"/>
              </a:p>
            </c:txPr>
            <c:showVal val="1"/>
            <c:showLeaderLines val="1"/>
            <c:extLst>
              <c:ext xmlns:c15="http://schemas.microsoft.com/office/drawing/2012/chart" uri="{CE6537A1-D6FC-4f65-9D91-7224C49458BB}">
                <c15:layout/>
              </c:ext>
            </c:extLst>
          </c:dLbls>
          <c:cat>
            <c:strRef>
              <c:f>Feuil5!$H$26:$H$28</c:f>
              <c:strCache>
                <c:ptCount val="3"/>
                <c:pt idx="0">
                  <c:v>Dépôts à Terme (DAT)</c:v>
                </c:pt>
                <c:pt idx="1">
                  <c:v>Bons de caisse</c:v>
                </c:pt>
                <c:pt idx="2">
                  <c:v>Autre </c:v>
                </c:pt>
              </c:strCache>
            </c:strRef>
          </c:cat>
          <c:val>
            <c:numRef>
              <c:f>Feuil5!$J$26:$J$28</c:f>
              <c:numCache>
                <c:formatCode>0.0%</c:formatCode>
                <c:ptCount val="3"/>
                <c:pt idx="0">
                  <c:v>0.56164383561644871</c:v>
                </c:pt>
                <c:pt idx="1">
                  <c:v>0.38356164383562208</c:v>
                </c:pt>
                <c:pt idx="2">
                  <c:v>5.4794520547946937E-2</c:v>
                </c:pt>
              </c:numCache>
            </c:numRef>
          </c:val>
        </c:ser>
        <c:firstSliceAng val="0"/>
      </c:pieChart>
    </c:plotArea>
    <c:legend>
      <c:legendPos val="r"/>
      <c:layout>
        <c:manualLayout>
          <c:xMode val="edge"/>
          <c:yMode val="edge"/>
          <c:x val="7.0444881889763791E-2"/>
          <c:y val="0.80960921551473708"/>
          <c:w val="0.87122178477690249"/>
          <c:h val="7.9855278506853325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2814129483814524"/>
          <c:y val="5.1400554097404488E-2"/>
          <c:w val="0.84408092738408402"/>
          <c:h val="0.79822506561679785"/>
        </c:manualLayout>
      </c:layout>
      <c:bar3DChart>
        <c:barDir val="col"/>
        <c:grouping val="stacked"/>
        <c:varyColors val="1"/>
        <c:ser>
          <c:idx val="0"/>
          <c:order val="0"/>
          <c:dLbls>
            <c:dLbl>
              <c:idx val="0"/>
              <c:layout>
                <c:manualLayout>
                  <c:x val="2.5000000000000001E-2"/>
                  <c:y val="-0.22406500657648856"/>
                </c:manualLayout>
              </c:layout>
              <c:showVal val="1"/>
              <c:extLst>
                <c:ext xmlns:c15="http://schemas.microsoft.com/office/drawing/2012/chart" uri="{CE6537A1-D6FC-4f65-9D91-7224C49458BB}">
                  <c15:layout/>
                </c:ext>
              </c:extLst>
            </c:dLbl>
            <c:dLbl>
              <c:idx val="1"/>
              <c:layout>
                <c:manualLayout>
                  <c:x val="2.5000000000000001E-2"/>
                  <c:y val="-0.41203703703703703"/>
                </c:manualLayout>
              </c:layout>
              <c:showVal val="1"/>
              <c:extLst>
                <c:ext xmlns:c15="http://schemas.microsoft.com/office/drawing/2012/chart" uri="{CE6537A1-D6FC-4f65-9D91-7224C49458BB}">
                  <c15:layout/>
                </c:ext>
              </c:extLst>
            </c:dLbl>
            <c:dLbl>
              <c:idx val="2"/>
              <c:layout>
                <c:manualLayout>
                  <c:x val="2.7777777777778734E-2"/>
                  <c:y val="-0.26521980370277981"/>
                </c:manualLayout>
              </c:layout>
              <c:showVal val="1"/>
              <c:extLst>
                <c:ext xmlns:c15="http://schemas.microsoft.com/office/drawing/2012/chart" uri="{CE6537A1-D6FC-4f65-9D91-7224C49458BB}">
                  <c15:layout/>
                </c:ext>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placements!$C$30:$E$30</c:f>
              <c:strCache>
                <c:ptCount val="3"/>
                <c:pt idx="0">
                  <c:v>Formel</c:v>
                </c:pt>
                <c:pt idx="1">
                  <c:v>Informel</c:v>
                </c:pt>
                <c:pt idx="2">
                  <c:v>Total</c:v>
                </c:pt>
              </c:strCache>
            </c:strRef>
          </c:cat>
          <c:val>
            <c:numRef>
              <c:f>placements!$C$31:$E$31</c:f>
              <c:numCache>
                <c:formatCode>0.0%</c:formatCode>
                <c:ptCount val="3"/>
                <c:pt idx="0">
                  <c:v>0.65765765765766793</c:v>
                </c:pt>
                <c:pt idx="1">
                  <c:v>0.78597785977860002</c:v>
                </c:pt>
                <c:pt idx="2">
                  <c:v>0.69477054429028862</c:v>
                </c:pt>
              </c:numCache>
            </c:numRef>
          </c:val>
        </c:ser>
        <c:shape val="cylinder"/>
        <c:axId val="212899328"/>
        <c:axId val="212900864"/>
        <c:axId val="0"/>
      </c:bar3DChart>
      <c:catAx>
        <c:axId val="212899328"/>
        <c:scaling>
          <c:orientation val="minMax"/>
        </c:scaling>
        <c:axPos val="b"/>
        <c:numFmt formatCode="General" sourceLinked="0"/>
        <c:tickLblPos val="nextTo"/>
        <c:txPr>
          <a:bodyPr/>
          <a:lstStyle/>
          <a:p>
            <a:pPr>
              <a:defRPr sz="800" b="1">
                <a:latin typeface="Book Antiqua" pitchFamily="18" charset="0"/>
              </a:defRPr>
            </a:pPr>
            <a:endParaRPr lang="fr-FR"/>
          </a:p>
        </c:txPr>
        <c:crossAx val="212900864"/>
        <c:crosses val="autoZero"/>
        <c:auto val="1"/>
        <c:lblAlgn val="ctr"/>
        <c:lblOffset val="100"/>
      </c:catAx>
      <c:valAx>
        <c:axId val="212900864"/>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12899328"/>
        <c:crosses val="autoZero"/>
        <c:crossBetween val="between"/>
      </c:valAx>
    </c:plotArea>
    <c:plotVisOnly val="1"/>
    <c:dispBlanksAs val="gap"/>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fr-FR"/>
  <c:chart>
    <c:view3D>
      <c:rotX val="30"/>
      <c:perspective val="30"/>
    </c:view3D>
    <c:plotArea>
      <c:layout>
        <c:manualLayout>
          <c:layoutTarget val="inner"/>
          <c:xMode val="edge"/>
          <c:yMode val="edge"/>
          <c:x val="0.20623358616384641"/>
          <c:y val="7.6388888888888895E-2"/>
          <c:w val="0.62738370599121951"/>
          <c:h val="0.77314814814815513"/>
        </c:manualLayout>
      </c:layout>
      <c:pie3DChart>
        <c:varyColors val="1"/>
        <c:ser>
          <c:idx val="0"/>
          <c:order val="0"/>
          <c:explosion val="25"/>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dLbl>
              <c:idx val="1"/>
              <c:layout>
                <c:manualLayout>
                  <c:x val="-2.8785433070866142E-2"/>
                  <c:y val="-5.4938757655293123E-2"/>
                </c:manualLayout>
              </c:layout>
              <c:showVal val="1"/>
              <c:extLst>
                <c:ext xmlns:c15="http://schemas.microsoft.com/office/drawing/2012/chart" uri="{CE6537A1-D6FC-4f65-9D91-7224C49458BB}">
                  <c15:layout/>
                </c:ext>
              </c:extLst>
            </c:dLbl>
            <c:dLbl>
              <c:idx val="2"/>
              <c:layout>
                <c:manualLayout>
                  <c:x val="0.14789938757655624"/>
                  <c:y val="-5.2863079615049123E-2"/>
                </c:manualLayout>
              </c:layout>
              <c:showVal val="1"/>
              <c:extLst>
                <c:ext xmlns:c15="http://schemas.microsoft.com/office/drawing/2012/chart" uri="{CE6537A1-D6FC-4f65-9D91-7224C49458BB}">
                  <c15:layout/>
                </c:ext>
              </c:extLst>
            </c:dLbl>
            <c:dLbl>
              <c:idx val="3"/>
              <c:layout>
                <c:manualLayout>
                  <c:x val="1.9602799650043821E-2"/>
                  <c:y val="-3.12117235345582E-2"/>
                </c:manualLayout>
              </c:layout>
              <c:showVal val="1"/>
              <c:extLst>
                <c:ext xmlns:c15="http://schemas.microsoft.com/office/drawing/2012/chart" uri="{CE6537A1-D6FC-4f65-9D91-7224C49458BB}">
                  <c15:layout/>
                </c:ext>
              </c:extLst>
            </c:dLbl>
            <c:spPr>
              <a:noFill/>
              <a:ln>
                <a:noFill/>
              </a:ln>
              <a:effectLst/>
            </c:spPr>
            <c:txPr>
              <a:bodyPr/>
              <a:lstStyle/>
              <a:p>
                <a:pPr>
                  <a:defRPr sz="800" b="1">
                    <a:latin typeface="Book Antiqua" pitchFamily="18" charset="0"/>
                  </a:defRPr>
                </a:pPr>
                <a:endParaRPr lang="fr-FR"/>
              </a:p>
            </c:txPr>
            <c:showVal val="1"/>
            <c:showLeaderLines val="1"/>
            <c:extLst>
              <c:ext xmlns:c15="http://schemas.microsoft.com/office/drawing/2012/chart" uri="{CE6537A1-D6FC-4f65-9D91-7224C49458BB}">
                <c15:layout/>
              </c:ext>
            </c:extLst>
          </c:dLbls>
          <c:cat>
            <c:strRef>
              <c:f>placements!$F$12:$F$15</c:f>
              <c:strCache>
                <c:ptCount val="4"/>
                <c:pt idx="0">
                  <c:v>Très Corrects</c:v>
                </c:pt>
                <c:pt idx="1">
                  <c:v>Corrects</c:v>
                </c:pt>
                <c:pt idx="2">
                  <c:v>Faibles</c:v>
                </c:pt>
                <c:pt idx="3">
                  <c:v>Très faibles</c:v>
                </c:pt>
              </c:strCache>
            </c:strRef>
          </c:cat>
          <c:val>
            <c:numRef>
              <c:f>placements!$G$12:$G$15</c:f>
              <c:numCache>
                <c:formatCode>0.0%</c:formatCode>
                <c:ptCount val="4"/>
                <c:pt idx="0">
                  <c:v>6.9930069930070988E-3</c:v>
                </c:pt>
                <c:pt idx="1">
                  <c:v>0.20454545454545858</c:v>
                </c:pt>
                <c:pt idx="2">
                  <c:v>0.52797202797202758</c:v>
                </c:pt>
                <c:pt idx="3">
                  <c:v>0.26048951048951047</c:v>
                </c:pt>
              </c:numCache>
            </c:numRef>
          </c:val>
        </c:ser>
      </c:pie3DChart>
    </c:plotArea>
    <c:legend>
      <c:legendPos val="r"/>
      <c:layout>
        <c:manualLayout>
          <c:xMode val="edge"/>
          <c:yMode val="edge"/>
          <c:x val="3.7794084814676242E-2"/>
          <c:y val="0.86497302420530764"/>
          <c:w val="0.86813823272090984"/>
          <c:h val="7.0979877515310569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4061395450568678"/>
          <c:y val="4.4920870776770865E-2"/>
          <c:w val="0.7796367016622926"/>
          <c:h val="0.59141750910714985"/>
        </c:manualLayout>
      </c:layout>
      <c:bar3DChart>
        <c:barDir val="bar"/>
        <c:grouping val="percentStacked"/>
        <c:ser>
          <c:idx val="0"/>
          <c:order val="0"/>
          <c:tx>
            <c:strRef>
              <c:f>placements!$I$53</c:f>
              <c:strCache>
                <c:ptCount val="1"/>
                <c:pt idx="0">
                  <c:v>Très Corrects</c:v>
                </c:pt>
              </c:strCache>
            </c:strRef>
          </c:tx>
          <c:spPr>
            <a:solidFill>
              <a:srgbClr val="00B05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placements!$J$52:$K$52</c:f>
              <c:strCache>
                <c:ptCount val="2"/>
                <c:pt idx="0">
                  <c:v>Formel</c:v>
                </c:pt>
                <c:pt idx="1">
                  <c:v>Informel</c:v>
                </c:pt>
              </c:strCache>
            </c:strRef>
          </c:cat>
          <c:val>
            <c:numRef>
              <c:f>placements!$J$53:$K$53</c:f>
              <c:numCache>
                <c:formatCode>0.0%</c:formatCode>
                <c:ptCount val="2"/>
                <c:pt idx="0">
                  <c:v>6.5789473684210523E-3</c:v>
                </c:pt>
                <c:pt idx="1">
                  <c:v>8.6206896551724223E-3</c:v>
                </c:pt>
              </c:numCache>
            </c:numRef>
          </c:val>
        </c:ser>
        <c:ser>
          <c:idx val="1"/>
          <c:order val="1"/>
          <c:tx>
            <c:strRef>
              <c:f>placements!$I$54</c:f>
              <c:strCache>
                <c:ptCount val="1"/>
                <c:pt idx="0">
                  <c:v>Corrects</c:v>
                </c:pt>
              </c:strCache>
            </c:strRef>
          </c:tx>
          <c:spPr>
            <a:solidFill>
              <a:schemeClr val="accent3">
                <a:lumMod val="60000"/>
                <a:lumOff val="40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placements!$J$52:$K$52</c:f>
              <c:strCache>
                <c:ptCount val="2"/>
                <c:pt idx="0">
                  <c:v>Formel</c:v>
                </c:pt>
                <c:pt idx="1">
                  <c:v>Informel</c:v>
                </c:pt>
              </c:strCache>
            </c:strRef>
          </c:cat>
          <c:val>
            <c:numRef>
              <c:f>placements!$J$54:$K$54</c:f>
              <c:numCache>
                <c:formatCode>0.0%</c:formatCode>
                <c:ptCount val="2"/>
                <c:pt idx="0">
                  <c:v>0.19956140350877194</c:v>
                </c:pt>
                <c:pt idx="1">
                  <c:v>0.22413793103448276</c:v>
                </c:pt>
              </c:numCache>
            </c:numRef>
          </c:val>
        </c:ser>
        <c:ser>
          <c:idx val="2"/>
          <c:order val="2"/>
          <c:tx>
            <c:strRef>
              <c:f>placements!$I$55</c:f>
              <c:strCache>
                <c:ptCount val="1"/>
                <c:pt idx="0">
                  <c:v>Faibles</c:v>
                </c:pt>
              </c:strCache>
            </c:strRef>
          </c:tx>
          <c:spPr>
            <a:solidFill>
              <a:schemeClr val="accent6">
                <a:lumMod val="75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placements!$J$52:$K$52</c:f>
              <c:strCache>
                <c:ptCount val="2"/>
                <c:pt idx="0">
                  <c:v>Formel</c:v>
                </c:pt>
                <c:pt idx="1">
                  <c:v>Informel</c:v>
                </c:pt>
              </c:strCache>
            </c:strRef>
          </c:cat>
          <c:val>
            <c:numRef>
              <c:f>placements!$J$55:$K$55</c:f>
              <c:numCache>
                <c:formatCode>0.0%</c:formatCode>
                <c:ptCount val="2"/>
                <c:pt idx="0">
                  <c:v>0.50657894736842102</c:v>
                </c:pt>
                <c:pt idx="1">
                  <c:v>0.61206896551723333</c:v>
                </c:pt>
              </c:numCache>
            </c:numRef>
          </c:val>
        </c:ser>
        <c:ser>
          <c:idx val="3"/>
          <c:order val="3"/>
          <c:tx>
            <c:strRef>
              <c:f>placements!$I$56</c:f>
              <c:strCache>
                <c:ptCount val="1"/>
                <c:pt idx="0">
                  <c:v>Très faibles</c:v>
                </c:pt>
              </c:strCache>
            </c:strRef>
          </c:tx>
          <c:spPr>
            <a:solidFill>
              <a:srgbClr val="FF0000"/>
            </a:solidFill>
          </c:spPr>
          <c:dLbls>
            <c:spPr>
              <a:noFill/>
              <a:ln>
                <a:noFill/>
              </a:ln>
              <a:effectLst/>
            </c:spPr>
            <c:txPr>
              <a:bodyPr/>
              <a:lstStyle/>
              <a:p>
                <a:pPr>
                  <a:defRPr sz="800">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placements!$J$52:$K$52</c:f>
              <c:strCache>
                <c:ptCount val="2"/>
                <c:pt idx="0">
                  <c:v>Formel</c:v>
                </c:pt>
                <c:pt idx="1">
                  <c:v>Informel</c:v>
                </c:pt>
              </c:strCache>
            </c:strRef>
          </c:cat>
          <c:val>
            <c:numRef>
              <c:f>placements!$J$56:$K$56</c:f>
              <c:numCache>
                <c:formatCode>0.0%</c:formatCode>
                <c:ptCount val="2"/>
                <c:pt idx="0">
                  <c:v>0.28728070175439113</c:v>
                </c:pt>
                <c:pt idx="1">
                  <c:v>0.15517241379310345</c:v>
                </c:pt>
              </c:numCache>
            </c:numRef>
          </c:val>
        </c:ser>
        <c:shape val="cylinder"/>
        <c:axId val="213036416"/>
        <c:axId val="213054592"/>
        <c:axId val="0"/>
      </c:bar3DChart>
      <c:catAx>
        <c:axId val="213036416"/>
        <c:scaling>
          <c:orientation val="minMax"/>
        </c:scaling>
        <c:axPos val="l"/>
        <c:numFmt formatCode="General" sourceLinked="0"/>
        <c:tickLblPos val="nextTo"/>
        <c:txPr>
          <a:bodyPr/>
          <a:lstStyle/>
          <a:p>
            <a:pPr>
              <a:defRPr sz="800">
                <a:latin typeface="Book Antiqua" pitchFamily="18" charset="0"/>
              </a:defRPr>
            </a:pPr>
            <a:endParaRPr lang="fr-FR"/>
          </a:p>
        </c:txPr>
        <c:crossAx val="213054592"/>
        <c:crosses val="autoZero"/>
        <c:auto val="1"/>
        <c:lblAlgn val="ctr"/>
        <c:lblOffset val="100"/>
      </c:catAx>
      <c:valAx>
        <c:axId val="213054592"/>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3036416"/>
        <c:crosses val="autoZero"/>
        <c:crossBetween val="between"/>
      </c:valAx>
    </c:plotArea>
    <c:legend>
      <c:legendPos val="r"/>
      <c:layout>
        <c:manualLayout>
          <c:xMode val="edge"/>
          <c:yMode val="edge"/>
          <c:x val="4.0195100612423464E-2"/>
          <c:y val="0.7416573540927357"/>
          <c:w val="0.91258267716535357"/>
          <c:h val="9.11961202773197E-2"/>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9.4833747633397678E-2"/>
          <c:y val="0.10561728395062024"/>
          <c:w val="0.81033250473319951"/>
          <c:h val="0.78876543209879435"/>
        </c:manualLayout>
      </c:layout>
      <c:pie3DChart>
        <c:varyColors val="1"/>
        <c:ser>
          <c:idx val="0"/>
          <c:order val="0"/>
          <c:tx>
            <c:strRef>
              <c:f>Feuil1!$B$1</c:f>
              <c:strCache>
                <c:ptCount val="1"/>
                <c:pt idx="0">
                  <c:v>Ventes</c:v>
                </c:pt>
              </c:strCache>
            </c:strRef>
          </c:tx>
          <c:explosion val="25"/>
          <c:dPt>
            <c:idx val="1"/>
            <c:spPr>
              <a:solidFill>
                <a:srgbClr val="FFC000"/>
              </a:solidFill>
            </c:spPr>
          </c:dPt>
          <c:dPt>
            <c:idx val="5"/>
            <c:spPr>
              <a:solidFill>
                <a:srgbClr val="FF0000"/>
              </a:solidFill>
            </c:spPr>
          </c:dPt>
          <c:dLbls>
            <c:dLbl>
              <c:idx val="0"/>
              <c:layout>
                <c:manualLayout>
                  <c:x val="6.0702919947509551E-2"/>
                  <c:y val="-3.3887951506061796E-2"/>
                </c:manualLayout>
              </c:layout>
              <c:showCatName val="1"/>
              <c:showPercent val="1"/>
              <c:extLst>
                <c:ext xmlns:c15="http://schemas.microsoft.com/office/drawing/2012/chart" uri="{CE6537A1-D6FC-4f65-9D91-7224C49458BB}">
                  <c15:layout/>
                </c:ext>
              </c:extLst>
            </c:dLbl>
            <c:dLbl>
              <c:idx val="1"/>
              <c:layout>
                <c:manualLayout>
                  <c:x val="4.7603445542461573E-3"/>
                  <c:y val="9.525067841096134E-2"/>
                </c:manualLayout>
              </c:layout>
              <c:tx>
                <c:rich>
                  <a:bodyPr/>
                  <a:lstStyle/>
                  <a:p>
                    <a:r>
                      <a:rPr lang="en-US"/>
                      <a:t>Nantissement
12,2%</a:t>
                    </a:r>
                  </a:p>
                </c:rich>
              </c:tx>
              <c:showCatName val="1"/>
              <c:showPercent val="1"/>
              <c:extLst>
                <c:ext xmlns:c15="http://schemas.microsoft.com/office/drawing/2012/chart" uri="{CE6537A1-D6FC-4f65-9D91-7224C49458BB}">
                  <c15:layout/>
                </c:ext>
              </c:extLst>
            </c:dLbl>
            <c:dLbl>
              <c:idx val="2"/>
              <c:layout>
                <c:manualLayout>
                  <c:x val="7.6476598143352904E-3"/>
                  <c:y val="2.6569390690570491E-2"/>
                </c:manualLayout>
              </c:layout>
              <c:tx>
                <c:rich>
                  <a:bodyPr/>
                  <a:lstStyle/>
                  <a:p>
                    <a:r>
                      <a:rPr lang="en-US"/>
                      <a:t>Gages
9,2%</a:t>
                    </a:r>
                  </a:p>
                </c:rich>
              </c:tx>
              <c:showCatName val="1"/>
              <c:showPercent val="1"/>
              <c:extLst>
                <c:ext xmlns:c15="http://schemas.microsoft.com/office/drawing/2012/chart" uri="{CE6537A1-D6FC-4f65-9D91-7224C49458BB}">
                  <c15:layout/>
                </c:ext>
              </c:extLst>
            </c:dLbl>
            <c:dLbl>
              <c:idx val="3"/>
              <c:layout>
                <c:manualLayout>
                  <c:x val="-4.9361447268755831E-3"/>
                  <c:y val="8.9240624582944086E-2"/>
                </c:manualLayout>
              </c:layout>
              <c:tx>
                <c:rich>
                  <a:bodyPr/>
                  <a:lstStyle/>
                  <a:p>
                    <a:r>
                      <a:rPr lang="en-US"/>
                      <a:t>Assurance crédit
14,3%</a:t>
                    </a:r>
                  </a:p>
                </c:rich>
              </c:tx>
              <c:showCatName val="1"/>
              <c:showPercent val="1"/>
              <c:extLst>
                <c:ext xmlns:c15="http://schemas.microsoft.com/office/drawing/2012/chart" uri="{CE6537A1-D6FC-4f65-9D91-7224C49458BB}">
                  <c15:layout/>
                </c:ext>
              </c:extLst>
            </c:dLbl>
            <c:dLbl>
              <c:idx val="4"/>
              <c:layout>
                <c:manualLayout>
                  <c:x val="-4.5162676813051472E-2"/>
                  <c:y val="-7.7693254444891049E-3"/>
                </c:manualLayout>
              </c:layout>
              <c:tx>
                <c:rich>
                  <a:bodyPr/>
                  <a:lstStyle/>
                  <a:p>
                    <a:r>
                      <a:rPr lang="en-US"/>
                      <a:t>Cautions </a:t>
                    </a:r>
                  </a:p>
                  <a:p>
                    <a:r>
                      <a:rPr lang="en-US"/>
                      <a:t>et Avals
28,2%</a:t>
                    </a:r>
                  </a:p>
                </c:rich>
              </c:tx>
              <c:showCatName val="1"/>
              <c:showPercent val="1"/>
              <c:extLst>
                <c:ext xmlns:c15="http://schemas.microsoft.com/office/drawing/2012/chart" uri="{CE6537A1-D6FC-4f65-9D91-7224C49458BB}">
                  <c15:layout/>
                </c:ext>
              </c:extLst>
            </c:dLbl>
            <c:dLbl>
              <c:idx val="5"/>
              <c:layout>
                <c:manualLayout>
                  <c:x val="-3.5502474942310062E-2"/>
                  <c:y val="-1.5021130833222283E-2"/>
                </c:manualLayout>
              </c:layout>
              <c:tx>
                <c:rich>
                  <a:bodyPr/>
                  <a:lstStyle/>
                  <a:p>
                    <a:r>
                      <a:rPr lang="en-US"/>
                      <a:t>Warrantage
0,3%</a:t>
                    </a:r>
                  </a:p>
                </c:rich>
              </c:tx>
              <c:showCatName val="1"/>
              <c:showPercent val="1"/>
              <c:extLst>
                <c:ext xmlns:c15="http://schemas.microsoft.com/office/drawing/2012/chart" uri="{CE6537A1-D6FC-4f65-9D91-7224C49458BB}">
                  <c15:layout/>
                </c:ext>
              </c:extLst>
            </c:dLbl>
            <c:dLbl>
              <c:idx val="6"/>
              <c:layout>
                <c:manualLayout>
                  <c:x val="0.22663278201335937"/>
                  <c:y val="-3.5201543209876812E-2"/>
                </c:manualLayout>
              </c:layout>
              <c:tx>
                <c:rich>
                  <a:bodyPr/>
                  <a:lstStyle/>
                  <a:p>
                    <a:r>
                      <a:rPr lang="en-US"/>
                      <a:t>Autres 
5,8%</a:t>
                    </a:r>
                  </a:p>
                </c:rich>
              </c:tx>
              <c:showCatName val="1"/>
              <c:showPercent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700"/>
                </a:pPr>
                <a:endParaRPr lang="fr-FR"/>
              </a:p>
            </c:txPr>
            <c:showCatName val="1"/>
            <c:showPercent val="1"/>
            <c:showLeaderLines val="1"/>
            <c:extLst>
              <c:ext xmlns:c15="http://schemas.microsoft.com/office/drawing/2012/chart" uri="{CE6537A1-D6FC-4f65-9D91-7224C49458BB}"/>
            </c:extLst>
          </c:dLbls>
          <c:cat>
            <c:strRef>
              <c:f>Feuil1!$A$2:$A$8</c:f>
              <c:strCache>
                <c:ptCount val="7"/>
                <c:pt idx="0">
                  <c:v>Hypothèques</c:v>
                </c:pt>
                <c:pt idx="1">
                  <c:v>Nantissement</c:v>
                </c:pt>
                <c:pt idx="2">
                  <c:v>Gages</c:v>
                </c:pt>
                <c:pt idx="3">
                  <c:v>Assurance crédit</c:v>
                </c:pt>
                <c:pt idx="4">
                  <c:v>Cautions et Avals</c:v>
                </c:pt>
                <c:pt idx="5">
                  <c:v>Warrantage</c:v>
                </c:pt>
                <c:pt idx="6">
                  <c:v>Autres (Préciser)</c:v>
                </c:pt>
              </c:strCache>
            </c:strRef>
          </c:cat>
          <c:val>
            <c:numRef>
              <c:f>Feuil1!$B$2:$B$8</c:f>
              <c:numCache>
                <c:formatCode>###0.0%</c:formatCode>
                <c:ptCount val="7"/>
                <c:pt idx="0">
                  <c:v>0.300148588410104</c:v>
                </c:pt>
                <c:pt idx="1">
                  <c:v>0.12184249628529002</c:v>
                </c:pt>
                <c:pt idx="2">
                  <c:v>9.2124814264487528E-2</c:v>
                </c:pt>
                <c:pt idx="3">
                  <c:v>0.14264487369985138</c:v>
                </c:pt>
                <c:pt idx="4">
                  <c:v>0.28231797919763868</c:v>
                </c:pt>
                <c:pt idx="5" formatCode="####.0%">
                  <c:v>2.9717682020802402E-3</c:v>
                </c:pt>
                <c:pt idx="6">
                  <c:v>5.7949479940564631E-2</c:v>
                </c:pt>
              </c:numCache>
            </c:numRef>
          </c:val>
        </c:ser>
        <c:dLbls>
          <c:showCatName val="1"/>
          <c:showPercent val="1"/>
        </c:dLbls>
      </c:pie3DChart>
    </c:plotArea>
    <c:plotVisOnly val="1"/>
    <c:dispBlanksAs val="zero"/>
  </c:chart>
  <c:txPr>
    <a:bodyPr/>
    <a:lstStyle/>
    <a:p>
      <a:pPr>
        <a:defRPr sz="800" b="1">
          <a:latin typeface="Book Antiqua" pitchFamily="18" charset="0"/>
        </a:defRPr>
      </a:pPr>
      <a:endParaRPr lang="fr-FR"/>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8620717331514094"/>
          <c:y val="4.1068702290076337E-2"/>
          <c:w val="0.75509092982528492"/>
          <c:h val="0.67499094548004002"/>
        </c:manualLayout>
      </c:layout>
      <c:bar3DChart>
        <c:barDir val="bar"/>
        <c:grouping val="percentStacked"/>
        <c:ser>
          <c:idx val="0"/>
          <c:order val="0"/>
          <c:tx>
            <c:strRef>
              <c:f>garanties!$R$78</c:f>
              <c:strCache>
                <c:ptCount val="1"/>
                <c:pt idx="0">
                  <c:v>Hypothèques</c:v>
                </c:pt>
              </c:strCache>
            </c:strRef>
          </c:tx>
          <c:spPr>
            <a:solidFill>
              <a:schemeClr val="accent6">
                <a:lumMod val="75000"/>
              </a:schemeClr>
            </a:solidFill>
          </c:spPr>
          <c:dLbls>
            <c:dLbl>
              <c:idx val="0"/>
              <c:showVal val="1"/>
              <c:extLst>
                <c:ext xmlns:c15="http://schemas.microsoft.com/office/drawing/2012/chart" uri="{CE6537A1-D6FC-4f65-9D91-7224C49458BB}"/>
              </c:extLst>
            </c:dLbl>
            <c:dLbl>
              <c:idx val="1"/>
              <c:showVal val="1"/>
              <c:extLst>
                <c:ext xmlns:c15="http://schemas.microsoft.com/office/drawing/2012/chart" uri="{CE6537A1-D6FC-4f65-9D91-7224C49458BB}"/>
              </c:extLst>
            </c:dLbl>
            <c:dLbl>
              <c:idx val="2"/>
              <c:showVal val="1"/>
              <c:extLst>
                <c:ext xmlns:c15="http://schemas.microsoft.com/office/drawing/2012/chart" uri="{CE6537A1-D6FC-4f65-9D91-7224C49458BB}"/>
              </c:extLst>
            </c:dLbl>
            <c:dLbl>
              <c:idx val="4"/>
              <c:showVal val="1"/>
              <c:extLst>
                <c:ext xmlns:c15="http://schemas.microsoft.com/office/drawing/2012/chart" uri="{CE6537A1-D6FC-4f65-9D91-7224C49458BB}"/>
              </c:extLst>
            </c:dLbl>
            <c:dLbl>
              <c:idx val="5"/>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garanties!$S$77:$X$77</c:f>
              <c:strCache>
                <c:ptCount val="6"/>
                <c:pt idx="0">
                  <c:v>SARL</c:v>
                </c:pt>
                <c:pt idx="1">
                  <c:v>SU</c:v>
                </c:pt>
                <c:pt idx="2">
                  <c:v>SA</c:v>
                </c:pt>
                <c:pt idx="3">
                  <c:v>SNC</c:v>
                </c:pt>
                <c:pt idx="4">
                  <c:v>GIE</c:v>
                </c:pt>
                <c:pt idx="5">
                  <c:v>Autre</c:v>
                </c:pt>
              </c:strCache>
            </c:strRef>
          </c:cat>
          <c:val>
            <c:numRef>
              <c:f>garanties!$S$78:$X$78</c:f>
              <c:numCache>
                <c:formatCode>0.0%</c:formatCode>
                <c:ptCount val="6"/>
                <c:pt idx="0">
                  <c:v>0.43421052631578982</c:v>
                </c:pt>
                <c:pt idx="1">
                  <c:v>0.2510460251046065</c:v>
                </c:pt>
                <c:pt idx="2">
                  <c:v>0.33333333333333331</c:v>
                </c:pt>
                <c:pt idx="3">
                  <c:v>0.5</c:v>
                </c:pt>
                <c:pt idx="4">
                  <c:v>0.15200000000000041</c:v>
                </c:pt>
                <c:pt idx="5">
                  <c:v>0.39705882352942079</c:v>
                </c:pt>
              </c:numCache>
            </c:numRef>
          </c:val>
        </c:ser>
        <c:ser>
          <c:idx val="1"/>
          <c:order val="1"/>
          <c:tx>
            <c:strRef>
              <c:f>garanties!$R$79</c:f>
              <c:strCache>
                <c:ptCount val="1"/>
                <c:pt idx="0">
                  <c:v>Nantissement</c:v>
                </c:pt>
              </c:strCache>
            </c:strRef>
          </c:tx>
          <c:dLbls>
            <c:txPr>
              <a:bodyPr/>
              <a:lstStyle/>
              <a:p>
                <a:pPr>
                  <a:defRPr sz="800" b="1">
                    <a:latin typeface="Book Antiqua" pitchFamily="18" charset="0"/>
                  </a:defRPr>
                </a:pPr>
                <a:endParaRPr lang="fr-FR"/>
              </a:p>
            </c:txPr>
            <c:showVal val="1"/>
          </c:dLbls>
          <c:cat>
            <c:strRef>
              <c:f>garanties!$S$77:$X$77</c:f>
              <c:strCache>
                <c:ptCount val="6"/>
                <c:pt idx="0">
                  <c:v>SARL</c:v>
                </c:pt>
                <c:pt idx="1">
                  <c:v>SU</c:v>
                </c:pt>
                <c:pt idx="2">
                  <c:v>SA</c:v>
                </c:pt>
                <c:pt idx="3">
                  <c:v>SNC</c:v>
                </c:pt>
                <c:pt idx="4">
                  <c:v>GIE</c:v>
                </c:pt>
                <c:pt idx="5">
                  <c:v>Autre</c:v>
                </c:pt>
              </c:strCache>
            </c:strRef>
          </c:cat>
          <c:val>
            <c:numRef>
              <c:f>garanties!$S$79:$X$79</c:f>
              <c:numCache>
                <c:formatCode>0.0%</c:formatCode>
                <c:ptCount val="6"/>
                <c:pt idx="0">
                  <c:v>0.125</c:v>
                </c:pt>
                <c:pt idx="1">
                  <c:v>0.13389121338912141</c:v>
                </c:pt>
                <c:pt idx="2">
                  <c:v>0.12643678160919541</c:v>
                </c:pt>
                <c:pt idx="3">
                  <c:v>0</c:v>
                </c:pt>
                <c:pt idx="4">
                  <c:v>0.12000000000000002</c:v>
                </c:pt>
                <c:pt idx="5">
                  <c:v>7.3529411764705885E-2</c:v>
                </c:pt>
              </c:numCache>
            </c:numRef>
          </c:val>
        </c:ser>
        <c:ser>
          <c:idx val="2"/>
          <c:order val="2"/>
          <c:tx>
            <c:strRef>
              <c:f>garanties!$R$80</c:f>
              <c:strCache>
                <c:ptCount val="1"/>
                <c:pt idx="0">
                  <c:v>Gages</c:v>
                </c:pt>
              </c:strCache>
            </c:strRef>
          </c:tx>
          <c:cat>
            <c:strRef>
              <c:f>garanties!$S$77:$X$77</c:f>
              <c:strCache>
                <c:ptCount val="6"/>
                <c:pt idx="0">
                  <c:v>SARL</c:v>
                </c:pt>
                <c:pt idx="1">
                  <c:v>SU</c:v>
                </c:pt>
                <c:pt idx="2">
                  <c:v>SA</c:v>
                </c:pt>
                <c:pt idx="3">
                  <c:v>SNC</c:v>
                </c:pt>
                <c:pt idx="4">
                  <c:v>GIE</c:v>
                </c:pt>
                <c:pt idx="5">
                  <c:v>Autre</c:v>
                </c:pt>
              </c:strCache>
            </c:strRef>
          </c:cat>
          <c:val>
            <c:numRef>
              <c:f>garanties!$S$80:$X$80</c:f>
              <c:numCache>
                <c:formatCode>0.0%</c:formatCode>
                <c:ptCount val="6"/>
                <c:pt idx="0">
                  <c:v>0.10526315789473686</c:v>
                </c:pt>
                <c:pt idx="1">
                  <c:v>9.6234309623431047E-2</c:v>
                </c:pt>
                <c:pt idx="2">
                  <c:v>9.1954022988505746E-2</c:v>
                </c:pt>
                <c:pt idx="3">
                  <c:v>0</c:v>
                </c:pt>
                <c:pt idx="4">
                  <c:v>0.10400000000000002</c:v>
                </c:pt>
                <c:pt idx="5">
                  <c:v>2.9411764705882353E-2</c:v>
                </c:pt>
              </c:numCache>
            </c:numRef>
          </c:val>
        </c:ser>
        <c:ser>
          <c:idx val="3"/>
          <c:order val="3"/>
          <c:tx>
            <c:strRef>
              <c:f>garanties!$R$81</c:f>
              <c:strCache>
                <c:ptCount val="1"/>
                <c:pt idx="0">
                  <c:v>Assurance crédit</c:v>
                </c:pt>
              </c:strCache>
            </c:strRef>
          </c:tx>
          <c:dLbls>
            <c:dLbl>
              <c:idx val="4"/>
              <c:showVal val="1"/>
              <c:extLst>
                <c:ext xmlns:c15="http://schemas.microsoft.com/office/drawing/2012/chart" uri="{CE6537A1-D6FC-4f65-9D91-7224C49458BB}"/>
              </c:extLst>
            </c:dLbl>
            <c:dLbl>
              <c:idx val="5"/>
              <c:showVal val="1"/>
            </c:dLbl>
            <c:delete val="1"/>
            <c:extLst>
              <c:ext xmlns:c15="http://schemas.microsoft.com/office/drawing/2012/chart" uri="{CE6537A1-D6FC-4f65-9D91-7224C49458BB}">
                <c15:showLeaderLines val="0"/>
              </c:ext>
            </c:extLst>
          </c:dLbls>
          <c:cat>
            <c:strRef>
              <c:f>garanties!$S$77:$X$77</c:f>
              <c:strCache>
                <c:ptCount val="6"/>
                <c:pt idx="0">
                  <c:v>SARL</c:v>
                </c:pt>
                <c:pt idx="1">
                  <c:v>SU</c:v>
                </c:pt>
                <c:pt idx="2">
                  <c:v>SA</c:v>
                </c:pt>
                <c:pt idx="3">
                  <c:v>SNC</c:v>
                </c:pt>
                <c:pt idx="4">
                  <c:v>GIE</c:v>
                </c:pt>
                <c:pt idx="5">
                  <c:v>Autre</c:v>
                </c:pt>
              </c:strCache>
            </c:strRef>
          </c:cat>
          <c:val>
            <c:numRef>
              <c:f>garanties!$S$81:$X$81</c:f>
              <c:numCache>
                <c:formatCode>0.0%</c:formatCode>
                <c:ptCount val="6"/>
                <c:pt idx="0">
                  <c:v>0.11842105263158054</c:v>
                </c:pt>
                <c:pt idx="1">
                  <c:v>0.16317991631799164</c:v>
                </c:pt>
                <c:pt idx="2">
                  <c:v>0.12643678160919541</c:v>
                </c:pt>
                <c:pt idx="3">
                  <c:v>0.5</c:v>
                </c:pt>
                <c:pt idx="4">
                  <c:v>0.15200000000000041</c:v>
                </c:pt>
                <c:pt idx="5">
                  <c:v>0.11764705882352942</c:v>
                </c:pt>
              </c:numCache>
            </c:numRef>
          </c:val>
        </c:ser>
        <c:ser>
          <c:idx val="4"/>
          <c:order val="4"/>
          <c:tx>
            <c:strRef>
              <c:f>garanties!$R$82</c:f>
              <c:strCache>
                <c:ptCount val="1"/>
                <c:pt idx="0">
                  <c:v>Cautions et Avals</c:v>
                </c:pt>
              </c:strCache>
            </c:strRef>
          </c:tx>
          <c:spPr>
            <a:solidFill>
              <a:srgbClr val="FFFF00"/>
            </a:solidFill>
          </c:spPr>
          <c:dLbls>
            <c:dLbl>
              <c:idx val="0"/>
              <c:showVal val="1"/>
              <c:extLst>
                <c:ext xmlns:c15="http://schemas.microsoft.com/office/drawing/2012/chart" uri="{CE6537A1-D6FC-4f65-9D91-7224C49458BB}"/>
              </c:extLst>
            </c:dLbl>
            <c:dLbl>
              <c:idx val="1"/>
              <c:showVal val="1"/>
              <c:extLst>
                <c:ext xmlns:c15="http://schemas.microsoft.com/office/drawing/2012/chart" uri="{CE6537A1-D6FC-4f65-9D91-7224C49458BB}"/>
              </c:extLst>
            </c:dLbl>
            <c:dLbl>
              <c:idx val="2"/>
              <c:showVal val="1"/>
              <c:extLst>
                <c:ext xmlns:c15="http://schemas.microsoft.com/office/drawing/2012/chart" uri="{CE6537A1-D6FC-4f65-9D91-7224C49458BB}"/>
              </c:extLst>
            </c:dLbl>
            <c:dLbl>
              <c:idx val="4"/>
              <c:showVal val="1"/>
              <c:extLst>
                <c:ext xmlns:c15="http://schemas.microsoft.com/office/drawing/2012/chart" uri="{CE6537A1-D6FC-4f65-9D91-7224C49458BB}"/>
              </c:extLst>
            </c:dLbl>
            <c:dLbl>
              <c:idx val="5"/>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garanties!$S$77:$X$77</c:f>
              <c:strCache>
                <c:ptCount val="6"/>
                <c:pt idx="0">
                  <c:v>SARL</c:v>
                </c:pt>
                <c:pt idx="1">
                  <c:v>SU</c:v>
                </c:pt>
                <c:pt idx="2">
                  <c:v>SA</c:v>
                </c:pt>
                <c:pt idx="3">
                  <c:v>SNC</c:v>
                </c:pt>
                <c:pt idx="4">
                  <c:v>GIE</c:v>
                </c:pt>
                <c:pt idx="5">
                  <c:v>Autre</c:v>
                </c:pt>
              </c:strCache>
            </c:strRef>
          </c:cat>
          <c:val>
            <c:numRef>
              <c:f>garanties!$S$82:$X$82</c:f>
              <c:numCache>
                <c:formatCode>0.0%</c:formatCode>
                <c:ptCount val="6"/>
                <c:pt idx="0">
                  <c:v>0.15789473684210936</c:v>
                </c:pt>
                <c:pt idx="1">
                  <c:v>0.30125523012552274</c:v>
                </c:pt>
                <c:pt idx="2">
                  <c:v>0.27586206896552196</c:v>
                </c:pt>
                <c:pt idx="3">
                  <c:v>0</c:v>
                </c:pt>
                <c:pt idx="4">
                  <c:v>0.43200000000000038</c:v>
                </c:pt>
                <c:pt idx="5">
                  <c:v>0.2352941176470589</c:v>
                </c:pt>
              </c:numCache>
            </c:numRef>
          </c:val>
        </c:ser>
        <c:ser>
          <c:idx val="5"/>
          <c:order val="5"/>
          <c:tx>
            <c:strRef>
              <c:f>garanties!$R$83</c:f>
              <c:strCache>
                <c:ptCount val="1"/>
                <c:pt idx="0">
                  <c:v>Warrantage</c:v>
                </c:pt>
              </c:strCache>
            </c:strRef>
          </c:tx>
          <c:cat>
            <c:strRef>
              <c:f>garanties!$S$77:$X$77</c:f>
              <c:strCache>
                <c:ptCount val="6"/>
                <c:pt idx="0">
                  <c:v>SARL</c:v>
                </c:pt>
                <c:pt idx="1">
                  <c:v>SU</c:v>
                </c:pt>
                <c:pt idx="2">
                  <c:v>SA</c:v>
                </c:pt>
                <c:pt idx="3">
                  <c:v>SNC</c:v>
                </c:pt>
                <c:pt idx="4">
                  <c:v>GIE</c:v>
                </c:pt>
                <c:pt idx="5">
                  <c:v>Autre</c:v>
                </c:pt>
              </c:strCache>
            </c:strRef>
          </c:cat>
          <c:val>
            <c:numRef>
              <c:f>garanties!$S$83:$X$83</c:f>
              <c:numCache>
                <c:formatCode>0.0%</c:formatCode>
                <c:ptCount val="6"/>
                <c:pt idx="0">
                  <c:v>0</c:v>
                </c:pt>
                <c:pt idx="1">
                  <c:v>0</c:v>
                </c:pt>
                <c:pt idx="2">
                  <c:v>1.1494252873563218E-2</c:v>
                </c:pt>
                <c:pt idx="3">
                  <c:v>0</c:v>
                </c:pt>
                <c:pt idx="4">
                  <c:v>0</c:v>
                </c:pt>
                <c:pt idx="5">
                  <c:v>1.4705882352941176E-2</c:v>
                </c:pt>
              </c:numCache>
            </c:numRef>
          </c:val>
        </c:ser>
        <c:ser>
          <c:idx val="6"/>
          <c:order val="6"/>
          <c:tx>
            <c:strRef>
              <c:f>garanties!$R$84</c:f>
              <c:strCache>
                <c:ptCount val="1"/>
                <c:pt idx="0">
                  <c:v>Autres </c:v>
                </c:pt>
              </c:strCache>
            </c:strRef>
          </c:tx>
          <c:dLbls>
            <c:txPr>
              <a:bodyPr/>
              <a:lstStyle/>
              <a:p>
                <a:pPr>
                  <a:defRPr sz="800" b="1">
                    <a:latin typeface="Book Antiqua" pitchFamily="18" charset="0"/>
                  </a:defRPr>
                </a:pPr>
                <a:endParaRPr lang="fr-FR"/>
              </a:p>
            </c:txPr>
            <c:showVal val="1"/>
          </c:dLbls>
          <c:cat>
            <c:strRef>
              <c:f>garanties!$S$77:$X$77</c:f>
              <c:strCache>
                <c:ptCount val="6"/>
                <c:pt idx="0">
                  <c:v>SARL</c:v>
                </c:pt>
                <c:pt idx="1">
                  <c:v>SU</c:v>
                </c:pt>
                <c:pt idx="2">
                  <c:v>SA</c:v>
                </c:pt>
                <c:pt idx="3">
                  <c:v>SNC</c:v>
                </c:pt>
                <c:pt idx="4">
                  <c:v>GIE</c:v>
                </c:pt>
                <c:pt idx="5">
                  <c:v>Autre</c:v>
                </c:pt>
              </c:strCache>
            </c:strRef>
          </c:cat>
          <c:val>
            <c:numRef>
              <c:f>garanties!$S$84:$X$84</c:f>
              <c:numCache>
                <c:formatCode>0.0%</c:formatCode>
                <c:ptCount val="6"/>
                <c:pt idx="0">
                  <c:v>5.9210526315789484E-2</c:v>
                </c:pt>
                <c:pt idx="1">
                  <c:v>5.4393305439331803E-2</c:v>
                </c:pt>
                <c:pt idx="2">
                  <c:v>3.4482758620689655E-2</c:v>
                </c:pt>
                <c:pt idx="3">
                  <c:v>0</c:v>
                </c:pt>
                <c:pt idx="4">
                  <c:v>4.0000000000000022E-2</c:v>
                </c:pt>
                <c:pt idx="5">
                  <c:v>0.132352941176473</c:v>
                </c:pt>
              </c:numCache>
            </c:numRef>
          </c:val>
        </c:ser>
        <c:shape val="cylinder"/>
        <c:axId val="213399424"/>
        <c:axId val="213400960"/>
        <c:axId val="0"/>
      </c:bar3DChart>
      <c:catAx>
        <c:axId val="213399424"/>
        <c:scaling>
          <c:orientation val="minMax"/>
        </c:scaling>
        <c:axPos val="l"/>
        <c:numFmt formatCode="General" sourceLinked="0"/>
        <c:tickLblPos val="nextTo"/>
        <c:txPr>
          <a:bodyPr/>
          <a:lstStyle/>
          <a:p>
            <a:pPr>
              <a:defRPr sz="800">
                <a:latin typeface="Book Antiqua" pitchFamily="18" charset="0"/>
              </a:defRPr>
            </a:pPr>
            <a:endParaRPr lang="fr-FR"/>
          </a:p>
        </c:txPr>
        <c:crossAx val="213400960"/>
        <c:crosses val="autoZero"/>
        <c:auto val="1"/>
        <c:lblAlgn val="ctr"/>
        <c:lblOffset val="100"/>
      </c:catAx>
      <c:valAx>
        <c:axId val="213400960"/>
        <c:scaling>
          <c:orientation val="minMax"/>
        </c:scaling>
        <c:axPos val="b"/>
        <c:majorGridlines/>
        <c:numFmt formatCode="0%" sourceLinked="1"/>
        <c:tickLblPos val="nextTo"/>
        <c:txPr>
          <a:bodyPr/>
          <a:lstStyle/>
          <a:p>
            <a:pPr>
              <a:defRPr sz="800">
                <a:latin typeface="Book Antiqua" pitchFamily="18" charset="0"/>
              </a:defRPr>
            </a:pPr>
            <a:endParaRPr lang="fr-FR"/>
          </a:p>
        </c:txPr>
        <c:crossAx val="213399424"/>
        <c:crosses val="autoZero"/>
        <c:crossBetween val="between"/>
      </c:valAx>
    </c:plotArea>
    <c:legend>
      <c:legendPos val="r"/>
      <c:layout>
        <c:manualLayout>
          <c:xMode val="edge"/>
          <c:yMode val="edge"/>
          <c:x val="1.7280650751890579E-2"/>
          <c:y val="0.83051030834886097"/>
          <c:w val="0.96375648048933393"/>
          <c:h val="0.11624050810442588"/>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8.6445711429145117E-2"/>
          <c:y val="3.7500402259247514E-2"/>
          <c:w val="0.85061003956475489"/>
          <c:h val="0.68946692314348268"/>
        </c:manualLayout>
      </c:layout>
      <c:bar3DChart>
        <c:barDir val="col"/>
        <c:grouping val="clustered"/>
        <c:ser>
          <c:idx val="0"/>
          <c:order val="0"/>
          <c:tx>
            <c:strRef>
              <c:f>garanties!$G$146</c:f>
              <c:strCache>
                <c:ptCount val="1"/>
                <c:pt idx="0">
                  <c:v>Hypothèques</c:v>
                </c:pt>
              </c:strCache>
            </c:strRef>
          </c:tx>
          <c:spPr>
            <a:solidFill>
              <a:schemeClr val="accent6">
                <a:lumMod val="75000"/>
              </a:schemeClr>
            </a:solidFill>
          </c:spPr>
          <c:cat>
            <c:strRef>
              <c:f>garanties!$H$145:$I$145</c:f>
              <c:strCache>
                <c:ptCount val="2"/>
                <c:pt idx="0">
                  <c:v>Formel</c:v>
                </c:pt>
                <c:pt idx="1">
                  <c:v>Informel</c:v>
                </c:pt>
              </c:strCache>
            </c:strRef>
          </c:cat>
          <c:val>
            <c:numRef>
              <c:f>garanties!$H$146:$I$146</c:f>
              <c:numCache>
                <c:formatCode>0.0%</c:formatCode>
                <c:ptCount val="2"/>
                <c:pt idx="0">
                  <c:v>0.3311111111111113</c:v>
                </c:pt>
                <c:pt idx="1">
                  <c:v>0.26500000000000001</c:v>
                </c:pt>
              </c:numCache>
            </c:numRef>
          </c:val>
        </c:ser>
        <c:ser>
          <c:idx val="1"/>
          <c:order val="1"/>
          <c:tx>
            <c:strRef>
              <c:f>garanties!$G$147</c:f>
              <c:strCache>
                <c:ptCount val="1"/>
                <c:pt idx="0">
                  <c:v>Nantissement</c:v>
                </c:pt>
              </c:strCache>
            </c:strRef>
          </c:tx>
          <c:cat>
            <c:strRef>
              <c:f>garanties!$H$145:$I$145</c:f>
              <c:strCache>
                <c:ptCount val="2"/>
                <c:pt idx="0">
                  <c:v>Formel</c:v>
                </c:pt>
                <c:pt idx="1">
                  <c:v>Informel</c:v>
                </c:pt>
              </c:strCache>
            </c:strRef>
          </c:cat>
          <c:val>
            <c:numRef>
              <c:f>garanties!$H$147:$I$147</c:f>
              <c:numCache>
                <c:formatCode>0.0%</c:formatCode>
                <c:ptCount val="2"/>
                <c:pt idx="0">
                  <c:v>0.14444444444444915</c:v>
                </c:pt>
                <c:pt idx="1">
                  <c:v>8.5000000000000006E-2</c:v>
                </c:pt>
              </c:numCache>
            </c:numRef>
          </c:val>
        </c:ser>
        <c:ser>
          <c:idx val="2"/>
          <c:order val="2"/>
          <c:tx>
            <c:strRef>
              <c:f>garanties!$G$148</c:f>
              <c:strCache>
                <c:ptCount val="1"/>
                <c:pt idx="0">
                  <c:v>Gages</c:v>
                </c:pt>
              </c:strCache>
            </c:strRef>
          </c:tx>
          <c:cat>
            <c:strRef>
              <c:f>garanties!$H$145:$I$145</c:f>
              <c:strCache>
                <c:ptCount val="2"/>
                <c:pt idx="0">
                  <c:v>Formel</c:v>
                </c:pt>
                <c:pt idx="1">
                  <c:v>Informel</c:v>
                </c:pt>
              </c:strCache>
            </c:strRef>
          </c:cat>
          <c:val>
            <c:numRef>
              <c:f>garanties!$H$148:$I$148</c:f>
              <c:numCache>
                <c:formatCode>0.0%</c:formatCode>
                <c:ptCount val="2"/>
                <c:pt idx="0">
                  <c:v>7.7777777777777779E-2</c:v>
                </c:pt>
                <c:pt idx="1">
                  <c:v>0.13</c:v>
                </c:pt>
              </c:numCache>
            </c:numRef>
          </c:val>
        </c:ser>
        <c:ser>
          <c:idx val="3"/>
          <c:order val="3"/>
          <c:tx>
            <c:strRef>
              <c:f>garanties!$G$149</c:f>
              <c:strCache>
                <c:ptCount val="1"/>
                <c:pt idx="0">
                  <c:v>Assurance crédit</c:v>
                </c:pt>
              </c:strCache>
            </c:strRef>
          </c:tx>
          <c:cat>
            <c:strRef>
              <c:f>garanties!$H$145:$I$145</c:f>
              <c:strCache>
                <c:ptCount val="2"/>
                <c:pt idx="0">
                  <c:v>Formel</c:v>
                </c:pt>
                <c:pt idx="1">
                  <c:v>Informel</c:v>
                </c:pt>
              </c:strCache>
            </c:strRef>
          </c:cat>
          <c:val>
            <c:numRef>
              <c:f>garanties!$H$149:$I$149</c:f>
              <c:numCache>
                <c:formatCode>0.0%</c:formatCode>
                <c:ptCount val="2"/>
                <c:pt idx="0">
                  <c:v>0.14000000000000001</c:v>
                </c:pt>
                <c:pt idx="1">
                  <c:v>0.15500000000000044</c:v>
                </c:pt>
              </c:numCache>
            </c:numRef>
          </c:val>
        </c:ser>
        <c:ser>
          <c:idx val="4"/>
          <c:order val="4"/>
          <c:tx>
            <c:strRef>
              <c:f>garanties!$G$150</c:f>
              <c:strCache>
                <c:ptCount val="1"/>
                <c:pt idx="0">
                  <c:v>Cautions et Avals</c:v>
                </c:pt>
              </c:strCache>
            </c:strRef>
          </c:tx>
          <c:spPr>
            <a:solidFill>
              <a:srgbClr val="FFFF00"/>
            </a:solidFill>
          </c:spPr>
          <c:cat>
            <c:strRef>
              <c:f>garanties!$H$145:$I$145</c:f>
              <c:strCache>
                <c:ptCount val="2"/>
                <c:pt idx="0">
                  <c:v>Formel</c:v>
                </c:pt>
                <c:pt idx="1">
                  <c:v>Informel</c:v>
                </c:pt>
              </c:strCache>
            </c:strRef>
          </c:cat>
          <c:val>
            <c:numRef>
              <c:f>garanties!$H$150:$I$150</c:f>
              <c:numCache>
                <c:formatCode>0.0%</c:formatCode>
                <c:ptCount val="2"/>
                <c:pt idx="0">
                  <c:v>0.24444444444444954</c:v>
                </c:pt>
                <c:pt idx="1">
                  <c:v>0.315000000000004</c:v>
                </c:pt>
              </c:numCache>
            </c:numRef>
          </c:val>
        </c:ser>
        <c:ser>
          <c:idx val="5"/>
          <c:order val="5"/>
          <c:tx>
            <c:strRef>
              <c:f>garanties!$G$151</c:f>
              <c:strCache>
                <c:ptCount val="1"/>
                <c:pt idx="0">
                  <c:v>Warrantage</c:v>
                </c:pt>
              </c:strCache>
            </c:strRef>
          </c:tx>
          <c:cat>
            <c:strRef>
              <c:f>garanties!$H$145:$I$145</c:f>
              <c:strCache>
                <c:ptCount val="2"/>
                <c:pt idx="0">
                  <c:v>Formel</c:v>
                </c:pt>
                <c:pt idx="1">
                  <c:v>Informel</c:v>
                </c:pt>
              </c:strCache>
            </c:strRef>
          </c:cat>
          <c:val>
            <c:numRef>
              <c:f>garanties!$H$151:$I$151</c:f>
              <c:numCache>
                <c:formatCode>0.0%</c:formatCode>
                <c:ptCount val="2"/>
                <c:pt idx="0">
                  <c:v>2.2222222222222292E-3</c:v>
                </c:pt>
                <c:pt idx="1">
                  <c:v>0</c:v>
                </c:pt>
              </c:numCache>
            </c:numRef>
          </c:val>
        </c:ser>
        <c:ser>
          <c:idx val="6"/>
          <c:order val="6"/>
          <c:tx>
            <c:strRef>
              <c:f>garanties!$G$152</c:f>
              <c:strCache>
                <c:ptCount val="1"/>
                <c:pt idx="0">
                  <c:v>Autres </c:v>
                </c:pt>
              </c:strCache>
            </c:strRef>
          </c:tx>
          <c:cat>
            <c:strRef>
              <c:f>garanties!$H$145:$I$145</c:f>
              <c:strCache>
                <c:ptCount val="2"/>
                <c:pt idx="0">
                  <c:v>Formel</c:v>
                </c:pt>
                <c:pt idx="1">
                  <c:v>Informel</c:v>
                </c:pt>
              </c:strCache>
            </c:strRef>
          </c:cat>
          <c:val>
            <c:numRef>
              <c:f>garanties!$H$152:$I$152</c:f>
              <c:numCache>
                <c:formatCode>0.0%</c:formatCode>
                <c:ptCount val="2"/>
                <c:pt idx="0">
                  <c:v>6.0000000000000032E-2</c:v>
                </c:pt>
                <c:pt idx="1">
                  <c:v>0.05</c:v>
                </c:pt>
              </c:numCache>
            </c:numRef>
          </c:val>
        </c:ser>
        <c:shape val="cylinder"/>
        <c:axId val="213536768"/>
        <c:axId val="213538304"/>
        <c:axId val="0"/>
      </c:bar3DChart>
      <c:catAx>
        <c:axId val="213536768"/>
        <c:scaling>
          <c:orientation val="minMax"/>
        </c:scaling>
        <c:axPos val="b"/>
        <c:numFmt formatCode="General" sourceLinked="0"/>
        <c:tickLblPos val="nextTo"/>
        <c:txPr>
          <a:bodyPr/>
          <a:lstStyle/>
          <a:p>
            <a:pPr>
              <a:defRPr sz="800">
                <a:latin typeface="Book Antiqua" pitchFamily="18" charset="0"/>
              </a:defRPr>
            </a:pPr>
            <a:endParaRPr lang="fr-FR"/>
          </a:p>
        </c:txPr>
        <c:crossAx val="213538304"/>
        <c:crosses val="autoZero"/>
        <c:auto val="1"/>
        <c:lblAlgn val="ctr"/>
        <c:lblOffset val="100"/>
      </c:catAx>
      <c:valAx>
        <c:axId val="213538304"/>
        <c:scaling>
          <c:orientation val="minMax"/>
        </c:scaling>
        <c:axPos val="l"/>
        <c:majorGridlines/>
        <c:numFmt formatCode="0.0%" sourceLinked="1"/>
        <c:tickLblPos val="nextTo"/>
        <c:txPr>
          <a:bodyPr/>
          <a:lstStyle/>
          <a:p>
            <a:pPr>
              <a:defRPr sz="800">
                <a:latin typeface="Book Antiqua" pitchFamily="18" charset="0"/>
              </a:defRPr>
            </a:pPr>
            <a:endParaRPr lang="fr-FR"/>
          </a:p>
        </c:txPr>
        <c:crossAx val="213536768"/>
        <c:crosses val="autoZero"/>
        <c:crossBetween val="between"/>
      </c:valAx>
    </c:plotArea>
    <c:legend>
      <c:legendPos val="r"/>
      <c:layout>
        <c:manualLayout>
          <c:xMode val="edge"/>
          <c:yMode val="edge"/>
          <c:x val="4.7475147891884555E-2"/>
          <c:y val="0.84558359394743832"/>
          <c:w val="0.89308365293329561"/>
          <c:h val="6.4768345895911933E-2"/>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9.3055555555560054E-2"/>
          <c:y val="0.10645742198891812"/>
          <c:w val="0.81388888888889765"/>
          <c:h val="0.67559018664335335"/>
        </c:manualLayout>
      </c:layout>
      <c:pie3DChart>
        <c:varyColors val="1"/>
        <c:ser>
          <c:idx val="0"/>
          <c:order val="0"/>
          <c:dLbls>
            <c:dLbl>
              <c:idx val="0"/>
              <c:layout>
                <c:manualLayout>
                  <c:x val="6.1111111111111324E-2"/>
                  <c:y val="-6.4814814814817517E-2"/>
                </c:manualLayout>
              </c:layout>
              <c:dLblPos val="bestFit"/>
              <c:showPercent val="1"/>
              <c:extLst>
                <c:ext xmlns:c15="http://schemas.microsoft.com/office/drawing/2012/chart" uri="{CE6537A1-D6FC-4f65-9D91-7224C49458BB}"/>
              </c:extLst>
            </c:dLbl>
            <c:dLbl>
              <c:idx val="1"/>
              <c:layout>
                <c:manualLayout>
                  <c:x val="0.28611089238846404"/>
                  <c:y val="-0.14351851851851852"/>
                </c:manualLayout>
              </c:layout>
              <c:dLblPos val="bestFit"/>
              <c:showPercent val="1"/>
              <c:extLst>
                <c:ext xmlns:c15="http://schemas.microsoft.com/office/drawing/2012/chart" uri="{CE6537A1-D6FC-4f65-9D91-7224C49458BB}"/>
              </c:extLst>
            </c:dLbl>
            <c:dLbl>
              <c:idx val="2"/>
              <c:layout>
                <c:manualLayout>
                  <c:x val="-9.7222222222222224E-2"/>
                  <c:y val="-2.3148512685914616E-2"/>
                </c:manualLayout>
              </c:layout>
              <c:dLblPos val="bestFit"/>
              <c:showPercent val="1"/>
              <c:extLst>
                <c:ext xmlns:c15="http://schemas.microsoft.com/office/drawing/2012/chart" uri="{CE6537A1-D6FC-4f65-9D91-7224C49458BB}"/>
              </c:extLst>
            </c:dLbl>
            <c:dLbl>
              <c:idx val="3"/>
              <c:layout>
                <c:manualLayout>
                  <c:x val="-0.10277777777777777"/>
                  <c:y val="-2.3148148148148147E-2"/>
                </c:manualLayout>
              </c:layout>
              <c:dLblPos val="bestFit"/>
              <c:showPercent val="1"/>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sz="800" b="1">
                    <a:latin typeface="Book Antiqua" pitchFamily="18" charset="0"/>
                  </a:defRPr>
                </a:pPr>
                <a:endParaRPr lang="fr-FR"/>
              </a:p>
            </c:txPr>
            <c:dLblPos val="outEnd"/>
            <c:showPercent val="1"/>
            <c:extLst>
              <c:ext xmlns:c15="http://schemas.microsoft.com/office/drawing/2012/chart" uri="{CE6537A1-D6FC-4f65-9D91-7224C49458BB}"/>
            </c:extLst>
          </c:dLbls>
          <c:cat>
            <c:strRef>
              <c:f>COMPLEMENT_TABLEAUX_PM_SNS!$B$102:$B$105</c:f>
              <c:strCache>
                <c:ptCount val="4"/>
                <c:pt idx="0">
                  <c:v>Très contraignantes</c:v>
                </c:pt>
                <c:pt idx="1">
                  <c:v>Contraignantes</c:v>
                </c:pt>
                <c:pt idx="2">
                  <c:v>Acceptables</c:v>
                </c:pt>
                <c:pt idx="3">
                  <c:v>Très acceptables</c:v>
                </c:pt>
              </c:strCache>
            </c:strRef>
          </c:cat>
          <c:val>
            <c:numRef>
              <c:f>COMPLEMENT_TABLEAUX_PM_SNS!$C$102:$C$105</c:f>
              <c:numCache>
                <c:formatCode>###0</c:formatCode>
                <c:ptCount val="4"/>
                <c:pt idx="0">
                  <c:v>133</c:v>
                </c:pt>
                <c:pt idx="1">
                  <c:v>228</c:v>
                </c:pt>
                <c:pt idx="2">
                  <c:v>145</c:v>
                </c:pt>
                <c:pt idx="3">
                  <c:v>25</c:v>
                </c:pt>
              </c:numCache>
            </c:numRef>
          </c:val>
        </c:ser>
        <c:ser>
          <c:idx val="1"/>
          <c:order val="1"/>
          <c:cat>
            <c:strRef>
              <c:f>COMPLEMENT_TABLEAUX_PM_SNS!$B$102:$B$105</c:f>
              <c:strCache>
                <c:ptCount val="4"/>
                <c:pt idx="0">
                  <c:v>Très contraignantes</c:v>
                </c:pt>
                <c:pt idx="1">
                  <c:v>Contraignantes</c:v>
                </c:pt>
                <c:pt idx="2">
                  <c:v>Acceptables</c:v>
                </c:pt>
                <c:pt idx="3">
                  <c:v>Très acceptables</c:v>
                </c:pt>
              </c:strCache>
            </c:strRef>
          </c:cat>
          <c:val>
            <c:numRef>
              <c:f>COMPLEMENT_TABLEAUX_PM_SNS!$D$102:$D$105</c:f>
              <c:numCache>
                <c:formatCode>###0.0</c:formatCode>
                <c:ptCount val="4"/>
                <c:pt idx="0">
                  <c:v>7.0971184631803625</c:v>
                </c:pt>
                <c:pt idx="1">
                  <c:v>12.166488794023479</c:v>
                </c:pt>
                <c:pt idx="2">
                  <c:v>7.7374599786552745</c:v>
                </c:pt>
                <c:pt idx="3">
                  <c:v>1.3340448239061156</c:v>
                </c:pt>
              </c:numCache>
            </c:numRef>
          </c:val>
        </c:ser>
        <c:ser>
          <c:idx val="2"/>
          <c:order val="2"/>
          <c:cat>
            <c:strRef>
              <c:f>COMPLEMENT_TABLEAUX_PM_SNS!$B$102:$B$105</c:f>
              <c:strCache>
                <c:ptCount val="4"/>
                <c:pt idx="0">
                  <c:v>Très contraignantes</c:v>
                </c:pt>
                <c:pt idx="1">
                  <c:v>Contraignantes</c:v>
                </c:pt>
                <c:pt idx="2">
                  <c:v>Acceptables</c:v>
                </c:pt>
                <c:pt idx="3">
                  <c:v>Très acceptables</c:v>
                </c:pt>
              </c:strCache>
            </c:strRef>
          </c:cat>
          <c:val>
            <c:numRef>
              <c:f>COMPLEMENT_TABLEAUX_PM_SNS!$E$102:$E$105</c:f>
              <c:numCache>
                <c:formatCode>###0.0</c:formatCode>
                <c:ptCount val="4"/>
                <c:pt idx="0">
                  <c:v>25.04708097928437</c:v>
                </c:pt>
                <c:pt idx="1">
                  <c:v>42.937853107343258</c:v>
                </c:pt>
                <c:pt idx="2">
                  <c:v>27.30696798493409</c:v>
                </c:pt>
                <c:pt idx="3">
                  <c:v>4.7080979284369056</c:v>
                </c:pt>
              </c:numCache>
            </c:numRef>
          </c:val>
        </c:ser>
      </c:pie3DChart>
    </c:plotArea>
    <c:legend>
      <c:legendPos val="b"/>
      <c:layout>
        <c:manualLayout>
          <c:xMode val="edge"/>
          <c:yMode val="edge"/>
          <c:x val="0.14051356080489941"/>
          <c:y val="0.86361366287548091"/>
          <c:w val="0.83008398950131157"/>
          <c:h val="6.694189268008166E-2"/>
        </c:manualLayout>
      </c:layout>
      <c:txPr>
        <a:bodyPr/>
        <a:lstStyle/>
        <a:p>
          <a:pPr>
            <a:defRPr sz="800" b="1">
              <a:latin typeface="Book Antiqua" pitchFamily="18" charset="0"/>
            </a:defRPr>
          </a:pPr>
          <a:endParaRPr lang="fr-FR"/>
        </a:p>
      </c:txPr>
    </c:legend>
    <c:plotVisOnly val="1"/>
    <c:dispBlanksAs val="zero"/>
  </c:chart>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6523188712598291"/>
          <c:y val="3.8256709917470141E-2"/>
          <c:w val="0.73373645014569655"/>
          <c:h val="0.74941279921087667"/>
        </c:manualLayout>
      </c:layout>
      <c:bar3DChart>
        <c:barDir val="bar"/>
        <c:grouping val="percentStacked"/>
        <c:ser>
          <c:idx val="0"/>
          <c:order val="0"/>
          <c:tx>
            <c:strRef>
              <c:f>garanties!$B$183</c:f>
              <c:strCache>
                <c:ptCount val="1"/>
                <c:pt idx="0">
                  <c:v>Très contraignantes</c:v>
                </c:pt>
              </c:strCache>
            </c:strRef>
          </c:tx>
          <c:spPr>
            <a:solidFill>
              <a:srgbClr val="FF000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garanties!$C$182:$I$182</c:f>
              <c:strCache>
                <c:ptCount val="7"/>
                <c:pt idx="0">
                  <c:v>Industrie</c:v>
                </c:pt>
                <c:pt idx="1">
                  <c:v>Commerce</c:v>
                </c:pt>
                <c:pt idx="2">
                  <c:v>BTP</c:v>
                </c:pt>
                <c:pt idx="3">
                  <c:v>Services</c:v>
                </c:pt>
                <c:pt idx="4">
                  <c:v>Agriculture</c:v>
                </c:pt>
                <c:pt idx="5">
                  <c:v>Artisanat</c:v>
                </c:pt>
                <c:pt idx="6">
                  <c:v>Autre</c:v>
                </c:pt>
              </c:strCache>
            </c:strRef>
          </c:cat>
          <c:val>
            <c:numRef>
              <c:f>garanties!$C$183:$I$183</c:f>
              <c:numCache>
                <c:formatCode>0.0%</c:formatCode>
                <c:ptCount val="7"/>
                <c:pt idx="0">
                  <c:v>0.2</c:v>
                </c:pt>
                <c:pt idx="1">
                  <c:v>0.26415094339622641</c:v>
                </c:pt>
                <c:pt idx="2">
                  <c:v>0.15625000000000044</c:v>
                </c:pt>
                <c:pt idx="3">
                  <c:v>0.22463768115942287</c:v>
                </c:pt>
                <c:pt idx="4">
                  <c:v>0.37777777777778493</c:v>
                </c:pt>
                <c:pt idx="5">
                  <c:v>0.437500000000004</c:v>
                </c:pt>
                <c:pt idx="6">
                  <c:v>0.23809523809524175</c:v>
                </c:pt>
              </c:numCache>
            </c:numRef>
          </c:val>
        </c:ser>
        <c:ser>
          <c:idx val="1"/>
          <c:order val="1"/>
          <c:tx>
            <c:strRef>
              <c:f>garanties!$B$184</c:f>
              <c:strCache>
                <c:ptCount val="1"/>
                <c:pt idx="0">
                  <c:v>Contraignantes</c:v>
                </c:pt>
              </c:strCache>
            </c:strRef>
          </c:tx>
          <c:spPr>
            <a:solidFill>
              <a:schemeClr val="accent6">
                <a:lumMod val="75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garanties!$C$182:$I$182</c:f>
              <c:strCache>
                <c:ptCount val="7"/>
                <c:pt idx="0">
                  <c:v>Industrie</c:v>
                </c:pt>
                <c:pt idx="1">
                  <c:v>Commerce</c:v>
                </c:pt>
                <c:pt idx="2">
                  <c:v>BTP</c:v>
                </c:pt>
                <c:pt idx="3">
                  <c:v>Services</c:v>
                </c:pt>
                <c:pt idx="4">
                  <c:v>Agriculture</c:v>
                </c:pt>
                <c:pt idx="5">
                  <c:v>Artisanat</c:v>
                </c:pt>
                <c:pt idx="6">
                  <c:v>Autre</c:v>
                </c:pt>
              </c:strCache>
            </c:strRef>
          </c:cat>
          <c:val>
            <c:numRef>
              <c:f>garanties!$C$184:$I$184</c:f>
              <c:numCache>
                <c:formatCode>0.0%</c:formatCode>
                <c:ptCount val="7"/>
                <c:pt idx="0">
                  <c:v>0.4</c:v>
                </c:pt>
                <c:pt idx="1">
                  <c:v>0.44339622641509424</c:v>
                </c:pt>
                <c:pt idx="2">
                  <c:v>0.453125</c:v>
                </c:pt>
                <c:pt idx="3">
                  <c:v>0.43478260869565938</c:v>
                </c:pt>
                <c:pt idx="4">
                  <c:v>0.33333333333333331</c:v>
                </c:pt>
                <c:pt idx="5">
                  <c:v>0.312500000000004</c:v>
                </c:pt>
                <c:pt idx="6">
                  <c:v>0.52380952380952384</c:v>
                </c:pt>
              </c:numCache>
            </c:numRef>
          </c:val>
        </c:ser>
        <c:ser>
          <c:idx val="2"/>
          <c:order val="2"/>
          <c:tx>
            <c:strRef>
              <c:f>garanties!$B$185</c:f>
              <c:strCache>
                <c:ptCount val="1"/>
                <c:pt idx="0">
                  <c:v>Acceptables</c:v>
                </c:pt>
              </c:strCache>
            </c:strRef>
          </c:tx>
          <c:spPr>
            <a:solidFill>
              <a:schemeClr val="accent3">
                <a:lumMod val="60000"/>
                <a:lumOff val="40000"/>
              </a:schemeClr>
            </a:solidFill>
          </c:spPr>
          <c:dLbls>
            <c:txPr>
              <a:bodyPr/>
              <a:lstStyle/>
              <a:p>
                <a:pPr>
                  <a:defRPr sz="800" b="1">
                    <a:latin typeface="Book Antiqua" pitchFamily="18" charset="0"/>
                  </a:defRPr>
                </a:pPr>
                <a:endParaRPr lang="fr-FR"/>
              </a:p>
            </c:txPr>
            <c:showVal val="1"/>
          </c:dLbls>
          <c:cat>
            <c:strRef>
              <c:f>garanties!$C$182:$I$182</c:f>
              <c:strCache>
                <c:ptCount val="7"/>
                <c:pt idx="0">
                  <c:v>Industrie</c:v>
                </c:pt>
                <c:pt idx="1">
                  <c:v>Commerce</c:v>
                </c:pt>
                <c:pt idx="2">
                  <c:v>BTP</c:v>
                </c:pt>
                <c:pt idx="3">
                  <c:v>Services</c:v>
                </c:pt>
                <c:pt idx="4">
                  <c:v>Agriculture</c:v>
                </c:pt>
                <c:pt idx="5">
                  <c:v>Artisanat</c:v>
                </c:pt>
                <c:pt idx="6">
                  <c:v>Autre</c:v>
                </c:pt>
              </c:strCache>
            </c:strRef>
          </c:cat>
          <c:val>
            <c:numRef>
              <c:f>garanties!$C$185:$I$185</c:f>
              <c:numCache>
                <c:formatCode>0.0%</c:formatCode>
                <c:ptCount val="7"/>
                <c:pt idx="0">
                  <c:v>0.22857142857143098</c:v>
                </c:pt>
                <c:pt idx="1">
                  <c:v>0.25</c:v>
                </c:pt>
                <c:pt idx="2">
                  <c:v>0.312500000000004</c:v>
                </c:pt>
                <c:pt idx="3">
                  <c:v>0.31159420289855388</c:v>
                </c:pt>
                <c:pt idx="4">
                  <c:v>0.28888888888889785</c:v>
                </c:pt>
                <c:pt idx="5">
                  <c:v>0.25</c:v>
                </c:pt>
                <c:pt idx="6">
                  <c:v>0.19047619047619382</c:v>
                </c:pt>
              </c:numCache>
            </c:numRef>
          </c:val>
        </c:ser>
        <c:ser>
          <c:idx val="3"/>
          <c:order val="3"/>
          <c:tx>
            <c:strRef>
              <c:f>garanties!$B$186</c:f>
              <c:strCache>
                <c:ptCount val="1"/>
                <c:pt idx="0">
                  <c:v>Très acceptables</c:v>
                </c:pt>
              </c:strCache>
            </c:strRef>
          </c:tx>
          <c:spPr>
            <a:solidFill>
              <a:srgbClr val="00B050"/>
            </a:solidFill>
          </c:spPr>
          <c:dLbls>
            <c:txPr>
              <a:bodyPr/>
              <a:lstStyle/>
              <a:p>
                <a:pPr>
                  <a:defRPr sz="800" b="1">
                    <a:latin typeface="Book Antiqua" pitchFamily="18" charset="0"/>
                  </a:defRPr>
                </a:pPr>
                <a:endParaRPr lang="fr-FR"/>
              </a:p>
            </c:txPr>
            <c:showVal val="1"/>
          </c:dLbls>
          <c:cat>
            <c:strRef>
              <c:f>garanties!$C$182:$I$182</c:f>
              <c:strCache>
                <c:ptCount val="7"/>
                <c:pt idx="0">
                  <c:v>Industrie</c:v>
                </c:pt>
                <c:pt idx="1">
                  <c:v>Commerce</c:v>
                </c:pt>
                <c:pt idx="2">
                  <c:v>BTP</c:v>
                </c:pt>
                <c:pt idx="3">
                  <c:v>Services</c:v>
                </c:pt>
                <c:pt idx="4">
                  <c:v>Agriculture</c:v>
                </c:pt>
                <c:pt idx="5">
                  <c:v>Artisanat</c:v>
                </c:pt>
                <c:pt idx="6">
                  <c:v>Autre</c:v>
                </c:pt>
              </c:strCache>
            </c:strRef>
          </c:cat>
          <c:val>
            <c:numRef>
              <c:f>garanties!$C$186:$I$186</c:f>
              <c:numCache>
                <c:formatCode>0.0%</c:formatCode>
                <c:ptCount val="7"/>
                <c:pt idx="0">
                  <c:v>0.17142857142857137</c:v>
                </c:pt>
                <c:pt idx="1">
                  <c:v>4.2452830188679284E-2</c:v>
                </c:pt>
                <c:pt idx="2">
                  <c:v>7.8125E-2</c:v>
                </c:pt>
                <c:pt idx="3">
                  <c:v>2.8985507246376812E-2</c:v>
                </c:pt>
                <c:pt idx="4">
                  <c:v>0</c:v>
                </c:pt>
                <c:pt idx="5">
                  <c:v>0</c:v>
                </c:pt>
                <c:pt idx="6">
                  <c:v>4.7619047619047623E-2</c:v>
                </c:pt>
              </c:numCache>
            </c:numRef>
          </c:val>
        </c:ser>
        <c:shape val="cylinder"/>
        <c:axId val="213741952"/>
        <c:axId val="213743488"/>
        <c:axId val="0"/>
      </c:bar3DChart>
      <c:catAx>
        <c:axId val="213741952"/>
        <c:scaling>
          <c:orientation val="minMax"/>
        </c:scaling>
        <c:axPos val="l"/>
        <c:numFmt formatCode="General" sourceLinked="0"/>
        <c:tickLblPos val="nextTo"/>
        <c:txPr>
          <a:bodyPr/>
          <a:lstStyle/>
          <a:p>
            <a:pPr>
              <a:defRPr sz="800">
                <a:latin typeface="Book Antiqua" pitchFamily="18" charset="0"/>
              </a:defRPr>
            </a:pPr>
            <a:endParaRPr lang="fr-FR"/>
          </a:p>
        </c:txPr>
        <c:crossAx val="213743488"/>
        <c:crosses val="autoZero"/>
        <c:auto val="1"/>
        <c:lblAlgn val="ctr"/>
        <c:lblOffset val="100"/>
      </c:catAx>
      <c:valAx>
        <c:axId val="213743488"/>
        <c:scaling>
          <c:orientation val="minMax"/>
        </c:scaling>
        <c:axPos val="b"/>
        <c:majorGridlines/>
        <c:numFmt formatCode="0%" sourceLinked="1"/>
        <c:tickLblPos val="nextTo"/>
        <c:txPr>
          <a:bodyPr/>
          <a:lstStyle/>
          <a:p>
            <a:pPr>
              <a:defRPr sz="800">
                <a:latin typeface="Book Antiqua" pitchFamily="18" charset="0"/>
              </a:defRPr>
            </a:pPr>
            <a:endParaRPr lang="fr-FR"/>
          </a:p>
        </c:txPr>
        <c:crossAx val="213741952"/>
        <c:crosses val="autoZero"/>
        <c:crossBetween val="between"/>
      </c:valAx>
    </c:plotArea>
    <c:legend>
      <c:legendPos val="r"/>
      <c:layout>
        <c:manualLayout>
          <c:xMode val="edge"/>
          <c:yMode val="edge"/>
          <c:x val="9.6743614465642655E-2"/>
          <c:y val="0.87155658802724978"/>
          <c:w val="0.85127458554951863"/>
          <c:h val="9.0713650892648309E-2"/>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0.14183621025013421"/>
          <c:y val="0.15931070973759653"/>
          <c:w val="0.75599580885423612"/>
          <c:h val="0.71554714544508813"/>
        </c:manualLayout>
      </c:layout>
      <c:pie3DChart>
        <c:varyColors val="1"/>
        <c:ser>
          <c:idx val="0"/>
          <c:order val="0"/>
          <c:tx>
            <c:strRef>
              <c:f>ESUB_2015_PM!$C$290</c:f>
              <c:strCache>
                <c:ptCount val="1"/>
                <c:pt idx="0">
                  <c:v>Effectifs</c:v>
                </c:pt>
              </c:strCache>
            </c:strRef>
          </c:tx>
          <c:explosion val="25"/>
          <c:dLbls>
            <c:dLbl>
              <c:idx val="0"/>
              <c:layout>
                <c:manualLayout>
                  <c:x val="0.19588211408662284"/>
                  <c:y val="-3.5794934801714709E-2"/>
                </c:manualLayout>
              </c:layout>
              <c:showCatName val="1"/>
              <c:showPercent val="1"/>
              <c:extLst>
                <c:ext xmlns:c15="http://schemas.microsoft.com/office/drawing/2012/chart" uri="{CE6537A1-D6FC-4f65-9D91-7224C49458BB}"/>
              </c:extLst>
            </c:dLbl>
            <c:dLbl>
              <c:idx val="1"/>
              <c:layout>
                <c:manualLayout>
                  <c:x val="-2.3493984456414652E-2"/>
                  <c:y val="0.24836331677219847"/>
                </c:manualLayout>
              </c:layout>
              <c:showCatName val="1"/>
              <c:showPercent val="1"/>
              <c:extLst>
                <c:ext xmlns:c15="http://schemas.microsoft.com/office/drawing/2012/chart" uri="{CE6537A1-D6FC-4f65-9D91-7224C49458BB}"/>
              </c:extLst>
            </c:dLbl>
            <c:dLbl>
              <c:idx val="2"/>
              <c:layout>
                <c:manualLayout>
                  <c:x val="0.20648718946194408"/>
                  <c:y val="0.15369128118666908"/>
                </c:manualLayout>
              </c:layout>
              <c:showCatName val="1"/>
              <c:showPercent val="1"/>
              <c:extLst>
                <c:ext xmlns:c15="http://schemas.microsoft.com/office/drawing/2012/chart" uri="{CE6537A1-D6FC-4f65-9D91-7224C49458BB}"/>
              </c:extLst>
            </c:dLbl>
            <c:dLbl>
              <c:idx val="3"/>
              <c:layout>
                <c:manualLayout>
                  <c:x val="2.8860979467361758E-3"/>
                  <c:y val="-2.7045181425215999E-2"/>
                </c:manualLayout>
              </c:layout>
              <c:showCatName val="1"/>
              <c:showPercent val="1"/>
              <c:extLst>
                <c:ext xmlns:c15="http://schemas.microsoft.com/office/drawing/2012/chart" uri="{CE6537A1-D6FC-4f65-9D91-7224C49458BB}"/>
              </c:extLst>
            </c:dLbl>
            <c:dLbl>
              <c:idx val="4"/>
              <c:layout>
                <c:manualLayout>
                  <c:x val="-2.4357485426114052E-3"/>
                  <c:y val="-4.5584094129463903E-2"/>
                </c:manualLayout>
              </c:layout>
              <c:showCatName val="1"/>
              <c:showPercent val="1"/>
              <c:extLst>
                <c:ext xmlns:c15="http://schemas.microsoft.com/office/drawing/2012/chart" uri="{CE6537A1-D6FC-4f65-9D91-7224C49458BB}"/>
              </c:extLst>
            </c:dLbl>
            <c:dLbl>
              <c:idx val="5"/>
              <c:layout>
                <c:manualLayout>
                  <c:x val="5.7953948507969075E-2"/>
                  <c:y val="-3.7149570426704914E-2"/>
                </c:manualLayout>
              </c:layout>
              <c:showCatName val="1"/>
              <c:showPercent val="1"/>
              <c:extLst>
                <c:ext xmlns:c15="http://schemas.microsoft.com/office/drawing/2012/chart" uri="{CE6537A1-D6FC-4f65-9D91-7224C49458BB}"/>
              </c:extLst>
            </c:dLbl>
            <c:numFmt formatCode="0.0%" sourceLinked="0"/>
            <c:spPr>
              <a:noFill/>
              <a:ln>
                <a:noFill/>
              </a:ln>
              <a:effectLst/>
            </c:spPr>
            <c:txPr>
              <a:bodyPr/>
              <a:lstStyle/>
              <a:p>
                <a:pPr>
                  <a:defRPr sz="800" b="1" i="0" baseline="0">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ESUB_2015_PM!$B$291:$B$296</c:f>
              <c:strCache>
                <c:ptCount val="6"/>
                <c:pt idx="0">
                  <c:v>Moins d'un an</c:v>
                </c:pt>
                <c:pt idx="1">
                  <c:v>Entre 1 et 5 ans</c:v>
                </c:pt>
                <c:pt idx="2">
                  <c:v>Entre 6 et 10 ans</c:v>
                </c:pt>
                <c:pt idx="3">
                  <c:v>Entre 11 et 15 ans</c:v>
                </c:pt>
                <c:pt idx="4">
                  <c:v>Entre 16 et 20 ans</c:v>
                </c:pt>
                <c:pt idx="5">
                  <c:v>Plus de 20 ans</c:v>
                </c:pt>
              </c:strCache>
              <c:extLst/>
            </c:strRef>
          </c:cat>
          <c:val>
            <c:numRef>
              <c:f>ESUB_2015_PM!$C$291:$C$296</c:f>
              <c:numCache>
                <c:formatCode>###0</c:formatCode>
                <c:ptCount val="6"/>
                <c:pt idx="0">
                  <c:v>193</c:v>
                </c:pt>
                <c:pt idx="1">
                  <c:v>770</c:v>
                </c:pt>
                <c:pt idx="2">
                  <c:v>485</c:v>
                </c:pt>
                <c:pt idx="3">
                  <c:v>189</c:v>
                </c:pt>
                <c:pt idx="4">
                  <c:v>95</c:v>
                </c:pt>
                <c:pt idx="5">
                  <c:v>142</c:v>
                </c:pt>
              </c:numCache>
              <c:extLst/>
            </c:numRef>
          </c:val>
          <c:extLst/>
        </c:ser>
        <c:extLst>
          <c:ext xmlns:c15="http://schemas.microsoft.com/office/drawing/2012/chart" uri="{02D57815-91ED-43cb-92C2-25804820EDAC}">
            <c15:filteredPieSeries>
              <c15:ser>
                <c:idx val="1"/>
                <c:order val="1"/>
                <c:tx>
                  <c:strRef>
                    <c:extLst>
                      <c:ext uri="{02D57815-91ED-43cb-92C2-25804820EDAC}">
                        <c15:formulaRef>
                          <c15:sqref>ESUB_2015_PM!$D$290</c15:sqref>
                        </c15:formulaRef>
                      </c:ext>
                    </c:extLst>
                    <c:strCache>
                      <c:ptCount val="1"/>
                      <c:pt idx="0">
                        <c:v>Pourcentage</c:v>
                      </c:pt>
                    </c:strCache>
                  </c:strRef>
                </c:tx>
                <c:explosion val="25"/>
                <c:cat>
                  <c:strRef>
                    <c:extLst>
                      <c:ext uri="{02D57815-91ED-43cb-92C2-25804820EDAC}">
                        <c15:formulaRef>
                          <c15:sqref>ESUB_2015_PM!$B$291:$B$296</c15:sqref>
                        </c15:formulaRef>
                      </c:ext>
                    </c:extLst>
                    <c:strCache>
                      <c:ptCount val="6"/>
                      <c:pt idx="0">
                        <c:v>Moins d'un an</c:v>
                      </c:pt>
                      <c:pt idx="1">
                        <c:v>Entre 1 et 5 ans</c:v>
                      </c:pt>
                      <c:pt idx="2">
                        <c:v>Entre 6 et 10 ans</c:v>
                      </c:pt>
                      <c:pt idx="3">
                        <c:v>Entre 11 et 15 ans</c:v>
                      </c:pt>
                      <c:pt idx="4">
                        <c:v>Entre 16 et 20 ans</c:v>
                      </c:pt>
                      <c:pt idx="5">
                        <c:v>Plus de 20 ans</c:v>
                      </c:pt>
                    </c:strCache>
                  </c:strRef>
                </c:cat>
                <c:val>
                  <c:numRef>
                    <c:extLst>
                      <c:ext uri="{02D57815-91ED-43cb-92C2-25804820EDAC}">
                        <c15:formulaRef>
                          <c15:sqref>ESUB_2015_PM!$D$291:$D$296</c15:sqref>
                        </c15:formulaRef>
                      </c:ext>
                    </c:extLst>
                    <c:numCache>
                      <c:formatCode>###0.0</c:formatCode>
                      <c:ptCount val="6"/>
                      <c:pt idx="0">
                        <c:v>10.298826040554962</c:v>
                      </c:pt>
                      <c:pt idx="1">
                        <c:v>41.088580576307365</c:v>
                      </c:pt>
                      <c:pt idx="2">
                        <c:v>25.880469583778016</c:v>
                      </c:pt>
                      <c:pt idx="3">
                        <c:v>10.08537886872999</c:v>
                      </c:pt>
                      <c:pt idx="4">
                        <c:v>5.0693703308431166</c:v>
                      </c:pt>
                      <c:pt idx="5">
                        <c:v>7.5773745997865527</c:v>
                      </c:pt>
                    </c:numCache>
                  </c:numRef>
                </c:val>
              </c15:ser>
            </c15:filteredPieSeries>
          </c:ext>
        </c:extLst>
      </c:pie3DChart>
    </c:plotArea>
    <c:plotVisOnly val="1"/>
    <c:dispBlanksAs val="zero"/>
  </c:chart>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4061395450568678"/>
          <c:y val="5.0925925925925923E-2"/>
          <c:w val="0.76766805479788613"/>
          <c:h val="0.65253864100320791"/>
        </c:manualLayout>
      </c:layout>
      <c:bar3DChart>
        <c:barDir val="bar"/>
        <c:grouping val="percentStacked"/>
        <c:ser>
          <c:idx val="0"/>
          <c:order val="0"/>
          <c:tx>
            <c:strRef>
              <c:f>garanties!$H$195</c:f>
              <c:strCache>
                <c:ptCount val="1"/>
                <c:pt idx="0">
                  <c:v>Très contraignantes</c:v>
                </c:pt>
              </c:strCache>
            </c:strRef>
          </c:tx>
          <c:spPr>
            <a:solidFill>
              <a:srgbClr val="FF000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garanties!$I$194:$J$194</c:f>
              <c:strCache>
                <c:ptCount val="2"/>
                <c:pt idx="0">
                  <c:v>Formel</c:v>
                </c:pt>
                <c:pt idx="1">
                  <c:v>Informel</c:v>
                </c:pt>
              </c:strCache>
            </c:strRef>
          </c:cat>
          <c:val>
            <c:numRef>
              <c:f>garanties!$I$195:$J$195</c:f>
              <c:numCache>
                <c:formatCode>0.0%</c:formatCode>
                <c:ptCount val="2"/>
                <c:pt idx="0">
                  <c:v>0.22222222222222221</c:v>
                </c:pt>
                <c:pt idx="1">
                  <c:v>0.32026143790849682</c:v>
                </c:pt>
              </c:numCache>
            </c:numRef>
          </c:val>
        </c:ser>
        <c:ser>
          <c:idx val="1"/>
          <c:order val="1"/>
          <c:tx>
            <c:strRef>
              <c:f>garanties!$H$196</c:f>
              <c:strCache>
                <c:ptCount val="1"/>
                <c:pt idx="0">
                  <c:v>Contraignantes</c:v>
                </c:pt>
              </c:strCache>
            </c:strRef>
          </c:tx>
          <c:spPr>
            <a:solidFill>
              <a:schemeClr val="accent6">
                <a:lumMod val="75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garanties!$I$194:$J$194</c:f>
              <c:strCache>
                <c:ptCount val="2"/>
                <c:pt idx="0">
                  <c:v>Formel</c:v>
                </c:pt>
                <c:pt idx="1">
                  <c:v>Informel</c:v>
                </c:pt>
              </c:strCache>
            </c:strRef>
          </c:cat>
          <c:val>
            <c:numRef>
              <c:f>garanties!$I$196:$J$196</c:f>
              <c:numCache>
                <c:formatCode>0.0%</c:formatCode>
                <c:ptCount val="2"/>
                <c:pt idx="0">
                  <c:v>0.43915343915343918</c:v>
                </c:pt>
                <c:pt idx="1">
                  <c:v>0.40522875816993481</c:v>
                </c:pt>
              </c:numCache>
            </c:numRef>
          </c:val>
        </c:ser>
        <c:ser>
          <c:idx val="2"/>
          <c:order val="2"/>
          <c:tx>
            <c:strRef>
              <c:f>garanties!$H$197</c:f>
              <c:strCache>
                <c:ptCount val="1"/>
                <c:pt idx="0">
                  <c:v>Acceptables</c:v>
                </c:pt>
              </c:strCache>
            </c:strRef>
          </c:tx>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garanties!$I$194:$J$194</c:f>
              <c:strCache>
                <c:ptCount val="2"/>
                <c:pt idx="0">
                  <c:v>Formel</c:v>
                </c:pt>
                <c:pt idx="1">
                  <c:v>Informel</c:v>
                </c:pt>
              </c:strCache>
            </c:strRef>
          </c:cat>
          <c:val>
            <c:numRef>
              <c:f>garanties!$I$197:$J$197</c:f>
              <c:numCache>
                <c:formatCode>0.0%</c:formatCode>
                <c:ptCount val="2"/>
                <c:pt idx="0">
                  <c:v>0.28835978835979487</c:v>
                </c:pt>
                <c:pt idx="1">
                  <c:v>0.2352941176470589</c:v>
                </c:pt>
              </c:numCache>
            </c:numRef>
          </c:val>
        </c:ser>
        <c:ser>
          <c:idx val="3"/>
          <c:order val="3"/>
          <c:tx>
            <c:strRef>
              <c:f>garanties!$H$198</c:f>
              <c:strCache>
                <c:ptCount val="1"/>
                <c:pt idx="0">
                  <c:v>Très acceptables</c:v>
                </c:pt>
              </c:strCache>
            </c:strRef>
          </c:tx>
          <c:spPr>
            <a:solidFill>
              <a:srgbClr val="00B05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garanties!$I$194:$J$194</c:f>
              <c:strCache>
                <c:ptCount val="2"/>
                <c:pt idx="0">
                  <c:v>Formel</c:v>
                </c:pt>
                <c:pt idx="1">
                  <c:v>Informel</c:v>
                </c:pt>
              </c:strCache>
            </c:strRef>
          </c:cat>
          <c:val>
            <c:numRef>
              <c:f>garanties!$I$198:$J$198</c:f>
              <c:numCache>
                <c:formatCode>0.0%</c:formatCode>
                <c:ptCount val="2"/>
                <c:pt idx="0">
                  <c:v>5.0264550264550255E-2</c:v>
                </c:pt>
                <c:pt idx="1">
                  <c:v>3.9215686274509803E-2</c:v>
                </c:pt>
              </c:numCache>
            </c:numRef>
          </c:val>
        </c:ser>
        <c:shape val="cylinder"/>
        <c:axId val="213796352"/>
        <c:axId val="213797888"/>
        <c:axId val="0"/>
      </c:bar3DChart>
      <c:catAx>
        <c:axId val="213796352"/>
        <c:scaling>
          <c:orientation val="minMax"/>
        </c:scaling>
        <c:axPos val="l"/>
        <c:numFmt formatCode="General" sourceLinked="0"/>
        <c:tickLblPos val="nextTo"/>
        <c:txPr>
          <a:bodyPr/>
          <a:lstStyle/>
          <a:p>
            <a:pPr>
              <a:defRPr sz="800">
                <a:latin typeface="Book Antiqua" pitchFamily="18" charset="0"/>
              </a:defRPr>
            </a:pPr>
            <a:endParaRPr lang="fr-FR"/>
          </a:p>
        </c:txPr>
        <c:crossAx val="213797888"/>
        <c:crosses val="autoZero"/>
        <c:auto val="1"/>
        <c:lblAlgn val="ctr"/>
        <c:lblOffset val="100"/>
      </c:catAx>
      <c:valAx>
        <c:axId val="213797888"/>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3796352"/>
        <c:crosses val="autoZero"/>
        <c:crossBetween val="between"/>
      </c:valAx>
    </c:plotArea>
    <c:legend>
      <c:legendPos val="r"/>
      <c:layout>
        <c:manualLayout>
          <c:xMode val="edge"/>
          <c:yMode val="edge"/>
          <c:x val="2.0193067882752814E-2"/>
          <c:y val="0.84739918226445365"/>
          <c:w val="0.92980680624360623"/>
          <c:h val="0.11075745211718308"/>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dPt>
            <c:idx val="0"/>
            <c:spPr>
              <a:solidFill>
                <a:srgbClr val="00B050"/>
              </a:solidFill>
            </c:spPr>
          </c:dPt>
          <c:dPt>
            <c:idx val="1"/>
            <c:spPr>
              <a:solidFill>
                <a:schemeClr val="accent3">
                  <a:lumMod val="60000"/>
                  <a:lumOff val="40000"/>
                </a:schemeClr>
              </a:solidFill>
            </c:spPr>
          </c:dPt>
          <c:dPt>
            <c:idx val="2"/>
            <c:spPr>
              <a:solidFill>
                <a:schemeClr val="accent6">
                  <a:lumMod val="75000"/>
                </a:schemeClr>
              </a:solidFill>
            </c:spPr>
          </c:dPt>
          <c:dPt>
            <c:idx val="3"/>
            <c:spPr>
              <a:solidFill>
                <a:srgbClr val="FF0000"/>
              </a:solidFill>
            </c:spPr>
          </c:dPt>
          <c:dLbls>
            <c:numFmt formatCode="0.0%" sourceLinked="0"/>
            <c:spPr>
              <a:noFill/>
              <a:ln>
                <a:noFill/>
              </a:ln>
              <a:effectLst/>
            </c:spPr>
            <c:txPr>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'Frais tenue compte'!$B$121:$B$124</c:f>
              <c:strCache>
                <c:ptCount val="4"/>
                <c:pt idx="0">
                  <c:v>Très raisonnable</c:v>
                </c:pt>
                <c:pt idx="1">
                  <c:v>Raisonnable</c:v>
                </c:pt>
                <c:pt idx="2">
                  <c:v>Elevé</c:v>
                </c:pt>
                <c:pt idx="3">
                  <c:v>Très Elevé</c:v>
                </c:pt>
              </c:strCache>
            </c:strRef>
          </c:cat>
          <c:val>
            <c:numRef>
              <c:f>'Frais tenue compte'!$C$121:$C$124</c:f>
              <c:numCache>
                <c:formatCode>###0</c:formatCode>
                <c:ptCount val="4"/>
                <c:pt idx="0">
                  <c:v>17</c:v>
                </c:pt>
                <c:pt idx="1">
                  <c:v>418</c:v>
                </c:pt>
                <c:pt idx="2">
                  <c:v>174</c:v>
                </c:pt>
                <c:pt idx="3">
                  <c:v>25</c:v>
                </c:pt>
              </c:numCache>
            </c:numRef>
          </c:val>
        </c:ser>
        <c:dLbls>
          <c:showCatName val="1"/>
          <c:showPercent val="1"/>
        </c:dLbls>
      </c:pie3DChart>
    </c:plotArea>
    <c:plotVisOnly val="1"/>
    <c:dispBlanksAs val="zero"/>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4061395450568678"/>
          <c:y val="5.0925925925925923E-2"/>
          <c:w val="0.79227515310586172"/>
          <c:h val="0.66179790026246765"/>
        </c:manualLayout>
      </c:layout>
      <c:bar3DChart>
        <c:barDir val="bar"/>
        <c:grouping val="percentStacked"/>
        <c:ser>
          <c:idx val="0"/>
          <c:order val="0"/>
          <c:tx>
            <c:strRef>
              <c:f>'Frais tenue compte'!$B$34</c:f>
              <c:strCache>
                <c:ptCount val="1"/>
                <c:pt idx="0">
                  <c:v>Très raisonnables</c:v>
                </c:pt>
              </c:strCache>
            </c:strRef>
          </c:tx>
          <c:spPr>
            <a:solidFill>
              <a:srgbClr val="00B05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'Frais tenue compte'!$C$33:$D$33</c:f>
              <c:strCache>
                <c:ptCount val="2"/>
                <c:pt idx="0">
                  <c:v>Formel</c:v>
                </c:pt>
                <c:pt idx="1">
                  <c:v>Informel</c:v>
                </c:pt>
              </c:strCache>
            </c:strRef>
          </c:cat>
          <c:val>
            <c:numRef>
              <c:f>'Frais tenue compte'!$C$34:$D$34</c:f>
              <c:numCache>
                <c:formatCode>0.0%</c:formatCode>
                <c:ptCount val="2"/>
                <c:pt idx="0">
                  <c:v>9.7597597597598746E-3</c:v>
                </c:pt>
                <c:pt idx="1">
                  <c:v>3.6900369003690092E-3</c:v>
                </c:pt>
              </c:numCache>
            </c:numRef>
          </c:val>
        </c:ser>
        <c:ser>
          <c:idx val="1"/>
          <c:order val="1"/>
          <c:tx>
            <c:strRef>
              <c:f>'Frais tenue compte'!$B$35</c:f>
              <c:strCache>
                <c:ptCount val="1"/>
                <c:pt idx="0">
                  <c:v>Raisonnables</c:v>
                </c:pt>
              </c:strCache>
            </c:strRef>
          </c:tx>
          <c:spPr>
            <a:solidFill>
              <a:srgbClr val="92D05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'Frais tenue compte'!$C$33:$D$33</c:f>
              <c:strCache>
                <c:ptCount val="2"/>
                <c:pt idx="0">
                  <c:v>Formel</c:v>
                </c:pt>
                <c:pt idx="1">
                  <c:v>Informel</c:v>
                </c:pt>
              </c:strCache>
            </c:strRef>
          </c:cat>
          <c:val>
            <c:numRef>
              <c:f>'Frais tenue compte'!$C$35:$D$35</c:f>
              <c:numCache>
                <c:formatCode>0.0%</c:formatCode>
                <c:ptCount val="2"/>
                <c:pt idx="0">
                  <c:v>0.42717717717718168</c:v>
                </c:pt>
                <c:pt idx="1">
                  <c:v>0.31365313653136523</c:v>
                </c:pt>
              </c:numCache>
            </c:numRef>
          </c:val>
        </c:ser>
        <c:ser>
          <c:idx val="2"/>
          <c:order val="2"/>
          <c:tx>
            <c:strRef>
              <c:f>'Frais tenue compte'!$B$36</c:f>
              <c:strCache>
                <c:ptCount val="1"/>
                <c:pt idx="0">
                  <c:v>Elevés</c:v>
                </c:pt>
              </c:strCache>
            </c:strRef>
          </c:tx>
          <c:spPr>
            <a:solidFill>
              <a:schemeClr val="accent6">
                <a:lumMod val="75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'Frais tenue compte'!$C$33:$D$33</c:f>
              <c:strCache>
                <c:ptCount val="2"/>
                <c:pt idx="0">
                  <c:v>Formel</c:v>
                </c:pt>
                <c:pt idx="1">
                  <c:v>Informel</c:v>
                </c:pt>
              </c:strCache>
            </c:strRef>
          </c:cat>
          <c:val>
            <c:numRef>
              <c:f>'Frais tenue compte'!$C$36:$D$36</c:f>
              <c:numCache>
                <c:formatCode>0.0%</c:formatCode>
                <c:ptCount val="2"/>
                <c:pt idx="0">
                  <c:v>0.43993993993994895</c:v>
                </c:pt>
                <c:pt idx="1">
                  <c:v>0.47416974169741732</c:v>
                </c:pt>
              </c:numCache>
            </c:numRef>
          </c:val>
        </c:ser>
        <c:ser>
          <c:idx val="3"/>
          <c:order val="3"/>
          <c:tx>
            <c:strRef>
              <c:f>'Frais tenue compte'!$B$37</c:f>
              <c:strCache>
                <c:ptCount val="1"/>
                <c:pt idx="0">
                  <c:v>Très élevés</c:v>
                </c:pt>
              </c:strCache>
            </c:strRef>
          </c:tx>
          <c:spPr>
            <a:solidFill>
              <a:srgbClr val="FF000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'Frais tenue compte'!$C$33:$D$33</c:f>
              <c:strCache>
                <c:ptCount val="2"/>
                <c:pt idx="0">
                  <c:v>Formel</c:v>
                </c:pt>
                <c:pt idx="1">
                  <c:v>Informel</c:v>
                </c:pt>
              </c:strCache>
            </c:strRef>
          </c:cat>
          <c:val>
            <c:numRef>
              <c:f>'Frais tenue compte'!$C$37:$D$37</c:f>
              <c:numCache>
                <c:formatCode>0.0%</c:formatCode>
                <c:ptCount val="2"/>
                <c:pt idx="0">
                  <c:v>0.123123123123125</c:v>
                </c:pt>
                <c:pt idx="1">
                  <c:v>0.20848708487085207</c:v>
                </c:pt>
              </c:numCache>
            </c:numRef>
          </c:val>
        </c:ser>
        <c:shape val="cylinder"/>
        <c:axId val="213882752"/>
        <c:axId val="213884288"/>
        <c:axId val="0"/>
      </c:bar3DChart>
      <c:catAx>
        <c:axId val="213882752"/>
        <c:scaling>
          <c:orientation val="minMax"/>
        </c:scaling>
        <c:axPos val="l"/>
        <c:numFmt formatCode="General" sourceLinked="0"/>
        <c:tickLblPos val="nextTo"/>
        <c:txPr>
          <a:bodyPr/>
          <a:lstStyle/>
          <a:p>
            <a:pPr>
              <a:defRPr sz="900">
                <a:latin typeface="Book Antiqua" pitchFamily="18" charset="0"/>
              </a:defRPr>
            </a:pPr>
            <a:endParaRPr lang="fr-FR"/>
          </a:p>
        </c:txPr>
        <c:crossAx val="213884288"/>
        <c:crosses val="autoZero"/>
        <c:auto val="1"/>
        <c:lblAlgn val="ctr"/>
        <c:lblOffset val="100"/>
      </c:catAx>
      <c:valAx>
        <c:axId val="213884288"/>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3882752"/>
        <c:crosses val="autoZero"/>
        <c:crossBetween val="between"/>
      </c:valAx>
    </c:plotArea>
    <c:legend>
      <c:legendPos val="r"/>
      <c:layout>
        <c:manualLayout>
          <c:xMode val="edge"/>
          <c:yMode val="edge"/>
          <c:x val="3.5052228113787484E-2"/>
          <c:y val="0.83362945580269165"/>
          <c:w val="0.96105533683290001"/>
          <c:h val="9.6255815035254766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5287523744217008"/>
          <c:y val="5.0925925925925923E-2"/>
          <c:w val="0.74270049577136188"/>
          <c:h val="0.66642752989209686"/>
        </c:manualLayout>
      </c:layout>
      <c:bar3DChart>
        <c:barDir val="bar"/>
        <c:grouping val="percentStacked"/>
        <c:ser>
          <c:idx val="0"/>
          <c:order val="0"/>
          <c:tx>
            <c:strRef>
              <c:f>'Frais tenue compte'!$B$157</c:f>
              <c:strCache>
                <c:ptCount val="1"/>
                <c:pt idx="0">
                  <c:v>Très raisonnables</c:v>
                </c:pt>
              </c:strCache>
            </c:strRef>
          </c:tx>
          <c:spPr>
            <a:solidFill>
              <a:srgbClr val="00B050"/>
            </a:solidFill>
          </c:spPr>
          <c:dLbls>
            <c:txPr>
              <a:bodyPr/>
              <a:lstStyle/>
              <a:p>
                <a:pPr>
                  <a:defRPr sz="700">
                    <a:latin typeface="Book Antiqua" pitchFamily="18" charset="0"/>
                  </a:defRPr>
                </a:pPr>
                <a:endParaRPr lang="fr-FR"/>
              </a:p>
            </c:txPr>
            <c:showVal val="1"/>
          </c:dLbls>
          <c:cat>
            <c:strRef>
              <c:f>'Frais tenue compte'!$C$156:$J$156</c:f>
              <c:strCache>
                <c:ptCount val="8"/>
                <c:pt idx="0">
                  <c:v>Industrie</c:v>
                </c:pt>
                <c:pt idx="1">
                  <c:v>Commerce</c:v>
                </c:pt>
                <c:pt idx="2">
                  <c:v>BTP</c:v>
                </c:pt>
                <c:pt idx="3">
                  <c:v>Services</c:v>
                </c:pt>
                <c:pt idx="4">
                  <c:v>Agriculture</c:v>
                </c:pt>
                <c:pt idx="5">
                  <c:v>Artisanat</c:v>
                </c:pt>
                <c:pt idx="6">
                  <c:v>Administration</c:v>
                </c:pt>
                <c:pt idx="7">
                  <c:v>Autre </c:v>
                </c:pt>
              </c:strCache>
            </c:strRef>
          </c:cat>
          <c:val>
            <c:numRef>
              <c:f>'Frais tenue compte'!$C$157:$J$157</c:f>
              <c:numCache>
                <c:formatCode>0.0%</c:formatCode>
                <c:ptCount val="8"/>
                <c:pt idx="0">
                  <c:v>0</c:v>
                </c:pt>
                <c:pt idx="1">
                  <c:v>6.2344139650872821E-3</c:v>
                </c:pt>
                <c:pt idx="2">
                  <c:v>1.5267175572519161E-2</c:v>
                </c:pt>
                <c:pt idx="3">
                  <c:v>6.920415224913495E-3</c:v>
                </c:pt>
                <c:pt idx="4">
                  <c:v>2.1739130434782612E-2</c:v>
                </c:pt>
                <c:pt idx="5">
                  <c:v>0</c:v>
                </c:pt>
                <c:pt idx="6">
                  <c:v>8.3333333333333343E-2</c:v>
                </c:pt>
                <c:pt idx="7">
                  <c:v>1.0638297872340141E-2</c:v>
                </c:pt>
              </c:numCache>
            </c:numRef>
          </c:val>
        </c:ser>
        <c:ser>
          <c:idx val="1"/>
          <c:order val="1"/>
          <c:tx>
            <c:strRef>
              <c:f>'Frais tenue compte'!$B$158</c:f>
              <c:strCache>
                <c:ptCount val="1"/>
                <c:pt idx="0">
                  <c:v>Raisonnables</c:v>
                </c:pt>
              </c:strCache>
            </c:strRef>
          </c:tx>
          <c:spPr>
            <a:solidFill>
              <a:schemeClr val="accent3">
                <a:lumMod val="60000"/>
                <a:lumOff val="40000"/>
              </a:schemeClr>
            </a:solidFill>
          </c:spPr>
          <c:dLbls>
            <c:txPr>
              <a:bodyPr/>
              <a:lstStyle/>
              <a:p>
                <a:pPr>
                  <a:defRPr sz="700">
                    <a:latin typeface="Book Antiqua" pitchFamily="18" charset="0"/>
                  </a:defRPr>
                </a:pPr>
                <a:endParaRPr lang="fr-FR"/>
              </a:p>
            </c:txPr>
            <c:showVal val="1"/>
          </c:dLbls>
          <c:cat>
            <c:strRef>
              <c:f>'Frais tenue compte'!$C$156:$J$156</c:f>
              <c:strCache>
                <c:ptCount val="8"/>
                <c:pt idx="0">
                  <c:v>Industrie</c:v>
                </c:pt>
                <c:pt idx="1">
                  <c:v>Commerce</c:v>
                </c:pt>
                <c:pt idx="2">
                  <c:v>BTP</c:v>
                </c:pt>
                <c:pt idx="3">
                  <c:v>Services</c:v>
                </c:pt>
                <c:pt idx="4">
                  <c:v>Agriculture</c:v>
                </c:pt>
                <c:pt idx="5">
                  <c:v>Artisanat</c:v>
                </c:pt>
                <c:pt idx="6">
                  <c:v>Administration</c:v>
                </c:pt>
                <c:pt idx="7">
                  <c:v>Autre </c:v>
                </c:pt>
              </c:strCache>
            </c:strRef>
          </c:cat>
          <c:val>
            <c:numRef>
              <c:f>'Frais tenue compte'!$C$158:$J$158</c:f>
              <c:numCache>
                <c:formatCode>0.0%</c:formatCode>
                <c:ptCount val="8"/>
                <c:pt idx="0">
                  <c:v>0.46052631578948205</c:v>
                </c:pt>
                <c:pt idx="1">
                  <c:v>0.39900249376559338</c:v>
                </c:pt>
                <c:pt idx="2">
                  <c:v>0.3282442748091654</c:v>
                </c:pt>
                <c:pt idx="3">
                  <c:v>0.43944636678201415</c:v>
                </c:pt>
                <c:pt idx="4">
                  <c:v>0.28260869565217789</c:v>
                </c:pt>
                <c:pt idx="5">
                  <c:v>0.32584269662922144</c:v>
                </c:pt>
                <c:pt idx="6">
                  <c:v>0.33333333333333331</c:v>
                </c:pt>
                <c:pt idx="7">
                  <c:v>0.2978723404255319</c:v>
                </c:pt>
              </c:numCache>
            </c:numRef>
          </c:val>
        </c:ser>
        <c:ser>
          <c:idx val="2"/>
          <c:order val="2"/>
          <c:tx>
            <c:strRef>
              <c:f>'Frais tenue compte'!$B$159</c:f>
              <c:strCache>
                <c:ptCount val="1"/>
                <c:pt idx="0">
                  <c:v>Elevés</c:v>
                </c:pt>
              </c:strCache>
            </c:strRef>
          </c:tx>
          <c:spPr>
            <a:solidFill>
              <a:schemeClr val="accent6">
                <a:lumMod val="75000"/>
              </a:schemeClr>
            </a:solidFill>
          </c:spPr>
          <c:dLbls>
            <c:spPr>
              <a:noFill/>
              <a:ln>
                <a:noFill/>
              </a:ln>
              <a:effectLst/>
            </c:spPr>
            <c:txPr>
              <a:bodyPr/>
              <a:lstStyle/>
              <a:p>
                <a:pPr>
                  <a:defRPr sz="700">
                    <a:latin typeface="Book Antiqua" pitchFamily="18" charset="0"/>
                  </a:defRPr>
                </a:pPr>
                <a:endParaRPr lang="fr-FR"/>
              </a:p>
            </c:txPr>
            <c:showVal val="1"/>
            <c:extLst>
              <c:ext xmlns:c15="http://schemas.microsoft.com/office/drawing/2012/chart" uri="{CE6537A1-D6FC-4f65-9D91-7224C49458BB}">
                <c15:showLeaderLines val="0"/>
              </c:ext>
            </c:extLst>
          </c:dLbls>
          <c:cat>
            <c:strRef>
              <c:f>'Frais tenue compte'!$C$156:$J$156</c:f>
              <c:strCache>
                <c:ptCount val="8"/>
                <c:pt idx="0">
                  <c:v>Industrie</c:v>
                </c:pt>
                <c:pt idx="1">
                  <c:v>Commerce</c:v>
                </c:pt>
                <c:pt idx="2">
                  <c:v>BTP</c:v>
                </c:pt>
                <c:pt idx="3">
                  <c:v>Services</c:v>
                </c:pt>
                <c:pt idx="4">
                  <c:v>Agriculture</c:v>
                </c:pt>
                <c:pt idx="5">
                  <c:v>Artisanat</c:v>
                </c:pt>
                <c:pt idx="6">
                  <c:v>Administration</c:v>
                </c:pt>
                <c:pt idx="7">
                  <c:v>Autre </c:v>
                </c:pt>
              </c:strCache>
            </c:strRef>
          </c:cat>
          <c:val>
            <c:numRef>
              <c:f>'Frais tenue compte'!$C$159:$J$159</c:f>
              <c:numCache>
                <c:formatCode>0.0%</c:formatCode>
                <c:ptCount val="8"/>
                <c:pt idx="0">
                  <c:v>0.44736842105263697</c:v>
                </c:pt>
                <c:pt idx="1">
                  <c:v>0.44139650872817954</c:v>
                </c:pt>
                <c:pt idx="2">
                  <c:v>0.41984732824427934</c:v>
                </c:pt>
                <c:pt idx="3">
                  <c:v>0.44463667820069208</c:v>
                </c:pt>
                <c:pt idx="4">
                  <c:v>0.46739130434782838</c:v>
                </c:pt>
                <c:pt idx="5">
                  <c:v>0.56179775280899846</c:v>
                </c:pt>
                <c:pt idx="6">
                  <c:v>0.58333333333333337</c:v>
                </c:pt>
                <c:pt idx="7">
                  <c:v>0.45744680851063835</c:v>
                </c:pt>
              </c:numCache>
            </c:numRef>
          </c:val>
        </c:ser>
        <c:ser>
          <c:idx val="3"/>
          <c:order val="3"/>
          <c:tx>
            <c:strRef>
              <c:f>'Frais tenue compte'!$B$160</c:f>
              <c:strCache>
                <c:ptCount val="1"/>
                <c:pt idx="0">
                  <c:v>Très élevés</c:v>
                </c:pt>
              </c:strCache>
            </c:strRef>
          </c:tx>
          <c:spPr>
            <a:solidFill>
              <a:srgbClr val="FF0000"/>
            </a:solidFill>
          </c:spPr>
          <c:dLbls>
            <c:spPr>
              <a:noFill/>
              <a:ln>
                <a:noFill/>
              </a:ln>
              <a:effectLst/>
            </c:spPr>
            <c:txPr>
              <a:bodyPr/>
              <a:lstStyle/>
              <a:p>
                <a:pPr>
                  <a:defRPr sz="700">
                    <a:latin typeface="Book Antiqua" pitchFamily="18" charset="0"/>
                  </a:defRPr>
                </a:pPr>
                <a:endParaRPr lang="fr-FR"/>
              </a:p>
            </c:txPr>
            <c:showVal val="1"/>
            <c:extLst>
              <c:ext xmlns:c15="http://schemas.microsoft.com/office/drawing/2012/chart" uri="{CE6537A1-D6FC-4f65-9D91-7224C49458BB}">
                <c15:showLeaderLines val="0"/>
              </c:ext>
            </c:extLst>
          </c:dLbls>
          <c:cat>
            <c:strRef>
              <c:f>'Frais tenue compte'!$C$156:$J$156</c:f>
              <c:strCache>
                <c:ptCount val="8"/>
                <c:pt idx="0">
                  <c:v>Industrie</c:v>
                </c:pt>
                <c:pt idx="1">
                  <c:v>Commerce</c:v>
                </c:pt>
                <c:pt idx="2">
                  <c:v>BTP</c:v>
                </c:pt>
                <c:pt idx="3">
                  <c:v>Services</c:v>
                </c:pt>
                <c:pt idx="4">
                  <c:v>Agriculture</c:v>
                </c:pt>
                <c:pt idx="5">
                  <c:v>Artisanat</c:v>
                </c:pt>
                <c:pt idx="6">
                  <c:v>Administration</c:v>
                </c:pt>
                <c:pt idx="7">
                  <c:v>Autre </c:v>
                </c:pt>
              </c:strCache>
            </c:strRef>
          </c:cat>
          <c:val>
            <c:numRef>
              <c:f>'Frais tenue compte'!$C$160:$J$160</c:f>
              <c:numCache>
                <c:formatCode>0.0%</c:formatCode>
                <c:ptCount val="8"/>
                <c:pt idx="0">
                  <c:v>9.2105263157895245E-2</c:v>
                </c:pt>
                <c:pt idx="1">
                  <c:v>0.15336658354115026</c:v>
                </c:pt>
                <c:pt idx="2">
                  <c:v>0.23664122137404581</c:v>
                </c:pt>
                <c:pt idx="3">
                  <c:v>0.10899653979238756</c:v>
                </c:pt>
                <c:pt idx="4">
                  <c:v>0.22826086956521741</c:v>
                </c:pt>
                <c:pt idx="5">
                  <c:v>0.11235955056179735</c:v>
                </c:pt>
                <c:pt idx="6">
                  <c:v>0</c:v>
                </c:pt>
                <c:pt idx="7">
                  <c:v>0.23404255319149309</c:v>
                </c:pt>
              </c:numCache>
            </c:numRef>
          </c:val>
        </c:ser>
        <c:shape val="cylinder"/>
        <c:axId val="214002688"/>
        <c:axId val="214020864"/>
        <c:axId val="0"/>
      </c:bar3DChart>
      <c:catAx>
        <c:axId val="214002688"/>
        <c:scaling>
          <c:orientation val="minMax"/>
        </c:scaling>
        <c:axPos val="l"/>
        <c:numFmt formatCode="General" sourceLinked="0"/>
        <c:tickLblPos val="nextTo"/>
        <c:txPr>
          <a:bodyPr/>
          <a:lstStyle/>
          <a:p>
            <a:pPr>
              <a:defRPr sz="800" b="1">
                <a:latin typeface="Book Antiqua" pitchFamily="18" charset="0"/>
              </a:defRPr>
            </a:pPr>
            <a:endParaRPr lang="fr-FR"/>
          </a:p>
        </c:txPr>
        <c:crossAx val="214020864"/>
        <c:crosses val="autoZero"/>
        <c:auto val="1"/>
        <c:lblAlgn val="ctr"/>
        <c:lblOffset val="100"/>
      </c:catAx>
      <c:valAx>
        <c:axId val="214020864"/>
        <c:scaling>
          <c:orientation val="minMax"/>
        </c:scaling>
        <c:axPos val="b"/>
        <c:majorGridlines/>
        <c:numFmt formatCode="0%" sourceLinked="1"/>
        <c:tickLblPos val="nextTo"/>
        <c:txPr>
          <a:bodyPr/>
          <a:lstStyle/>
          <a:p>
            <a:pPr>
              <a:defRPr sz="800">
                <a:latin typeface="Book Antiqua" pitchFamily="18" charset="0"/>
              </a:defRPr>
            </a:pPr>
            <a:endParaRPr lang="fr-FR"/>
          </a:p>
        </c:txPr>
        <c:crossAx val="214002688"/>
        <c:crosses val="autoZero"/>
        <c:crossBetween val="between"/>
      </c:valAx>
    </c:plotArea>
    <c:legend>
      <c:legendPos val="r"/>
      <c:layout>
        <c:manualLayout>
          <c:xMode val="edge"/>
          <c:yMode val="edge"/>
          <c:x val="6.9109266747062026E-2"/>
          <c:y val="0.83256561679790031"/>
          <c:w val="0.84480464716685988"/>
          <c:h val="0.1094784408403339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explosion val="25"/>
          <c:dLbls>
            <c:dLbl>
              <c:idx val="0"/>
              <c:layout>
                <c:manualLayout>
                  <c:x val="2.7777777777778447E-3"/>
                  <c:y val="-1.4027108551729539E-2"/>
                </c:manualLayout>
              </c:layout>
              <c:dLblPos val="bestFit"/>
              <c:showPercent val="1"/>
              <c:extLst>
                <c:ext xmlns:c15="http://schemas.microsoft.com/office/drawing/2012/chart" uri="{CE6537A1-D6FC-4f65-9D91-7224C49458BB}">
                  <c15:layout/>
                </c:ext>
              </c:extLst>
            </c:dLbl>
            <c:dLbl>
              <c:idx val="1"/>
              <c:layout>
                <c:manualLayout>
                  <c:x val="3.8888670166229412E-2"/>
                  <c:y val="4.6292161241038134E-3"/>
                </c:manualLayout>
              </c:layout>
              <c:dLblPos val="bestFit"/>
              <c:showPercent val="1"/>
              <c:extLst>
                <c:ext xmlns:c15="http://schemas.microsoft.com/office/drawing/2012/chart" uri="{CE6537A1-D6FC-4f65-9D91-7224C49458BB}">
                  <c15:layout/>
                </c:ext>
              </c:extLst>
            </c:dLbl>
            <c:dLbl>
              <c:idx val="2"/>
              <c:layout>
                <c:manualLayout>
                  <c:x val="1.1111111111111125E-2"/>
                  <c:y val="3.9381831002467992E-3"/>
                </c:manualLayout>
              </c:layout>
              <c:dLblPos val="bestFit"/>
              <c:showPercent val="1"/>
              <c:extLst>
                <c:ext xmlns:c15="http://schemas.microsoft.com/office/drawing/2012/chart" uri="{CE6537A1-D6FC-4f65-9D91-7224C49458BB}">
                  <c15:layout/>
                </c:ext>
              </c:extLst>
            </c:dLbl>
            <c:dLbl>
              <c:idx val="3"/>
              <c:layout>
                <c:manualLayout>
                  <c:x val="0"/>
                  <c:y val="-5.9329337564147924E-3"/>
                </c:manualLayout>
              </c:layout>
              <c:dLblPos val="bestFit"/>
              <c:showPercent val="1"/>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700" b="1"/>
                </a:pPr>
                <a:endParaRPr lang="fr-FR"/>
              </a:p>
            </c:txPr>
            <c:dLblPos val="outEnd"/>
            <c:showPercent val="1"/>
            <c:extLst>
              <c:ext xmlns:c15="http://schemas.microsoft.com/office/drawing/2012/chart" uri="{CE6537A1-D6FC-4f65-9D91-7224C49458BB}"/>
            </c:extLst>
          </c:dLbls>
          <c:cat>
            <c:strRef>
              <c:f>ESUB_2015_PM!$B$610:$B$613</c:f>
              <c:strCache>
                <c:ptCount val="4"/>
                <c:pt idx="0">
                  <c:v>Très satisfaisante</c:v>
                </c:pt>
                <c:pt idx="1">
                  <c:v>Satisfaisante</c:v>
                </c:pt>
                <c:pt idx="2">
                  <c:v>Non satisfaisante</c:v>
                </c:pt>
                <c:pt idx="3">
                  <c:v>Pas du tout satisfaisante</c:v>
                </c:pt>
              </c:strCache>
            </c:strRef>
          </c:cat>
          <c:val>
            <c:numRef>
              <c:f>ESUB_2015_PM!$C$610:$C$613</c:f>
              <c:numCache>
                <c:formatCode>###0</c:formatCode>
                <c:ptCount val="4"/>
                <c:pt idx="0">
                  <c:v>48</c:v>
                </c:pt>
                <c:pt idx="1">
                  <c:v>572</c:v>
                </c:pt>
                <c:pt idx="2">
                  <c:v>83</c:v>
                </c:pt>
                <c:pt idx="3">
                  <c:v>15</c:v>
                </c:pt>
              </c:numCache>
            </c:numRef>
          </c:val>
        </c:ser>
        <c:ser>
          <c:idx val="1"/>
          <c:order val="1"/>
          <c:explosion val="25"/>
          <c:cat>
            <c:strRef>
              <c:f>ESUB_2015_PM!$B$610:$B$613</c:f>
              <c:strCache>
                <c:ptCount val="4"/>
                <c:pt idx="0">
                  <c:v>Très satisfaisante</c:v>
                </c:pt>
                <c:pt idx="1">
                  <c:v>Satisfaisante</c:v>
                </c:pt>
                <c:pt idx="2">
                  <c:v>Non satisfaisante</c:v>
                </c:pt>
                <c:pt idx="3">
                  <c:v>Pas du tout satisfaisante</c:v>
                </c:pt>
              </c:strCache>
            </c:strRef>
          </c:cat>
          <c:val>
            <c:numRef>
              <c:f>ESUB_2015_PM!$D$610:$D$613</c:f>
              <c:numCache>
                <c:formatCode>###0.0</c:formatCode>
                <c:ptCount val="4"/>
                <c:pt idx="0">
                  <c:v>2.5613660618996796</c:v>
                </c:pt>
                <c:pt idx="1">
                  <c:v>30.522945570970546</c:v>
                </c:pt>
                <c:pt idx="2">
                  <c:v>4.4290288153681994</c:v>
                </c:pt>
                <c:pt idx="3" formatCode="####.0">
                  <c:v>0.80042689434365</c:v>
                </c:pt>
              </c:numCache>
            </c:numRef>
          </c:val>
        </c:ser>
        <c:ser>
          <c:idx val="2"/>
          <c:order val="2"/>
          <c:explosion val="25"/>
          <c:cat>
            <c:strRef>
              <c:f>ESUB_2015_PM!$B$610:$B$613</c:f>
              <c:strCache>
                <c:ptCount val="4"/>
                <c:pt idx="0">
                  <c:v>Très satisfaisante</c:v>
                </c:pt>
                <c:pt idx="1">
                  <c:v>Satisfaisante</c:v>
                </c:pt>
                <c:pt idx="2">
                  <c:v>Non satisfaisante</c:v>
                </c:pt>
                <c:pt idx="3">
                  <c:v>Pas du tout satisfaisante</c:v>
                </c:pt>
              </c:strCache>
            </c:strRef>
          </c:cat>
          <c:val>
            <c:numRef>
              <c:f>ESUB_2015_PM!$E$610:$E$613</c:f>
              <c:numCache>
                <c:formatCode>###0.0</c:formatCode>
                <c:ptCount val="4"/>
                <c:pt idx="0">
                  <c:v>6.6852367688022287</c:v>
                </c:pt>
                <c:pt idx="1">
                  <c:v>79.665738161555723</c:v>
                </c:pt>
                <c:pt idx="2">
                  <c:v>11.559888579387579</c:v>
                </c:pt>
                <c:pt idx="3">
                  <c:v>2.0891364902506981</c:v>
                </c:pt>
              </c:numCache>
            </c:numRef>
          </c:val>
        </c:ser>
      </c:pie3DChart>
    </c:plotArea>
    <c:legend>
      <c:legendPos val="b"/>
      <c:txPr>
        <a:bodyPr/>
        <a:lstStyle/>
        <a:p>
          <a:pPr>
            <a:defRPr sz="800" b="1">
              <a:latin typeface="Book Antiqua" pitchFamily="18" charset="0"/>
            </a:defRPr>
          </a:pPr>
          <a:endParaRPr lang="fr-FR"/>
        </a:p>
      </c:txPr>
    </c:legend>
    <c:plotVisOnly val="1"/>
    <c:dispBlanksAs val="zero"/>
  </c:chart>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'Frais tenue compte'!$F$46</c:f>
              <c:strCache>
                <c:ptCount val="1"/>
                <c:pt idx="0">
                  <c:v>Oui</c:v>
                </c:pt>
              </c:strCache>
            </c:strRef>
          </c:tx>
          <c:spPr>
            <a:solidFill>
              <a:srgbClr val="00B050"/>
            </a:solidFill>
          </c:spPr>
          <c:dLbls>
            <c:numFmt formatCode="0.0%" sourceLinked="0"/>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'Frais tenue compte'!$G$45:$H$45</c:f>
              <c:strCache>
                <c:ptCount val="2"/>
                <c:pt idx="0">
                  <c:v>Formel</c:v>
                </c:pt>
                <c:pt idx="1">
                  <c:v>Informel</c:v>
                </c:pt>
              </c:strCache>
            </c:strRef>
          </c:cat>
          <c:val>
            <c:numRef>
              <c:f>'Frais tenue compte'!$G$46:$H$46</c:f>
              <c:numCache>
                <c:formatCode>0%</c:formatCode>
                <c:ptCount val="2"/>
                <c:pt idx="0">
                  <c:v>0.47372372372372384</c:v>
                </c:pt>
                <c:pt idx="1">
                  <c:v>0.1494464944649492</c:v>
                </c:pt>
              </c:numCache>
            </c:numRef>
          </c:val>
        </c:ser>
        <c:ser>
          <c:idx val="1"/>
          <c:order val="1"/>
          <c:tx>
            <c:strRef>
              <c:f>'Frais tenue compte'!$F$47</c:f>
              <c:strCache>
                <c:ptCount val="1"/>
                <c:pt idx="0">
                  <c:v>Non</c:v>
                </c:pt>
              </c:strCache>
            </c:strRef>
          </c:tx>
          <c:spPr>
            <a:solidFill>
              <a:srgbClr val="FF0000"/>
            </a:solidFill>
          </c:spPr>
          <c:dLbls>
            <c:numFmt formatCode="0.0%" sourceLinked="0"/>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'Frais tenue compte'!$G$45:$H$45</c:f>
              <c:strCache>
                <c:ptCount val="2"/>
                <c:pt idx="0">
                  <c:v>Formel</c:v>
                </c:pt>
                <c:pt idx="1">
                  <c:v>Informel</c:v>
                </c:pt>
              </c:strCache>
            </c:strRef>
          </c:cat>
          <c:val>
            <c:numRef>
              <c:f>'Frais tenue compte'!$G$47:$H$47</c:f>
              <c:numCache>
                <c:formatCode>0%</c:formatCode>
                <c:ptCount val="2"/>
                <c:pt idx="0">
                  <c:v>0.5262762762762766</c:v>
                </c:pt>
                <c:pt idx="1">
                  <c:v>0.85055350553505538</c:v>
                </c:pt>
              </c:numCache>
            </c:numRef>
          </c:val>
        </c:ser>
        <c:shape val="cylinder"/>
        <c:axId val="214087552"/>
        <c:axId val="214089088"/>
        <c:axId val="0"/>
      </c:bar3DChart>
      <c:catAx>
        <c:axId val="214087552"/>
        <c:scaling>
          <c:orientation val="minMax"/>
        </c:scaling>
        <c:axPos val="b"/>
        <c:numFmt formatCode="General" sourceLinked="0"/>
        <c:tickLblPos val="nextTo"/>
        <c:txPr>
          <a:bodyPr/>
          <a:lstStyle/>
          <a:p>
            <a:pPr>
              <a:defRPr sz="800" b="1">
                <a:latin typeface="Book Antiqua" pitchFamily="18" charset="0"/>
              </a:defRPr>
            </a:pPr>
            <a:endParaRPr lang="fr-FR"/>
          </a:p>
        </c:txPr>
        <c:crossAx val="214089088"/>
        <c:crosses val="autoZero"/>
        <c:auto val="1"/>
        <c:lblAlgn val="ctr"/>
        <c:lblOffset val="100"/>
      </c:catAx>
      <c:valAx>
        <c:axId val="214089088"/>
        <c:scaling>
          <c:orientation val="minMax"/>
        </c:scaling>
        <c:axPos val="l"/>
        <c:majorGridlines/>
        <c:numFmt formatCode="0%" sourceLinked="1"/>
        <c:tickLblPos val="nextTo"/>
        <c:crossAx val="214087552"/>
        <c:crosses val="autoZero"/>
        <c:crossBetween val="between"/>
      </c:valAx>
    </c:plotArea>
    <c:legend>
      <c:legendPos val="b"/>
      <c:txPr>
        <a:bodyPr/>
        <a:lstStyle/>
        <a:p>
          <a:pPr>
            <a:defRPr sz="800" b="1">
              <a:latin typeface="Book Antiqua" pitchFamily="18" charset="0"/>
            </a:defRPr>
          </a:pPr>
          <a:endParaRPr lang="fr-FR"/>
        </a:p>
      </c:txPr>
    </c:legend>
    <c:plotVisOnly val="1"/>
    <c:dispBlanksAs val="gap"/>
  </c:chart>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4061395450568678"/>
          <c:y val="5.0925925925925923E-2"/>
          <c:w val="0.77266426071741068"/>
          <c:h val="0.59235345581802257"/>
        </c:manualLayout>
      </c:layout>
      <c:bar3DChart>
        <c:barDir val="bar"/>
        <c:grouping val="percentStacked"/>
        <c:ser>
          <c:idx val="0"/>
          <c:order val="0"/>
          <c:tx>
            <c:strRef>
              <c:f>'Frais tenue compte'!$H$171</c:f>
              <c:strCache>
                <c:ptCount val="1"/>
                <c:pt idx="0">
                  <c:v>Très satisfaisante</c:v>
                </c:pt>
              </c:strCache>
            </c:strRef>
          </c:tx>
          <c:spPr>
            <a:solidFill>
              <a:srgbClr val="00B050"/>
            </a:solidFill>
          </c:spPr>
          <c:cat>
            <c:strRef>
              <c:f>'Frais tenue compte'!$I$170:$J$170</c:f>
              <c:strCache>
                <c:ptCount val="2"/>
                <c:pt idx="0">
                  <c:v>Formel</c:v>
                </c:pt>
                <c:pt idx="1">
                  <c:v>Informel</c:v>
                </c:pt>
              </c:strCache>
            </c:strRef>
          </c:cat>
          <c:val>
            <c:numRef>
              <c:f>'Frais tenue compte'!$I$171:$J$171</c:f>
              <c:numCache>
                <c:formatCode>0.0%</c:formatCode>
                <c:ptCount val="2"/>
                <c:pt idx="0">
                  <c:v>7.2327044025157314E-2</c:v>
                </c:pt>
                <c:pt idx="1">
                  <c:v>2.4390243902439025E-2</c:v>
                </c:pt>
              </c:numCache>
            </c:numRef>
          </c:val>
        </c:ser>
        <c:ser>
          <c:idx val="1"/>
          <c:order val="1"/>
          <c:tx>
            <c:strRef>
              <c:f>'Frais tenue compte'!$H$172</c:f>
              <c:strCache>
                <c:ptCount val="1"/>
                <c:pt idx="0">
                  <c:v>Satisfaisante</c:v>
                </c:pt>
              </c:strCache>
            </c:strRef>
          </c:tx>
          <c:spPr>
            <a:solidFill>
              <a:schemeClr val="accent3">
                <a:lumMod val="60000"/>
                <a:lumOff val="40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'Frais tenue compte'!$I$170:$J$170</c:f>
              <c:strCache>
                <c:ptCount val="2"/>
                <c:pt idx="0">
                  <c:v>Formel</c:v>
                </c:pt>
                <c:pt idx="1">
                  <c:v>Informel</c:v>
                </c:pt>
              </c:strCache>
            </c:strRef>
          </c:cat>
          <c:val>
            <c:numRef>
              <c:f>'Frais tenue compte'!$I$172:$J$172</c:f>
              <c:numCache>
                <c:formatCode>0.0%</c:formatCode>
                <c:ptCount val="2"/>
                <c:pt idx="0">
                  <c:v>0.79088050314465408</c:v>
                </c:pt>
                <c:pt idx="1">
                  <c:v>0.84146341463414664</c:v>
                </c:pt>
              </c:numCache>
            </c:numRef>
          </c:val>
        </c:ser>
        <c:ser>
          <c:idx val="2"/>
          <c:order val="2"/>
          <c:tx>
            <c:strRef>
              <c:f>'Frais tenue compte'!$H$173</c:f>
              <c:strCache>
                <c:ptCount val="1"/>
                <c:pt idx="0">
                  <c:v>Non satisfaisante</c:v>
                </c:pt>
              </c:strCache>
            </c:strRef>
          </c:tx>
          <c:spPr>
            <a:solidFill>
              <a:schemeClr val="accent6">
                <a:lumMod val="75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layout/>
                <c15:showLeaderLines val="0"/>
              </c:ext>
            </c:extLst>
          </c:dLbls>
          <c:cat>
            <c:strRef>
              <c:f>'Frais tenue compte'!$I$170:$J$170</c:f>
              <c:strCache>
                <c:ptCount val="2"/>
                <c:pt idx="0">
                  <c:v>Formel</c:v>
                </c:pt>
                <c:pt idx="1">
                  <c:v>Informel</c:v>
                </c:pt>
              </c:strCache>
            </c:strRef>
          </c:cat>
          <c:val>
            <c:numRef>
              <c:f>'Frais tenue compte'!$I$173:$J$173</c:f>
              <c:numCache>
                <c:formatCode>0.0%</c:formatCode>
                <c:ptCount val="2"/>
                <c:pt idx="0">
                  <c:v>0.11792452830188679</c:v>
                </c:pt>
                <c:pt idx="1">
                  <c:v>9.7560975609756226E-2</c:v>
                </c:pt>
              </c:numCache>
            </c:numRef>
          </c:val>
        </c:ser>
        <c:ser>
          <c:idx val="3"/>
          <c:order val="3"/>
          <c:tx>
            <c:strRef>
              <c:f>'Frais tenue compte'!$H$174</c:f>
              <c:strCache>
                <c:ptCount val="1"/>
                <c:pt idx="0">
                  <c:v>Pas du tout satisfaisante</c:v>
                </c:pt>
              </c:strCache>
            </c:strRef>
          </c:tx>
          <c:spPr>
            <a:solidFill>
              <a:srgbClr val="FF0000"/>
            </a:solidFill>
          </c:spPr>
          <c:dLbls>
            <c:dLbl>
              <c:idx val="0"/>
              <c:layout>
                <c:manualLayout>
                  <c:x val="3.333333333333334E-2"/>
                  <c:y val="8.3333333333333343E-2"/>
                </c:manualLayout>
              </c:layout>
              <c:showVal val="1"/>
              <c:extLst>
                <c:ext xmlns:c15="http://schemas.microsoft.com/office/drawing/2012/chart" uri="{CE6537A1-D6FC-4f65-9D91-7224C49458BB}">
                  <c15:layout/>
                </c:ext>
              </c:extLst>
            </c:dLbl>
            <c:dLbl>
              <c:idx val="1"/>
              <c:layout>
                <c:manualLayout>
                  <c:x val="4.1666666666666664E-2"/>
                  <c:y val="-0.10648148148148313"/>
                </c:manualLayout>
              </c:layout>
              <c:showVal val="1"/>
              <c:extLst>
                <c:ext xmlns:c15="http://schemas.microsoft.com/office/drawing/2012/chart" uri="{CE6537A1-D6FC-4f65-9D91-7224C49458BB}">
                  <c15:layout/>
                </c:ext>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'Frais tenue compte'!$I$170:$J$170</c:f>
              <c:strCache>
                <c:ptCount val="2"/>
                <c:pt idx="0">
                  <c:v>Formel</c:v>
                </c:pt>
                <c:pt idx="1">
                  <c:v>Informel</c:v>
                </c:pt>
              </c:strCache>
            </c:strRef>
          </c:cat>
          <c:val>
            <c:numRef>
              <c:f>'Frais tenue compte'!$I$174:$J$174</c:f>
              <c:numCache>
                <c:formatCode>0.0%</c:formatCode>
                <c:ptCount val="2"/>
                <c:pt idx="0">
                  <c:v>1.8867924528301886E-2</c:v>
                </c:pt>
                <c:pt idx="1">
                  <c:v>3.6585365853658611E-2</c:v>
                </c:pt>
              </c:numCache>
            </c:numRef>
          </c:val>
        </c:ser>
        <c:shape val="cylinder"/>
        <c:axId val="214125952"/>
        <c:axId val="214172800"/>
        <c:axId val="0"/>
      </c:bar3DChart>
      <c:catAx>
        <c:axId val="214125952"/>
        <c:scaling>
          <c:orientation val="minMax"/>
        </c:scaling>
        <c:axPos val="l"/>
        <c:numFmt formatCode="General" sourceLinked="0"/>
        <c:tickLblPos val="nextTo"/>
        <c:txPr>
          <a:bodyPr/>
          <a:lstStyle/>
          <a:p>
            <a:pPr>
              <a:defRPr sz="800">
                <a:latin typeface="Book Antiqua" pitchFamily="18" charset="0"/>
              </a:defRPr>
            </a:pPr>
            <a:endParaRPr lang="fr-FR"/>
          </a:p>
        </c:txPr>
        <c:crossAx val="214172800"/>
        <c:crosses val="autoZero"/>
        <c:auto val="1"/>
        <c:lblAlgn val="ctr"/>
        <c:lblOffset val="100"/>
      </c:catAx>
      <c:valAx>
        <c:axId val="214172800"/>
        <c:scaling>
          <c:orientation val="minMax"/>
        </c:scaling>
        <c:axPos val="b"/>
        <c:majorGridlines/>
        <c:numFmt formatCode="0%" sourceLinked="1"/>
        <c:tickLblPos val="nextTo"/>
        <c:txPr>
          <a:bodyPr/>
          <a:lstStyle/>
          <a:p>
            <a:pPr>
              <a:defRPr sz="800">
                <a:latin typeface="Book Antiqua" pitchFamily="18" charset="0"/>
              </a:defRPr>
            </a:pPr>
            <a:endParaRPr lang="fr-FR"/>
          </a:p>
        </c:txPr>
        <c:crossAx val="214125952"/>
        <c:crosses val="autoZero"/>
        <c:crossBetween val="between"/>
      </c:valAx>
    </c:plotArea>
    <c:legend>
      <c:legendPos val="r"/>
      <c:layout>
        <c:manualLayout>
          <c:xMode val="edge"/>
          <c:yMode val="edge"/>
          <c:x val="6.6555993000874891E-2"/>
          <c:y val="0.79552857976085956"/>
          <c:w val="0.90288845144358465"/>
          <c:h val="0.20060950714494022"/>
        </c:manualLayout>
      </c:layout>
      <c:txPr>
        <a:bodyPr/>
        <a:lstStyle/>
        <a:p>
          <a:pPr>
            <a:defRPr sz="800">
              <a:latin typeface="Book Antiqua" pitchFamily="18" charset="0"/>
            </a:defRPr>
          </a:pPr>
          <a:endParaRPr lang="fr-FR"/>
        </a:p>
      </c:txPr>
    </c:legend>
    <c:plotVisOnly val="1"/>
    <c:dispBlanksAs val="gap"/>
  </c:chart>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explosion val="25"/>
          <c:dLbls>
            <c:dLbl>
              <c:idx val="0"/>
              <c:layout>
                <c:manualLayout>
                  <c:x val="1.3888888888889148E-2"/>
                  <c:y val="-4.6296296296297014E-3"/>
                </c:manualLayout>
              </c:layout>
              <c:dLblPos val="bestFit"/>
              <c:showPercent val="1"/>
              <c:extLst>
                <c:ext xmlns:c15="http://schemas.microsoft.com/office/drawing/2012/chart" uri="{CE6537A1-D6FC-4f65-9D91-7224C49458BB}">
                  <c15:layout/>
                </c:ext>
              </c:extLst>
            </c:dLbl>
            <c:dLbl>
              <c:idx val="1"/>
              <c:layout>
                <c:manualLayout>
                  <c:x val="8.0555555555560071E-2"/>
                  <c:y val="-0.22222222222222221"/>
                </c:manualLayout>
              </c:layout>
              <c:dLblPos val="bestFit"/>
              <c:showPercent val="1"/>
              <c:extLst>
                <c:ext xmlns:c15="http://schemas.microsoft.com/office/drawing/2012/chart" uri="{CE6537A1-D6FC-4f65-9D91-7224C49458BB}">
                  <c15:layout/>
                </c:ext>
              </c:extLst>
            </c:dLbl>
            <c:dLbl>
              <c:idx val="2"/>
              <c:layout>
                <c:manualLayout>
                  <c:x val="4.7222222222222332E-2"/>
                  <c:y val="-5.5555555555555455E-2"/>
                </c:manualLayout>
              </c:layout>
              <c:dLblPos val="bestFit"/>
              <c:showPercent val="1"/>
              <c:extLst>
                <c:ext xmlns:c15="http://schemas.microsoft.com/office/drawing/2012/chart" uri="{CE6537A1-D6FC-4f65-9D91-7224C49458BB}">
                  <c15:layout/>
                </c:ext>
              </c:extLst>
            </c:dLbl>
            <c:dLbl>
              <c:idx val="3"/>
              <c:layout>
                <c:manualLayout>
                  <c:x val="-5.5555555555555558E-3"/>
                  <c:y val="-4.6296296296297014E-3"/>
                </c:manualLayout>
              </c:layout>
              <c:dLblPos val="bestFit"/>
              <c:showPercent val="1"/>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700" b="1"/>
                </a:pPr>
                <a:endParaRPr lang="fr-FR"/>
              </a:p>
            </c:txPr>
            <c:dLblPos val="outEnd"/>
            <c:showPercent val="1"/>
            <c:extLst>
              <c:ext xmlns:c15="http://schemas.microsoft.com/office/drawing/2012/chart" uri="{CE6537A1-D6FC-4f65-9D91-7224C49458BB}"/>
            </c:extLst>
          </c:dLbls>
          <c:cat>
            <c:strRef>
              <c:f>ESUB_2015_PM!$B$620:$B$623</c:f>
              <c:strCache>
                <c:ptCount val="4"/>
                <c:pt idx="0">
                  <c:v>Très raisonnable</c:v>
                </c:pt>
                <c:pt idx="1">
                  <c:v>Raisonnable</c:v>
                </c:pt>
                <c:pt idx="2">
                  <c:v>Elevé</c:v>
                </c:pt>
                <c:pt idx="3">
                  <c:v>Très Elevé</c:v>
                </c:pt>
              </c:strCache>
            </c:strRef>
          </c:cat>
          <c:val>
            <c:numRef>
              <c:f>ESUB_2015_PM!$C$620:$C$623</c:f>
              <c:numCache>
                <c:formatCode>###0</c:formatCode>
                <c:ptCount val="4"/>
                <c:pt idx="0">
                  <c:v>17</c:v>
                </c:pt>
                <c:pt idx="1">
                  <c:v>475</c:v>
                </c:pt>
                <c:pt idx="2">
                  <c:v>198</c:v>
                </c:pt>
                <c:pt idx="3">
                  <c:v>28</c:v>
                </c:pt>
              </c:numCache>
            </c:numRef>
          </c:val>
        </c:ser>
        <c:ser>
          <c:idx val="1"/>
          <c:order val="1"/>
          <c:explosion val="25"/>
          <c:cat>
            <c:strRef>
              <c:f>ESUB_2015_PM!$B$620:$B$623</c:f>
              <c:strCache>
                <c:ptCount val="4"/>
                <c:pt idx="0">
                  <c:v>Très raisonnable</c:v>
                </c:pt>
                <c:pt idx="1">
                  <c:v>Raisonnable</c:v>
                </c:pt>
                <c:pt idx="2">
                  <c:v>Elevé</c:v>
                </c:pt>
                <c:pt idx="3">
                  <c:v>Très Elevé</c:v>
                </c:pt>
              </c:strCache>
            </c:strRef>
          </c:cat>
          <c:val>
            <c:numRef>
              <c:f>ESUB_2015_PM!$D$620:$D$623</c:f>
              <c:numCache>
                <c:formatCode>###0.0</c:formatCode>
                <c:ptCount val="4"/>
                <c:pt idx="0" formatCode="####.0">
                  <c:v>0.90715048025613654</c:v>
                </c:pt>
                <c:pt idx="1">
                  <c:v>25.346851654216195</c:v>
                </c:pt>
                <c:pt idx="2">
                  <c:v>10.565635005336476</c:v>
                </c:pt>
                <c:pt idx="3">
                  <c:v>1.4941302027748118</c:v>
                </c:pt>
              </c:numCache>
            </c:numRef>
          </c:val>
        </c:ser>
        <c:ser>
          <c:idx val="2"/>
          <c:order val="2"/>
          <c:explosion val="25"/>
          <c:cat>
            <c:strRef>
              <c:f>ESUB_2015_PM!$B$620:$B$623</c:f>
              <c:strCache>
                <c:ptCount val="4"/>
                <c:pt idx="0">
                  <c:v>Très raisonnable</c:v>
                </c:pt>
                <c:pt idx="1">
                  <c:v>Raisonnable</c:v>
                </c:pt>
                <c:pt idx="2">
                  <c:v>Elevé</c:v>
                </c:pt>
                <c:pt idx="3">
                  <c:v>Très Elevé</c:v>
                </c:pt>
              </c:strCache>
            </c:strRef>
          </c:cat>
          <c:val>
            <c:numRef>
              <c:f>ESUB_2015_PM!$E$620:$E$623</c:f>
              <c:numCache>
                <c:formatCode>###0.0</c:formatCode>
                <c:ptCount val="4"/>
                <c:pt idx="0">
                  <c:v>2.3676880222841228</c:v>
                </c:pt>
                <c:pt idx="1">
                  <c:v>66.155988857934929</c:v>
                </c:pt>
                <c:pt idx="2">
                  <c:v>27.576601671308989</c:v>
                </c:pt>
                <c:pt idx="3">
                  <c:v>3.8997214484680001</c:v>
                </c:pt>
              </c:numCache>
            </c:numRef>
          </c:val>
        </c:ser>
      </c:pie3DChart>
    </c:plotArea>
    <c:legend>
      <c:legendPos val="b"/>
      <c:txPr>
        <a:bodyPr/>
        <a:lstStyle/>
        <a:p>
          <a:pPr>
            <a:defRPr sz="900" b="1">
              <a:latin typeface="Book Antiqua" pitchFamily="18" charset="0"/>
            </a:defRPr>
          </a:pPr>
          <a:endParaRPr lang="fr-FR"/>
        </a:p>
      </c:txPr>
    </c:legend>
    <c:plotVisOnly val="1"/>
    <c:dispBlanksAs val="zero"/>
  </c:chart>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explosion val="25"/>
          <c:dPt>
            <c:idx val="0"/>
            <c:spPr>
              <a:solidFill>
                <a:srgbClr val="00B050"/>
              </a:solidFill>
            </c:spPr>
          </c:dPt>
          <c:dPt>
            <c:idx val="1"/>
            <c:spPr>
              <a:solidFill>
                <a:schemeClr val="accent3">
                  <a:lumMod val="60000"/>
                  <a:lumOff val="40000"/>
                </a:schemeClr>
              </a:solidFill>
            </c:spPr>
          </c:dPt>
          <c:dPt>
            <c:idx val="2"/>
            <c:spPr>
              <a:solidFill>
                <a:schemeClr val="accent6">
                  <a:lumMod val="75000"/>
                </a:schemeClr>
              </a:solidFill>
            </c:spPr>
          </c:dPt>
          <c:dPt>
            <c:idx val="3"/>
            <c:spPr>
              <a:solidFill>
                <a:srgbClr val="FF0000"/>
              </a:solidFill>
            </c:spPr>
          </c:dPt>
          <c:dLbls>
            <c:numFmt formatCode="0.0%" sourceLinked="0"/>
            <c:spPr>
              <a:noFill/>
              <a:ln>
                <a:noFill/>
              </a:ln>
              <a:effectLst/>
            </c:spPr>
            <c:txPr>
              <a:bodyPr/>
              <a:lstStyle/>
              <a:p>
                <a:pPr>
                  <a:defRPr sz="800" b="1">
                    <a:latin typeface="Book Antiqua" pitchFamily="18" charset="0"/>
                  </a:defRPr>
                </a:pPr>
                <a:endParaRPr lang="fr-FR"/>
              </a:p>
            </c:txPr>
            <c:showPercent val="1"/>
            <c:showLeaderLines val="1"/>
            <c:extLst>
              <c:ext xmlns:c15="http://schemas.microsoft.com/office/drawing/2012/chart" uri="{CE6537A1-D6FC-4f65-9D91-7224C49458BB}"/>
            </c:extLst>
          </c:dLbls>
          <c:cat>
            <c:strRef>
              <c:f>distance!$G$47:$G$50</c:f>
              <c:strCache>
                <c:ptCount val="4"/>
                <c:pt idx="0">
                  <c:v>Très facile</c:v>
                </c:pt>
                <c:pt idx="1">
                  <c:v>Facile</c:v>
                </c:pt>
                <c:pt idx="2">
                  <c:v>Difficile</c:v>
                </c:pt>
                <c:pt idx="3">
                  <c:v>Très difficile</c:v>
                </c:pt>
              </c:strCache>
            </c:strRef>
          </c:cat>
          <c:val>
            <c:numRef>
              <c:f>distance!$H$47:$H$50</c:f>
              <c:numCache>
                <c:formatCode>0.0%</c:formatCode>
                <c:ptCount val="4"/>
                <c:pt idx="0">
                  <c:v>8.4981293425975379E-2</c:v>
                </c:pt>
                <c:pt idx="1">
                  <c:v>0.71940138963121258</c:v>
                </c:pt>
                <c:pt idx="2">
                  <c:v>0.17103153393907003</c:v>
                </c:pt>
                <c:pt idx="3">
                  <c:v>2.4585783003741313E-2</c:v>
                </c:pt>
              </c:numCache>
            </c:numRef>
          </c:val>
        </c:ser>
        <c:dLbls>
          <c:showPercent val="1"/>
        </c:dLbls>
      </c:pie3DChart>
    </c:plotArea>
    <c:legend>
      <c:legendPos val="t"/>
      <c:layout>
        <c:manualLayout>
          <c:xMode val="edge"/>
          <c:yMode val="edge"/>
          <c:x val="0.24128556437786924"/>
          <c:y val="0.90072402060854329"/>
          <c:w val="0.52810894173062528"/>
          <c:h val="6.0427430669210913E-2"/>
        </c:manualLayout>
      </c:layout>
      <c:txPr>
        <a:bodyPr/>
        <a:lstStyle/>
        <a:p>
          <a:pPr>
            <a:defRPr sz="900" b="1">
              <a:latin typeface="Book Antiqua" pitchFamily="18" charset="0"/>
            </a:defRPr>
          </a:pPr>
          <a:endParaRPr lang="fr-FR"/>
        </a:p>
      </c:txPr>
    </c:legend>
    <c:plotVisOnly val="1"/>
    <c:dispBlanksAs val="zero"/>
  </c:chart>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4164251125668387"/>
          <c:y val="3.6154459511534356E-2"/>
          <c:w val="0.79400465555335864"/>
          <c:h val="0.77632993157052055"/>
        </c:manualLayout>
      </c:layout>
      <c:bar3DChart>
        <c:barDir val="bar"/>
        <c:grouping val="percentStacked"/>
        <c:ser>
          <c:idx val="0"/>
          <c:order val="0"/>
          <c:tx>
            <c:strRef>
              <c:f>distance!$B$83</c:f>
              <c:strCache>
                <c:ptCount val="1"/>
                <c:pt idx="0">
                  <c:v>Très facile</c:v>
                </c:pt>
              </c:strCache>
            </c:strRef>
          </c:tx>
          <c:spPr>
            <a:solidFill>
              <a:srgbClr val="00B050"/>
            </a:solidFill>
          </c:spPr>
          <c:cat>
            <c:strRef>
              <c:f>distance!$C$82:$P$82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distance!$C$83:$P$83</c:f>
              <c:numCache>
                <c:formatCode>0.0%</c:formatCode>
                <c:ptCount val="14"/>
                <c:pt idx="0">
                  <c:v>6.6287878787878785E-2</c:v>
                </c:pt>
                <c:pt idx="1">
                  <c:v>1.3157894736842111E-2</c:v>
                </c:pt>
                <c:pt idx="2">
                  <c:v>2.5000000000000001E-2</c:v>
                </c:pt>
                <c:pt idx="3">
                  <c:v>0</c:v>
                </c:pt>
                <c:pt idx="4">
                  <c:v>0</c:v>
                </c:pt>
                <c:pt idx="5">
                  <c:v>0.16049382716049657</c:v>
                </c:pt>
                <c:pt idx="6">
                  <c:v>0</c:v>
                </c:pt>
                <c:pt idx="7">
                  <c:v>0.23255813953488391</c:v>
                </c:pt>
                <c:pt idx="8">
                  <c:v>0.31707317073170732</c:v>
                </c:pt>
                <c:pt idx="9">
                  <c:v>0.28750000000000031</c:v>
                </c:pt>
                <c:pt idx="10">
                  <c:v>4.2553191489361722E-2</c:v>
                </c:pt>
                <c:pt idx="11">
                  <c:v>0</c:v>
                </c:pt>
                <c:pt idx="12">
                  <c:v>0.16666666666666666</c:v>
                </c:pt>
                <c:pt idx="13">
                  <c:v>0.1134020618556701</c:v>
                </c:pt>
              </c:numCache>
            </c:numRef>
          </c:val>
        </c:ser>
        <c:ser>
          <c:idx val="1"/>
          <c:order val="1"/>
          <c:tx>
            <c:strRef>
              <c:f>distance!$B$84</c:f>
              <c:strCache>
                <c:ptCount val="1"/>
                <c:pt idx="0">
                  <c:v>Facile</c:v>
                </c:pt>
              </c:strCache>
            </c:strRef>
          </c:tx>
          <c:spPr>
            <a:solidFill>
              <a:schemeClr val="accent3">
                <a:lumMod val="60000"/>
                <a:lumOff val="40000"/>
              </a:schemeClr>
            </a:solidFill>
          </c:spPr>
          <c:cat>
            <c:strRef>
              <c:f>distance!$C$82:$P$82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distance!$C$84:$P$84</c:f>
              <c:numCache>
                <c:formatCode>0.0%</c:formatCode>
                <c:ptCount val="14"/>
                <c:pt idx="0">
                  <c:v>0.73484848484849841</c:v>
                </c:pt>
                <c:pt idx="1">
                  <c:v>0.86842105263160163</c:v>
                </c:pt>
                <c:pt idx="2">
                  <c:v>0.72500000000000064</c:v>
                </c:pt>
                <c:pt idx="3">
                  <c:v>0.52941176470588236</c:v>
                </c:pt>
                <c:pt idx="4">
                  <c:v>0.88524590163934425</c:v>
                </c:pt>
                <c:pt idx="5">
                  <c:v>0.60493827160493863</c:v>
                </c:pt>
                <c:pt idx="6">
                  <c:v>0.53968253968253954</c:v>
                </c:pt>
                <c:pt idx="7">
                  <c:v>0.72093023255815769</c:v>
                </c:pt>
                <c:pt idx="8">
                  <c:v>0.63414634146341464</c:v>
                </c:pt>
                <c:pt idx="9">
                  <c:v>0.58749999999999958</c:v>
                </c:pt>
                <c:pt idx="10">
                  <c:v>0.59574468085106358</c:v>
                </c:pt>
                <c:pt idx="11">
                  <c:v>0.69354838709677424</c:v>
                </c:pt>
                <c:pt idx="12">
                  <c:v>0.77777777777778678</c:v>
                </c:pt>
                <c:pt idx="13">
                  <c:v>0.7731958762886818</c:v>
                </c:pt>
              </c:numCache>
            </c:numRef>
          </c:val>
        </c:ser>
        <c:ser>
          <c:idx val="2"/>
          <c:order val="2"/>
          <c:tx>
            <c:strRef>
              <c:f>distance!$B$85</c:f>
              <c:strCache>
                <c:ptCount val="1"/>
                <c:pt idx="0">
                  <c:v>Difficile</c:v>
                </c:pt>
              </c:strCache>
            </c:strRef>
          </c:tx>
          <c:spPr>
            <a:solidFill>
              <a:schemeClr val="accent6">
                <a:lumMod val="75000"/>
              </a:schemeClr>
            </a:solidFill>
          </c:spPr>
          <c:cat>
            <c:strRef>
              <c:f>distance!$C$82:$P$82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distance!$C$85:$P$85</c:f>
              <c:numCache>
                <c:formatCode>0.0%</c:formatCode>
                <c:ptCount val="14"/>
                <c:pt idx="0">
                  <c:v>0.18087121212121221</c:v>
                </c:pt>
                <c:pt idx="1">
                  <c:v>0.11842105263158054</c:v>
                </c:pt>
                <c:pt idx="2">
                  <c:v>0.17500000000000004</c:v>
                </c:pt>
                <c:pt idx="3">
                  <c:v>0.38235294117647906</c:v>
                </c:pt>
                <c:pt idx="4">
                  <c:v>0.11475409836065574</c:v>
                </c:pt>
                <c:pt idx="5">
                  <c:v>0.16049382716049657</c:v>
                </c:pt>
                <c:pt idx="6">
                  <c:v>0.3492063492063493</c:v>
                </c:pt>
                <c:pt idx="7">
                  <c:v>4.6511627906977104E-2</c:v>
                </c:pt>
                <c:pt idx="8">
                  <c:v>4.8780487804879251E-2</c:v>
                </c:pt>
                <c:pt idx="9">
                  <c:v>8.7500000000000008E-2</c:v>
                </c:pt>
                <c:pt idx="10">
                  <c:v>0.34042553191490105</c:v>
                </c:pt>
                <c:pt idx="11">
                  <c:v>0.29032258064516725</c:v>
                </c:pt>
                <c:pt idx="12">
                  <c:v>5.5555555555555455E-2</c:v>
                </c:pt>
                <c:pt idx="13">
                  <c:v>8.2474226804123682E-2</c:v>
                </c:pt>
              </c:numCache>
            </c:numRef>
          </c:val>
        </c:ser>
        <c:ser>
          <c:idx val="3"/>
          <c:order val="3"/>
          <c:tx>
            <c:strRef>
              <c:f>distance!$B$86</c:f>
              <c:strCache>
                <c:ptCount val="1"/>
                <c:pt idx="0">
                  <c:v>Très difficile</c:v>
                </c:pt>
              </c:strCache>
            </c:strRef>
          </c:tx>
          <c:spPr>
            <a:solidFill>
              <a:srgbClr val="FF0000"/>
            </a:solidFill>
          </c:spPr>
          <c:cat>
            <c:strRef>
              <c:f>distance!$C$82:$P$82</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distance!$C$86:$P$86</c:f>
              <c:numCache>
                <c:formatCode>0.0%</c:formatCode>
                <c:ptCount val="14"/>
                <c:pt idx="0">
                  <c:v>1.7992424242424261E-2</c:v>
                </c:pt>
                <c:pt idx="1">
                  <c:v>0</c:v>
                </c:pt>
                <c:pt idx="2">
                  <c:v>7.5000000000000011E-2</c:v>
                </c:pt>
                <c:pt idx="3">
                  <c:v>8.8235294117647745E-2</c:v>
                </c:pt>
                <c:pt idx="4">
                  <c:v>0</c:v>
                </c:pt>
                <c:pt idx="5">
                  <c:v>7.407407407407407E-2</c:v>
                </c:pt>
                <c:pt idx="6">
                  <c:v>0.1111111111111111</c:v>
                </c:pt>
                <c:pt idx="7">
                  <c:v>0</c:v>
                </c:pt>
                <c:pt idx="8">
                  <c:v>0</c:v>
                </c:pt>
                <c:pt idx="9">
                  <c:v>3.7500000000000006E-2</c:v>
                </c:pt>
                <c:pt idx="10">
                  <c:v>2.1276595744680847E-2</c:v>
                </c:pt>
                <c:pt idx="11">
                  <c:v>1.6129032258064523E-2</c:v>
                </c:pt>
                <c:pt idx="12">
                  <c:v>0</c:v>
                </c:pt>
                <c:pt idx="13">
                  <c:v>3.0927835051546396E-2</c:v>
                </c:pt>
              </c:numCache>
            </c:numRef>
          </c:val>
        </c:ser>
        <c:shape val="cylinder"/>
        <c:axId val="214267776"/>
        <c:axId val="214269312"/>
        <c:axId val="0"/>
      </c:bar3DChart>
      <c:catAx>
        <c:axId val="214267776"/>
        <c:scaling>
          <c:orientation val="minMax"/>
        </c:scaling>
        <c:axPos val="l"/>
        <c:numFmt formatCode="General" sourceLinked="0"/>
        <c:tickLblPos val="nextTo"/>
        <c:txPr>
          <a:bodyPr/>
          <a:lstStyle/>
          <a:p>
            <a:pPr>
              <a:defRPr sz="700">
                <a:latin typeface="Book Antiqua" pitchFamily="18" charset="0"/>
              </a:defRPr>
            </a:pPr>
            <a:endParaRPr lang="fr-FR"/>
          </a:p>
        </c:txPr>
        <c:crossAx val="214269312"/>
        <c:crosses val="autoZero"/>
        <c:auto val="1"/>
        <c:lblAlgn val="ctr"/>
        <c:lblOffset val="100"/>
      </c:catAx>
      <c:valAx>
        <c:axId val="214269312"/>
        <c:scaling>
          <c:orientation val="minMax"/>
        </c:scaling>
        <c:axPos val="b"/>
        <c:majorGridlines/>
        <c:numFmt formatCode="0%" sourceLinked="1"/>
        <c:tickLblPos val="nextTo"/>
        <c:txPr>
          <a:bodyPr/>
          <a:lstStyle/>
          <a:p>
            <a:pPr>
              <a:defRPr sz="800">
                <a:latin typeface="Book Antiqua" pitchFamily="18" charset="0"/>
              </a:defRPr>
            </a:pPr>
            <a:endParaRPr lang="fr-FR"/>
          </a:p>
        </c:txPr>
        <c:crossAx val="214267776"/>
        <c:crosses val="autoZero"/>
        <c:crossBetween val="between"/>
      </c:valAx>
    </c:plotArea>
    <c:legend>
      <c:legendPos val="r"/>
      <c:layout>
        <c:manualLayout>
          <c:xMode val="edge"/>
          <c:yMode val="edge"/>
          <c:x val="9.9499078572625244E-2"/>
          <c:y val="0.9090592416596307"/>
          <c:w val="0.82869319939770214"/>
          <c:h val="6.7837492881969094E-2"/>
        </c:manualLayout>
      </c:layout>
      <c:txPr>
        <a:bodyPr/>
        <a:lstStyle/>
        <a:p>
          <a:pPr>
            <a:defRPr sz="900" b="1">
              <a:latin typeface="Book Antiqua" pitchFamily="18" charset="0"/>
            </a:defRPr>
          </a:pPr>
          <a:endParaRPr lang="fr-FR"/>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AngAx val="1"/>
    </c:view3D>
    <c:plotArea>
      <c:layout/>
      <c:bar3DChart>
        <c:barDir val="col"/>
        <c:grouping val="clustered"/>
        <c:varyColors val="1"/>
        <c:ser>
          <c:idx val="0"/>
          <c:order val="0"/>
          <c:dLbls>
            <c:dLbl>
              <c:idx val="0"/>
              <c:layout>
                <c:manualLayout>
                  <c:x val="2.100840336134454E-2"/>
                  <c:y val="-3.8303693570451436E-2"/>
                </c:manualLayout>
              </c:layout>
              <c:showVal val="1"/>
              <c:extLst>
                <c:ext xmlns:c15="http://schemas.microsoft.com/office/drawing/2012/chart" uri="{CE6537A1-D6FC-4f65-9D91-7224C49458BB}"/>
              </c:extLst>
            </c:dLbl>
            <c:dLbl>
              <c:idx val="1"/>
              <c:layout>
                <c:manualLayout>
                  <c:x val="2.400960384153657E-2"/>
                  <c:y val="-3.8303693570451436E-2"/>
                </c:manualLayout>
              </c:layout>
              <c:showVal val="1"/>
              <c:extLst>
                <c:ext xmlns:c15="http://schemas.microsoft.com/office/drawing/2012/chart" uri="{CE6537A1-D6FC-4f65-9D91-7224C49458BB}"/>
              </c:extLst>
            </c:dLbl>
            <c:dLbl>
              <c:idx val="2"/>
              <c:layout>
                <c:manualLayout>
                  <c:x val="3.0012004801920852E-3"/>
                  <c:y val="-5.4719562243502183E-2"/>
                </c:manualLayout>
              </c:layout>
              <c:showVal val="1"/>
              <c:extLst>
                <c:ext xmlns:c15="http://schemas.microsoft.com/office/drawing/2012/chart" uri="{CE6537A1-D6FC-4f65-9D91-7224C49458BB}"/>
              </c:extLst>
            </c:dLbl>
            <c:dLbl>
              <c:idx val="3"/>
              <c:layout>
                <c:manualLayout>
                  <c:x val="2.100840336134454E-2"/>
                  <c:y val="-3.8303693570451436E-2"/>
                </c:manualLayout>
              </c:layout>
              <c:showVal val="1"/>
              <c:extLst>
                <c:ext xmlns:c15="http://schemas.microsoft.com/office/drawing/2012/chart" uri="{CE6537A1-D6FC-4f65-9D91-7224C49458BB}"/>
              </c:extLst>
            </c:dLbl>
            <c:spPr>
              <a:noFill/>
              <a:ln>
                <a:noFill/>
              </a:ln>
              <a:effectLst/>
            </c:spPr>
            <c:txPr>
              <a:bodyPr/>
              <a:lstStyle/>
              <a:p>
                <a:pPr>
                  <a:defRPr sz="600" b="1">
                    <a:latin typeface="Book Antiqua" pitchFamily="18" charset="0"/>
                  </a:defRPr>
                </a:pPr>
                <a:endParaRPr lang="fr-FR"/>
              </a:p>
            </c:txPr>
            <c:showVal val="1"/>
            <c:extLst>
              <c:ext xmlns:c15="http://schemas.microsoft.com/office/drawing/2012/chart" uri="{CE6537A1-D6FC-4f65-9D91-7224C49458BB}">
                <c15:showLeaderLines val="0"/>
              </c:ext>
            </c:extLst>
          </c:dLbls>
          <c:cat>
            <c:strRef>
              <c:f>Feuil1!$A$3:$A$6</c:f>
              <c:strCache>
                <c:ptCount val="4"/>
                <c:pt idx="0">
                  <c:v>Oui, 1 fois</c:v>
                </c:pt>
                <c:pt idx="1">
                  <c:v>Oui, 2 fois</c:v>
                </c:pt>
                <c:pt idx="2">
                  <c:v>Oui, plus de 2 fois</c:v>
                </c:pt>
                <c:pt idx="3">
                  <c:v>Non</c:v>
                </c:pt>
              </c:strCache>
            </c:strRef>
          </c:cat>
          <c:val>
            <c:numRef>
              <c:f>Feuil1!$B$3:$B$6</c:f>
              <c:numCache>
                <c:formatCode>###0.0%</c:formatCode>
                <c:ptCount val="4"/>
                <c:pt idx="0">
                  <c:v>0.144076840981857</c:v>
                </c:pt>
                <c:pt idx="1">
                  <c:v>2.4546424759871927E-2</c:v>
                </c:pt>
                <c:pt idx="2" formatCode="####.0%">
                  <c:v>8.0042689434364819E-3</c:v>
                </c:pt>
                <c:pt idx="3">
                  <c:v>0.82337246531483455</c:v>
                </c:pt>
              </c:numCache>
            </c:numRef>
          </c:val>
        </c:ser>
        <c:shape val="cylinder"/>
        <c:axId val="222323840"/>
        <c:axId val="222335360"/>
        <c:axId val="0"/>
      </c:bar3DChart>
      <c:catAx>
        <c:axId val="222323840"/>
        <c:scaling>
          <c:orientation val="minMax"/>
        </c:scaling>
        <c:axPos val="b"/>
        <c:numFmt formatCode="General" sourceLinked="0"/>
        <c:tickLblPos val="nextTo"/>
        <c:txPr>
          <a:bodyPr/>
          <a:lstStyle/>
          <a:p>
            <a:pPr>
              <a:defRPr sz="800" b="1">
                <a:latin typeface="Book Antiqua" pitchFamily="18" charset="0"/>
              </a:defRPr>
            </a:pPr>
            <a:endParaRPr lang="fr-FR"/>
          </a:p>
        </c:txPr>
        <c:crossAx val="222335360"/>
        <c:crosses val="autoZero"/>
        <c:auto val="1"/>
        <c:lblAlgn val="ctr"/>
        <c:lblOffset val="100"/>
      </c:catAx>
      <c:valAx>
        <c:axId val="222335360"/>
        <c:scaling>
          <c:orientation val="minMax"/>
        </c:scaling>
        <c:axPos val="l"/>
        <c:numFmt formatCode="0%" sourceLinked="0"/>
        <c:tickLblPos val="nextTo"/>
        <c:txPr>
          <a:bodyPr/>
          <a:lstStyle/>
          <a:p>
            <a:pPr>
              <a:defRPr sz="800" b="1">
                <a:latin typeface="Book Antiqua" pitchFamily="18" charset="0"/>
              </a:defRPr>
            </a:pPr>
            <a:endParaRPr lang="fr-FR"/>
          </a:p>
        </c:txPr>
        <c:crossAx val="222323840"/>
        <c:crosses val="autoZero"/>
        <c:crossBetween val="between"/>
      </c:valAx>
    </c:plotArea>
    <c:plotVisOnly val="1"/>
    <c:dispBlanksAs val="gap"/>
  </c:chart>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0"/>
          <c:y val="0.12554060950714496"/>
          <c:w val="1"/>
          <c:h val="0.77696485855935693"/>
        </c:manualLayout>
      </c:layout>
      <c:pie3DChart>
        <c:varyColors val="1"/>
        <c:ser>
          <c:idx val="0"/>
          <c:order val="0"/>
          <c:explosion val="25"/>
          <c:dPt>
            <c:idx val="0"/>
            <c:spPr>
              <a:solidFill>
                <a:srgbClr val="00B050"/>
              </a:solidFill>
            </c:spPr>
          </c:dPt>
          <c:dPt>
            <c:idx val="1"/>
            <c:spPr>
              <a:solidFill>
                <a:schemeClr val="accent3">
                  <a:lumMod val="60000"/>
                  <a:lumOff val="40000"/>
                </a:schemeClr>
              </a:solidFill>
            </c:spPr>
          </c:dPt>
          <c:dPt>
            <c:idx val="2"/>
            <c:spPr>
              <a:solidFill>
                <a:schemeClr val="accent6">
                  <a:lumMod val="75000"/>
                </a:schemeClr>
              </a:solidFill>
            </c:spPr>
          </c:dPt>
          <c:dPt>
            <c:idx val="3"/>
            <c:spPr>
              <a:solidFill>
                <a:srgbClr val="FF0000"/>
              </a:solidFill>
            </c:spPr>
          </c:dPt>
          <c:dLbls>
            <c:numFmt formatCode="0.0%" sourceLinked="0"/>
            <c:spPr>
              <a:noFill/>
              <a:ln>
                <a:noFill/>
              </a:ln>
              <a:effectLst/>
            </c:spPr>
            <c:txPr>
              <a:bodyPr/>
              <a:lstStyle/>
              <a:p>
                <a:pPr>
                  <a:defRPr sz="800" b="1">
                    <a:latin typeface="Book Antiqua" pitchFamily="18" charset="0"/>
                  </a:defRPr>
                </a:pPr>
                <a:endParaRPr lang="fr-FR"/>
              </a:p>
            </c:txPr>
            <c:showPercent val="1"/>
            <c:showLeaderLines val="1"/>
            <c:extLst>
              <c:ext xmlns:c15="http://schemas.microsoft.com/office/drawing/2012/chart" uri="{CE6537A1-D6FC-4f65-9D91-7224C49458BB}"/>
            </c:extLst>
          </c:dLbls>
          <c:cat>
            <c:strRef>
              <c:f>distance!$J$123:$J$126</c:f>
              <c:strCache>
                <c:ptCount val="4"/>
                <c:pt idx="0">
                  <c:v>Très adaptés</c:v>
                </c:pt>
                <c:pt idx="1">
                  <c:v>Adaptés</c:v>
                </c:pt>
                <c:pt idx="2">
                  <c:v>Inadaptés</c:v>
                </c:pt>
                <c:pt idx="3">
                  <c:v>Très inadaptés</c:v>
                </c:pt>
              </c:strCache>
            </c:strRef>
          </c:cat>
          <c:val>
            <c:numRef>
              <c:f>distance!$K$123:$K$126</c:f>
              <c:numCache>
                <c:formatCode>0.0%</c:formatCode>
                <c:ptCount val="4"/>
                <c:pt idx="0">
                  <c:v>3.6286019210245476E-2</c:v>
                </c:pt>
                <c:pt idx="1">
                  <c:v>0.78815368196371349</c:v>
                </c:pt>
                <c:pt idx="2">
                  <c:v>0.16488794023479189</c:v>
                </c:pt>
                <c:pt idx="3">
                  <c:v>1.0672358591248666E-2</c:v>
                </c:pt>
              </c:numCache>
            </c:numRef>
          </c:val>
        </c:ser>
        <c:dLbls>
          <c:showPercent val="1"/>
        </c:dLbls>
      </c:pie3DChart>
    </c:plotArea>
    <c:legend>
      <c:legendPos val="t"/>
      <c:layout>
        <c:manualLayout>
          <c:xMode val="edge"/>
          <c:yMode val="edge"/>
          <c:x val="0.14682983377077871"/>
          <c:y val="0.90152565653655858"/>
          <c:w val="0.76189588801401276"/>
          <c:h val="8.3717191601050026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4178968113414891"/>
          <c:y val="9.741078017421731E-2"/>
          <c:w val="0.80851719659610022"/>
          <c:h val="0.72647219910519312"/>
        </c:manualLayout>
      </c:layout>
      <c:bar3DChart>
        <c:barDir val="bar"/>
        <c:grouping val="percentStacked"/>
        <c:ser>
          <c:idx val="0"/>
          <c:order val="0"/>
          <c:tx>
            <c:strRef>
              <c:f>TB_CROISES_PM_FNDIAYE!$B$1786</c:f>
              <c:strCache>
                <c:ptCount val="1"/>
                <c:pt idx="0">
                  <c:v>Très adaptés</c:v>
                </c:pt>
              </c:strCache>
            </c:strRef>
          </c:tx>
          <c:spPr>
            <a:solidFill>
              <a:srgbClr val="00B050"/>
            </a:solidFill>
          </c:spPr>
          <c:cat>
            <c:strRef>
              <c:f>TB_CROISES_PM_FNDIAYE!$C$1785:$P$1785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TB_CROISES_PM_FNDIAYE!$C$1786:$P$1786</c:f>
              <c:numCache>
                <c:formatCode>General</c:formatCode>
                <c:ptCount val="14"/>
                <c:pt idx="0" formatCode="###0.0%">
                  <c:v>2.8409090909090912E-2</c:v>
                </c:pt>
                <c:pt idx="2" formatCode="###0.0%">
                  <c:v>2.5000000000000001E-2</c:v>
                </c:pt>
                <c:pt idx="5" formatCode="###0.0%">
                  <c:v>0.10975609756097562</c:v>
                </c:pt>
                <c:pt idx="7" formatCode="###0.0%">
                  <c:v>0.11627906976744186</c:v>
                </c:pt>
                <c:pt idx="8" formatCode="###0.0%">
                  <c:v>4.8780487804879924E-2</c:v>
                </c:pt>
                <c:pt idx="9" formatCode="###0.0%">
                  <c:v>0.12345679012345678</c:v>
                </c:pt>
                <c:pt idx="11" formatCode="###0.0%">
                  <c:v>1.6129032258064523E-2</c:v>
                </c:pt>
                <c:pt idx="12" formatCode="###0.0%">
                  <c:v>5.5555555555555455E-2</c:v>
                </c:pt>
                <c:pt idx="13" formatCode="###0.0%">
                  <c:v>5.1546391752577317E-2</c:v>
                </c:pt>
              </c:numCache>
            </c:numRef>
          </c:val>
        </c:ser>
        <c:ser>
          <c:idx val="1"/>
          <c:order val="1"/>
          <c:tx>
            <c:strRef>
              <c:f>TB_CROISES_PM_FNDIAYE!$B$1787</c:f>
              <c:strCache>
                <c:ptCount val="1"/>
                <c:pt idx="0">
                  <c:v>Adaptés</c:v>
                </c:pt>
              </c:strCache>
            </c:strRef>
          </c:tx>
          <c:spPr>
            <a:solidFill>
              <a:srgbClr val="92D050"/>
            </a:solidFill>
          </c:spPr>
          <c:cat>
            <c:strRef>
              <c:f>TB_CROISES_PM_FNDIAYE!$C$1785:$P$1785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TB_CROISES_PM_FNDIAYE!$C$1787:$P$1787</c:f>
              <c:numCache>
                <c:formatCode>###0.0%</c:formatCode>
                <c:ptCount val="14"/>
                <c:pt idx="0">
                  <c:v>0.77462121212124313</c:v>
                </c:pt>
                <c:pt idx="1">
                  <c:v>0.82894736842105254</c:v>
                </c:pt>
                <c:pt idx="2">
                  <c:v>0.9</c:v>
                </c:pt>
                <c:pt idx="3">
                  <c:v>0.67647058823529405</c:v>
                </c:pt>
                <c:pt idx="4">
                  <c:v>0.82258064516129037</c:v>
                </c:pt>
                <c:pt idx="5">
                  <c:v>0.82926829268292679</c:v>
                </c:pt>
                <c:pt idx="6">
                  <c:v>0.60317460317462002</c:v>
                </c:pt>
                <c:pt idx="7">
                  <c:v>0.81395348837209303</c:v>
                </c:pt>
                <c:pt idx="8">
                  <c:v>0.80487804878048774</c:v>
                </c:pt>
                <c:pt idx="9">
                  <c:v>0.75308641975308765</c:v>
                </c:pt>
                <c:pt idx="10">
                  <c:v>1</c:v>
                </c:pt>
                <c:pt idx="11">
                  <c:v>0.74193548387096753</c:v>
                </c:pt>
                <c:pt idx="12">
                  <c:v>0.8333333333333337</c:v>
                </c:pt>
                <c:pt idx="13">
                  <c:v>0.85567010309279901</c:v>
                </c:pt>
              </c:numCache>
            </c:numRef>
          </c:val>
        </c:ser>
        <c:ser>
          <c:idx val="2"/>
          <c:order val="2"/>
          <c:tx>
            <c:strRef>
              <c:f>TB_CROISES_PM_FNDIAYE!$B$1788</c:f>
              <c:strCache>
                <c:ptCount val="1"/>
                <c:pt idx="0">
                  <c:v>Inadaptés</c:v>
                </c:pt>
              </c:strCache>
            </c:strRef>
          </c:tx>
          <c:spPr>
            <a:solidFill>
              <a:schemeClr val="accent6">
                <a:lumMod val="75000"/>
              </a:schemeClr>
            </a:solidFill>
          </c:spPr>
          <c:cat>
            <c:strRef>
              <c:f>TB_CROISES_PM_FNDIAYE!$C$1785:$P$1785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TB_CROISES_PM_FNDIAYE!$C$1788:$P$1788</c:f>
              <c:numCache>
                <c:formatCode>###0.0%</c:formatCode>
                <c:ptCount val="14"/>
                <c:pt idx="0">
                  <c:v>0.19034090909090909</c:v>
                </c:pt>
                <c:pt idx="1">
                  <c:v>0.15789473684211225</c:v>
                </c:pt>
                <c:pt idx="2">
                  <c:v>7.5000000000000011E-2</c:v>
                </c:pt>
                <c:pt idx="3">
                  <c:v>0.3235294117647205</c:v>
                </c:pt>
                <c:pt idx="4">
                  <c:v>0.16129032258064521</c:v>
                </c:pt>
                <c:pt idx="5">
                  <c:v>3.6585365853658611E-2</c:v>
                </c:pt>
                <c:pt idx="6">
                  <c:v>0.28571428571429586</c:v>
                </c:pt>
                <c:pt idx="7">
                  <c:v>6.9767441860465934E-2</c:v>
                </c:pt>
                <c:pt idx="8">
                  <c:v>0.12195121951219511</c:v>
                </c:pt>
                <c:pt idx="9">
                  <c:v>0.1111111111111111</c:v>
                </c:pt>
                <c:pt idx="11">
                  <c:v>0.24193548387097771</c:v>
                </c:pt>
                <c:pt idx="12">
                  <c:v>0.1111111111111111</c:v>
                </c:pt>
                <c:pt idx="13">
                  <c:v>9.2783505154639206E-2</c:v>
                </c:pt>
              </c:numCache>
            </c:numRef>
          </c:val>
        </c:ser>
        <c:ser>
          <c:idx val="3"/>
          <c:order val="3"/>
          <c:tx>
            <c:strRef>
              <c:f>TB_CROISES_PM_FNDIAYE!$B$1789</c:f>
              <c:strCache>
                <c:ptCount val="1"/>
                <c:pt idx="0">
                  <c:v>Très inadaptés</c:v>
                </c:pt>
              </c:strCache>
            </c:strRef>
          </c:tx>
          <c:spPr>
            <a:solidFill>
              <a:srgbClr val="FF0000"/>
            </a:solidFill>
          </c:spPr>
          <c:cat>
            <c:strRef>
              <c:f>TB_CROISES_PM_FNDIAYE!$C$1785:$P$1785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TB_CROISES_PM_FNDIAYE!$C$1789:$P$1789</c:f>
              <c:numCache>
                <c:formatCode>###0.0%</c:formatCode>
                <c:ptCount val="14"/>
                <c:pt idx="0" formatCode="####.0%">
                  <c:v>6.6287878787878755E-3</c:v>
                </c:pt>
                <c:pt idx="1">
                  <c:v>1.3157894736842111E-2</c:v>
                </c:pt>
                <c:pt idx="4">
                  <c:v>1.6129032258064523E-2</c:v>
                </c:pt>
                <c:pt idx="5">
                  <c:v>2.4390243902439025E-2</c:v>
                </c:pt>
                <c:pt idx="6">
                  <c:v>0.1111111111111111</c:v>
                </c:pt>
                <c:pt idx="8">
                  <c:v>2.4390243902439025E-2</c:v>
                </c:pt>
                <c:pt idx="9">
                  <c:v>1.2345679012345723E-2</c:v>
                </c:pt>
              </c:numCache>
            </c:numRef>
          </c:val>
        </c:ser>
        <c:gapWidth val="55"/>
        <c:gapDepth val="55"/>
        <c:shape val="cylinder"/>
        <c:axId val="214377600"/>
        <c:axId val="214379136"/>
        <c:axId val="0"/>
      </c:bar3DChart>
      <c:catAx>
        <c:axId val="214377600"/>
        <c:scaling>
          <c:orientation val="minMax"/>
        </c:scaling>
        <c:axPos val="l"/>
        <c:numFmt formatCode="General" sourceLinked="0"/>
        <c:majorTickMark val="none"/>
        <c:tickLblPos val="nextTo"/>
        <c:txPr>
          <a:bodyPr/>
          <a:lstStyle/>
          <a:p>
            <a:pPr>
              <a:defRPr sz="700" b="0">
                <a:latin typeface="Book Antiqua" pitchFamily="18" charset="0"/>
              </a:defRPr>
            </a:pPr>
            <a:endParaRPr lang="fr-FR"/>
          </a:p>
        </c:txPr>
        <c:crossAx val="214379136"/>
        <c:crosses val="autoZero"/>
        <c:auto val="1"/>
        <c:lblAlgn val="ctr"/>
        <c:lblOffset val="100"/>
      </c:catAx>
      <c:valAx>
        <c:axId val="214379136"/>
        <c:scaling>
          <c:orientation val="minMax"/>
        </c:scaling>
        <c:axPos val="b"/>
        <c:majorGridlines/>
        <c:numFmt formatCode="0%" sourceLinked="1"/>
        <c:majorTickMark val="none"/>
        <c:tickLblPos val="nextTo"/>
        <c:txPr>
          <a:bodyPr/>
          <a:lstStyle/>
          <a:p>
            <a:pPr>
              <a:defRPr sz="700" b="1">
                <a:latin typeface="Book Antiqua" pitchFamily="18" charset="0"/>
              </a:defRPr>
            </a:pPr>
            <a:endParaRPr lang="fr-FR"/>
          </a:p>
        </c:txPr>
        <c:crossAx val="214377600"/>
        <c:crosses val="autoZero"/>
        <c:crossBetween val="between"/>
      </c:valAx>
    </c:plotArea>
    <c:legend>
      <c:legendPos val="r"/>
      <c:layout>
        <c:manualLayout>
          <c:xMode val="edge"/>
          <c:yMode val="edge"/>
          <c:x val="0.1318004886067442"/>
          <c:y val="0.93067305717220161"/>
          <c:w val="0.84743826571851533"/>
          <c:h val="6.698223591616273E-2"/>
        </c:manualLayout>
      </c:layout>
      <c:txPr>
        <a:bodyPr/>
        <a:lstStyle/>
        <a:p>
          <a:pPr>
            <a:defRPr sz="700" b="1">
              <a:latin typeface="Book Antiqua" pitchFamily="18" charset="0"/>
            </a:defRPr>
          </a:pPr>
          <a:endParaRPr lang="fr-FR"/>
        </a:p>
      </c:txPr>
    </c:legend>
    <c:plotVisOnly val="1"/>
    <c:dispBlanksAs val="gap"/>
  </c:chart>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0"/>
          <c:y val="0.10239246135899682"/>
          <c:w val="1"/>
          <c:h val="0.80011300670749486"/>
        </c:manualLayout>
      </c:layout>
      <c:pie3DChart>
        <c:varyColors val="1"/>
        <c:ser>
          <c:idx val="0"/>
          <c:order val="0"/>
          <c:explosion val="25"/>
          <c:dPt>
            <c:idx val="0"/>
            <c:spPr>
              <a:solidFill>
                <a:srgbClr val="00B050"/>
              </a:solidFill>
            </c:spPr>
          </c:dPt>
          <c:dPt>
            <c:idx val="1"/>
            <c:spPr>
              <a:solidFill>
                <a:schemeClr val="accent3">
                  <a:lumMod val="60000"/>
                  <a:lumOff val="40000"/>
                </a:schemeClr>
              </a:solidFill>
            </c:spPr>
          </c:dPt>
          <c:dPt>
            <c:idx val="2"/>
            <c:spPr>
              <a:solidFill>
                <a:schemeClr val="accent6">
                  <a:lumMod val="75000"/>
                </a:schemeClr>
              </a:solidFill>
            </c:spPr>
          </c:dPt>
          <c:dPt>
            <c:idx val="3"/>
            <c:spPr>
              <a:solidFill>
                <a:srgbClr val="FF0000"/>
              </a:solidFill>
            </c:spPr>
          </c:dPt>
          <c:dLbls>
            <c:numFmt formatCode="0.0%" sourceLinked="0"/>
            <c:spPr>
              <a:noFill/>
              <a:ln>
                <a:noFill/>
              </a:ln>
              <a:effectLst/>
            </c:spPr>
            <c:txPr>
              <a:bodyPr/>
              <a:lstStyle/>
              <a:p>
                <a:pPr>
                  <a:defRPr sz="800">
                    <a:latin typeface="Book Antiqua" pitchFamily="18" charset="0"/>
                  </a:defRPr>
                </a:pPr>
                <a:endParaRPr lang="fr-FR"/>
              </a:p>
            </c:txPr>
            <c:showPercent val="1"/>
            <c:showLeaderLines val="1"/>
            <c:extLst>
              <c:ext xmlns:c15="http://schemas.microsoft.com/office/drawing/2012/chart" uri="{CE6537A1-D6FC-4f65-9D91-7224C49458BB}"/>
            </c:extLst>
          </c:dLbls>
          <c:cat>
            <c:strRef>
              <c:f>Feuil14!$I$3:$I$6</c:f>
              <c:strCache>
                <c:ptCount val="4"/>
                <c:pt idx="0">
                  <c:v>Très facile</c:v>
                </c:pt>
                <c:pt idx="1">
                  <c:v>Facile</c:v>
                </c:pt>
                <c:pt idx="2">
                  <c:v>Difficile</c:v>
                </c:pt>
                <c:pt idx="3">
                  <c:v>Très difficile</c:v>
                </c:pt>
              </c:strCache>
            </c:strRef>
          </c:cat>
          <c:val>
            <c:numRef>
              <c:f>Feuil14!$J$3:$J$6</c:f>
              <c:numCache>
                <c:formatCode>0.0%</c:formatCode>
                <c:ptCount val="4"/>
                <c:pt idx="0">
                  <c:v>5.3133514986376133E-2</c:v>
                </c:pt>
                <c:pt idx="1">
                  <c:v>0.6444141689373194</c:v>
                </c:pt>
                <c:pt idx="2">
                  <c:v>0.21457765667574932</c:v>
                </c:pt>
                <c:pt idx="3">
                  <c:v>8.7874659400544952E-2</c:v>
                </c:pt>
              </c:numCache>
            </c:numRef>
          </c:val>
        </c:ser>
        <c:dLbls>
          <c:showPercent val="1"/>
        </c:dLbls>
      </c:pie3DChart>
    </c:plotArea>
    <c:legend>
      <c:legendPos val="t"/>
      <c:layout>
        <c:manualLayout>
          <c:xMode val="edge"/>
          <c:yMode val="edge"/>
          <c:x val="0.21143525809274202"/>
          <c:y val="0.87951407115777192"/>
          <c:w val="0.62712948381453348"/>
          <c:h val="8.3717191601050026E-2"/>
        </c:manualLayout>
      </c:layout>
      <c:txPr>
        <a:bodyPr/>
        <a:lstStyle/>
        <a:p>
          <a:pPr>
            <a:defRPr sz="900" b="1">
              <a:latin typeface="Book Antiqua" pitchFamily="18" charset="0"/>
            </a:defRPr>
          </a:pPr>
          <a:endParaRPr lang="fr-FR"/>
        </a:p>
      </c:txPr>
    </c:legend>
    <c:plotVisOnly val="1"/>
    <c:dispBlanksAs val="zero"/>
  </c:chart>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5416365407154295"/>
          <c:y val="3.963965088732458E-2"/>
          <c:w val="0.77369831129600786"/>
          <c:h val="0.77639037423292168"/>
        </c:manualLayout>
      </c:layout>
      <c:bar3DChart>
        <c:barDir val="bar"/>
        <c:grouping val="percentStacked"/>
        <c:ser>
          <c:idx val="0"/>
          <c:order val="0"/>
          <c:tx>
            <c:strRef>
              <c:f>Feuil14!$B$41</c:f>
              <c:strCache>
                <c:ptCount val="1"/>
                <c:pt idx="0">
                  <c:v>Très facile</c:v>
                </c:pt>
              </c:strCache>
            </c:strRef>
          </c:tx>
          <c:spPr>
            <a:solidFill>
              <a:srgbClr val="00B050"/>
            </a:solidFill>
          </c:spPr>
          <c:cat>
            <c:strRef>
              <c:f>Feuil14!$C$40:$P$40</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Feuil14!$C$41:$P$41</c:f>
              <c:numCache>
                <c:formatCode>0.0%</c:formatCode>
                <c:ptCount val="14"/>
                <c:pt idx="0">
                  <c:v>3.7647058823530012E-2</c:v>
                </c:pt>
                <c:pt idx="1">
                  <c:v>1.6393442622950821E-2</c:v>
                </c:pt>
                <c:pt idx="2">
                  <c:v>0</c:v>
                </c:pt>
                <c:pt idx="3">
                  <c:v>0</c:v>
                </c:pt>
                <c:pt idx="4">
                  <c:v>2.5000000000000001E-2</c:v>
                </c:pt>
                <c:pt idx="5">
                  <c:v>0.12280701754385964</c:v>
                </c:pt>
                <c:pt idx="6">
                  <c:v>0</c:v>
                </c:pt>
                <c:pt idx="7">
                  <c:v>0.13513513513513728</c:v>
                </c:pt>
                <c:pt idx="8">
                  <c:v>7.407407407407407E-2</c:v>
                </c:pt>
                <c:pt idx="9">
                  <c:v>0.2461538461538462</c:v>
                </c:pt>
                <c:pt idx="10">
                  <c:v>2.1276595744680847E-2</c:v>
                </c:pt>
                <c:pt idx="11">
                  <c:v>0</c:v>
                </c:pt>
                <c:pt idx="12">
                  <c:v>0.13698630136986542</c:v>
                </c:pt>
                <c:pt idx="13">
                  <c:v>3.5714285714285712E-2</c:v>
                </c:pt>
              </c:numCache>
            </c:numRef>
          </c:val>
        </c:ser>
        <c:ser>
          <c:idx val="1"/>
          <c:order val="1"/>
          <c:tx>
            <c:strRef>
              <c:f>Feuil14!$B$42</c:f>
              <c:strCache>
                <c:ptCount val="1"/>
                <c:pt idx="0">
                  <c:v>Facile</c:v>
                </c:pt>
              </c:strCache>
            </c:strRef>
          </c:tx>
          <c:spPr>
            <a:solidFill>
              <a:schemeClr val="accent3">
                <a:lumMod val="60000"/>
                <a:lumOff val="40000"/>
              </a:schemeClr>
            </a:solidFill>
          </c:spPr>
          <c:cat>
            <c:strRef>
              <c:f>Feuil14!$C$40:$P$40</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Feuil14!$C$42:$P$42</c:f>
              <c:numCache>
                <c:formatCode>0.0%</c:formatCode>
                <c:ptCount val="14"/>
                <c:pt idx="0">
                  <c:v>0.64000000000000901</c:v>
                </c:pt>
                <c:pt idx="1">
                  <c:v>0.65573770491803274</c:v>
                </c:pt>
                <c:pt idx="2">
                  <c:v>0.60606060606060663</c:v>
                </c:pt>
                <c:pt idx="3">
                  <c:v>0.79166666666666652</c:v>
                </c:pt>
                <c:pt idx="4">
                  <c:v>0.82500000000000062</c:v>
                </c:pt>
                <c:pt idx="5">
                  <c:v>0.52631578947368418</c:v>
                </c:pt>
                <c:pt idx="6">
                  <c:v>0.67857142857143882</c:v>
                </c:pt>
                <c:pt idx="7">
                  <c:v>0.64864864864866656</c:v>
                </c:pt>
                <c:pt idx="8">
                  <c:v>0.77777777777778678</c:v>
                </c:pt>
                <c:pt idx="9">
                  <c:v>0.69230769230769262</c:v>
                </c:pt>
                <c:pt idx="10">
                  <c:v>0.42553191489361702</c:v>
                </c:pt>
                <c:pt idx="11">
                  <c:v>0.71428571428571463</c:v>
                </c:pt>
                <c:pt idx="12">
                  <c:v>0.71232876712328763</c:v>
                </c:pt>
                <c:pt idx="13">
                  <c:v>0.58333333333333337</c:v>
                </c:pt>
              </c:numCache>
            </c:numRef>
          </c:val>
        </c:ser>
        <c:ser>
          <c:idx val="2"/>
          <c:order val="2"/>
          <c:tx>
            <c:strRef>
              <c:f>Feuil14!$B$43</c:f>
              <c:strCache>
                <c:ptCount val="1"/>
                <c:pt idx="0">
                  <c:v>Difficile</c:v>
                </c:pt>
              </c:strCache>
            </c:strRef>
          </c:tx>
          <c:spPr>
            <a:solidFill>
              <a:schemeClr val="accent6">
                <a:lumMod val="75000"/>
              </a:schemeClr>
            </a:solidFill>
          </c:spPr>
          <c:cat>
            <c:strRef>
              <c:f>Feuil14!$C$40:$P$40</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Feuil14!$C$43:$P$43</c:f>
              <c:numCache>
                <c:formatCode>0.0%</c:formatCode>
                <c:ptCount val="14"/>
                <c:pt idx="0">
                  <c:v>0.24117647058823541</c:v>
                </c:pt>
                <c:pt idx="1">
                  <c:v>0.26229508196721318</c:v>
                </c:pt>
                <c:pt idx="2">
                  <c:v>0.21212121212121221</c:v>
                </c:pt>
                <c:pt idx="3">
                  <c:v>0.125</c:v>
                </c:pt>
                <c:pt idx="4">
                  <c:v>0.1</c:v>
                </c:pt>
                <c:pt idx="5">
                  <c:v>0.1754385964912322</c:v>
                </c:pt>
                <c:pt idx="6">
                  <c:v>0.25</c:v>
                </c:pt>
                <c:pt idx="7">
                  <c:v>0.16216216216216439</c:v>
                </c:pt>
                <c:pt idx="8">
                  <c:v>0.1111111111111111</c:v>
                </c:pt>
                <c:pt idx="9">
                  <c:v>6.1538461538461584E-2</c:v>
                </c:pt>
                <c:pt idx="10">
                  <c:v>0.27659574468085107</c:v>
                </c:pt>
                <c:pt idx="11">
                  <c:v>0.23809523809524175</c:v>
                </c:pt>
                <c:pt idx="12">
                  <c:v>0.13698630136986542</c:v>
                </c:pt>
                <c:pt idx="13">
                  <c:v>0.20238095238095238</c:v>
                </c:pt>
              </c:numCache>
            </c:numRef>
          </c:val>
        </c:ser>
        <c:ser>
          <c:idx val="3"/>
          <c:order val="3"/>
          <c:tx>
            <c:strRef>
              <c:f>Feuil14!$B$44</c:f>
              <c:strCache>
                <c:ptCount val="1"/>
                <c:pt idx="0">
                  <c:v>Très difficile</c:v>
                </c:pt>
              </c:strCache>
            </c:strRef>
          </c:tx>
          <c:spPr>
            <a:solidFill>
              <a:srgbClr val="FF0000"/>
            </a:solidFill>
          </c:spPr>
          <c:cat>
            <c:strRef>
              <c:f>Feuil14!$C$40:$P$40</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Feuil14!$C$44:$P$44</c:f>
              <c:numCache>
                <c:formatCode>0.0%</c:formatCode>
                <c:ptCount val="14"/>
                <c:pt idx="0">
                  <c:v>8.1176470588235294E-2</c:v>
                </c:pt>
                <c:pt idx="1">
                  <c:v>6.5573770491803282E-2</c:v>
                </c:pt>
                <c:pt idx="2">
                  <c:v>0.18181818181818507</c:v>
                </c:pt>
                <c:pt idx="3">
                  <c:v>8.3333333333333343E-2</c:v>
                </c:pt>
                <c:pt idx="4">
                  <c:v>0.05</c:v>
                </c:pt>
                <c:pt idx="5">
                  <c:v>0.1754385964912322</c:v>
                </c:pt>
                <c:pt idx="6">
                  <c:v>7.1428571428571425E-2</c:v>
                </c:pt>
                <c:pt idx="7">
                  <c:v>5.4054054054054092E-2</c:v>
                </c:pt>
                <c:pt idx="8">
                  <c:v>3.7037037037037056E-2</c:v>
                </c:pt>
                <c:pt idx="9">
                  <c:v>0</c:v>
                </c:pt>
                <c:pt idx="10">
                  <c:v>0.27659574468085107</c:v>
                </c:pt>
                <c:pt idx="11">
                  <c:v>4.7619047619047623E-2</c:v>
                </c:pt>
                <c:pt idx="12">
                  <c:v>1.3698630136986301E-2</c:v>
                </c:pt>
                <c:pt idx="13">
                  <c:v>0.17857142857143188</c:v>
                </c:pt>
              </c:numCache>
            </c:numRef>
          </c:val>
        </c:ser>
        <c:shape val="cylinder"/>
        <c:axId val="214421888"/>
        <c:axId val="214423424"/>
        <c:axId val="0"/>
      </c:bar3DChart>
      <c:catAx>
        <c:axId val="214421888"/>
        <c:scaling>
          <c:orientation val="minMax"/>
        </c:scaling>
        <c:axPos val="l"/>
        <c:numFmt formatCode="General" sourceLinked="0"/>
        <c:tickLblPos val="nextTo"/>
        <c:txPr>
          <a:bodyPr/>
          <a:lstStyle/>
          <a:p>
            <a:pPr>
              <a:defRPr sz="800">
                <a:latin typeface="Book Antiqua" pitchFamily="18" charset="0"/>
              </a:defRPr>
            </a:pPr>
            <a:endParaRPr lang="fr-FR"/>
          </a:p>
        </c:txPr>
        <c:crossAx val="214423424"/>
        <c:crosses val="autoZero"/>
        <c:auto val="1"/>
        <c:lblAlgn val="ctr"/>
        <c:lblOffset val="100"/>
      </c:catAx>
      <c:valAx>
        <c:axId val="214423424"/>
        <c:scaling>
          <c:orientation val="minMax"/>
        </c:scaling>
        <c:axPos val="b"/>
        <c:majorGridlines/>
        <c:numFmt formatCode="0%" sourceLinked="1"/>
        <c:tickLblPos val="nextTo"/>
        <c:txPr>
          <a:bodyPr/>
          <a:lstStyle/>
          <a:p>
            <a:pPr>
              <a:defRPr sz="800">
                <a:latin typeface="Book Antiqua" pitchFamily="18" charset="0"/>
              </a:defRPr>
            </a:pPr>
            <a:endParaRPr lang="fr-FR"/>
          </a:p>
        </c:txPr>
        <c:crossAx val="214421888"/>
        <c:crosses val="autoZero"/>
        <c:crossBetween val="between"/>
      </c:valAx>
    </c:plotArea>
    <c:legend>
      <c:legendPos val="r"/>
      <c:layout>
        <c:manualLayout>
          <c:xMode val="edge"/>
          <c:yMode val="edge"/>
          <c:x val="7.2893411908419192E-2"/>
          <c:y val="0.89579879287758402"/>
          <c:w val="0.85582776209578593"/>
          <c:h val="0.10209607777430166"/>
        </c:manualLayout>
      </c:layout>
      <c:txPr>
        <a:bodyPr/>
        <a:lstStyle/>
        <a:p>
          <a:pPr>
            <a:defRPr sz="900" b="1">
              <a:latin typeface="Book Antiqua" pitchFamily="18" charset="0"/>
            </a:defRPr>
          </a:pPr>
          <a:endParaRPr lang="fr-FR"/>
        </a:p>
      </c:txPr>
    </c:legend>
    <c:plotVisOnly val="1"/>
    <c:dispBlanksAs val="gap"/>
  </c:chart>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9.3055555555558125E-2"/>
          <c:y val="0.11147090988626421"/>
          <c:w val="0.90694444444445244"/>
          <c:h val="0.78207166812481865"/>
        </c:manualLayout>
      </c:layout>
      <c:pie3DChart>
        <c:varyColors val="1"/>
        <c:ser>
          <c:idx val="0"/>
          <c:order val="0"/>
          <c:explosion val="11"/>
          <c:dPt>
            <c:idx val="0"/>
            <c:spPr>
              <a:solidFill>
                <a:srgbClr val="00B050"/>
              </a:solidFill>
            </c:spPr>
          </c:dPt>
          <c:dPt>
            <c:idx val="1"/>
            <c:spPr>
              <a:solidFill>
                <a:schemeClr val="accent3">
                  <a:lumMod val="60000"/>
                  <a:lumOff val="40000"/>
                </a:schemeClr>
              </a:solidFill>
            </c:spPr>
          </c:dPt>
          <c:dPt>
            <c:idx val="2"/>
            <c:spPr>
              <a:solidFill>
                <a:schemeClr val="accent6">
                  <a:lumMod val="75000"/>
                </a:schemeClr>
              </a:solidFill>
            </c:spPr>
          </c:dPt>
          <c:dPt>
            <c:idx val="3"/>
            <c:spPr>
              <a:solidFill>
                <a:srgbClr val="FF0000"/>
              </a:solidFill>
            </c:spPr>
          </c:dPt>
          <c:dLbls>
            <c:numFmt formatCode="0.0%" sourceLinked="0"/>
            <c:spPr>
              <a:noFill/>
              <a:ln>
                <a:noFill/>
              </a:ln>
              <a:effectLst/>
            </c:spPr>
            <c:txPr>
              <a:bodyPr/>
              <a:lstStyle/>
              <a:p>
                <a:pPr>
                  <a:defRPr sz="900" b="1">
                    <a:latin typeface="Book Antiqua" pitchFamily="18" charset="0"/>
                  </a:defRPr>
                </a:pPr>
                <a:endParaRPr lang="fr-FR"/>
              </a:p>
            </c:txPr>
            <c:showPercent val="1"/>
            <c:showLeaderLines val="1"/>
            <c:extLst>
              <c:ext xmlns:c15="http://schemas.microsoft.com/office/drawing/2012/chart" uri="{CE6537A1-D6FC-4f65-9D91-7224C49458BB}">
                <c15:layout/>
              </c:ext>
            </c:extLst>
          </c:dLbls>
          <c:cat>
            <c:strRef>
              <c:f>Feuil14!$L$53:$L$56</c:f>
              <c:strCache>
                <c:ptCount val="4"/>
                <c:pt idx="0">
                  <c:v>Très facile</c:v>
                </c:pt>
                <c:pt idx="1">
                  <c:v>Facile</c:v>
                </c:pt>
                <c:pt idx="2">
                  <c:v>Difficile</c:v>
                </c:pt>
                <c:pt idx="3">
                  <c:v>Très difficile</c:v>
                </c:pt>
              </c:strCache>
            </c:strRef>
          </c:cat>
          <c:val>
            <c:numRef>
              <c:f>Feuil14!$M$53:$M$56</c:f>
              <c:numCache>
                <c:formatCode>0.0%</c:formatCode>
                <c:ptCount val="4"/>
                <c:pt idx="0">
                  <c:v>0.12990936555891244</c:v>
                </c:pt>
                <c:pt idx="1">
                  <c:v>0.72809667673716061</c:v>
                </c:pt>
                <c:pt idx="2">
                  <c:v>0.10876132930513679</c:v>
                </c:pt>
                <c:pt idx="3">
                  <c:v>3.3232628398791542E-2</c:v>
                </c:pt>
              </c:numCache>
            </c:numRef>
          </c:val>
        </c:ser>
        <c:dLbls>
          <c:showPercent val="1"/>
        </c:dLbls>
      </c:pie3DChart>
    </c:plotArea>
    <c:legend>
      <c:legendPos val="t"/>
      <c:layout>
        <c:manualLayout>
          <c:xMode val="edge"/>
          <c:yMode val="edge"/>
          <c:x val="0.21976859142607538"/>
          <c:y val="0.8842592592592593"/>
          <c:w val="0.62712948381453348"/>
          <c:h val="8.3717191601050026E-2"/>
        </c:manualLayout>
      </c:layout>
      <c:txPr>
        <a:bodyPr/>
        <a:lstStyle/>
        <a:p>
          <a:pPr>
            <a:defRPr sz="900" b="1">
              <a:latin typeface="Book Antiqua" pitchFamily="18" charset="0"/>
            </a:defRPr>
          </a:pPr>
          <a:endParaRPr lang="fr-FR"/>
        </a:p>
      </c:txPr>
    </c:legend>
    <c:plotVisOnly val="1"/>
    <c:dispBlanksAs val="zero"/>
  </c:chart>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20426684164479444"/>
          <c:y val="3.8812099706811674E-2"/>
          <c:w val="0.74537168958914568"/>
          <c:h val="0.7316614218008427"/>
        </c:manualLayout>
      </c:layout>
      <c:bar3DChart>
        <c:barDir val="bar"/>
        <c:grouping val="percentStacked"/>
        <c:ser>
          <c:idx val="0"/>
          <c:order val="0"/>
          <c:tx>
            <c:strRef>
              <c:f>Feuil14!$D$86</c:f>
              <c:strCache>
                <c:ptCount val="1"/>
                <c:pt idx="0">
                  <c:v>Très facile</c:v>
                </c:pt>
              </c:strCache>
            </c:strRef>
          </c:tx>
          <c:spPr>
            <a:solidFill>
              <a:srgbClr val="00B050"/>
            </a:solidFill>
          </c:spPr>
          <c:cat>
            <c:strRef>
              <c:f>(Feuil14!$E$85:$G$85,Feuil14!$I$85:$R$85)</c:f>
              <c:strCache>
                <c:ptCount val="13"/>
                <c:pt idx="0">
                  <c:v>Dakar</c:v>
                </c:pt>
                <c:pt idx="1">
                  <c:v>Diourbel</c:v>
                </c:pt>
                <c:pt idx="2">
                  <c:v>Fatick</c:v>
                </c:pt>
                <c:pt idx="3">
                  <c:v>Kaolack</c:v>
                </c:pt>
                <c:pt idx="4">
                  <c:v>Kolda</c:v>
                </c:pt>
                <c:pt idx="5">
                  <c:v>Kédougou</c:v>
                </c:pt>
                <c:pt idx="6">
                  <c:v>Louga</c:v>
                </c:pt>
                <c:pt idx="7">
                  <c:v>Matam</c:v>
                </c:pt>
                <c:pt idx="8">
                  <c:v>Saint Louis</c:v>
                </c:pt>
                <c:pt idx="9">
                  <c:v>Sédhiou</c:v>
                </c:pt>
                <c:pt idx="10">
                  <c:v>Tambacounda</c:v>
                </c:pt>
                <c:pt idx="11">
                  <c:v>Thiès</c:v>
                </c:pt>
                <c:pt idx="12">
                  <c:v>Ziguinchor</c:v>
                </c:pt>
              </c:strCache>
            </c:strRef>
          </c:cat>
          <c:val>
            <c:numRef>
              <c:f>(Feuil14!$E$86:$G$86,Feuil14!$I$86:$R$86)</c:f>
              <c:numCache>
                <c:formatCode>0.0%</c:formatCode>
                <c:ptCount val="13"/>
                <c:pt idx="0">
                  <c:v>0.13076923076923441</c:v>
                </c:pt>
                <c:pt idx="1">
                  <c:v>0</c:v>
                </c:pt>
                <c:pt idx="2">
                  <c:v>0</c:v>
                </c:pt>
                <c:pt idx="3">
                  <c:v>0</c:v>
                </c:pt>
                <c:pt idx="4">
                  <c:v>0</c:v>
                </c:pt>
                <c:pt idx="5">
                  <c:v>0</c:v>
                </c:pt>
                <c:pt idx="6">
                  <c:v>0.16666666666666666</c:v>
                </c:pt>
                <c:pt idx="7">
                  <c:v>0</c:v>
                </c:pt>
                <c:pt idx="8">
                  <c:v>5.8823529411764705E-2</c:v>
                </c:pt>
                <c:pt idx="9">
                  <c:v>0</c:v>
                </c:pt>
                <c:pt idx="10">
                  <c:v>0</c:v>
                </c:pt>
                <c:pt idx="11">
                  <c:v>0.38709677419355554</c:v>
                </c:pt>
                <c:pt idx="12">
                  <c:v>0.10344827586206895</c:v>
                </c:pt>
              </c:numCache>
            </c:numRef>
          </c:val>
        </c:ser>
        <c:ser>
          <c:idx val="1"/>
          <c:order val="1"/>
          <c:tx>
            <c:strRef>
              <c:f>Feuil14!$D$87</c:f>
              <c:strCache>
                <c:ptCount val="1"/>
                <c:pt idx="0">
                  <c:v>Facile</c:v>
                </c:pt>
              </c:strCache>
            </c:strRef>
          </c:tx>
          <c:spPr>
            <a:solidFill>
              <a:schemeClr val="accent3">
                <a:lumMod val="60000"/>
                <a:lumOff val="40000"/>
              </a:schemeClr>
            </a:solidFill>
          </c:spPr>
          <c:cat>
            <c:strRef>
              <c:f>(Feuil14!$E$85:$G$85,Feuil14!$I$85:$R$85)</c:f>
              <c:strCache>
                <c:ptCount val="13"/>
                <c:pt idx="0">
                  <c:v>Dakar</c:v>
                </c:pt>
                <c:pt idx="1">
                  <c:v>Diourbel</c:v>
                </c:pt>
                <c:pt idx="2">
                  <c:v>Fatick</c:v>
                </c:pt>
                <c:pt idx="3">
                  <c:v>Kaolack</c:v>
                </c:pt>
                <c:pt idx="4">
                  <c:v>Kolda</c:v>
                </c:pt>
                <c:pt idx="5">
                  <c:v>Kédougou</c:v>
                </c:pt>
                <c:pt idx="6">
                  <c:v>Louga</c:v>
                </c:pt>
                <c:pt idx="7">
                  <c:v>Matam</c:v>
                </c:pt>
                <c:pt idx="8">
                  <c:v>Saint Louis</c:v>
                </c:pt>
                <c:pt idx="9">
                  <c:v>Sédhiou</c:v>
                </c:pt>
                <c:pt idx="10">
                  <c:v>Tambacounda</c:v>
                </c:pt>
                <c:pt idx="11">
                  <c:v>Thiès</c:v>
                </c:pt>
                <c:pt idx="12">
                  <c:v>Ziguinchor</c:v>
                </c:pt>
              </c:strCache>
            </c:strRef>
          </c:cat>
          <c:val>
            <c:numRef>
              <c:f>(Feuil14!$E$87:$G$87,Feuil14!$I$87:$R$87)</c:f>
              <c:numCache>
                <c:formatCode>0.0%</c:formatCode>
                <c:ptCount val="13"/>
                <c:pt idx="0">
                  <c:v>0.76730769230770179</c:v>
                </c:pt>
                <c:pt idx="1">
                  <c:v>0.77777777777778678</c:v>
                </c:pt>
                <c:pt idx="2">
                  <c:v>0.33333333333333331</c:v>
                </c:pt>
                <c:pt idx="3">
                  <c:v>0.72727272727272729</c:v>
                </c:pt>
                <c:pt idx="4">
                  <c:v>0.55555555555555569</c:v>
                </c:pt>
                <c:pt idx="5">
                  <c:v>0.33333333333333331</c:v>
                </c:pt>
                <c:pt idx="6">
                  <c:v>0.66666666666666663</c:v>
                </c:pt>
                <c:pt idx="7">
                  <c:v>1</c:v>
                </c:pt>
                <c:pt idx="8">
                  <c:v>0.70588235294117663</c:v>
                </c:pt>
                <c:pt idx="9">
                  <c:v>0.25</c:v>
                </c:pt>
                <c:pt idx="10">
                  <c:v>0.7500000000000081</c:v>
                </c:pt>
                <c:pt idx="11">
                  <c:v>0.58064516129032251</c:v>
                </c:pt>
                <c:pt idx="12">
                  <c:v>0.44827586206896552</c:v>
                </c:pt>
              </c:numCache>
            </c:numRef>
          </c:val>
        </c:ser>
        <c:ser>
          <c:idx val="2"/>
          <c:order val="2"/>
          <c:tx>
            <c:strRef>
              <c:f>Feuil14!$D$88</c:f>
              <c:strCache>
                <c:ptCount val="1"/>
                <c:pt idx="0">
                  <c:v>Difficile</c:v>
                </c:pt>
              </c:strCache>
            </c:strRef>
          </c:tx>
          <c:spPr>
            <a:solidFill>
              <a:schemeClr val="accent6">
                <a:lumMod val="75000"/>
              </a:schemeClr>
            </a:solidFill>
          </c:spPr>
          <c:cat>
            <c:strRef>
              <c:f>(Feuil14!$E$85:$G$85,Feuil14!$I$85:$R$85)</c:f>
              <c:strCache>
                <c:ptCount val="13"/>
                <c:pt idx="0">
                  <c:v>Dakar</c:v>
                </c:pt>
                <c:pt idx="1">
                  <c:v>Diourbel</c:v>
                </c:pt>
                <c:pt idx="2">
                  <c:v>Fatick</c:v>
                </c:pt>
                <c:pt idx="3">
                  <c:v>Kaolack</c:v>
                </c:pt>
                <c:pt idx="4">
                  <c:v>Kolda</c:v>
                </c:pt>
                <c:pt idx="5">
                  <c:v>Kédougou</c:v>
                </c:pt>
                <c:pt idx="6">
                  <c:v>Louga</c:v>
                </c:pt>
                <c:pt idx="7">
                  <c:v>Matam</c:v>
                </c:pt>
                <c:pt idx="8">
                  <c:v>Saint Louis</c:v>
                </c:pt>
                <c:pt idx="9">
                  <c:v>Sédhiou</c:v>
                </c:pt>
                <c:pt idx="10">
                  <c:v>Tambacounda</c:v>
                </c:pt>
                <c:pt idx="11">
                  <c:v>Thiès</c:v>
                </c:pt>
                <c:pt idx="12">
                  <c:v>Ziguinchor</c:v>
                </c:pt>
              </c:strCache>
            </c:strRef>
          </c:cat>
          <c:val>
            <c:numRef>
              <c:f>(Feuil14!$E$88:$G$88,Feuil14!$I$88:$R$88)</c:f>
              <c:numCache>
                <c:formatCode>0.0%</c:formatCode>
                <c:ptCount val="13"/>
                <c:pt idx="0">
                  <c:v>8.8461538461538453E-2</c:v>
                </c:pt>
                <c:pt idx="1">
                  <c:v>0.1111111111111111</c:v>
                </c:pt>
                <c:pt idx="2">
                  <c:v>0.33333333333333331</c:v>
                </c:pt>
                <c:pt idx="3">
                  <c:v>0.18181818181818507</c:v>
                </c:pt>
                <c:pt idx="4">
                  <c:v>0.1111111111111111</c:v>
                </c:pt>
                <c:pt idx="5">
                  <c:v>0.5</c:v>
                </c:pt>
                <c:pt idx="6">
                  <c:v>0.16666666666666666</c:v>
                </c:pt>
                <c:pt idx="7">
                  <c:v>0</c:v>
                </c:pt>
                <c:pt idx="8">
                  <c:v>0.11764705882352942</c:v>
                </c:pt>
                <c:pt idx="9">
                  <c:v>0.5</c:v>
                </c:pt>
                <c:pt idx="10">
                  <c:v>0</c:v>
                </c:pt>
                <c:pt idx="11">
                  <c:v>3.2258064516129621E-2</c:v>
                </c:pt>
                <c:pt idx="12">
                  <c:v>0.34482758620690174</c:v>
                </c:pt>
              </c:numCache>
            </c:numRef>
          </c:val>
        </c:ser>
        <c:ser>
          <c:idx val="3"/>
          <c:order val="3"/>
          <c:tx>
            <c:strRef>
              <c:f>Feuil14!$D$89</c:f>
              <c:strCache>
                <c:ptCount val="1"/>
                <c:pt idx="0">
                  <c:v>Très difficile</c:v>
                </c:pt>
              </c:strCache>
            </c:strRef>
          </c:tx>
          <c:spPr>
            <a:solidFill>
              <a:srgbClr val="FF0000"/>
            </a:solidFill>
          </c:spPr>
          <c:cat>
            <c:strRef>
              <c:f>(Feuil14!$E$85:$G$85,Feuil14!$I$85:$R$85)</c:f>
              <c:strCache>
                <c:ptCount val="13"/>
                <c:pt idx="0">
                  <c:v>Dakar</c:v>
                </c:pt>
                <c:pt idx="1">
                  <c:v>Diourbel</c:v>
                </c:pt>
                <c:pt idx="2">
                  <c:v>Fatick</c:v>
                </c:pt>
                <c:pt idx="3">
                  <c:v>Kaolack</c:v>
                </c:pt>
                <c:pt idx="4">
                  <c:v>Kolda</c:v>
                </c:pt>
                <c:pt idx="5">
                  <c:v>Kédougou</c:v>
                </c:pt>
                <c:pt idx="6">
                  <c:v>Louga</c:v>
                </c:pt>
                <c:pt idx="7">
                  <c:v>Matam</c:v>
                </c:pt>
                <c:pt idx="8">
                  <c:v>Saint Louis</c:v>
                </c:pt>
                <c:pt idx="9">
                  <c:v>Sédhiou</c:v>
                </c:pt>
                <c:pt idx="10">
                  <c:v>Tambacounda</c:v>
                </c:pt>
                <c:pt idx="11">
                  <c:v>Thiès</c:v>
                </c:pt>
                <c:pt idx="12">
                  <c:v>Ziguinchor</c:v>
                </c:pt>
              </c:strCache>
            </c:strRef>
          </c:cat>
          <c:val>
            <c:numRef>
              <c:f>(Feuil14!$E$89:$G$89,Feuil14!$I$89:$R$89)</c:f>
              <c:numCache>
                <c:formatCode>0.0%</c:formatCode>
                <c:ptCount val="13"/>
                <c:pt idx="0">
                  <c:v>1.3461538461538783E-2</c:v>
                </c:pt>
                <c:pt idx="1">
                  <c:v>0.1111111111111111</c:v>
                </c:pt>
                <c:pt idx="2">
                  <c:v>0.33333333333333331</c:v>
                </c:pt>
                <c:pt idx="3">
                  <c:v>9.0909090909091064E-2</c:v>
                </c:pt>
                <c:pt idx="4">
                  <c:v>0.33333333333333331</c:v>
                </c:pt>
                <c:pt idx="5">
                  <c:v>0.16666666666666666</c:v>
                </c:pt>
                <c:pt idx="6">
                  <c:v>0</c:v>
                </c:pt>
                <c:pt idx="7">
                  <c:v>0</c:v>
                </c:pt>
                <c:pt idx="8">
                  <c:v>0.11764705882352942</c:v>
                </c:pt>
                <c:pt idx="9">
                  <c:v>0.25</c:v>
                </c:pt>
                <c:pt idx="10">
                  <c:v>0.25</c:v>
                </c:pt>
                <c:pt idx="11">
                  <c:v>0</c:v>
                </c:pt>
                <c:pt idx="12">
                  <c:v>0.10344827586206895</c:v>
                </c:pt>
              </c:numCache>
            </c:numRef>
          </c:val>
        </c:ser>
        <c:shape val="cylinder"/>
        <c:axId val="214474112"/>
        <c:axId val="214484096"/>
        <c:axId val="0"/>
      </c:bar3DChart>
      <c:catAx>
        <c:axId val="214474112"/>
        <c:scaling>
          <c:orientation val="minMax"/>
        </c:scaling>
        <c:axPos val="l"/>
        <c:numFmt formatCode="General" sourceLinked="0"/>
        <c:tickLblPos val="nextTo"/>
        <c:txPr>
          <a:bodyPr/>
          <a:lstStyle/>
          <a:p>
            <a:pPr>
              <a:defRPr sz="900" b="1">
                <a:latin typeface="Book Antiqua" pitchFamily="18" charset="0"/>
              </a:defRPr>
            </a:pPr>
            <a:endParaRPr lang="fr-FR"/>
          </a:p>
        </c:txPr>
        <c:crossAx val="214484096"/>
        <c:crosses val="autoZero"/>
        <c:auto val="1"/>
        <c:lblAlgn val="ctr"/>
        <c:lblOffset val="100"/>
      </c:catAx>
      <c:valAx>
        <c:axId val="214484096"/>
        <c:scaling>
          <c:orientation val="minMax"/>
        </c:scaling>
        <c:axPos val="b"/>
        <c:majorGridlines/>
        <c:numFmt formatCode="0%" sourceLinked="1"/>
        <c:tickLblPos val="nextTo"/>
        <c:txPr>
          <a:bodyPr/>
          <a:lstStyle/>
          <a:p>
            <a:pPr>
              <a:defRPr sz="900" b="1">
                <a:latin typeface="Book Antiqua" pitchFamily="18" charset="0"/>
              </a:defRPr>
            </a:pPr>
            <a:endParaRPr lang="fr-FR"/>
          </a:p>
        </c:txPr>
        <c:crossAx val="214474112"/>
        <c:crosses val="autoZero"/>
        <c:crossBetween val="between"/>
      </c:valAx>
    </c:plotArea>
    <c:legend>
      <c:legendPos val="r"/>
      <c:layout>
        <c:manualLayout>
          <c:xMode val="edge"/>
          <c:yMode val="edge"/>
          <c:x val="7.7139326334208183E-2"/>
          <c:y val="0.86636552329795558"/>
          <c:w val="0.87008289588801391"/>
          <c:h val="0.13171998723118244"/>
        </c:manualLayout>
      </c:layout>
      <c:txPr>
        <a:bodyPr/>
        <a:lstStyle/>
        <a:p>
          <a:pPr>
            <a:defRPr sz="900" b="1">
              <a:latin typeface="Book Antiqua" pitchFamily="18" charset="0"/>
            </a:defRPr>
          </a:pPr>
          <a:endParaRPr lang="fr-FR"/>
        </a:p>
      </c:txPr>
    </c:legend>
    <c:plotVisOnly val="1"/>
    <c:dispBlanksAs val="gap"/>
  </c:chart>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Feuil14!$P$163</c:f>
              <c:strCache>
                <c:ptCount val="1"/>
                <c:pt idx="0">
                  <c:v>Formel</c:v>
                </c:pt>
              </c:strCache>
            </c:strRef>
          </c:tx>
          <c:cat>
            <c:strRef>
              <c:f>Feuil14!$O$164:$O$167</c:f>
              <c:strCache>
                <c:ptCount val="4"/>
                <c:pt idx="0">
                  <c:v>Très facile</c:v>
                </c:pt>
                <c:pt idx="1">
                  <c:v>Facile</c:v>
                </c:pt>
                <c:pt idx="2">
                  <c:v>Difficile</c:v>
                </c:pt>
                <c:pt idx="3">
                  <c:v>Très difficile</c:v>
                </c:pt>
              </c:strCache>
            </c:strRef>
          </c:cat>
          <c:val>
            <c:numRef>
              <c:f>Feuil14!$P$164:$P$167</c:f>
              <c:numCache>
                <c:formatCode>0.0%</c:formatCode>
                <c:ptCount val="4"/>
                <c:pt idx="0">
                  <c:v>0.13477537437603992</c:v>
                </c:pt>
                <c:pt idx="1">
                  <c:v>0.72878535773710484</c:v>
                </c:pt>
                <c:pt idx="2">
                  <c:v>0.10648918469217968</c:v>
                </c:pt>
                <c:pt idx="3">
                  <c:v>2.9950083194675538E-2</c:v>
                </c:pt>
              </c:numCache>
            </c:numRef>
          </c:val>
        </c:ser>
        <c:ser>
          <c:idx val="1"/>
          <c:order val="1"/>
          <c:tx>
            <c:strRef>
              <c:f>Feuil14!$Q$163</c:f>
              <c:strCache>
                <c:ptCount val="1"/>
                <c:pt idx="0">
                  <c:v>Informel</c:v>
                </c:pt>
              </c:strCache>
            </c:strRef>
          </c:tx>
          <c:cat>
            <c:strRef>
              <c:f>Feuil14!$O$164:$O$167</c:f>
              <c:strCache>
                <c:ptCount val="4"/>
                <c:pt idx="0">
                  <c:v>Très facile</c:v>
                </c:pt>
                <c:pt idx="1">
                  <c:v>Facile</c:v>
                </c:pt>
                <c:pt idx="2">
                  <c:v>Difficile</c:v>
                </c:pt>
                <c:pt idx="3">
                  <c:v>Très difficile</c:v>
                </c:pt>
              </c:strCache>
            </c:strRef>
          </c:cat>
          <c:val>
            <c:numRef>
              <c:f>Feuil14!$Q$164:$Q$167</c:f>
              <c:numCache>
                <c:formatCode>0.0%</c:formatCode>
                <c:ptCount val="4"/>
                <c:pt idx="0">
                  <c:v>8.1967213114754051E-2</c:v>
                </c:pt>
                <c:pt idx="1">
                  <c:v>0.72131147540983664</c:v>
                </c:pt>
                <c:pt idx="2">
                  <c:v>0.13114754098360637</c:v>
                </c:pt>
                <c:pt idx="3">
                  <c:v>6.5573770491803282E-2</c:v>
                </c:pt>
              </c:numCache>
            </c:numRef>
          </c:val>
        </c:ser>
        <c:shape val="cylinder"/>
        <c:axId val="214648320"/>
        <c:axId val="214649856"/>
        <c:axId val="0"/>
      </c:bar3DChart>
      <c:catAx>
        <c:axId val="214648320"/>
        <c:scaling>
          <c:orientation val="minMax"/>
        </c:scaling>
        <c:axPos val="b"/>
        <c:numFmt formatCode="General" sourceLinked="0"/>
        <c:tickLblPos val="nextTo"/>
        <c:txPr>
          <a:bodyPr/>
          <a:lstStyle/>
          <a:p>
            <a:pPr>
              <a:defRPr sz="900" b="1">
                <a:latin typeface="Book Antiqua" pitchFamily="18" charset="0"/>
              </a:defRPr>
            </a:pPr>
            <a:endParaRPr lang="fr-FR"/>
          </a:p>
        </c:txPr>
        <c:crossAx val="214649856"/>
        <c:crosses val="autoZero"/>
        <c:auto val="1"/>
        <c:lblAlgn val="ctr"/>
        <c:lblOffset val="100"/>
      </c:catAx>
      <c:valAx>
        <c:axId val="214649856"/>
        <c:scaling>
          <c:orientation val="minMax"/>
        </c:scaling>
        <c:axPos val="l"/>
        <c:majorGridlines/>
        <c:numFmt formatCode="0.0%" sourceLinked="1"/>
        <c:tickLblPos val="nextTo"/>
        <c:txPr>
          <a:bodyPr/>
          <a:lstStyle/>
          <a:p>
            <a:pPr>
              <a:defRPr sz="900" b="1">
                <a:latin typeface="Book Antiqua" pitchFamily="18" charset="0"/>
              </a:defRPr>
            </a:pPr>
            <a:endParaRPr lang="fr-FR"/>
          </a:p>
        </c:txPr>
        <c:crossAx val="214648320"/>
        <c:crosses val="autoZero"/>
        <c:crossBetween val="between"/>
      </c:valAx>
    </c:plotArea>
    <c:legend>
      <c:legendPos val="b"/>
      <c:txPr>
        <a:bodyPr/>
        <a:lstStyle/>
        <a:p>
          <a:pPr>
            <a:defRPr sz="900" b="1">
              <a:latin typeface="Book Antiqua" pitchFamily="18" charset="0"/>
            </a:defRPr>
          </a:pPr>
          <a:endParaRPr lang="fr-FR"/>
        </a:p>
      </c:txPr>
    </c:legend>
    <c:plotVisOnly val="1"/>
    <c:dispBlanksAs val="gap"/>
  </c:chart>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9.5833333333333368E-2"/>
          <c:y val="0.10684128025663668"/>
          <c:w val="0.81388888888889688"/>
          <c:h val="0.67559018664334658"/>
        </c:manualLayout>
      </c:layout>
      <c:pie3DChart>
        <c:varyColors val="1"/>
        <c:ser>
          <c:idx val="0"/>
          <c:order val="0"/>
          <c:dLbls>
            <c:numFmt formatCode="0.0%" sourceLinked="0"/>
            <c:spPr>
              <a:noFill/>
              <a:ln>
                <a:noFill/>
              </a:ln>
              <a:effectLst/>
            </c:spPr>
            <c:txPr>
              <a:bodyPr/>
              <a:lstStyle/>
              <a:p>
                <a:pPr>
                  <a:defRPr sz="800" b="1">
                    <a:latin typeface="Book Antiqua" pitchFamily="18" charset="0"/>
                  </a:defRPr>
                </a:pPr>
                <a:endParaRPr lang="fr-FR"/>
              </a:p>
            </c:txPr>
            <c:showPercent val="1"/>
            <c:showLeaderLines val="1"/>
            <c:extLst>
              <c:ext xmlns:c15="http://schemas.microsoft.com/office/drawing/2012/chart" uri="{CE6537A1-D6FC-4f65-9D91-7224C49458BB}"/>
            </c:extLst>
          </c:dLbls>
          <c:cat>
            <c:strRef>
              <c:f>suivi!$G$15:$G$17</c:f>
              <c:strCache>
                <c:ptCount val="3"/>
                <c:pt idx="0">
                  <c:v>Très souvent</c:v>
                </c:pt>
                <c:pt idx="1">
                  <c:v>Souvent</c:v>
                </c:pt>
                <c:pt idx="2">
                  <c:v>Rarement</c:v>
                </c:pt>
              </c:strCache>
            </c:strRef>
          </c:cat>
          <c:val>
            <c:numRef>
              <c:f>suivi!$H$15:$H$17</c:f>
              <c:numCache>
                <c:formatCode>0.0%</c:formatCode>
                <c:ptCount val="3"/>
                <c:pt idx="0">
                  <c:v>7.4569789674952203E-2</c:v>
                </c:pt>
                <c:pt idx="1">
                  <c:v>0.52581261950286806</c:v>
                </c:pt>
                <c:pt idx="2">
                  <c:v>0.39961759082218423</c:v>
                </c:pt>
              </c:numCache>
            </c:numRef>
          </c:val>
        </c:ser>
        <c:dLbls>
          <c:showPercent val="1"/>
        </c:dLbls>
      </c:pie3DChart>
    </c:plotArea>
    <c:legend>
      <c:legendPos val="t"/>
      <c:layout>
        <c:manualLayout>
          <c:xMode val="edge"/>
          <c:yMode val="edge"/>
          <c:x val="0.24978193350831432"/>
          <c:y val="0.82407407407408606"/>
          <c:w val="0.52821391076114588"/>
          <c:h val="8.3717191601050026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6101706036745494"/>
          <c:y val="3.7287320992771211E-2"/>
          <c:w val="0.77174737532810189"/>
          <c:h val="0.79433769900399953"/>
        </c:manualLayout>
      </c:layout>
      <c:bar3DChart>
        <c:barDir val="bar"/>
        <c:grouping val="percentStacked"/>
        <c:ser>
          <c:idx val="0"/>
          <c:order val="0"/>
          <c:tx>
            <c:strRef>
              <c:f>Feuil16!$B$66</c:f>
              <c:strCache>
                <c:ptCount val="1"/>
                <c:pt idx="0">
                  <c:v>Très souvent</c:v>
                </c:pt>
              </c:strCache>
            </c:strRef>
          </c:tx>
          <c:spPr>
            <a:solidFill>
              <a:srgbClr val="00B050"/>
            </a:solidFill>
          </c:spPr>
          <c:cat>
            <c:strRef>
              <c:f>Feuil16!$C$65:$P$65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Feuil16!$C$66:$P$66</c:f>
              <c:numCache>
                <c:formatCode>0.0%</c:formatCode>
                <c:ptCount val="14"/>
                <c:pt idx="0">
                  <c:v>7.2368421052633719E-2</c:v>
                </c:pt>
                <c:pt idx="1">
                  <c:v>6.0000000000000032E-2</c:v>
                </c:pt>
                <c:pt idx="2">
                  <c:v>5.8823529411764705E-2</c:v>
                </c:pt>
                <c:pt idx="3">
                  <c:v>6.25E-2</c:v>
                </c:pt>
                <c:pt idx="4">
                  <c:v>5.8823529411764705E-2</c:v>
                </c:pt>
                <c:pt idx="5">
                  <c:v>0</c:v>
                </c:pt>
                <c:pt idx="6">
                  <c:v>2.8571428571428591E-2</c:v>
                </c:pt>
                <c:pt idx="7">
                  <c:v>0.20689655172413793</c:v>
                </c:pt>
                <c:pt idx="8">
                  <c:v>0.11764705882352942</c:v>
                </c:pt>
                <c:pt idx="9">
                  <c:v>8.5106382978723707E-2</c:v>
                </c:pt>
                <c:pt idx="10">
                  <c:v>0</c:v>
                </c:pt>
                <c:pt idx="11">
                  <c:v>2.777777777777864E-2</c:v>
                </c:pt>
                <c:pt idx="12">
                  <c:v>0.14545454545454545</c:v>
                </c:pt>
                <c:pt idx="13">
                  <c:v>0.11428571428571557</c:v>
                </c:pt>
              </c:numCache>
            </c:numRef>
          </c:val>
        </c:ser>
        <c:ser>
          <c:idx val="1"/>
          <c:order val="1"/>
          <c:tx>
            <c:strRef>
              <c:f>Feuil16!$B$67</c:f>
              <c:strCache>
                <c:ptCount val="1"/>
                <c:pt idx="0">
                  <c:v>Souvent</c:v>
                </c:pt>
              </c:strCache>
            </c:strRef>
          </c:tx>
          <c:spPr>
            <a:solidFill>
              <a:srgbClr val="FFFF00"/>
            </a:solidFill>
          </c:spPr>
          <c:cat>
            <c:strRef>
              <c:f>Feuil16!$C$65:$P$65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Feuil16!$C$67:$P$67</c:f>
              <c:numCache>
                <c:formatCode>0.0%</c:formatCode>
                <c:ptCount val="14"/>
                <c:pt idx="0">
                  <c:v>0.51480263157894735</c:v>
                </c:pt>
                <c:pt idx="1">
                  <c:v>0.5</c:v>
                </c:pt>
                <c:pt idx="2">
                  <c:v>0.47058823529412358</c:v>
                </c:pt>
                <c:pt idx="3">
                  <c:v>0.312500000000004</c:v>
                </c:pt>
                <c:pt idx="4">
                  <c:v>0.74509803921569828</c:v>
                </c:pt>
                <c:pt idx="5">
                  <c:v>0.51612903225807905</c:v>
                </c:pt>
                <c:pt idx="6">
                  <c:v>0.51428571428571423</c:v>
                </c:pt>
                <c:pt idx="7">
                  <c:v>0.44827586206896552</c:v>
                </c:pt>
                <c:pt idx="8">
                  <c:v>0.70588235294117663</c:v>
                </c:pt>
                <c:pt idx="9">
                  <c:v>0.72340425531914965</c:v>
                </c:pt>
                <c:pt idx="10">
                  <c:v>0.31578947368421934</c:v>
                </c:pt>
                <c:pt idx="11">
                  <c:v>0.30555555555555558</c:v>
                </c:pt>
                <c:pt idx="12">
                  <c:v>0.67272727272728439</c:v>
                </c:pt>
                <c:pt idx="13">
                  <c:v>0.4</c:v>
                </c:pt>
              </c:numCache>
            </c:numRef>
          </c:val>
        </c:ser>
        <c:ser>
          <c:idx val="2"/>
          <c:order val="2"/>
          <c:tx>
            <c:strRef>
              <c:f>Feuil16!$B$68</c:f>
              <c:strCache>
                <c:ptCount val="1"/>
                <c:pt idx="0">
                  <c:v>Rarement</c:v>
                </c:pt>
              </c:strCache>
            </c:strRef>
          </c:tx>
          <c:spPr>
            <a:solidFill>
              <a:schemeClr val="accent6">
                <a:lumMod val="75000"/>
              </a:schemeClr>
            </a:solidFill>
          </c:spPr>
          <c:cat>
            <c:strRef>
              <c:f>Feuil16!$C$65:$P$65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Feuil16!$C$68:$P$68</c:f>
              <c:numCache>
                <c:formatCode>0.0%</c:formatCode>
                <c:ptCount val="14"/>
                <c:pt idx="0">
                  <c:v>0.41282894736843007</c:v>
                </c:pt>
                <c:pt idx="1">
                  <c:v>0.44</c:v>
                </c:pt>
                <c:pt idx="2">
                  <c:v>0.47058823529412358</c:v>
                </c:pt>
                <c:pt idx="3">
                  <c:v>0.6250000000000081</c:v>
                </c:pt>
                <c:pt idx="4">
                  <c:v>0.19607843137254904</c:v>
                </c:pt>
                <c:pt idx="5">
                  <c:v>0.48387096774194477</c:v>
                </c:pt>
                <c:pt idx="6">
                  <c:v>0.45714285714286218</c:v>
                </c:pt>
                <c:pt idx="7">
                  <c:v>0.34482758620690174</c:v>
                </c:pt>
                <c:pt idx="8">
                  <c:v>0.17647058823529421</c:v>
                </c:pt>
                <c:pt idx="9">
                  <c:v>0.19148936170213093</c:v>
                </c:pt>
                <c:pt idx="10">
                  <c:v>0.6842105263157896</c:v>
                </c:pt>
                <c:pt idx="11">
                  <c:v>0.66666666666666663</c:v>
                </c:pt>
                <c:pt idx="12">
                  <c:v>0.18181818181818507</c:v>
                </c:pt>
                <c:pt idx="13">
                  <c:v>0.48571428571429287</c:v>
                </c:pt>
              </c:numCache>
            </c:numRef>
          </c:val>
        </c:ser>
        <c:shape val="cylinder"/>
        <c:axId val="215033728"/>
        <c:axId val="215035264"/>
        <c:axId val="0"/>
      </c:bar3DChart>
      <c:catAx>
        <c:axId val="215033728"/>
        <c:scaling>
          <c:orientation val="minMax"/>
        </c:scaling>
        <c:axPos val="l"/>
        <c:numFmt formatCode="General" sourceLinked="0"/>
        <c:tickLblPos val="nextTo"/>
        <c:txPr>
          <a:bodyPr/>
          <a:lstStyle/>
          <a:p>
            <a:pPr>
              <a:defRPr sz="800">
                <a:latin typeface="Book Antiqua" pitchFamily="18" charset="0"/>
              </a:defRPr>
            </a:pPr>
            <a:endParaRPr lang="fr-FR"/>
          </a:p>
        </c:txPr>
        <c:crossAx val="215035264"/>
        <c:crosses val="autoZero"/>
        <c:auto val="1"/>
        <c:lblAlgn val="ctr"/>
        <c:lblOffset val="100"/>
      </c:catAx>
      <c:valAx>
        <c:axId val="215035264"/>
        <c:scaling>
          <c:orientation val="minMax"/>
        </c:scaling>
        <c:axPos val="b"/>
        <c:majorGridlines/>
        <c:numFmt formatCode="0%" sourceLinked="1"/>
        <c:tickLblPos val="nextTo"/>
        <c:txPr>
          <a:bodyPr/>
          <a:lstStyle/>
          <a:p>
            <a:pPr>
              <a:defRPr sz="800">
                <a:latin typeface="Book Antiqua" pitchFamily="18" charset="0"/>
              </a:defRPr>
            </a:pPr>
            <a:endParaRPr lang="fr-FR"/>
          </a:p>
        </c:txPr>
        <c:crossAx val="215033728"/>
        <c:crosses val="autoZero"/>
        <c:crossBetween val="between"/>
      </c:valAx>
    </c:plotArea>
    <c:legend>
      <c:legendPos val="r"/>
      <c:layout>
        <c:manualLayout>
          <c:xMode val="edge"/>
          <c:yMode val="edge"/>
          <c:x val="2.7088801399825892E-3"/>
          <c:y val="0.92786751426713854"/>
          <c:w val="0.96673556430446195"/>
          <c:h val="7.2132485732861434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8343416447944603"/>
          <c:y val="0.10684128025663668"/>
          <c:w val="0.4192430008748908"/>
          <c:h val="0.69873833479148462"/>
        </c:manualLayout>
      </c:layout>
      <c:pieChart>
        <c:varyColors val="1"/>
        <c:ser>
          <c:idx val="0"/>
          <c:order val="0"/>
          <c:dPt>
            <c:idx val="0"/>
            <c:spPr>
              <a:solidFill>
                <a:srgbClr val="00B050"/>
              </a:solidFill>
            </c:spPr>
          </c:dPt>
          <c:dPt>
            <c:idx val="1"/>
            <c:spPr>
              <a:solidFill>
                <a:schemeClr val="accent3">
                  <a:lumMod val="60000"/>
                  <a:lumOff val="40000"/>
                </a:schemeClr>
              </a:solidFill>
            </c:spPr>
          </c:dPt>
          <c:dPt>
            <c:idx val="2"/>
            <c:spPr>
              <a:solidFill>
                <a:schemeClr val="accent6">
                  <a:lumMod val="75000"/>
                </a:schemeClr>
              </a:solidFill>
            </c:spPr>
          </c:dPt>
          <c:dPt>
            <c:idx val="3"/>
            <c:spPr>
              <a:solidFill>
                <a:srgbClr val="FF0000"/>
              </a:solidFill>
            </c:spPr>
          </c:dPt>
          <c:dLbls>
            <c:numFmt formatCode="0.0%" sourceLinked="0"/>
            <c:spPr>
              <a:noFill/>
              <a:ln>
                <a:noFill/>
              </a:ln>
              <a:effectLst/>
            </c:spPr>
            <c:txPr>
              <a:bodyPr/>
              <a:lstStyle/>
              <a:p>
                <a:pPr>
                  <a:defRPr sz="900" b="1">
                    <a:latin typeface="Book Antiqua" pitchFamily="18" charset="0"/>
                  </a:defRPr>
                </a:pPr>
                <a:endParaRPr lang="fr-FR"/>
              </a:p>
            </c:txPr>
            <c:showPercent val="1"/>
            <c:showLeaderLines val="1"/>
            <c:extLst>
              <c:ext xmlns:c15="http://schemas.microsoft.com/office/drawing/2012/chart" uri="{CE6537A1-D6FC-4f65-9D91-7224C49458BB}"/>
            </c:extLst>
          </c:dLbls>
          <c:cat>
            <c:strRef>
              <c:f>suivi!$H$25:$H$28</c:f>
              <c:strCache>
                <c:ptCount val="4"/>
                <c:pt idx="0">
                  <c:v>Très bonne</c:v>
                </c:pt>
                <c:pt idx="1">
                  <c:v>Bonne</c:v>
                </c:pt>
                <c:pt idx="2">
                  <c:v>Mauvaise</c:v>
                </c:pt>
                <c:pt idx="3">
                  <c:v>Très mauvaise</c:v>
                </c:pt>
              </c:strCache>
            </c:strRef>
          </c:cat>
          <c:val>
            <c:numRef>
              <c:f>suivi!$I$25:$I$28</c:f>
              <c:numCache>
                <c:formatCode>###0.0</c:formatCode>
                <c:ptCount val="4"/>
                <c:pt idx="0">
                  <c:v>3.6619718309859492</c:v>
                </c:pt>
                <c:pt idx="1">
                  <c:v>82.629107981220656</c:v>
                </c:pt>
                <c:pt idx="2">
                  <c:v>12.300469483568076</c:v>
                </c:pt>
                <c:pt idx="3">
                  <c:v>1.408450704225352</c:v>
                </c:pt>
              </c:numCache>
            </c:numRef>
          </c:val>
        </c:ser>
        <c:dLbls>
          <c:showPercent val="1"/>
        </c:dLbls>
        <c:firstSliceAng val="0"/>
      </c:pieChart>
    </c:plotArea>
    <c:legend>
      <c:legendPos val="t"/>
      <c:layout>
        <c:manualLayout>
          <c:xMode val="edge"/>
          <c:yMode val="edge"/>
          <c:x val="0.17039348206474403"/>
          <c:y val="0.8611111111111116"/>
          <c:w val="0.70921281714785667"/>
          <c:h val="8.3717191601050026E-2"/>
        </c:manualLayout>
      </c:layout>
      <c:txPr>
        <a:bodyPr/>
        <a:lstStyle/>
        <a:p>
          <a:pPr>
            <a:defRPr sz="900" b="1">
              <a:latin typeface="Book Antiqua" pitchFamily="18" charset="0"/>
            </a:defRPr>
          </a:pPr>
          <a:endParaRPr lang="fr-FR"/>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explosion val="25"/>
          <c:dLbls>
            <c:dLbl>
              <c:idx val="0"/>
              <c:layout>
                <c:manualLayout>
                  <c:x val="-5.1347769028871393E-2"/>
                  <c:y val="-3.1456727539664456E-2"/>
                </c:manualLayout>
              </c:layout>
              <c:tx>
                <c:rich>
                  <a:bodyPr/>
                  <a:lstStyle/>
                  <a:p>
                    <a:r>
                      <a:rPr lang="en-US" sz="800" b="1">
                        <a:latin typeface="Book Antiqua" pitchFamily="18" charset="0"/>
                      </a:rPr>
                      <a:t>Q</a:t>
                    </a:r>
                    <a:r>
                      <a:rPr lang="en-US" sz="800" b="1"/>
                      <a:t>ualité de l'accueil
5,5%</a:t>
                    </a:r>
                  </a:p>
                </c:rich>
              </c:tx>
              <c:showCatName val="1"/>
              <c:showPercent val="1"/>
              <c:extLst>
                <c:ext xmlns:c15="http://schemas.microsoft.com/office/drawing/2012/chart" uri="{CE6537A1-D6FC-4f65-9D91-7224C49458BB}"/>
              </c:extLst>
            </c:dLbl>
            <c:dLbl>
              <c:idx val="2"/>
              <c:layout>
                <c:manualLayout>
                  <c:x val="-2.1875546806650005E-3"/>
                  <c:y val="0.21844638813288972"/>
                </c:manualLayout>
              </c:layout>
              <c:showCatName val="1"/>
              <c:showPercent val="1"/>
              <c:extLst>
                <c:ext xmlns:c15="http://schemas.microsoft.com/office/drawing/2012/chart" uri="{CE6537A1-D6FC-4f65-9D91-7224C49458BB}"/>
              </c:extLst>
            </c:dLbl>
            <c:dLbl>
              <c:idx val="3"/>
              <c:layout>
                <c:manualLayout>
                  <c:x val="-0.29998220423686545"/>
                  <c:y val="4.6948356807511738E-3"/>
                </c:manualLayout>
              </c:layout>
              <c:tx>
                <c:rich>
                  <a:bodyPr/>
                  <a:lstStyle/>
                  <a:p>
                    <a:r>
                      <a:rPr lang="en-US" sz="800" b="1"/>
                      <a:t>Difficultés d'obtention de crédit
25,9%</a:t>
                    </a:r>
                  </a:p>
                </c:rich>
              </c:tx>
              <c:showCatName val="1"/>
              <c:showPercent val="1"/>
              <c:extLst>
                <c:ext xmlns:c15="http://schemas.microsoft.com/office/drawing/2012/chart" uri="{CE6537A1-D6FC-4f65-9D91-7224C49458BB}"/>
              </c:extLst>
            </c:dLbl>
            <c:dLbl>
              <c:idx val="6"/>
              <c:layout>
                <c:manualLayout>
                  <c:x val="2.2922134733158349E-4"/>
                  <c:y val="3.0196608009750759E-2"/>
                </c:manualLayout>
              </c:layout>
              <c:showCatName val="1"/>
              <c:showPercent val="1"/>
              <c:extLst>
                <c:ext xmlns:c15="http://schemas.microsoft.com/office/drawing/2012/chart" uri="{CE6537A1-D6FC-4f65-9D91-7224C49458BB}"/>
              </c:extLst>
            </c:dLbl>
            <c:dLbl>
              <c:idx val="8"/>
              <c:layout>
                <c:manualLayout>
                  <c:x val="4.8984033245844334E-2"/>
                  <c:y val="-7.2596070609907512E-2"/>
                </c:manualLayout>
              </c:layout>
              <c:tx>
                <c:rich>
                  <a:bodyPr/>
                  <a:lstStyle/>
                  <a:p>
                    <a:r>
                      <a:rPr lang="en-US" sz="800" b="1">
                        <a:latin typeface="Book Antiqua" pitchFamily="18" charset="0"/>
                      </a:rPr>
                      <a:t>A</a:t>
                    </a:r>
                    <a:r>
                      <a:rPr lang="en-US" sz="800" b="1"/>
                      <a:t>utre 
12,2%</a:t>
                    </a:r>
                  </a:p>
                </c:rich>
              </c:tx>
              <c:showCatName val="1"/>
              <c:showPercent val="1"/>
              <c:extLst>
                <c:ext xmlns:c15="http://schemas.microsoft.com/office/drawing/2012/chart" uri="{CE6537A1-D6FC-4f65-9D91-7224C49458BB}"/>
              </c:extLst>
            </c:dLbl>
            <c:numFmt formatCode="0.0%" sourceLinked="0"/>
            <c:spPr>
              <a:noFill/>
              <a:ln>
                <a:noFill/>
              </a:ln>
              <a:effectLst/>
            </c:spPr>
            <c:txPr>
              <a:bodyPr/>
              <a:lstStyle/>
              <a:p>
                <a:pPr>
                  <a:defRPr sz="800" b="1">
                    <a:latin typeface="Book Antiqua" pitchFamily="18" charset="0"/>
                  </a:defRPr>
                </a:pPr>
                <a:endParaRPr lang="fr-FR"/>
              </a:p>
            </c:txPr>
            <c:showCatName val="1"/>
            <c:showPercent val="1"/>
            <c:showLeaderLines val="1"/>
            <c:extLst>
              <c:ext xmlns:c15="http://schemas.microsoft.com/office/drawing/2012/chart" uri="{CE6537A1-D6FC-4f65-9D91-7224C49458BB}"/>
            </c:extLst>
          </c:dLbls>
          <c:cat>
            <c:strRef>
              <c:f>Feuil3!$A$19:$A$27</c:f>
              <c:strCache>
                <c:ptCount val="9"/>
                <c:pt idx="0">
                  <c:v>Qualité de l'accuei</c:v>
                </c:pt>
                <c:pt idx="1">
                  <c:v>Inadaptation des produits</c:v>
                </c:pt>
                <c:pt idx="2">
                  <c:v>Non conformité des produits</c:v>
                </c:pt>
                <c:pt idx="3">
                  <c:v>Difficultés d'obtention du crédit</c:v>
                </c:pt>
                <c:pt idx="4">
                  <c:v>Litige</c:v>
                </c:pt>
                <c:pt idx="5">
                  <c:v>Réclamation non satisfaite</c:v>
                </c:pt>
                <c:pt idx="6">
                  <c:v>Rachat de crédit</c:v>
                </c:pt>
                <c:pt idx="7">
                  <c:v>Coût élevé des services</c:v>
                </c:pt>
                <c:pt idx="8">
                  <c:v>Autre (Préciser)</c:v>
                </c:pt>
              </c:strCache>
            </c:strRef>
          </c:cat>
          <c:val>
            <c:numRef>
              <c:f>Feuil3!$C$19:$C$27</c:f>
              <c:numCache>
                <c:formatCode>0.0%</c:formatCode>
                <c:ptCount val="9"/>
                <c:pt idx="0">
                  <c:v>5.5045871559633031E-2</c:v>
                </c:pt>
                <c:pt idx="1">
                  <c:v>0.13761467889908258</c:v>
                </c:pt>
                <c:pt idx="2">
                  <c:v>0.11467889908256705</c:v>
                </c:pt>
                <c:pt idx="3">
                  <c:v>0.25917431192661089</c:v>
                </c:pt>
                <c:pt idx="4">
                  <c:v>4.8165137614678895E-2</c:v>
                </c:pt>
                <c:pt idx="5">
                  <c:v>0.10779816513761623</c:v>
                </c:pt>
                <c:pt idx="6">
                  <c:v>2.2935779816514717E-3</c:v>
                </c:pt>
                <c:pt idx="7">
                  <c:v>0.1536697247706422</c:v>
                </c:pt>
                <c:pt idx="8">
                  <c:v>0.12155963302752294</c:v>
                </c:pt>
              </c:numCache>
            </c:numRef>
          </c:val>
        </c:ser>
        <c:dLbls>
          <c:showCatName val="1"/>
          <c:showPercent val="1"/>
        </c:dLbls>
      </c:pie3DChart>
    </c:plotArea>
    <c:plotVisOnly val="1"/>
    <c:dispBlanksAs val="zero"/>
  </c:chart>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9.3055555555558125E-2"/>
          <c:y val="0.11610053951589384"/>
          <c:w val="0.81388888888889688"/>
          <c:h val="0.67559018664334658"/>
        </c:manualLayout>
      </c:layout>
      <c:pie3DChart>
        <c:varyColors val="1"/>
        <c:ser>
          <c:idx val="0"/>
          <c:order val="0"/>
          <c:dLbls>
            <c:numFmt formatCode="0.0%" sourceLinked="0"/>
            <c:spPr>
              <a:noFill/>
              <a:ln>
                <a:noFill/>
              </a:ln>
              <a:effectLst/>
            </c:spPr>
            <c:txPr>
              <a:bodyPr/>
              <a:lstStyle/>
              <a:p>
                <a:pPr>
                  <a:defRPr sz="800" b="1">
                    <a:latin typeface="Book Antiqua" pitchFamily="18" charset="0"/>
                  </a:defRPr>
                </a:pPr>
                <a:endParaRPr lang="fr-FR"/>
              </a:p>
            </c:txPr>
            <c:showPercent val="1"/>
            <c:showLeaderLines val="1"/>
            <c:extLst>
              <c:ext xmlns:c15="http://schemas.microsoft.com/office/drawing/2012/chart" uri="{CE6537A1-D6FC-4f65-9D91-7224C49458BB}"/>
            </c:extLst>
          </c:dLbls>
          <c:cat>
            <c:strRef>
              <c:f>suivi!$B$38:$B$41</c:f>
              <c:strCache>
                <c:ptCount val="4"/>
                <c:pt idx="0">
                  <c:v>Très satisfait</c:v>
                </c:pt>
                <c:pt idx="1">
                  <c:v>Satisfait</c:v>
                </c:pt>
                <c:pt idx="2">
                  <c:v>Pas Satisfait</c:v>
                </c:pt>
                <c:pt idx="3">
                  <c:v>Pas du tout Satisfait</c:v>
                </c:pt>
              </c:strCache>
            </c:strRef>
          </c:cat>
          <c:val>
            <c:numRef>
              <c:f>suivi!$D$38:$D$41</c:f>
              <c:numCache>
                <c:formatCode>###0.0</c:formatCode>
                <c:ptCount val="4"/>
                <c:pt idx="0">
                  <c:v>3.1483457844183582</c:v>
                </c:pt>
                <c:pt idx="1">
                  <c:v>42.209178228389334</c:v>
                </c:pt>
                <c:pt idx="2">
                  <c:v>33.511205976520813</c:v>
                </c:pt>
                <c:pt idx="3">
                  <c:v>21.131270010672395</c:v>
                </c:pt>
              </c:numCache>
            </c:numRef>
          </c:val>
        </c:ser>
        <c:dLbls>
          <c:showPercent val="1"/>
        </c:dLbls>
      </c:pie3DChart>
    </c:plotArea>
    <c:legend>
      <c:legendPos val="t"/>
      <c:layout>
        <c:manualLayout>
          <c:xMode val="edge"/>
          <c:yMode val="edge"/>
          <c:x val="9.3940898306294165E-2"/>
          <c:y val="0.85777741215185044"/>
          <c:w val="0.85656233595800457"/>
          <c:h val="8.2521247191835026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322765540716638"/>
          <c:y val="4.6732210058579179E-2"/>
          <c:w val="0.80603108538213053"/>
          <c:h val="0.80064712581318465"/>
        </c:manualLayout>
      </c:layout>
      <c:bar3DChart>
        <c:barDir val="bar"/>
        <c:grouping val="percentStacked"/>
        <c:ser>
          <c:idx val="0"/>
          <c:order val="0"/>
          <c:tx>
            <c:strRef>
              <c:f>TB_CROISES_PM_FNDIAYE!$B$946</c:f>
              <c:strCache>
                <c:ptCount val="1"/>
                <c:pt idx="0">
                  <c:v>Très satisfait</c:v>
                </c:pt>
              </c:strCache>
            </c:strRef>
          </c:tx>
          <c:spPr>
            <a:solidFill>
              <a:srgbClr val="00B050"/>
            </a:solidFill>
          </c:spPr>
          <c:cat>
            <c:strRef>
              <c:f>TB_CROISES_PM_FNDIAYE!$C$945:$P$945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TB_CROISES_PM_FNDIAYE!$C$946:$P$946</c:f>
              <c:numCache>
                <c:formatCode>General</c:formatCode>
                <c:ptCount val="14"/>
                <c:pt idx="0" formatCode="###0.0%">
                  <c:v>3.5037878787880498E-2</c:v>
                </c:pt>
                <c:pt idx="4" formatCode="###0.0%">
                  <c:v>3.225806451613001E-2</c:v>
                </c:pt>
                <c:pt idx="5" formatCode="###0.0%">
                  <c:v>2.4390243902439025E-2</c:v>
                </c:pt>
                <c:pt idx="6" formatCode="###0.0%">
                  <c:v>1.5873015873015879E-2</c:v>
                </c:pt>
                <c:pt idx="7" formatCode="###0.0%">
                  <c:v>4.6511627906977104E-2</c:v>
                </c:pt>
                <c:pt idx="8" formatCode="###0.0%">
                  <c:v>2.4390243902439025E-2</c:v>
                </c:pt>
                <c:pt idx="9" formatCode="###0.0%">
                  <c:v>4.9382716049385017E-2</c:v>
                </c:pt>
                <c:pt idx="12" formatCode="###0.0%">
                  <c:v>5.5555555555555455E-2</c:v>
                </c:pt>
                <c:pt idx="13" formatCode="###0.0%">
                  <c:v>5.1546391752577317E-2</c:v>
                </c:pt>
              </c:numCache>
            </c:numRef>
          </c:val>
        </c:ser>
        <c:ser>
          <c:idx val="1"/>
          <c:order val="1"/>
          <c:tx>
            <c:strRef>
              <c:f>TB_CROISES_PM_FNDIAYE!$B$947</c:f>
              <c:strCache>
                <c:ptCount val="1"/>
                <c:pt idx="0">
                  <c:v>Satisfait</c:v>
                </c:pt>
              </c:strCache>
            </c:strRef>
          </c:tx>
          <c:spPr>
            <a:solidFill>
              <a:srgbClr val="92D050"/>
            </a:solidFill>
          </c:spPr>
          <c:cat>
            <c:strRef>
              <c:f>TB_CROISES_PM_FNDIAYE!$C$945:$P$945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TB_CROISES_PM_FNDIAYE!$C$947:$P$947</c:f>
              <c:numCache>
                <c:formatCode>###0.0%</c:formatCode>
                <c:ptCount val="14"/>
                <c:pt idx="0">
                  <c:v>0.49242424242425414</c:v>
                </c:pt>
                <c:pt idx="1">
                  <c:v>0.18421052631578938</c:v>
                </c:pt>
                <c:pt idx="2">
                  <c:v>0.45</c:v>
                </c:pt>
                <c:pt idx="3">
                  <c:v>5.8823529411764705E-2</c:v>
                </c:pt>
                <c:pt idx="4">
                  <c:v>0.30645161290322581</c:v>
                </c:pt>
                <c:pt idx="5">
                  <c:v>0.32926829268293467</c:v>
                </c:pt>
                <c:pt idx="6">
                  <c:v>0.28571428571429597</c:v>
                </c:pt>
                <c:pt idx="7">
                  <c:v>0.58139534883719957</c:v>
                </c:pt>
                <c:pt idx="8">
                  <c:v>0.36585365853658525</c:v>
                </c:pt>
                <c:pt idx="9">
                  <c:v>0.46913580246913023</c:v>
                </c:pt>
                <c:pt idx="10">
                  <c:v>0.21276595744681323</c:v>
                </c:pt>
                <c:pt idx="11">
                  <c:v>0.19354838709677999</c:v>
                </c:pt>
                <c:pt idx="12">
                  <c:v>0.54444444444444462</c:v>
                </c:pt>
                <c:pt idx="13">
                  <c:v>0.24742268041237819</c:v>
                </c:pt>
              </c:numCache>
            </c:numRef>
          </c:val>
        </c:ser>
        <c:ser>
          <c:idx val="2"/>
          <c:order val="2"/>
          <c:tx>
            <c:strRef>
              <c:f>TB_CROISES_PM_FNDIAYE!$B$948</c:f>
              <c:strCache>
                <c:ptCount val="1"/>
                <c:pt idx="0">
                  <c:v>Pas Satisfait</c:v>
                </c:pt>
              </c:strCache>
            </c:strRef>
          </c:tx>
          <c:spPr>
            <a:solidFill>
              <a:schemeClr val="accent6">
                <a:lumMod val="75000"/>
              </a:schemeClr>
            </a:solidFill>
          </c:spPr>
          <c:cat>
            <c:strRef>
              <c:f>TB_CROISES_PM_FNDIAYE!$C$945:$P$945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TB_CROISES_PM_FNDIAYE!$C$948:$P$948</c:f>
              <c:numCache>
                <c:formatCode>###0.0%</c:formatCode>
                <c:ptCount val="14"/>
                <c:pt idx="0">
                  <c:v>0.33806818181819426</c:v>
                </c:pt>
                <c:pt idx="1">
                  <c:v>0.71052631578947367</c:v>
                </c:pt>
                <c:pt idx="2">
                  <c:v>0.22500000000000001</c:v>
                </c:pt>
                <c:pt idx="3">
                  <c:v>0.5588235294117645</c:v>
                </c:pt>
                <c:pt idx="4">
                  <c:v>0.532258064516129</c:v>
                </c:pt>
                <c:pt idx="5">
                  <c:v>0.18292682926829271</c:v>
                </c:pt>
                <c:pt idx="6">
                  <c:v>0.30158730158730962</c:v>
                </c:pt>
                <c:pt idx="7">
                  <c:v>0.18604651162790894</c:v>
                </c:pt>
                <c:pt idx="8">
                  <c:v>0.24390243902439851</c:v>
                </c:pt>
                <c:pt idx="9">
                  <c:v>0.27160493827160492</c:v>
                </c:pt>
                <c:pt idx="10">
                  <c:v>0.27659574468085107</c:v>
                </c:pt>
                <c:pt idx="11">
                  <c:v>0.532258064516129</c:v>
                </c:pt>
                <c:pt idx="12">
                  <c:v>0.15555555555555556</c:v>
                </c:pt>
                <c:pt idx="13">
                  <c:v>0.22680412371134021</c:v>
                </c:pt>
              </c:numCache>
            </c:numRef>
          </c:val>
        </c:ser>
        <c:ser>
          <c:idx val="3"/>
          <c:order val="3"/>
          <c:tx>
            <c:strRef>
              <c:f>TB_CROISES_PM_FNDIAYE!$B$949</c:f>
              <c:strCache>
                <c:ptCount val="1"/>
                <c:pt idx="0">
                  <c:v>Pas du tout Satisfait</c:v>
                </c:pt>
              </c:strCache>
            </c:strRef>
          </c:tx>
          <c:spPr>
            <a:solidFill>
              <a:srgbClr val="FF0000"/>
            </a:solidFill>
          </c:spPr>
          <c:cat>
            <c:strRef>
              <c:f>TB_CROISES_PM_FNDIAYE!$C$945:$P$945</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TB_CROISES_PM_FNDIAYE!$C$949:$P$949</c:f>
              <c:numCache>
                <c:formatCode>###0.0%</c:formatCode>
                <c:ptCount val="14"/>
                <c:pt idx="0">
                  <c:v>0.13446969696969696</c:v>
                </c:pt>
                <c:pt idx="1">
                  <c:v>0.10526315789473686</c:v>
                </c:pt>
                <c:pt idx="2">
                  <c:v>0.32500000000000789</c:v>
                </c:pt>
                <c:pt idx="3">
                  <c:v>0.38235294117648494</c:v>
                </c:pt>
                <c:pt idx="4">
                  <c:v>0.12903225806451613</c:v>
                </c:pt>
                <c:pt idx="5">
                  <c:v>0.46341463414634182</c:v>
                </c:pt>
                <c:pt idx="6">
                  <c:v>0.39682539682541046</c:v>
                </c:pt>
                <c:pt idx="7">
                  <c:v>0.18604651162790894</c:v>
                </c:pt>
                <c:pt idx="8">
                  <c:v>0.36585365853658525</c:v>
                </c:pt>
                <c:pt idx="9">
                  <c:v>0.20987654320987637</c:v>
                </c:pt>
                <c:pt idx="10">
                  <c:v>0.51063829787234039</c:v>
                </c:pt>
                <c:pt idx="11">
                  <c:v>0.27419354838709675</c:v>
                </c:pt>
                <c:pt idx="12">
                  <c:v>0.24444444444445323</c:v>
                </c:pt>
                <c:pt idx="13">
                  <c:v>0.47422680412371138</c:v>
                </c:pt>
              </c:numCache>
            </c:numRef>
          </c:val>
        </c:ser>
        <c:gapWidth val="55"/>
        <c:gapDepth val="55"/>
        <c:shape val="cylinder"/>
        <c:axId val="215759872"/>
        <c:axId val="215769856"/>
        <c:axId val="0"/>
      </c:bar3DChart>
      <c:catAx>
        <c:axId val="215759872"/>
        <c:scaling>
          <c:orientation val="minMax"/>
        </c:scaling>
        <c:axPos val="l"/>
        <c:numFmt formatCode="General" sourceLinked="0"/>
        <c:majorTickMark val="none"/>
        <c:tickLblPos val="nextTo"/>
        <c:txPr>
          <a:bodyPr/>
          <a:lstStyle/>
          <a:p>
            <a:pPr>
              <a:defRPr sz="700" b="1">
                <a:latin typeface="Book Antiqua" pitchFamily="18" charset="0"/>
              </a:defRPr>
            </a:pPr>
            <a:endParaRPr lang="fr-FR"/>
          </a:p>
        </c:txPr>
        <c:crossAx val="215769856"/>
        <c:crosses val="autoZero"/>
        <c:auto val="1"/>
        <c:lblAlgn val="ctr"/>
        <c:lblOffset val="100"/>
      </c:catAx>
      <c:valAx>
        <c:axId val="215769856"/>
        <c:scaling>
          <c:orientation val="minMax"/>
        </c:scaling>
        <c:axPos val="b"/>
        <c:majorGridlines/>
        <c:numFmt formatCode="0%" sourceLinked="1"/>
        <c:majorTickMark val="none"/>
        <c:tickLblPos val="nextTo"/>
        <c:txPr>
          <a:bodyPr/>
          <a:lstStyle/>
          <a:p>
            <a:pPr>
              <a:defRPr sz="700" b="1"/>
            </a:pPr>
            <a:endParaRPr lang="fr-FR"/>
          </a:p>
        </c:txPr>
        <c:crossAx val="215759872"/>
        <c:crosses val="autoZero"/>
        <c:crossBetween val="between"/>
      </c:valAx>
    </c:plotArea>
    <c:legend>
      <c:legendPos val="r"/>
      <c:layout>
        <c:manualLayout>
          <c:xMode val="edge"/>
          <c:yMode val="edge"/>
          <c:x val="6.4459657353458433E-2"/>
          <c:y val="0.91579316002321887"/>
          <c:w val="0.90776246719160059"/>
          <c:h val="8.1513077197008663E-2"/>
        </c:manualLayout>
      </c:layout>
      <c:txPr>
        <a:bodyPr/>
        <a:lstStyle/>
        <a:p>
          <a:pPr>
            <a:defRPr sz="700" b="1"/>
          </a:pPr>
          <a:endParaRPr lang="fr-FR"/>
        </a:p>
      </c:txPr>
    </c:legend>
    <c:plotVisOnly val="1"/>
    <c:dispBlanksAs val="gap"/>
  </c:chart>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dLbls>
            <c:dLbl>
              <c:idx val="0"/>
              <c:layout>
                <c:manualLayout>
                  <c:x val="-4.5148509219800806E-2"/>
                  <c:y val="-6.3807146333400219E-2"/>
                </c:manualLayout>
              </c:layout>
              <c:showVal val="1"/>
              <c:extLst>
                <c:ext xmlns:c15="http://schemas.microsoft.com/office/drawing/2012/chart" uri="{CE6537A1-D6FC-4f65-9D91-7224C49458BB}"/>
              </c:extLst>
            </c:dLbl>
            <c:dLbl>
              <c:idx val="1"/>
              <c:layout>
                <c:manualLayout>
                  <c:x val="-4.7524746547158769E-2"/>
                  <c:y val="-6.3807146333400219E-2"/>
                </c:manualLayout>
              </c:layout>
              <c:showVal val="1"/>
              <c:extLst>
                <c:ext xmlns:c15="http://schemas.microsoft.com/office/drawing/2012/chart" uri="{CE6537A1-D6FC-4f65-9D91-7224C49458BB}"/>
              </c:extLst>
            </c:dLbl>
            <c:dLbl>
              <c:idx val="2"/>
              <c:layout>
                <c:manualLayout>
                  <c:x val="-4.7524746547158769E-2"/>
                  <c:y val="-4.6791907311160154E-2"/>
                </c:manualLayout>
              </c:layout>
              <c:showVal val="1"/>
              <c:extLst>
                <c:ext xmlns:c15="http://schemas.microsoft.com/office/drawing/2012/chart" uri="{CE6537A1-D6FC-4f65-9D91-7224C49458BB}"/>
              </c:extLst>
            </c:dLbl>
            <c:dLbl>
              <c:idx val="3"/>
              <c:layout>
                <c:manualLayout>
                  <c:x val="-5.2277221201874682E-2"/>
                  <c:y val="-5.5299526822280412E-2"/>
                </c:manualLayout>
              </c:layout>
              <c:showVal val="1"/>
              <c:extLst>
                <c:ext xmlns:c15="http://schemas.microsoft.com/office/drawing/2012/chart" uri="{CE6537A1-D6FC-4f65-9D91-7224C49458BB}"/>
              </c:extLst>
            </c:dLbl>
            <c:dLbl>
              <c:idx val="4"/>
              <c:layout>
                <c:manualLayout>
                  <c:x val="-4.9900983874517524E-2"/>
                  <c:y val="-5.9553336577840434E-2"/>
                </c:manualLayout>
              </c:layout>
              <c:showVal val="1"/>
              <c:extLst>
                <c:ext xmlns:c15="http://schemas.microsoft.com/office/drawing/2012/chart" uri="{CE6537A1-D6FC-4f65-9D91-7224C49458BB}"/>
              </c:extLst>
            </c:dLbl>
            <c:dLbl>
              <c:idx val="5"/>
              <c:layout>
                <c:manualLayout>
                  <c:x val="-4.7524746547158769E-2"/>
                  <c:y val="-5.5299526822280183E-2"/>
                </c:manualLayout>
              </c:layout>
              <c:showVal val="1"/>
              <c:extLst>
                <c:ext xmlns:c15="http://schemas.microsoft.com/office/drawing/2012/chart" uri="{CE6537A1-D6FC-4f65-9D91-7224C49458BB}"/>
              </c:extLst>
            </c:dLbl>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suivipers!$M$10:$R$10</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suivipers!$M$11:$R$11</c:f>
              <c:numCache>
                <c:formatCode>0.0%</c:formatCode>
                <c:ptCount val="6"/>
                <c:pt idx="0">
                  <c:v>0.390625000000004</c:v>
                </c:pt>
                <c:pt idx="1">
                  <c:v>0.49735449735450926</c:v>
                </c:pt>
                <c:pt idx="2">
                  <c:v>0.48648648648649095</c:v>
                </c:pt>
                <c:pt idx="3">
                  <c:v>0.58974358974358954</c:v>
                </c:pt>
                <c:pt idx="4">
                  <c:v>0.65000000000000913</c:v>
                </c:pt>
                <c:pt idx="5">
                  <c:v>0.68965517241381114</c:v>
                </c:pt>
              </c:numCache>
            </c:numRef>
          </c:val>
        </c:ser>
        <c:marker val="1"/>
        <c:axId val="215720320"/>
        <c:axId val="215721856"/>
      </c:lineChart>
      <c:catAx>
        <c:axId val="215720320"/>
        <c:scaling>
          <c:orientation val="minMax"/>
        </c:scaling>
        <c:axPos val="b"/>
        <c:numFmt formatCode="General" sourceLinked="0"/>
        <c:tickLblPos val="nextTo"/>
        <c:txPr>
          <a:bodyPr/>
          <a:lstStyle/>
          <a:p>
            <a:pPr>
              <a:defRPr sz="800" b="1">
                <a:latin typeface="Book Antiqua" pitchFamily="18" charset="0"/>
              </a:defRPr>
            </a:pPr>
            <a:endParaRPr lang="fr-FR"/>
          </a:p>
        </c:txPr>
        <c:crossAx val="215721856"/>
        <c:crosses val="autoZero"/>
        <c:auto val="1"/>
        <c:lblAlgn val="ctr"/>
        <c:lblOffset val="100"/>
      </c:catAx>
      <c:valAx>
        <c:axId val="215721856"/>
        <c:scaling>
          <c:orientation val="minMax"/>
        </c:scaling>
        <c:axPos val="l"/>
        <c:majorGridlines/>
        <c:numFmt formatCode="0.0%" sourceLinked="1"/>
        <c:tickLblPos val="nextTo"/>
        <c:txPr>
          <a:bodyPr/>
          <a:lstStyle/>
          <a:p>
            <a:pPr>
              <a:defRPr sz="800" b="1">
                <a:latin typeface="Book Antiqua" pitchFamily="18" charset="0"/>
              </a:defRPr>
            </a:pPr>
            <a:endParaRPr lang="fr-FR"/>
          </a:p>
        </c:txPr>
        <c:crossAx val="215720320"/>
        <c:crosses val="autoZero"/>
        <c:crossBetween val="between"/>
      </c:valAx>
      <c:spPr>
        <a:noFill/>
        <a:ln w="25400">
          <a:noFill/>
        </a:ln>
      </c:spPr>
    </c:plotArea>
    <c:plotVisOnly val="1"/>
    <c:dispBlanksAs val="gap"/>
  </c:chart>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4061395450568678"/>
          <c:y val="8.7962962962963548E-2"/>
          <c:w val="0.76778937007875048"/>
          <c:h val="0.61908391918007799"/>
        </c:manualLayout>
      </c:layout>
      <c:bar3DChart>
        <c:barDir val="bar"/>
        <c:grouping val="percentStacked"/>
        <c:ser>
          <c:idx val="0"/>
          <c:order val="0"/>
          <c:tx>
            <c:strRef>
              <c:f>Conseiller!$H$16</c:f>
              <c:strCache>
                <c:ptCount val="1"/>
                <c:pt idx="0">
                  <c:v>Très satisfait</c:v>
                </c:pt>
              </c:strCache>
            </c:strRef>
          </c:tx>
          <c:spPr>
            <a:solidFill>
              <a:srgbClr val="00B050"/>
            </a:solidFill>
          </c:spPr>
          <c:cat>
            <c:strRef>
              <c:f>Conseiller!$I$15:$J$15</c:f>
              <c:strCache>
                <c:ptCount val="2"/>
                <c:pt idx="0">
                  <c:v>Formel</c:v>
                </c:pt>
                <c:pt idx="1">
                  <c:v>Informel</c:v>
                </c:pt>
              </c:strCache>
            </c:strRef>
          </c:cat>
          <c:val>
            <c:numRef>
              <c:f>Conseiller!$I$16:$J$16</c:f>
              <c:numCache>
                <c:formatCode>0.0%</c:formatCode>
                <c:ptCount val="2"/>
                <c:pt idx="0">
                  <c:v>3.903903903903904E-2</c:v>
                </c:pt>
                <c:pt idx="1">
                  <c:v>1.2915129151291513E-2</c:v>
                </c:pt>
              </c:numCache>
            </c:numRef>
          </c:val>
        </c:ser>
        <c:ser>
          <c:idx val="1"/>
          <c:order val="1"/>
          <c:tx>
            <c:strRef>
              <c:f>Conseiller!$H$17</c:f>
              <c:strCache>
                <c:ptCount val="1"/>
                <c:pt idx="0">
                  <c:v>Satisfait</c:v>
                </c:pt>
              </c:strCache>
            </c:strRef>
          </c:tx>
          <c:spPr>
            <a:solidFill>
              <a:srgbClr val="92D050"/>
            </a:solidFill>
          </c:spPr>
          <c:cat>
            <c:strRef>
              <c:f>Conseiller!$I$15:$J$15</c:f>
              <c:strCache>
                <c:ptCount val="2"/>
                <c:pt idx="0">
                  <c:v>Formel</c:v>
                </c:pt>
                <c:pt idx="1">
                  <c:v>Informel</c:v>
                </c:pt>
              </c:strCache>
            </c:strRef>
          </c:cat>
          <c:val>
            <c:numRef>
              <c:f>Conseiller!$I$17:$J$17</c:f>
              <c:numCache>
                <c:formatCode>0.0%</c:formatCode>
                <c:ptCount val="2"/>
                <c:pt idx="0">
                  <c:v>0.46846846846847295</c:v>
                </c:pt>
                <c:pt idx="1">
                  <c:v>0.30811808118082079</c:v>
                </c:pt>
              </c:numCache>
            </c:numRef>
          </c:val>
        </c:ser>
        <c:ser>
          <c:idx val="2"/>
          <c:order val="2"/>
          <c:tx>
            <c:strRef>
              <c:f>Conseiller!$H$18</c:f>
              <c:strCache>
                <c:ptCount val="1"/>
                <c:pt idx="0">
                  <c:v>Pas Satisfait</c:v>
                </c:pt>
              </c:strCache>
            </c:strRef>
          </c:tx>
          <c:spPr>
            <a:solidFill>
              <a:schemeClr val="accent6">
                <a:lumMod val="75000"/>
              </a:schemeClr>
            </a:solidFill>
          </c:spPr>
          <c:cat>
            <c:strRef>
              <c:f>Conseiller!$I$15:$J$15</c:f>
              <c:strCache>
                <c:ptCount val="2"/>
                <c:pt idx="0">
                  <c:v>Formel</c:v>
                </c:pt>
                <c:pt idx="1">
                  <c:v>Informel</c:v>
                </c:pt>
              </c:strCache>
            </c:strRef>
          </c:cat>
          <c:val>
            <c:numRef>
              <c:f>Conseiller!$I$18:$J$18</c:f>
              <c:numCache>
                <c:formatCode>0.0%</c:formatCode>
                <c:ptCount val="2"/>
                <c:pt idx="0">
                  <c:v>0.32657657657658146</c:v>
                </c:pt>
                <c:pt idx="1">
                  <c:v>0.35608856088561786</c:v>
                </c:pt>
              </c:numCache>
            </c:numRef>
          </c:val>
        </c:ser>
        <c:ser>
          <c:idx val="3"/>
          <c:order val="3"/>
          <c:tx>
            <c:strRef>
              <c:f>Conseiller!$H$19</c:f>
              <c:strCache>
                <c:ptCount val="1"/>
                <c:pt idx="0">
                  <c:v>Pas du tout Satisfait</c:v>
                </c:pt>
              </c:strCache>
            </c:strRef>
          </c:tx>
          <c:spPr>
            <a:solidFill>
              <a:srgbClr val="FF0000"/>
            </a:solidFill>
          </c:spPr>
          <c:cat>
            <c:strRef>
              <c:f>Conseiller!$I$15:$J$15</c:f>
              <c:strCache>
                <c:ptCount val="2"/>
                <c:pt idx="0">
                  <c:v>Formel</c:v>
                </c:pt>
                <c:pt idx="1">
                  <c:v>Informel</c:v>
                </c:pt>
              </c:strCache>
            </c:strRef>
          </c:cat>
          <c:val>
            <c:numRef>
              <c:f>Conseiller!$I$19:$J$19</c:f>
              <c:numCache>
                <c:formatCode>0.0%</c:formatCode>
                <c:ptCount val="2"/>
                <c:pt idx="0">
                  <c:v>0.16591591591591592</c:v>
                </c:pt>
                <c:pt idx="1">
                  <c:v>0.32287822878229577</c:v>
                </c:pt>
              </c:numCache>
            </c:numRef>
          </c:val>
        </c:ser>
        <c:shape val="cylinder"/>
        <c:axId val="215801216"/>
        <c:axId val="215954560"/>
        <c:axId val="0"/>
      </c:bar3DChart>
      <c:catAx>
        <c:axId val="215801216"/>
        <c:scaling>
          <c:orientation val="minMax"/>
        </c:scaling>
        <c:axPos val="l"/>
        <c:numFmt formatCode="General" sourceLinked="0"/>
        <c:tickLblPos val="nextTo"/>
        <c:txPr>
          <a:bodyPr/>
          <a:lstStyle/>
          <a:p>
            <a:pPr>
              <a:defRPr sz="800" b="1">
                <a:latin typeface="Book Antiqua" pitchFamily="18" charset="0"/>
              </a:defRPr>
            </a:pPr>
            <a:endParaRPr lang="fr-FR"/>
          </a:p>
        </c:txPr>
        <c:crossAx val="215954560"/>
        <c:crosses val="autoZero"/>
        <c:auto val="1"/>
        <c:lblAlgn val="ctr"/>
        <c:lblOffset val="100"/>
      </c:catAx>
      <c:valAx>
        <c:axId val="215954560"/>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5801216"/>
        <c:crosses val="autoZero"/>
        <c:crossBetween val="between"/>
      </c:valAx>
    </c:plotArea>
    <c:legend>
      <c:legendPos val="r"/>
      <c:layout>
        <c:manualLayout>
          <c:xMode val="edge"/>
          <c:yMode val="edge"/>
          <c:x val="3.94588801399825E-2"/>
          <c:y val="0.86534603859083314"/>
          <c:w val="0.91054111986001751"/>
          <c:h val="5.7643645143779752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6759131685143186"/>
          <c:y val="3.7172604349380974E-2"/>
          <c:w val="0.77341085903375961"/>
          <c:h val="0.75313452597878161"/>
        </c:manualLayout>
      </c:layout>
      <c:bar3DChart>
        <c:barDir val="bar"/>
        <c:grouping val="percentStacked"/>
        <c:ser>
          <c:idx val="0"/>
          <c:order val="0"/>
          <c:tx>
            <c:strRef>
              <c:f>suivipers!$B$33</c:f>
              <c:strCache>
                <c:ptCount val="1"/>
                <c:pt idx="0">
                  <c:v>Très satisfait</c:v>
                </c:pt>
              </c:strCache>
            </c:strRef>
          </c:tx>
          <c:spPr>
            <a:solidFill>
              <a:srgbClr val="00B050"/>
            </a:solidFill>
          </c:spPr>
          <c:dLbls>
            <c:txPr>
              <a:bodyPr/>
              <a:lstStyle/>
              <a:p>
                <a:pPr>
                  <a:defRPr sz="800">
                    <a:latin typeface="Book Antiqua" pitchFamily="18" charset="0"/>
                  </a:defRPr>
                </a:pPr>
                <a:endParaRPr lang="fr-FR"/>
              </a:p>
            </c:txPr>
            <c:showVal val="1"/>
          </c:dLbls>
          <c:cat>
            <c:strRef>
              <c:f>suivipers!$C$32:$K$32</c:f>
              <c:strCache>
                <c:ptCount val="9"/>
                <c:pt idx="0">
                  <c:v>Industrie</c:v>
                </c:pt>
                <c:pt idx="1">
                  <c:v>Commerce</c:v>
                </c:pt>
                <c:pt idx="2">
                  <c:v>BTP</c:v>
                </c:pt>
                <c:pt idx="3">
                  <c:v>Services</c:v>
                </c:pt>
                <c:pt idx="4">
                  <c:v>Agriculture</c:v>
                </c:pt>
                <c:pt idx="5">
                  <c:v>Artisanat</c:v>
                </c:pt>
                <c:pt idx="6">
                  <c:v>Administration</c:v>
                </c:pt>
                <c:pt idx="7">
                  <c:v>Autre</c:v>
                </c:pt>
                <c:pt idx="8">
                  <c:v>Total</c:v>
                </c:pt>
              </c:strCache>
            </c:strRef>
          </c:cat>
          <c:val>
            <c:numRef>
              <c:f>suivipers!$C$33:$K$33</c:f>
              <c:numCache>
                <c:formatCode>0.0%</c:formatCode>
                <c:ptCount val="9"/>
                <c:pt idx="0">
                  <c:v>3.9473684210526355E-2</c:v>
                </c:pt>
                <c:pt idx="1">
                  <c:v>3.2418952618454518E-2</c:v>
                </c:pt>
                <c:pt idx="2">
                  <c:v>4.5801526717557252E-2</c:v>
                </c:pt>
                <c:pt idx="3">
                  <c:v>3.4602076124567491E-2</c:v>
                </c:pt>
                <c:pt idx="4">
                  <c:v>1.0869565217391523E-2</c:v>
                </c:pt>
                <c:pt idx="5">
                  <c:v>3.3707865168539401E-2</c:v>
                </c:pt>
                <c:pt idx="6">
                  <c:v>0</c:v>
                </c:pt>
                <c:pt idx="7">
                  <c:v>0</c:v>
                </c:pt>
                <c:pt idx="8">
                  <c:v>3.1483457844183611E-2</c:v>
                </c:pt>
              </c:numCache>
            </c:numRef>
          </c:val>
        </c:ser>
        <c:ser>
          <c:idx val="1"/>
          <c:order val="1"/>
          <c:tx>
            <c:strRef>
              <c:f>suivipers!$B$34</c:f>
              <c:strCache>
                <c:ptCount val="1"/>
                <c:pt idx="0">
                  <c:v>Satisfait</c:v>
                </c:pt>
              </c:strCache>
            </c:strRef>
          </c:tx>
          <c:spPr>
            <a:solidFill>
              <a:schemeClr val="accent3">
                <a:lumMod val="60000"/>
                <a:lumOff val="40000"/>
              </a:schemeClr>
            </a:solidFill>
          </c:spPr>
          <c:dLbls>
            <c:txPr>
              <a:bodyPr/>
              <a:lstStyle/>
              <a:p>
                <a:pPr>
                  <a:defRPr sz="800" b="1">
                    <a:latin typeface="Book Antiqua" pitchFamily="18" charset="0"/>
                  </a:defRPr>
                </a:pPr>
                <a:endParaRPr lang="fr-FR"/>
              </a:p>
            </c:txPr>
            <c:showVal val="1"/>
          </c:dLbls>
          <c:cat>
            <c:strRef>
              <c:f>suivipers!$C$32:$K$32</c:f>
              <c:strCache>
                <c:ptCount val="9"/>
                <c:pt idx="0">
                  <c:v>Industrie</c:v>
                </c:pt>
                <c:pt idx="1">
                  <c:v>Commerce</c:v>
                </c:pt>
                <c:pt idx="2">
                  <c:v>BTP</c:v>
                </c:pt>
                <c:pt idx="3">
                  <c:v>Services</c:v>
                </c:pt>
                <c:pt idx="4">
                  <c:v>Agriculture</c:v>
                </c:pt>
                <c:pt idx="5">
                  <c:v>Artisanat</c:v>
                </c:pt>
                <c:pt idx="6">
                  <c:v>Administration</c:v>
                </c:pt>
                <c:pt idx="7">
                  <c:v>Autre</c:v>
                </c:pt>
                <c:pt idx="8">
                  <c:v>Total</c:v>
                </c:pt>
              </c:strCache>
            </c:strRef>
          </c:cat>
          <c:val>
            <c:numRef>
              <c:f>suivipers!$C$34:$K$34</c:f>
              <c:numCache>
                <c:formatCode>0.0%</c:formatCode>
                <c:ptCount val="9"/>
                <c:pt idx="0">
                  <c:v>0.51315789473684159</c:v>
                </c:pt>
                <c:pt idx="1">
                  <c:v>0.41022443890274801</c:v>
                </c:pt>
                <c:pt idx="2">
                  <c:v>0.41984732824427934</c:v>
                </c:pt>
                <c:pt idx="3">
                  <c:v>0.47058823529412358</c:v>
                </c:pt>
                <c:pt idx="4">
                  <c:v>0.31521739130435605</c:v>
                </c:pt>
                <c:pt idx="5">
                  <c:v>0.34831460674157338</c:v>
                </c:pt>
                <c:pt idx="6">
                  <c:v>0.16666666666666666</c:v>
                </c:pt>
                <c:pt idx="7">
                  <c:v>0.36170212765957482</c:v>
                </c:pt>
                <c:pt idx="8">
                  <c:v>0.42209178228388688</c:v>
                </c:pt>
              </c:numCache>
            </c:numRef>
          </c:val>
        </c:ser>
        <c:ser>
          <c:idx val="2"/>
          <c:order val="2"/>
          <c:tx>
            <c:strRef>
              <c:f>suivipers!$B$35</c:f>
              <c:strCache>
                <c:ptCount val="1"/>
                <c:pt idx="0">
                  <c:v>Pas Satisfait</c:v>
                </c:pt>
              </c:strCache>
            </c:strRef>
          </c:tx>
          <c:spPr>
            <a:solidFill>
              <a:schemeClr val="accent6">
                <a:lumMod val="75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suivipers!$C$32:$K$32</c:f>
              <c:strCache>
                <c:ptCount val="9"/>
                <c:pt idx="0">
                  <c:v>Industrie</c:v>
                </c:pt>
                <c:pt idx="1">
                  <c:v>Commerce</c:v>
                </c:pt>
                <c:pt idx="2">
                  <c:v>BTP</c:v>
                </c:pt>
                <c:pt idx="3">
                  <c:v>Services</c:v>
                </c:pt>
                <c:pt idx="4">
                  <c:v>Agriculture</c:v>
                </c:pt>
                <c:pt idx="5">
                  <c:v>Artisanat</c:v>
                </c:pt>
                <c:pt idx="6">
                  <c:v>Administration</c:v>
                </c:pt>
                <c:pt idx="7">
                  <c:v>Autre</c:v>
                </c:pt>
                <c:pt idx="8">
                  <c:v>Total</c:v>
                </c:pt>
              </c:strCache>
            </c:strRef>
          </c:cat>
          <c:val>
            <c:numRef>
              <c:f>suivipers!$C$35:$K$35</c:f>
              <c:numCache>
                <c:formatCode>0.0%</c:formatCode>
                <c:ptCount val="9"/>
                <c:pt idx="0">
                  <c:v>0.31578947368421934</c:v>
                </c:pt>
                <c:pt idx="1">
                  <c:v>0.34289276807980951</c:v>
                </c:pt>
                <c:pt idx="2">
                  <c:v>0.29007633587787157</c:v>
                </c:pt>
                <c:pt idx="3">
                  <c:v>0.34602076124568659</c:v>
                </c:pt>
                <c:pt idx="4">
                  <c:v>0.36956521739130432</c:v>
                </c:pt>
                <c:pt idx="5">
                  <c:v>0.2808988764044989</c:v>
                </c:pt>
                <c:pt idx="6">
                  <c:v>0.25</c:v>
                </c:pt>
                <c:pt idx="7">
                  <c:v>0.308510638297881</c:v>
                </c:pt>
                <c:pt idx="8">
                  <c:v>0.33511205976521341</c:v>
                </c:pt>
              </c:numCache>
            </c:numRef>
          </c:val>
        </c:ser>
        <c:ser>
          <c:idx val="3"/>
          <c:order val="3"/>
          <c:tx>
            <c:strRef>
              <c:f>suivipers!$B$36</c:f>
              <c:strCache>
                <c:ptCount val="1"/>
                <c:pt idx="0">
                  <c:v>Pas du tout Satisfait</c:v>
                </c:pt>
              </c:strCache>
            </c:strRef>
          </c:tx>
          <c:spPr>
            <a:solidFill>
              <a:srgbClr val="FF000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suivipers!$C$32:$K$32</c:f>
              <c:strCache>
                <c:ptCount val="9"/>
                <c:pt idx="0">
                  <c:v>Industrie</c:v>
                </c:pt>
                <c:pt idx="1">
                  <c:v>Commerce</c:v>
                </c:pt>
                <c:pt idx="2">
                  <c:v>BTP</c:v>
                </c:pt>
                <c:pt idx="3">
                  <c:v>Services</c:v>
                </c:pt>
                <c:pt idx="4">
                  <c:v>Agriculture</c:v>
                </c:pt>
                <c:pt idx="5">
                  <c:v>Artisanat</c:v>
                </c:pt>
                <c:pt idx="6">
                  <c:v>Administration</c:v>
                </c:pt>
                <c:pt idx="7">
                  <c:v>Autre</c:v>
                </c:pt>
                <c:pt idx="8">
                  <c:v>Total</c:v>
                </c:pt>
              </c:strCache>
            </c:strRef>
          </c:cat>
          <c:val>
            <c:numRef>
              <c:f>suivipers!$C$36:$K$36</c:f>
              <c:numCache>
                <c:formatCode>0.0%</c:formatCode>
                <c:ptCount val="9"/>
                <c:pt idx="0">
                  <c:v>0.13157894736842121</c:v>
                </c:pt>
                <c:pt idx="1">
                  <c:v>0.21446384039900526</c:v>
                </c:pt>
                <c:pt idx="2">
                  <c:v>0.24427480916030544</c:v>
                </c:pt>
                <c:pt idx="3">
                  <c:v>0.14878892733564014</c:v>
                </c:pt>
                <c:pt idx="4">
                  <c:v>0.30434782608695682</c:v>
                </c:pt>
                <c:pt idx="5">
                  <c:v>0.33707865168539874</c:v>
                </c:pt>
                <c:pt idx="6">
                  <c:v>0.58333333333333337</c:v>
                </c:pt>
                <c:pt idx="7">
                  <c:v>0.32978723404255716</c:v>
                </c:pt>
                <c:pt idx="8">
                  <c:v>0.21131270010672629</c:v>
                </c:pt>
              </c:numCache>
            </c:numRef>
          </c:val>
        </c:ser>
        <c:shape val="cylinder"/>
        <c:axId val="215982848"/>
        <c:axId val="215984384"/>
        <c:axId val="0"/>
      </c:bar3DChart>
      <c:catAx>
        <c:axId val="215982848"/>
        <c:scaling>
          <c:orientation val="minMax"/>
        </c:scaling>
        <c:axPos val="l"/>
        <c:numFmt formatCode="General" sourceLinked="0"/>
        <c:tickLblPos val="nextTo"/>
        <c:txPr>
          <a:bodyPr/>
          <a:lstStyle/>
          <a:p>
            <a:pPr>
              <a:defRPr sz="800">
                <a:latin typeface="Book Antiqua" pitchFamily="18" charset="0"/>
              </a:defRPr>
            </a:pPr>
            <a:endParaRPr lang="fr-FR"/>
          </a:p>
        </c:txPr>
        <c:crossAx val="215984384"/>
        <c:crosses val="autoZero"/>
        <c:auto val="1"/>
        <c:lblAlgn val="ctr"/>
        <c:lblOffset val="100"/>
      </c:catAx>
      <c:valAx>
        <c:axId val="215984384"/>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5982848"/>
        <c:crosses val="autoZero"/>
        <c:crossBetween val="between"/>
      </c:valAx>
    </c:plotArea>
    <c:legend>
      <c:legendPos val="r"/>
      <c:layout>
        <c:manualLayout>
          <c:xMode val="edge"/>
          <c:yMode val="edge"/>
          <c:x val="0.17161030283214124"/>
          <c:y val="0.87454498816437065"/>
          <c:w val="0.74192221513515533"/>
          <c:h val="8.8983285366393605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2345581802274719"/>
          <c:y val="5.0761421319797724E-2"/>
          <c:w val="0.47531080489939265"/>
          <c:h val="0.86858827291259233"/>
        </c:manualLayout>
      </c:layout>
      <c:pieChart>
        <c:varyColors val="1"/>
        <c:ser>
          <c:idx val="0"/>
          <c:order val="0"/>
          <c:explosion val="25"/>
          <c:dPt>
            <c:idx val="0"/>
            <c:spPr>
              <a:solidFill>
                <a:srgbClr val="00B050"/>
              </a:solidFill>
            </c:spPr>
          </c:dPt>
          <c:dPt>
            <c:idx val="1"/>
            <c:spPr>
              <a:solidFill>
                <a:srgbClr val="92D050"/>
              </a:solidFill>
            </c:spPr>
          </c:dPt>
          <c:dPt>
            <c:idx val="2"/>
            <c:spPr>
              <a:solidFill>
                <a:schemeClr val="accent6">
                  <a:lumMod val="75000"/>
                </a:schemeClr>
              </a:solidFill>
            </c:spPr>
          </c:dPt>
          <c:dPt>
            <c:idx val="3"/>
            <c:spPr>
              <a:solidFill>
                <a:srgbClr val="FF0000"/>
              </a:solidFill>
            </c:spPr>
          </c:dPt>
          <c:dLbls>
            <c:numFmt formatCode="0.0%" sourceLinked="0"/>
            <c:spPr>
              <a:noFill/>
              <a:ln>
                <a:noFill/>
              </a:ln>
              <a:effectLst/>
            </c:spPr>
            <c:txPr>
              <a:bodyPr/>
              <a:lstStyle/>
              <a:p>
                <a:pPr>
                  <a:defRPr sz="800" b="1">
                    <a:latin typeface="Book Antiqua" pitchFamily="18" charset="0"/>
                  </a:defRPr>
                </a:pPr>
                <a:endParaRPr lang="fr-FR"/>
              </a:p>
            </c:txPr>
            <c:showPercent val="1"/>
            <c:showLeaderLines val="1"/>
            <c:extLst>
              <c:ext xmlns:c15="http://schemas.microsoft.com/office/drawing/2012/chart" uri="{CE6537A1-D6FC-4f65-9D91-7224C49458BB}"/>
            </c:extLst>
          </c:dLbls>
          <c:cat>
            <c:strRef>
              <c:f>Conseiller!$I$44:$I$47</c:f>
              <c:strCache>
                <c:ptCount val="4"/>
                <c:pt idx="0">
                  <c:v>Très satisfait</c:v>
                </c:pt>
                <c:pt idx="1">
                  <c:v>Satisfait</c:v>
                </c:pt>
                <c:pt idx="2">
                  <c:v>Pas Satisfait</c:v>
                </c:pt>
                <c:pt idx="3">
                  <c:v>Pas du tout Satisfait</c:v>
                </c:pt>
              </c:strCache>
            </c:strRef>
          </c:cat>
          <c:val>
            <c:numRef>
              <c:f>Conseiller!$J$44:$J$47</c:f>
              <c:numCache>
                <c:formatCode>0.0%</c:formatCode>
                <c:ptCount val="4"/>
                <c:pt idx="0">
                  <c:v>4.0870138431114041E-2</c:v>
                </c:pt>
                <c:pt idx="1">
                  <c:v>0.69281476598549752</c:v>
                </c:pt>
                <c:pt idx="2">
                  <c:v>0.19050758075148341</c:v>
                </c:pt>
                <c:pt idx="3">
                  <c:v>7.5807514831906717E-2</c:v>
                </c:pt>
              </c:numCache>
            </c:numRef>
          </c:val>
        </c:ser>
        <c:dLbls>
          <c:showPercent val="1"/>
        </c:dLbls>
        <c:firstSliceAng val="0"/>
      </c:pieChart>
    </c:plotArea>
    <c:legend>
      <c:legendPos val="t"/>
      <c:layout>
        <c:manualLayout>
          <c:xMode val="edge"/>
          <c:yMode val="edge"/>
          <c:x val="9.3940944881889768E-2"/>
          <c:y val="0.8883248730964467"/>
          <c:w val="0.85656233595800457"/>
          <c:h val="9.0641169853768286E-2"/>
        </c:manualLayout>
      </c:layout>
      <c:txPr>
        <a:bodyPr/>
        <a:lstStyle/>
        <a:p>
          <a:pPr>
            <a:defRPr sz="800" b="1">
              <a:latin typeface="Book Antiqua" pitchFamily="18" charset="0"/>
            </a:defRPr>
          </a:pPr>
          <a:endParaRPr lang="fr-FR"/>
        </a:p>
      </c:txPr>
    </c:legend>
    <c:plotVisOnly val="1"/>
    <c:dispBlanksAs val="zero"/>
  </c:chart>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6101706036745494"/>
          <c:y val="3.1047111781185997E-2"/>
          <c:w val="0.76960848643921176"/>
          <c:h val="0.72357887829811596"/>
        </c:manualLayout>
      </c:layout>
      <c:bar3DChart>
        <c:barDir val="bar"/>
        <c:grouping val="percentStacked"/>
        <c:ser>
          <c:idx val="0"/>
          <c:order val="0"/>
          <c:tx>
            <c:strRef>
              <c:f>Conseiller!$B$88</c:f>
              <c:strCache>
                <c:ptCount val="1"/>
                <c:pt idx="0">
                  <c:v>Très satisfait</c:v>
                </c:pt>
              </c:strCache>
            </c:strRef>
          </c:tx>
          <c:spPr>
            <a:solidFill>
              <a:srgbClr val="00B050"/>
            </a:solidFill>
          </c:spPr>
          <c:cat>
            <c:strRef>
              <c:f>Conseiller!$C$87:$P$87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Conseiller!$C$88:$P$88</c:f>
              <c:numCache>
                <c:formatCode>0.0%</c:formatCode>
                <c:ptCount val="14"/>
                <c:pt idx="0">
                  <c:v>4.7821466524973426E-2</c:v>
                </c:pt>
                <c:pt idx="1">
                  <c:v>0</c:v>
                </c:pt>
                <c:pt idx="2">
                  <c:v>0</c:v>
                </c:pt>
                <c:pt idx="3">
                  <c:v>0</c:v>
                </c:pt>
                <c:pt idx="4">
                  <c:v>3.3898305084745811E-2</c:v>
                </c:pt>
                <c:pt idx="5">
                  <c:v>0</c:v>
                </c:pt>
                <c:pt idx="6">
                  <c:v>2.2222222222222251E-2</c:v>
                </c:pt>
                <c:pt idx="7">
                  <c:v>9.0909090909091064E-2</c:v>
                </c:pt>
                <c:pt idx="8">
                  <c:v>0</c:v>
                </c:pt>
                <c:pt idx="9">
                  <c:v>6.7796610169492996E-2</c:v>
                </c:pt>
                <c:pt idx="10">
                  <c:v>0</c:v>
                </c:pt>
                <c:pt idx="11">
                  <c:v>0</c:v>
                </c:pt>
                <c:pt idx="12">
                  <c:v>6.3492063492063502E-2</c:v>
                </c:pt>
                <c:pt idx="13">
                  <c:v>6.1224489795918373E-2</c:v>
                </c:pt>
              </c:numCache>
            </c:numRef>
          </c:val>
        </c:ser>
        <c:ser>
          <c:idx val="1"/>
          <c:order val="1"/>
          <c:tx>
            <c:strRef>
              <c:f>Conseiller!$B$89</c:f>
              <c:strCache>
                <c:ptCount val="1"/>
                <c:pt idx="0">
                  <c:v>Satisfait</c:v>
                </c:pt>
              </c:strCache>
            </c:strRef>
          </c:tx>
          <c:spPr>
            <a:solidFill>
              <a:srgbClr val="92D050"/>
            </a:solidFill>
          </c:spPr>
          <c:cat>
            <c:strRef>
              <c:f>Conseiller!$C$87:$P$87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Conseiller!$C$89:$P$89</c:f>
              <c:numCache>
                <c:formatCode>0.0%</c:formatCode>
                <c:ptCount val="14"/>
                <c:pt idx="0">
                  <c:v>0.73538788522848064</c:v>
                </c:pt>
                <c:pt idx="1">
                  <c:v>0.55555555555555569</c:v>
                </c:pt>
                <c:pt idx="2">
                  <c:v>0.64000000000000901</c:v>
                </c:pt>
                <c:pt idx="3">
                  <c:v>0.52173913043479292</c:v>
                </c:pt>
                <c:pt idx="4">
                  <c:v>0.69491525423728862</c:v>
                </c:pt>
                <c:pt idx="5">
                  <c:v>0.56862745098040146</c:v>
                </c:pt>
                <c:pt idx="6">
                  <c:v>0.55555555555555569</c:v>
                </c:pt>
                <c:pt idx="7">
                  <c:v>0.72727272727272729</c:v>
                </c:pt>
                <c:pt idx="8">
                  <c:v>0.88888888888888884</c:v>
                </c:pt>
                <c:pt idx="9">
                  <c:v>0.72881355932203351</c:v>
                </c:pt>
                <c:pt idx="10">
                  <c:v>0.37037037037037929</c:v>
                </c:pt>
                <c:pt idx="11">
                  <c:v>0.5769230769230913</c:v>
                </c:pt>
                <c:pt idx="12">
                  <c:v>0.79365079365080382</c:v>
                </c:pt>
                <c:pt idx="13">
                  <c:v>0.469387755102049</c:v>
                </c:pt>
              </c:numCache>
            </c:numRef>
          </c:val>
        </c:ser>
        <c:ser>
          <c:idx val="2"/>
          <c:order val="2"/>
          <c:tx>
            <c:strRef>
              <c:f>Conseiller!$B$90</c:f>
              <c:strCache>
                <c:ptCount val="1"/>
                <c:pt idx="0">
                  <c:v>Pas Satisfait</c:v>
                </c:pt>
              </c:strCache>
            </c:strRef>
          </c:tx>
          <c:spPr>
            <a:solidFill>
              <a:schemeClr val="accent6">
                <a:lumMod val="75000"/>
              </a:schemeClr>
            </a:solidFill>
          </c:spPr>
          <c:cat>
            <c:strRef>
              <c:f>Conseiller!$C$87:$P$87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Conseiller!$C$90:$P$90</c:f>
              <c:numCache>
                <c:formatCode>0.0%</c:formatCode>
                <c:ptCount val="14"/>
                <c:pt idx="0">
                  <c:v>0.16153028692879914</c:v>
                </c:pt>
                <c:pt idx="1">
                  <c:v>0.375000000000004</c:v>
                </c:pt>
                <c:pt idx="2">
                  <c:v>0.3200000000000045</c:v>
                </c:pt>
                <c:pt idx="3">
                  <c:v>0.34782608695652623</c:v>
                </c:pt>
                <c:pt idx="4">
                  <c:v>0.23728813559322481</c:v>
                </c:pt>
                <c:pt idx="5">
                  <c:v>0.13725490196078433</c:v>
                </c:pt>
                <c:pt idx="6">
                  <c:v>0.42222222222222588</c:v>
                </c:pt>
                <c:pt idx="7">
                  <c:v>0.15151515151515482</c:v>
                </c:pt>
                <c:pt idx="8">
                  <c:v>5.5555555555555455E-2</c:v>
                </c:pt>
                <c:pt idx="9">
                  <c:v>0.13559322033898305</c:v>
                </c:pt>
                <c:pt idx="10">
                  <c:v>0.37037037037037929</c:v>
                </c:pt>
                <c:pt idx="11">
                  <c:v>0.28846153846153394</c:v>
                </c:pt>
                <c:pt idx="12">
                  <c:v>6.3492063492063502E-2</c:v>
                </c:pt>
                <c:pt idx="13">
                  <c:v>0.2244897959183674</c:v>
                </c:pt>
              </c:numCache>
            </c:numRef>
          </c:val>
        </c:ser>
        <c:ser>
          <c:idx val="3"/>
          <c:order val="3"/>
          <c:tx>
            <c:strRef>
              <c:f>Conseiller!$B$91</c:f>
              <c:strCache>
                <c:ptCount val="1"/>
                <c:pt idx="0">
                  <c:v>Pas du tout Satisfait</c:v>
                </c:pt>
              </c:strCache>
            </c:strRef>
          </c:tx>
          <c:spPr>
            <a:solidFill>
              <a:srgbClr val="FF0000"/>
            </a:solidFill>
          </c:spPr>
          <c:cat>
            <c:strRef>
              <c:f>Conseiller!$C$87:$P$87</c:f>
              <c:strCache>
                <c:ptCount val="14"/>
                <c:pt idx="0">
                  <c:v>Dakar</c:v>
                </c:pt>
                <c:pt idx="1">
                  <c:v>Diourbel</c:v>
                </c:pt>
                <c:pt idx="2">
                  <c:v>Fatick</c:v>
                </c:pt>
                <c:pt idx="3">
                  <c:v>Kaffrine</c:v>
                </c:pt>
                <c:pt idx="4">
                  <c:v>Kaolack</c:v>
                </c:pt>
                <c:pt idx="5">
                  <c:v>Kolda</c:v>
                </c:pt>
                <c:pt idx="6">
                  <c:v>Kédougou</c:v>
                </c:pt>
                <c:pt idx="7">
                  <c:v>Louga</c:v>
                </c:pt>
                <c:pt idx="8">
                  <c:v>Matam</c:v>
                </c:pt>
                <c:pt idx="9">
                  <c:v>Saint Louis</c:v>
                </c:pt>
                <c:pt idx="10">
                  <c:v>Sédhiou</c:v>
                </c:pt>
                <c:pt idx="11">
                  <c:v>Tambacounda</c:v>
                </c:pt>
                <c:pt idx="12">
                  <c:v>Thiès</c:v>
                </c:pt>
                <c:pt idx="13">
                  <c:v>Ziguinchor</c:v>
                </c:pt>
              </c:strCache>
            </c:strRef>
          </c:cat>
          <c:val>
            <c:numRef>
              <c:f>Conseiller!$C$91:$P$91</c:f>
              <c:numCache>
                <c:formatCode>0.0%</c:formatCode>
                <c:ptCount val="14"/>
                <c:pt idx="0">
                  <c:v>5.5260361317747093E-2</c:v>
                </c:pt>
                <c:pt idx="1">
                  <c:v>6.9444444444444503E-2</c:v>
                </c:pt>
                <c:pt idx="2">
                  <c:v>4.0000000000000022E-2</c:v>
                </c:pt>
                <c:pt idx="3">
                  <c:v>0.1304347826086957</c:v>
                </c:pt>
                <c:pt idx="4">
                  <c:v>3.3898305084745811E-2</c:v>
                </c:pt>
                <c:pt idx="5">
                  <c:v>0.29411764705882382</c:v>
                </c:pt>
                <c:pt idx="6">
                  <c:v>0</c:v>
                </c:pt>
                <c:pt idx="7">
                  <c:v>3.0303030303030311E-2</c:v>
                </c:pt>
                <c:pt idx="8">
                  <c:v>5.5555555555555455E-2</c:v>
                </c:pt>
                <c:pt idx="9">
                  <c:v>6.7796610169492996E-2</c:v>
                </c:pt>
                <c:pt idx="10">
                  <c:v>0.2592592592592593</c:v>
                </c:pt>
                <c:pt idx="11">
                  <c:v>0.13461538461538491</c:v>
                </c:pt>
                <c:pt idx="12">
                  <c:v>7.9365079365079361E-2</c:v>
                </c:pt>
                <c:pt idx="13">
                  <c:v>0.24489795918367346</c:v>
                </c:pt>
              </c:numCache>
            </c:numRef>
          </c:val>
        </c:ser>
        <c:shape val="cylinder"/>
        <c:axId val="216076288"/>
        <c:axId val="216077824"/>
        <c:axId val="0"/>
      </c:bar3DChart>
      <c:catAx>
        <c:axId val="216076288"/>
        <c:scaling>
          <c:orientation val="minMax"/>
        </c:scaling>
        <c:axPos val="l"/>
        <c:numFmt formatCode="General" sourceLinked="0"/>
        <c:tickLblPos val="nextTo"/>
        <c:txPr>
          <a:bodyPr/>
          <a:lstStyle/>
          <a:p>
            <a:pPr>
              <a:defRPr sz="800">
                <a:latin typeface="Book Antiqua" pitchFamily="18" charset="0"/>
              </a:defRPr>
            </a:pPr>
            <a:endParaRPr lang="fr-FR"/>
          </a:p>
        </c:txPr>
        <c:crossAx val="216077824"/>
        <c:crosses val="autoZero"/>
        <c:auto val="1"/>
        <c:lblAlgn val="ctr"/>
        <c:lblOffset val="100"/>
      </c:catAx>
      <c:valAx>
        <c:axId val="216077824"/>
        <c:scaling>
          <c:orientation val="minMax"/>
        </c:scaling>
        <c:axPos val="b"/>
        <c:majorGridlines/>
        <c:numFmt formatCode="0%" sourceLinked="1"/>
        <c:tickLblPos val="nextTo"/>
        <c:txPr>
          <a:bodyPr/>
          <a:lstStyle/>
          <a:p>
            <a:pPr>
              <a:defRPr sz="800">
                <a:latin typeface="Book Antiqua" pitchFamily="18" charset="0"/>
              </a:defRPr>
            </a:pPr>
            <a:endParaRPr lang="fr-FR"/>
          </a:p>
        </c:txPr>
        <c:crossAx val="216076288"/>
        <c:crosses val="autoZero"/>
        <c:crossBetween val="between"/>
      </c:valAx>
    </c:plotArea>
    <c:legend>
      <c:legendPos val="r"/>
      <c:layout>
        <c:manualLayout>
          <c:xMode val="edge"/>
          <c:yMode val="edge"/>
          <c:x val="3.6681118743652624E-2"/>
          <c:y val="0.86092381544413299"/>
          <c:w val="0.93554111986001753"/>
          <c:h val="6.0652714463323813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marker>
            <c:symbol val="none"/>
          </c:marke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Conseiller!$C$122:$H$122</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Conseiller!$C$129:$H$129</c:f>
              <c:numCache>
                <c:formatCode>0.0%</c:formatCode>
                <c:ptCount val="6"/>
                <c:pt idx="0">
                  <c:v>0.24511718750000386</c:v>
                </c:pt>
                <c:pt idx="1">
                  <c:v>0.14550264550264549</c:v>
                </c:pt>
                <c:pt idx="2">
                  <c:v>0.11486486486486355</c:v>
                </c:pt>
                <c:pt idx="3">
                  <c:v>5.128205128205128E-2</c:v>
                </c:pt>
                <c:pt idx="4">
                  <c:v>1.6666666666666701E-2</c:v>
                </c:pt>
                <c:pt idx="5">
                  <c:v>2.2988505747126436E-2</c:v>
                </c:pt>
              </c:numCache>
            </c:numRef>
          </c:val>
        </c:ser>
        <c:marker val="1"/>
        <c:axId val="216097920"/>
        <c:axId val="216099456"/>
      </c:lineChart>
      <c:catAx>
        <c:axId val="216097920"/>
        <c:scaling>
          <c:orientation val="minMax"/>
        </c:scaling>
        <c:axPos val="b"/>
        <c:numFmt formatCode="General" sourceLinked="0"/>
        <c:tickLblPos val="nextTo"/>
        <c:txPr>
          <a:bodyPr/>
          <a:lstStyle/>
          <a:p>
            <a:pPr>
              <a:defRPr sz="1000" b="1" baseline="30000"/>
            </a:pPr>
            <a:endParaRPr lang="fr-FR"/>
          </a:p>
        </c:txPr>
        <c:crossAx val="216099456"/>
        <c:crosses val="autoZero"/>
        <c:auto val="1"/>
        <c:lblAlgn val="ctr"/>
        <c:lblOffset val="100"/>
      </c:catAx>
      <c:valAx>
        <c:axId val="216099456"/>
        <c:scaling>
          <c:orientation val="minMax"/>
        </c:scaling>
        <c:axPos val="l"/>
        <c:majorGridlines/>
        <c:numFmt formatCode="0.0%" sourceLinked="1"/>
        <c:tickLblPos val="nextTo"/>
        <c:txPr>
          <a:bodyPr/>
          <a:lstStyle/>
          <a:p>
            <a:pPr>
              <a:defRPr sz="800" b="1">
                <a:latin typeface="Book Antiqua" pitchFamily="18" charset="0"/>
              </a:defRPr>
            </a:pPr>
            <a:endParaRPr lang="fr-FR"/>
          </a:p>
        </c:txPr>
        <c:crossAx val="216097920"/>
        <c:crosses val="autoZero"/>
        <c:crossBetween val="between"/>
      </c:valAx>
    </c:plotArea>
    <c:plotVisOnly val="1"/>
    <c:dispBlanksAs val="gap"/>
  </c:chart>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9.4004280535596868E-2"/>
          <c:y val="4.4141283590667706E-2"/>
          <c:w val="0.89664158268409233"/>
          <c:h val="0.64808885504006963"/>
        </c:manualLayout>
      </c:layout>
      <c:bar3DChart>
        <c:barDir val="col"/>
        <c:grouping val="percentStacked"/>
        <c:ser>
          <c:idx val="0"/>
          <c:order val="0"/>
          <c:tx>
            <c:strRef>
              <c:f>Conseiller!$B$134</c:f>
              <c:strCache>
                <c:ptCount val="1"/>
                <c:pt idx="0">
                  <c:v>Très satisfait</c:v>
                </c:pt>
              </c:strCache>
            </c:strRef>
          </c:tx>
          <c:spPr>
            <a:solidFill>
              <a:srgbClr val="00B050"/>
            </a:solidFill>
          </c:spPr>
          <c:cat>
            <c:strRef>
              <c:f>Conseiller!$C$133:$H$133</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Conseiller!$C$134:$H$134</c:f>
              <c:numCache>
                <c:formatCode>0.0%</c:formatCode>
                <c:ptCount val="6"/>
                <c:pt idx="0">
                  <c:v>4.1397153945666433E-2</c:v>
                </c:pt>
                <c:pt idx="1">
                  <c:v>3.0959752321981424E-2</c:v>
                </c:pt>
                <c:pt idx="2">
                  <c:v>1.5267175572519161E-2</c:v>
                </c:pt>
                <c:pt idx="3">
                  <c:v>6.3063063063063071E-2</c:v>
                </c:pt>
                <c:pt idx="4">
                  <c:v>6.7796610169492996E-2</c:v>
                </c:pt>
                <c:pt idx="5">
                  <c:v>7.0588235294117674E-2</c:v>
                </c:pt>
              </c:numCache>
            </c:numRef>
          </c:val>
        </c:ser>
        <c:ser>
          <c:idx val="1"/>
          <c:order val="1"/>
          <c:tx>
            <c:strRef>
              <c:f>Conseiller!$B$135</c:f>
              <c:strCache>
                <c:ptCount val="1"/>
                <c:pt idx="0">
                  <c:v>Satisfait</c:v>
                </c:pt>
              </c:strCache>
            </c:strRef>
          </c:tx>
          <c:spPr>
            <a:solidFill>
              <a:srgbClr val="92D050"/>
            </a:solidFill>
          </c:spPr>
          <c:cat>
            <c:strRef>
              <c:f>Conseiller!$C$133:$H$133</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Conseiller!$C$135:$H$135</c:f>
              <c:numCache>
                <c:formatCode>0.0%</c:formatCode>
                <c:ptCount val="6"/>
                <c:pt idx="0">
                  <c:v>0.69340232858990947</c:v>
                </c:pt>
                <c:pt idx="1">
                  <c:v>0.71826625386996856</c:v>
                </c:pt>
                <c:pt idx="2">
                  <c:v>0.7022900763358958</c:v>
                </c:pt>
                <c:pt idx="3">
                  <c:v>0.63963963963965442</c:v>
                </c:pt>
                <c:pt idx="4">
                  <c:v>0.69491525423728862</c:v>
                </c:pt>
                <c:pt idx="5">
                  <c:v>0.69411764705882362</c:v>
                </c:pt>
              </c:numCache>
            </c:numRef>
          </c:val>
        </c:ser>
        <c:ser>
          <c:idx val="2"/>
          <c:order val="2"/>
          <c:tx>
            <c:strRef>
              <c:f>Conseiller!$B$136</c:f>
              <c:strCache>
                <c:ptCount val="1"/>
                <c:pt idx="0">
                  <c:v>Pas Satisfait</c:v>
                </c:pt>
              </c:strCache>
            </c:strRef>
          </c:tx>
          <c:spPr>
            <a:solidFill>
              <a:schemeClr val="accent6">
                <a:lumMod val="75000"/>
              </a:schemeClr>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Conseiller!$C$133:$H$133</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Conseiller!$C$136:$H$136</c:f>
              <c:numCache>
                <c:formatCode>0.0%</c:formatCode>
                <c:ptCount val="6"/>
                <c:pt idx="0">
                  <c:v>0.18628719275550168</c:v>
                </c:pt>
                <c:pt idx="1">
                  <c:v>0.19195046439628491</c:v>
                </c:pt>
                <c:pt idx="2">
                  <c:v>0.19083969465648856</c:v>
                </c:pt>
                <c:pt idx="3">
                  <c:v>0.21621621621621859</c:v>
                </c:pt>
                <c:pt idx="4">
                  <c:v>0.18644067796610381</c:v>
                </c:pt>
                <c:pt idx="5">
                  <c:v>0.2</c:v>
                </c:pt>
              </c:numCache>
            </c:numRef>
          </c:val>
        </c:ser>
        <c:ser>
          <c:idx val="3"/>
          <c:order val="3"/>
          <c:tx>
            <c:strRef>
              <c:f>Conseiller!$B$137</c:f>
              <c:strCache>
                <c:ptCount val="1"/>
                <c:pt idx="0">
                  <c:v>Pas du tout Satisfait</c:v>
                </c:pt>
              </c:strCache>
            </c:strRef>
          </c:tx>
          <c:spPr>
            <a:solidFill>
              <a:srgbClr val="FF0000"/>
            </a:solidFill>
          </c:spPr>
          <c:dLbls>
            <c:spPr>
              <a:noFill/>
              <a:ln>
                <a:noFill/>
              </a:ln>
              <a:effectLst/>
            </c:spPr>
            <c:txPr>
              <a:bodyPr/>
              <a:lstStyle/>
              <a:p>
                <a:pPr>
                  <a:defRPr sz="800" b="1">
                    <a:latin typeface="Book Antiqua" pitchFamily="18" charset="0"/>
                  </a:defRPr>
                </a:pPr>
                <a:endParaRPr lang="fr-FR"/>
              </a:p>
            </c:txPr>
            <c:showVal val="1"/>
            <c:extLst>
              <c:ext xmlns:c15="http://schemas.microsoft.com/office/drawing/2012/chart" uri="{CE6537A1-D6FC-4f65-9D91-7224C49458BB}">
                <c15:showLeaderLines val="0"/>
              </c:ext>
            </c:extLst>
          </c:dLbls>
          <c:cat>
            <c:strRef>
              <c:f>Conseiller!$C$133:$H$133</c:f>
              <c:strCache>
                <c:ptCount val="6"/>
                <c:pt idx="0">
                  <c:v>10 millions ou moins</c:v>
                </c:pt>
                <c:pt idx="1">
                  <c:v>]10 millions, 50 millions]</c:v>
                </c:pt>
                <c:pt idx="2">
                  <c:v>]50 millions, 100 millions]</c:v>
                </c:pt>
                <c:pt idx="3">
                  <c:v>]100 millions,  500 millions]</c:v>
                </c:pt>
                <c:pt idx="4">
                  <c:v>]500 millions, 1 milliard]</c:v>
                </c:pt>
                <c:pt idx="5">
                  <c:v>Plus de 1 milliard</c:v>
                </c:pt>
              </c:strCache>
            </c:strRef>
          </c:cat>
          <c:val>
            <c:numRef>
              <c:f>Conseiller!$C$137:$H$137</c:f>
              <c:numCache>
                <c:formatCode>0.0%</c:formatCode>
                <c:ptCount val="6"/>
                <c:pt idx="0">
                  <c:v>7.8913324708926924E-2</c:v>
                </c:pt>
                <c:pt idx="1">
                  <c:v>5.8823529411764705E-2</c:v>
                </c:pt>
                <c:pt idx="2">
                  <c:v>9.160305343511449E-2</c:v>
                </c:pt>
                <c:pt idx="3">
                  <c:v>8.1081081081081086E-2</c:v>
                </c:pt>
                <c:pt idx="4">
                  <c:v>5.0847457627118814E-2</c:v>
                </c:pt>
                <c:pt idx="5">
                  <c:v>3.5294117647058851E-2</c:v>
                </c:pt>
              </c:numCache>
            </c:numRef>
          </c:val>
        </c:ser>
        <c:shape val="cylinder"/>
        <c:axId val="216134784"/>
        <c:axId val="216136320"/>
        <c:axId val="0"/>
      </c:bar3DChart>
      <c:catAx>
        <c:axId val="216134784"/>
        <c:scaling>
          <c:orientation val="minMax"/>
        </c:scaling>
        <c:axPos val="b"/>
        <c:numFmt formatCode="General" sourceLinked="0"/>
        <c:tickLblPos val="nextTo"/>
        <c:txPr>
          <a:bodyPr/>
          <a:lstStyle/>
          <a:p>
            <a:pPr>
              <a:defRPr sz="800" b="1">
                <a:latin typeface="Book Antiqua" pitchFamily="18" charset="0"/>
              </a:defRPr>
            </a:pPr>
            <a:endParaRPr lang="fr-FR"/>
          </a:p>
        </c:txPr>
        <c:crossAx val="216136320"/>
        <c:crosses val="autoZero"/>
        <c:auto val="1"/>
        <c:lblAlgn val="ctr"/>
        <c:lblOffset val="100"/>
      </c:catAx>
      <c:valAx>
        <c:axId val="216136320"/>
        <c:scaling>
          <c:orientation val="minMax"/>
        </c:scaling>
        <c:axPos val="l"/>
        <c:majorGridlines/>
        <c:numFmt formatCode="0%" sourceLinked="1"/>
        <c:tickLblPos val="nextTo"/>
        <c:txPr>
          <a:bodyPr/>
          <a:lstStyle/>
          <a:p>
            <a:pPr>
              <a:defRPr sz="800">
                <a:latin typeface="Book Antiqua" pitchFamily="18" charset="0"/>
              </a:defRPr>
            </a:pPr>
            <a:endParaRPr lang="fr-FR"/>
          </a:p>
        </c:txPr>
        <c:crossAx val="216134784"/>
        <c:crosses val="autoZero"/>
        <c:crossBetween val="between"/>
      </c:valAx>
    </c:plotArea>
    <c:legend>
      <c:legendPos val="r"/>
      <c:layout>
        <c:manualLayout>
          <c:xMode val="edge"/>
          <c:yMode val="edge"/>
          <c:x val="2.1906350328085772E-2"/>
          <c:y val="0.89852082858513982"/>
          <c:w val="0.96576871948245391"/>
          <c:h val="9.8275078601773244E-2"/>
        </c:manualLayout>
      </c:layout>
      <c:txPr>
        <a:bodyPr/>
        <a:lstStyle/>
        <a:p>
          <a:pPr>
            <a:defRPr sz="800" b="1">
              <a:latin typeface="Book Antiqua" pitchFamily="18" charset="0"/>
            </a:defRPr>
          </a:pPr>
          <a:endParaRPr lang="fr-FR"/>
        </a:p>
      </c:txPr>
    </c:legend>
    <c:plotVisOnly val="1"/>
    <c:dispBlanksAs val="gap"/>
  </c:chart>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4061395450568678"/>
          <c:y val="5.0925925925925923E-2"/>
          <c:w val="0.76778937007875048"/>
          <c:h val="0.52290901137359636"/>
        </c:manualLayout>
      </c:layout>
      <c:bar3DChart>
        <c:barDir val="bar"/>
        <c:grouping val="percentStacked"/>
        <c:ser>
          <c:idx val="0"/>
          <c:order val="0"/>
          <c:tx>
            <c:strRef>
              <c:f>Conseiller!$B$159</c:f>
              <c:strCache>
                <c:ptCount val="1"/>
                <c:pt idx="0">
                  <c:v>Très satisfait</c:v>
                </c:pt>
              </c:strCache>
            </c:strRef>
          </c:tx>
          <c:spPr>
            <a:solidFill>
              <a:srgbClr val="00B050"/>
            </a:solidFill>
          </c:spPr>
          <c:cat>
            <c:strRef>
              <c:f>Conseiller!$C$158:$D$158</c:f>
              <c:strCache>
                <c:ptCount val="2"/>
                <c:pt idx="0">
                  <c:v>Formel</c:v>
                </c:pt>
                <c:pt idx="1">
                  <c:v>Informel</c:v>
                </c:pt>
              </c:strCache>
            </c:strRef>
          </c:cat>
          <c:val>
            <c:numRef>
              <c:f>Conseiller!$C$159:$D$159</c:f>
              <c:numCache>
                <c:formatCode>0.0%</c:formatCode>
                <c:ptCount val="2"/>
                <c:pt idx="0">
                  <c:v>4.5855379188712506E-2</c:v>
                </c:pt>
                <c:pt idx="1">
                  <c:v>2.6109660574412611E-2</c:v>
                </c:pt>
              </c:numCache>
            </c:numRef>
          </c:val>
        </c:ser>
        <c:ser>
          <c:idx val="1"/>
          <c:order val="1"/>
          <c:tx>
            <c:strRef>
              <c:f>Conseiller!$B$160</c:f>
              <c:strCache>
                <c:ptCount val="1"/>
                <c:pt idx="0">
                  <c:v>Satisfait</c:v>
                </c:pt>
              </c:strCache>
            </c:strRef>
          </c:tx>
          <c:spPr>
            <a:solidFill>
              <a:srgbClr val="92D050"/>
            </a:solidFill>
          </c:spPr>
          <c:cat>
            <c:strRef>
              <c:f>Conseiller!$C$158:$D$158</c:f>
              <c:strCache>
                <c:ptCount val="2"/>
                <c:pt idx="0">
                  <c:v>Formel</c:v>
                </c:pt>
                <c:pt idx="1">
                  <c:v>Informel</c:v>
                </c:pt>
              </c:strCache>
            </c:strRef>
          </c:cat>
          <c:val>
            <c:numRef>
              <c:f>Conseiller!$C$160:$D$160</c:f>
              <c:numCache>
                <c:formatCode>0.0%</c:formatCode>
                <c:ptCount val="2"/>
                <c:pt idx="0">
                  <c:v>0.69223985890652562</c:v>
                </c:pt>
                <c:pt idx="1">
                  <c:v>0.6945169712793734</c:v>
                </c:pt>
              </c:numCache>
            </c:numRef>
          </c:val>
        </c:ser>
        <c:ser>
          <c:idx val="2"/>
          <c:order val="2"/>
          <c:tx>
            <c:strRef>
              <c:f>Conseiller!$B$161</c:f>
              <c:strCache>
                <c:ptCount val="1"/>
                <c:pt idx="0">
                  <c:v>Pas Satisfait</c:v>
                </c:pt>
              </c:strCache>
            </c:strRef>
          </c:tx>
          <c:spPr>
            <a:solidFill>
              <a:schemeClr val="accent6">
                <a:lumMod val="75000"/>
              </a:schemeClr>
            </a:solidFill>
          </c:spPr>
          <c:cat>
            <c:strRef>
              <c:f>Conseiller!$C$158:$D$158</c:f>
              <c:strCache>
                <c:ptCount val="2"/>
                <c:pt idx="0">
                  <c:v>Formel</c:v>
                </c:pt>
                <c:pt idx="1">
                  <c:v>Informel</c:v>
                </c:pt>
              </c:strCache>
            </c:strRef>
          </c:cat>
          <c:val>
            <c:numRef>
              <c:f>Conseiller!$C$161:$D$161</c:f>
              <c:numCache>
                <c:formatCode>0.0%</c:formatCode>
                <c:ptCount val="2"/>
                <c:pt idx="0">
                  <c:v>0.18253968253968444</c:v>
                </c:pt>
                <c:pt idx="1">
                  <c:v>0.214099216710185</c:v>
                </c:pt>
              </c:numCache>
            </c:numRef>
          </c:val>
        </c:ser>
        <c:ser>
          <c:idx val="3"/>
          <c:order val="3"/>
          <c:tx>
            <c:strRef>
              <c:f>Conseiller!$B$162</c:f>
              <c:strCache>
                <c:ptCount val="1"/>
                <c:pt idx="0">
                  <c:v>Pas du tout Satisfait</c:v>
                </c:pt>
              </c:strCache>
            </c:strRef>
          </c:tx>
          <c:spPr>
            <a:solidFill>
              <a:srgbClr val="FF0000"/>
            </a:solidFill>
          </c:spPr>
          <c:cat>
            <c:strRef>
              <c:f>Conseiller!$C$158:$D$158</c:f>
              <c:strCache>
                <c:ptCount val="2"/>
                <c:pt idx="0">
                  <c:v>Formel</c:v>
                </c:pt>
                <c:pt idx="1">
                  <c:v>Informel</c:v>
                </c:pt>
              </c:strCache>
            </c:strRef>
          </c:cat>
          <c:val>
            <c:numRef>
              <c:f>Conseiller!$C$162:$D$162</c:f>
              <c:numCache>
                <c:formatCode>0.0%</c:formatCode>
                <c:ptCount val="2"/>
                <c:pt idx="0">
                  <c:v>7.9365079365079361E-2</c:v>
                </c:pt>
                <c:pt idx="1">
                  <c:v>6.5274151436031339E-2</c:v>
                </c:pt>
              </c:numCache>
            </c:numRef>
          </c:val>
        </c:ser>
        <c:shape val="cylinder"/>
        <c:axId val="216306432"/>
        <c:axId val="216307968"/>
        <c:axId val="0"/>
      </c:bar3DChart>
      <c:catAx>
        <c:axId val="216306432"/>
        <c:scaling>
          <c:orientation val="minMax"/>
        </c:scaling>
        <c:axPos val="l"/>
        <c:numFmt formatCode="General" sourceLinked="0"/>
        <c:tickLblPos val="nextTo"/>
        <c:txPr>
          <a:bodyPr/>
          <a:lstStyle/>
          <a:p>
            <a:pPr>
              <a:defRPr sz="800" b="1">
                <a:latin typeface="Book Antiqua" pitchFamily="18" charset="0"/>
              </a:defRPr>
            </a:pPr>
            <a:endParaRPr lang="fr-FR"/>
          </a:p>
        </c:txPr>
        <c:crossAx val="216307968"/>
        <c:crosses val="autoZero"/>
        <c:auto val="1"/>
        <c:lblAlgn val="ctr"/>
        <c:lblOffset val="100"/>
      </c:catAx>
      <c:valAx>
        <c:axId val="216307968"/>
        <c:scaling>
          <c:orientation val="minMax"/>
        </c:scaling>
        <c:axPos val="b"/>
        <c:majorGridlines/>
        <c:numFmt formatCode="0%" sourceLinked="1"/>
        <c:tickLblPos val="nextTo"/>
        <c:txPr>
          <a:bodyPr/>
          <a:lstStyle/>
          <a:p>
            <a:pPr>
              <a:defRPr sz="800" b="1">
                <a:latin typeface="Book Antiqua" pitchFamily="18" charset="0"/>
              </a:defRPr>
            </a:pPr>
            <a:endParaRPr lang="fr-FR"/>
          </a:p>
        </c:txPr>
        <c:crossAx val="216306432"/>
        <c:crosses val="autoZero"/>
        <c:crossBetween val="between"/>
      </c:valAx>
    </c:plotArea>
    <c:legend>
      <c:legendPos val="r"/>
      <c:layout>
        <c:manualLayout>
          <c:xMode val="edge"/>
          <c:yMode val="edge"/>
          <c:x val="5.8903324584426993E-2"/>
          <c:y val="0.79876863363105965"/>
          <c:w val="0.89665223097112867"/>
          <c:h val="0.13579469233012764"/>
        </c:manualLayout>
      </c:layout>
      <c:txPr>
        <a:bodyPr/>
        <a:lstStyle/>
        <a:p>
          <a:pPr>
            <a:defRPr sz="800">
              <a:latin typeface="Book Antiqua" pitchFamily="18" charset="0"/>
            </a:defRPr>
          </a:pPr>
          <a:endParaRPr lang="fr-FR"/>
        </a:p>
      </c:txPr>
    </c:legend>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C59A5-252D-48E9-96F1-02CED83B5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184</Pages>
  <Words>47516</Words>
  <Characters>261338</Characters>
  <Application>Microsoft Office Word</Application>
  <DocSecurity>0</DocSecurity>
  <Lines>2177</Lines>
  <Paragraphs>616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308238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OQSF</dc:creator>
  <cp:lastModifiedBy>mcb</cp:lastModifiedBy>
  <cp:revision>38</cp:revision>
  <cp:lastPrinted>2013-10-02T09:05:00Z</cp:lastPrinted>
  <dcterms:created xsi:type="dcterms:W3CDTF">2018-09-04T11:33:00Z</dcterms:created>
  <dcterms:modified xsi:type="dcterms:W3CDTF">2018-09-05T12:46:00Z</dcterms:modified>
</cp:coreProperties>
</file>